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Override PartName="/word/header1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1AFF" w:rsidRPr="00DF0680" w:rsidRDefault="00071AFF" w:rsidP="003F0F7E">
      <w:pPr>
        <w:jc w:val="center"/>
        <w:rPr>
          <w:rFonts w:cs="Times New Roman"/>
          <w:b/>
          <w:sz w:val="52"/>
          <w:szCs w:val="18"/>
        </w:rPr>
      </w:pPr>
      <w:bookmarkStart w:id="0" w:name="_Toc406397694"/>
      <w:bookmarkStart w:id="1" w:name="_Toc406421350"/>
      <w:bookmarkStart w:id="2" w:name="_Toc408994088"/>
      <w:bookmarkStart w:id="3" w:name="_Toc409449311"/>
    </w:p>
    <w:p w:rsidR="003F0F7E" w:rsidRPr="00DF0680" w:rsidRDefault="003F0F7E" w:rsidP="003F0F7E">
      <w:pPr>
        <w:jc w:val="center"/>
        <w:rPr>
          <w:rFonts w:cs="Times New Roman"/>
          <w:b/>
          <w:sz w:val="52"/>
          <w:szCs w:val="18"/>
        </w:rPr>
      </w:pPr>
      <w:r w:rsidRPr="00DF0680">
        <w:rPr>
          <w:rFonts w:cs="Times New Roman"/>
          <w:b/>
          <w:sz w:val="52"/>
          <w:szCs w:val="18"/>
        </w:rPr>
        <w:t>The role of RECQL5 in bladder cancer and in replication stress</w:t>
      </w:r>
    </w:p>
    <w:p w:rsidR="003F0F7E" w:rsidRPr="00DF0680" w:rsidRDefault="003F0F7E" w:rsidP="003F0F7E">
      <w:pPr>
        <w:pStyle w:val="Subtitle0"/>
        <w:jc w:val="center"/>
        <w:rPr>
          <w:sz w:val="36"/>
        </w:rPr>
      </w:pPr>
    </w:p>
    <w:p w:rsidR="003F0F7E" w:rsidRPr="00DF0680" w:rsidRDefault="003F0F7E" w:rsidP="003F0F7E"/>
    <w:p w:rsidR="003F0F7E" w:rsidRPr="00DF0680" w:rsidRDefault="003F0F7E" w:rsidP="003F0F7E">
      <w:pPr>
        <w:jc w:val="center"/>
        <w:rPr>
          <w:rFonts w:cs="Times New Roman"/>
          <w:b/>
          <w:sz w:val="32"/>
        </w:rPr>
      </w:pPr>
      <w:r w:rsidRPr="00DF0680">
        <w:rPr>
          <w:rFonts w:cs="Times New Roman"/>
          <w:b/>
          <w:sz w:val="32"/>
        </w:rPr>
        <w:t>Karl William Patterson</w:t>
      </w:r>
    </w:p>
    <w:p w:rsidR="003F0F7E" w:rsidRPr="00DF0680" w:rsidRDefault="003F0F7E" w:rsidP="003F0F7E">
      <w:pPr>
        <w:jc w:val="center"/>
        <w:rPr>
          <w:rFonts w:cs="Times New Roman"/>
          <w:b/>
          <w:sz w:val="32"/>
        </w:rPr>
      </w:pPr>
    </w:p>
    <w:p w:rsidR="003F0F7E" w:rsidRPr="00DF0680" w:rsidRDefault="003F0F7E" w:rsidP="003F0F7E">
      <w:pPr>
        <w:spacing w:line="480" w:lineRule="auto"/>
        <w:jc w:val="center"/>
        <w:rPr>
          <w:rFonts w:cs="Times New Roman"/>
          <w:b/>
          <w:sz w:val="28"/>
        </w:rPr>
      </w:pPr>
      <w:r w:rsidRPr="00DF0680">
        <w:rPr>
          <w:rFonts w:cs="Times New Roman"/>
          <w:b/>
          <w:sz w:val="28"/>
        </w:rPr>
        <w:t>A thesis submitted to the University of Sheffield for the Degree of Doctor of Philosophy</w:t>
      </w:r>
    </w:p>
    <w:p w:rsidR="003F0F7E" w:rsidRPr="00DF0680" w:rsidRDefault="003F0F7E" w:rsidP="003F0F7E">
      <w:pPr>
        <w:jc w:val="center"/>
        <w:rPr>
          <w:rFonts w:cs="Times New Roman"/>
          <w:b/>
          <w:sz w:val="32"/>
        </w:rPr>
      </w:pPr>
      <w:r w:rsidRPr="00DF0680">
        <w:rPr>
          <w:rFonts w:cs="Times New Roman"/>
          <w:b/>
          <w:sz w:val="32"/>
        </w:rPr>
        <w:drawing>
          <wp:inline distT="0" distB="0" distL="0" distR="0">
            <wp:extent cx="1665605" cy="176022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1665605" cy="1760220"/>
                    </a:xfrm>
                    <a:prstGeom prst="rect">
                      <a:avLst/>
                    </a:prstGeom>
                    <a:noFill/>
                    <a:ln w="9525">
                      <a:noFill/>
                      <a:miter lim="800000"/>
                      <a:headEnd/>
                      <a:tailEnd/>
                    </a:ln>
                  </pic:spPr>
                </pic:pic>
              </a:graphicData>
            </a:graphic>
          </wp:inline>
        </w:drawing>
      </w:r>
    </w:p>
    <w:p w:rsidR="003F0F7E" w:rsidRPr="00DF0680" w:rsidRDefault="003F0F7E" w:rsidP="003F0F7E">
      <w:pPr>
        <w:jc w:val="center"/>
        <w:rPr>
          <w:rFonts w:cs="Times New Roman"/>
          <w:b/>
          <w:sz w:val="32"/>
        </w:rPr>
      </w:pPr>
    </w:p>
    <w:p w:rsidR="003F0F7E" w:rsidRPr="00DF0680" w:rsidRDefault="003F0F7E" w:rsidP="003F0F7E">
      <w:pPr>
        <w:jc w:val="center"/>
        <w:rPr>
          <w:rFonts w:cs="Times New Roman"/>
          <w:b/>
          <w:sz w:val="32"/>
        </w:rPr>
      </w:pPr>
      <w:r w:rsidRPr="00DF0680">
        <w:rPr>
          <w:rFonts w:cs="Times New Roman"/>
          <w:b/>
          <w:sz w:val="32"/>
        </w:rPr>
        <w:t xml:space="preserve">Molecular Oncology, Department of Oncology, </w:t>
      </w:r>
    </w:p>
    <w:p w:rsidR="003F0F7E" w:rsidRPr="00DF0680" w:rsidRDefault="003F0F7E" w:rsidP="003F0F7E">
      <w:pPr>
        <w:jc w:val="center"/>
        <w:rPr>
          <w:rFonts w:cs="Times New Roman"/>
          <w:b/>
          <w:sz w:val="32"/>
        </w:rPr>
      </w:pPr>
      <w:r w:rsidRPr="00DF0680">
        <w:rPr>
          <w:rFonts w:cs="Times New Roman"/>
          <w:b/>
          <w:sz w:val="32"/>
        </w:rPr>
        <w:t>Medical School, University of Sheffield</w:t>
      </w:r>
    </w:p>
    <w:p w:rsidR="003F0F7E" w:rsidRPr="00DF0680" w:rsidRDefault="003F0F7E" w:rsidP="003F0F7E">
      <w:pPr>
        <w:jc w:val="center"/>
        <w:rPr>
          <w:rFonts w:cs="Times New Roman"/>
          <w:b/>
          <w:sz w:val="32"/>
        </w:rPr>
      </w:pPr>
    </w:p>
    <w:p w:rsidR="003F0F7E" w:rsidRPr="00DF0680" w:rsidRDefault="003F0F7E" w:rsidP="003F0F7E">
      <w:pPr>
        <w:jc w:val="center"/>
        <w:rPr>
          <w:rFonts w:cs="Times New Roman"/>
          <w:b/>
          <w:sz w:val="32"/>
        </w:rPr>
        <w:sectPr w:rsidR="003F0F7E" w:rsidRPr="00DF0680" w:rsidSect="0026681D">
          <w:headerReference w:type="default" r:id="rId9"/>
          <w:pgSz w:w="11906" w:h="16838"/>
          <w:pgMar w:top="1440" w:right="1134" w:bottom="1440" w:left="2268" w:header="709" w:footer="709" w:gutter="0"/>
          <w:cols w:space="708"/>
          <w:docGrid w:linePitch="360"/>
        </w:sectPr>
      </w:pPr>
      <w:r w:rsidRPr="00DF0680">
        <w:rPr>
          <w:rFonts w:cs="Times New Roman"/>
          <w:b/>
          <w:sz w:val="32"/>
        </w:rPr>
        <w:t>February 2015</w:t>
      </w:r>
    </w:p>
    <w:p w:rsidR="003F0F7E" w:rsidRPr="00DF0680" w:rsidRDefault="003F0F7E" w:rsidP="003F0F7E">
      <w:pPr>
        <w:pStyle w:val="Subtitle0"/>
        <w:jc w:val="center"/>
      </w:pPr>
      <w:r w:rsidRPr="00DF0680">
        <w:lastRenderedPageBreak/>
        <w:t>Abstract</w:t>
      </w:r>
    </w:p>
    <w:p w:rsidR="003F0F7E" w:rsidRPr="00DF0680" w:rsidRDefault="003F0F7E" w:rsidP="003F0F7E">
      <w:pPr>
        <w:spacing w:after="0"/>
        <w:rPr>
          <w:rFonts w:asciiTheme="majorHAnsi" w:hAnsiTheme="majorHAnsi"/>
          <w:szCs w:val="24"/>
        </w:rPr>
      </w:pPr>
    </w:p>
    <w:p w:rsidR="003F0F7E" w:rsidRPr="00DF0680" w:rsidRDefault="003F0F7E" w:rsidP="003F0F7E">
      <w:pPr>
        <w:rPr>
          <w:rFonts w:cs="Times New Roman"/>
          <w:szCs w:val="24"/>
        </w:rPr>
      </w:pPr>
      <w:r w:rsidRPr="00DF0680">
        <w:rPr>
          <w:rFonts w:cs="Times New Roman"/>
          <w:szCs w:val="24"/>
        </w:rPr>
        <w:t>The RECQ helicases are conserved throughout evolution and have roles in DNA replication, recombination and repair. Members of the family include BLM, WRN, RECQL1, RECQL4 and RECQL5. Defects in BLM, WRN and RECQL4 are associated with genetically inherited syndromes with common symptoms of premature ageing, genomic instability, and a predisposition to cancers. RECQL5 has not been linked to any genetic syndromes but RECQL5 null mice are more cancer-prone and it has been shown to have a lower protein expression level in colorectal cancers. RECQL5’s function has been linked to protecting cells from replication stress, with cells depleted of RECQL5 more sensitive to camptothecin and cells over-expressing RECQL5 more resistant to thymidine. This thesis investigates the expression of RECQL5 in bladder cancer and the role of RECQL5 in replication stress.</w:t>
      </w:r>
    </w:p>
    <w:p w:rsidR="003F0F7E" w:rsidRPr="00DF0680" w:rsidRDefault="003F0F7E" w:rsidP="003F0F7E">
      <w:pPr>
        <w:rPr>
          <w:rFonts w:cs="Times New Roman"/>
          <w:szCs w:val="24"/>
        </w:rPr>
      </w:pPr>
      <w:r w:rsidRPr="00DF0680">
        <w:rPr>
          <w:rFonts w:cs="Times New Roman"/>
          <w:szCs w:val="24"/>
        </w:rPr>
        <w:t xml:space="preserve">Here, using Western blotting, immunohistochemistry and qRT-PCR, RECQL5β protein has been shown to be over-expressed in bladder cancer compared to normal bladder, whereas RECQL5β mRNA has been shown to be under-expressed. Further work has shown that this protein regulation was not due to differences in cell cycle, miRNAs or protein stability, but is likely to be controlled by phosphorylation of eIF2α at translation initiation, changing global translation rates. Using DNA fibre analysis, over-expression of RECQL5β was shown to increase replication fork speed and protect replication forks from camptothecin and DRB induced slowing. Where wild-type </w:t>
      </w:r>
      <w:r w:rsidR="00471D18" w:rsidRPr="00DF0680">
        <w:rPr>
          <w:rFonts w:cs="Times New Roman"/>
          <w:szCs w:val="24"/>
        </w:rPr>
        <w:t>MRC5V2</w:t>
      </w:r>
      <w:r w:rsidRPr="00DF0680">
        <w:rPr>
          <w:rFonts w:cs="Times New Roman"/>
          <w:szCs w:val="24"/>
        </w:rPr>
        <w:t xml:space="preserve"> cells had slower replication fork speed in camptothecin and DRB treatments individually, adding both treatments together did not slow replication, suggesting both drugs slow replication in a manner dependent on either replication or transcription. Interestingly, expressing a helicase-dead RECQL5β in </w:t>
      </w:r>
      <w:r w:rsidR="00471D18" w:rsidRPr="00DF0680">
        <w:rPr>
          <w:rFonts w:cs="Times New Roman"/>
          <w:szCs w:val="24"/>
        </w:rPr>
        <w:t>MRC5V2</w:t>
      </w:r>
      <w:r w:rsidRPr="00DF0680">
        <w:rPr>
          <w:rFonts w:cs="Times New Roman"/>
          <w:szCs w:val="24"/>
        </w:rPr>
        <w:t xml:space="preserve"> cells slowed endogenous replication but speed was increased in the presence of camptothecin or DRB, but not together, suggesting RECQL5 has a role in maintaining replication at replication-transcription collisions. Depleting bladder cancer cells of RECQL5β in clonogenic toxicity assays did sensitise to camptothecin but this did not occur in </w:t>
      </w:r>
      <w:r w:rsidR="00471D18" w:rsidRPr="00DF0680">
        <w:rPr>
          <w:rFonts w:cs="Times New Roman"/>
          <w:szCs w:val="24"/>
        </w:rPr>
        <w:t>MRC5V2</w:t>
      </w:r>
      <w:r w:rsidRPr="00DF0680">
        <w:rPr>
          <w:rFonts w:cs="Times New Roman"/>
          <w:szCs w:val="24"/>
        </w:rPr>
        <w:t xml:space="preserve"> cells, implying that cancer cells may be more dependent on the RECQL5β protein. Finally, work here has shown that the difference in RECQL5 mRNA expression between normal bladder and bladder cancer tissues is dependent on the expression of MRE11.</w:t>
      </w:r>
    </w:p>
    <w:p w:rsidR="003F0F7E" w:rsidRPr="00DF0680" w:rsidRDefault="003F0F7E" w:rsidP="003F0F7E">
      <w:pPr>
        <w:rPr>
          <w:rFonts w:cs="Times New Roman"/>
          <w:szCs w:val="24"/>
        </w:rPr>
        <w:sectPr w:rsidR="003F0F7E" w:rsidRPr="00DF0680" w:rsidSect="003F0F7E">
          <w:headerReference w:type="default" r:id="rId10"/>
          <w:footerReference w:type="default" r:id="rId11"/>
          <w:pgSz w:w="11906" w:h="16838"/>
          <w:pgMar w:top="1440" w:right="1134" w:bottom="1440" w:left="2268" w:header="709" w:footer="709" w:gutter="0"/>
          <w:pgNumType w:fmt="lowerRoman" w:start="1"/>
          <w:cols w:space="708"/>
          <w:docGrid w:linePitch="360"/>
        </w:sectPr>
      </w:pPr>
    </w:p>
    <w:p w:rsidR="003F0F7E" w:rsidRPr="00DF0680" w:rsidRDefault="003F0F7E" w:rsidP="003F0F7E">
      <w:pPr>
        <w:jc w:val="center"/>
        <w:rPr>
          <w:rFonts w:cs="Times New Roman"/>
          <w:b/>
          <w:sz w:val="32"/>
          <w:szCs w:val="24"/>
        </w:rPr>
      </w:pPr>
      <w:r w:rsidRPr="00DF0680">
        <w:rPr>
          <w:rFonts w:cs="Times New Roman"/>
          <w:b/>
          <w:sz w:val="32"/>
          <w:szCs w:val="24"/>
        </w:rPr>
        <w:lastRenderedPageBreak/>
        <w:t>Acknowledgements</w:t>
      </w:r>
    </w:p>
    <w:p w:rsidR="003F0F7E" w:rsidRPr="00DF0680" w:rsidRDefault="003F0F7E" w:rsidP="003F0F7E">
      <w:pPr>
        <w:spacing w:before="240"/>
        <w:rPr>
          <w:rFonts w:cs="Times New Roman"/>
          <w:szCs w:val="24"/>
        </w:rPr>
      </w:pPr>
      <w:r w:rsidRPr="00DF0680">
        <w:rPr>
          <w:rFonts w:cs="Times New Roman"/>
          <w:szCs w:val="24"/>
        </w:rPr>
        <w:t xml:space="preserve">I would like to thank everyone who has contributed to this work, without whom, it would not have been possible. </w:t>
      </w:r>
    </w:p>
    <w:p w:rsidR="003F0F7E" w:rsidRPr="00DF0680" w:rsidRDefault="003F0F7E" w:rsidP="003F0F7E">
      <w:pPr>
        <w:rPr>
          <w:rFonts w:cs="Times New Roman"/>
          <w:szCs w:val="24"/>
        </w:rPr>
      </w:pPr>
      <w:r w:rsidRPr="00DF0680">
        <w:rPr>
          <w:rFonts w:cs="Times New Roman"/>
          <w:szCs w:val="24"/>
        </w:rPr>
        <w:t>Firstly, I would like to thank all members of the Bryant and Collis group for all the helpful advice and feedback given to me during lab meetings and being so approachable when asking for technical and scientific help. I would like to thank Jim Catto for his scientific input and advice into the clinical side of my research and I extend my gratitude to Susan Morgan for her help analysing the bladder histology samples.</w:t>
      </w:r>
    </w:p>
    <w:p w:rsidR="003F0F7E" w:rsidRPr="00DF0680" w:rsidRDefault="003F0F7E" w:rsidP="003F0F7E">
      <w:pPr>
        <w:rPr>
          <w:rFonts w:cs="Times New Roman"/>
          <w:szCs w:val="24"/>
        </w:rPr>
      </w:pPr>
      <w:r w:rsidRPr="00DF0680">
        <w:rPr>
          <w:rFonts w:cs="Times New Roman"/>
          <w:szCs w:val="24"/>
        </w:rPr>
        <w:t xml:space="preserve">I would also like to thank Andy Platts, Sarah Bottomley and Sarah Blizard who have been invaluable for all their technical input and support throughout my studies. </w:t>
      </w:r>
    </w:p>
    <w:p w:rsidR="003F0F7E" w:rsidRPr="00DF0680" w:rsidRDefault="003F0F7E" w:rsidP="003F0F7E">
      <w:pPr>
        <w:rPr>
          <w:rFonts w:cs="Times New Roman"/>
          <w:szCs w:val="24"/>
        </w:rPr>
      </w:pPr>
      <w:r w:rsidRPr="00DF0680">
        <w:rPr>
          <w:rFonts w:cs="Times New Roman"/>
          <w:szCs w:val="24"/>
        </w:rPr>
        <w:t xml:space="preserve">I consider myself very lucky to have worked in such a friendly and supportive work environment at the Molecular Oncology unit and thank all staff and students for making the time I’ve spent in the department so enjoyable. </w:t>
      </w:r>
    </w:p>
    <w:p w:rsidR="003F0F7E" w:rsidRPr="00DF0680" w:rsidRDefault="003F0F7E" w:rsidP="003F0F7E">
      <w:pPr>
        <w:rPr>
          <w:rFonts w:cs="Times New Roman"/>
          <w:szCs w:val="24"/>
        </w:rPr>
      </w:pPr>
      <w:r w:rsidRPr="00DF0680">
        <w:rPr>
          <w:rFonts w:cs="Times New Roman"/>
          <w:szCs w:val="24"/>
        </w:rPr>
        <w:t>Finally, I wish to say a sincere thank you to my supervisor Helen Bryant. She has been most helpful in providing constant direction and guidance for my studies and I could not have had a more dedicated or supportive mentor.</w:t>
      </w:r>
    </w:p>
    <w:p w:rsidR="003F0F7E" w:rsidRPr="00DF0680" w:rsidRDefault="003F0F7E" w:rsidP="003F0F7E">
      <w:pPr>
        <w:rPr>
          <w:rFonts w:cs="Times New Roman"/>
          <w:szCs w:val="24"/>
        </w:rPr>
        <w:sectPr w:rsidR="003F0F7E" w:rsidRPr="00DF0680" w:rsidSect="003F0F7E">
          <w:headerReference w:type="default" r:id="rId12"/>
          <w:pgSz w:w="11906" w:h="16838"/>
          <w:pgMar w:top="1440" w:right="1134" w:bottom="1440" w:left="2268" w:header="709" w:footer="709" w:gutter="0"/>
          <w:pgNumType w:fmt="lowerRoman"/>
          <w:cols w:space="708"/>
          <w:docGrid w:linePitch="360"/>
        </w:sectPr>
      </w:pPr>
    </w:p>
    <w:p w:rsidR="003F0F7E" w:rsidRPr="00DF0680" w:rsidRDefault="003F0F7E" w:rsidP="00E664FC">
      <w:pPr>
        <w:pStyle w:val="StyleHeading1TimesNewRoman14pt"/>
        <w:rPr>
          <w:sz w:val="32"/>
        </w:rPr>
      </w:pPr>
      <w:bookmarkStart w:id="4" w:name="_Toc417204069"/>
      <w:r w:rsidRPr="00DF0680">
        <w:rPr>
          <w:sz w:val="32"/>
        </w:rPr>
        <w:lastRenderedPageBreak/>
        <w:t>Abbreviations</w:t>
      </w:r>
      <w:bookmarkEnd w:id="4"/>
    </w:p>
    <w:p w:rsidR="003F0F7E" w:rsidRPr="00DF0680" w:rsidRDefault="003F0F7E" w:rsidP="003F0F7E">
      <w:pPr>
        <w:spacing w:line="240" w:lineRule="auto"/>
        <w:rPr>
          <w:rFonts w:cs="Times New Roman"/>
          <w:szCs w:val="24"/>
        </w:rPr>
      </w:pPr>
      <w:r w:rsidRPr="00DF0680">
        <w:rPr>
          <w:rFonts w:cs="Times New Roman"/>
          <w:szCs w:val="24"/>
        </w:rPr>
        <w:t>A</w:t>
      </w:r>
      <w:r w:rsidRPr="00DF0680">
        <w:rPr>
          <w:rFonts w:cs="Times New Roman"/>
          <w:szCs w:val="24"/>
        </w:rPr>
        <w:tab/>
      </w:r>
      <w:r w:rsidRPr="00DF0680">
        <w:rPr>
          <w:rFonts w:cs="Times New Roman"/>
          <w:szCs w:val="24"/>
        </w:rPr>
        <w:tab/>
      </w:r>
      <w:r w:rsidRPr="00DF0680">
        <w:rPr>
          <w:rFonts w:cs="Times New Roman"/>
          <w:szCs w:val="24"/>
        </w:rPr>
        <w:tab/>
        <w:t>Adenine</w:t>
      </w:r>
    </w:p>
    <w:p w:rsidR="003F0F7E" w:rsidRPr="00DF0680" w:rsidRDefault="003F0F7E" w:rsidP="003F0F7E">
      <w:pPr>
        <w:spacing w:line="240" w:lineRule="auto"/>
        <w:rPr>
          <w:rFonts w:cs="Times New Roman"/>
          <w:szCs w:val="24"/>
        </w:rPr>
      </w:pPr>
      <w:r w:rsidRPr="00DF0680">
        <w:rPr>
          <w:rFonts w:cs="Times New Roman"/>
          <w:szCs w:val="24"/>
        </w:rPr>
        <w:t>ALT</w:t>
      </w:r>
      <w:r w:rsidRPr="00DF0680">
        <w:rPr>
          <w:rFonts w:cs="Times New Roman"/>
          <w:szCs w:val="24"/>
        </w:rPr>
        <w:tab/>
      </w:r>
      <w:r w:rsidRPr="00DF0680">
        <w:rPr>
          <w:rFonts w:cs="Times New Roman"/>
          <w:szCs w:val="24"/>
        </w:rPr>
        <w:tab/>
      </w:r>
      <w:r w:rsidRPr="00DF0680">
        <w:rPr>
          <w:rFonts w:cs="Times New Roman"/>
          <w:szCs w:val="24"/>
        </w:rPr>
        <w:tab/>
        <w:t>Alternative lengthening of telomeres</w:t>
      </w:r>
    </w:p>
    <w:p w:rsidR="003F0F7E" w:rsidRPr="00DF0680" w:rsidRDefault="003F0F7E" w:rsidP="003F0F7E">
      <w:pPr>
        <w:spacing w:line="240" w:lineRule="auto"/>
        <w:rPr>
          <w:rFonts w:cs="Times New Roman"/>
          <w:szCs w:val="24"/>
        </w:rPr>
      </w:pPr>
      <w:r w:rsidRPr="00DF0680">
        <w:rPr>
          <w:rFonts w:cs="Times New Roman"/>
          <w:szCs w:val="24"/>
        </w:rPr>
        <w:t>APS</w:t>
      </w:r>
      <w:r w:rsidRPr="00DF0680">
        <w:rPr>
          <w:rFonts w:cs="Times New Roman"/>
          <w:szCs w:val="24"/>
        </w:rPr>
        <w:tab/>
      </w:r>
      <w:r w:rsidRPr="00DF0680">
        <w:rPr>
          <w:rFonts w:cs="Times New Roman"/>
          <w:szCs w:val="24"/>
        </w:rPr>
        <w:tab/>
      </w:r>
      <w:r w:rsidRPr="00DF0680">
        <w:rPr>
          <w:rFonts w:cs="Times New Roman"/>
          <w:szCs w:val="24"/>
        </w:rPr>
        <w:tab/>
        <w:t>Ammonium persulphate</w:t>
      </w:r>
    </w:p>
    <w:p w:rsidR="003F0F7E" w:rsidRPr="00DF0680" w:rsidRDefault="003F0F7E" w:rsidP="003F0F7E">
      <w:pPr>
        <w:spacing w:line="240" w:lineRule="auto"/>
        <w:rPr>
          <w:rFonts w:cs="Times New Roman"/>
          <w:szCs w:val="24"/>
        </w:rPr>
      </w:pPr>
      <w:r w:rsidRPr="00DF0680">
        <w:rPr>
          <w:rFonts w:cs="Times New Roman"/>
          <w:szCs w:val="24"/>
        </w:rPr>
        <w:t>ATM</w:t>
      </w:r>
      <w:r w:rsidRPr="00DF0680">
        <w:rPr>
          <w:rFonts w:cs="Times New Roman"/>
          <w:szCs w:val="24"/>
        </w:rPr>
        <w:tab/>
      </w:r>
      <w:r w:rsidRPr="00DF0680">
        <w:rPr>
          <w:rFonts w:cs="Times New Roman"/>
          <w:szCs w:val="24"/>
        </w:rPr>
        <w:tab/>
      </w:r>
      <w:r w:rsidRPr="00DF0680">
        <w:rPr>
          <w:rFonts w:cs="Times New Roman"/>
          <w:szCs w:val="24"/>
        </w:rPr>
        <w:tab/>
        <w:t>Ataxia telangiectasia, mutated</w:t>
      </w:r>
    </w:p>
    <w:p w:rsidR="003F0F7E" w:rsidRPr="00DF0680" w:rsidRDefault="003F0F7E" w:rsidP="003F0F7E">
      <w:pPr>
        <w:spacing w:line="240" w:lineRule="auto"/>
        <w:rPr>
          <w:rFonts w:cs="Times New Roman"/>
          <w:szCs w:val="24"/>
        </w:rPr>
      </w:pPr>
      <w:r w:rsidRPr="00DF0680">
        <w:rPr>
          <w:rFonts w:cs="Times New Roman"/>
          <w:szCs w:val="24"/>
        </w:rPr>
        <w:t>ATP</w:t>
      </w:r>
      <w:r w:rsidRPr="00DF0680">
        <w:rPr>
          <w:rFonts w:cs="Times New Roman"/>
          <w:szCs w:val="24"/>
        </w:rPr>
        <w:tab/>
      </w:r>
      <w:r w:rsidRPr="00DF0680">
        <w:rPr>
          <w:rFonts w:cs="Times New Roman"/>
          <w:szCs w:val="24"/>
        </w:rPr>
        <w:tab/>
      </w:r>
      <w:r w:rsidRPr="00DF0680">
        <w:rPr>
          <w:rFonts w:cs="Times New Roman"/>
          <w:szCs w:val="24"/>
        </w:rPr>
        <w:tab/>
        <w:t>Adenosine triphosphate</w:t>
      </w:r>
    </w:p>
    <w:p w:rsidR="003F0F7E" w:rsidRPr="00DF0680" w:rsidRDefault="003F0F7E" w:rsidP="003F0F7E">
      <w:pPr>
        <w:spacing w:line="240" w:lineRule="auto"/>
        <w:rPr>
          <w:rFonts w:cs="Times New Roman"/>
          <w:szCs w:val="24"/>
        </w:rPr>
      </w:pPr>
      <w:r w:rsidRPr="00DF0680">
        <w:rPr>
          <w:rFonts w:cs="Times New Roman"/>
          <w:szCs w:val="24"/>
        </w:rPr>
        <w:t>ATR</w:t>
      </w:r>
      <w:r w:rsidRPr="00DF0680">
        <w:rPr>
          <w:rFonts w:cs="Times New Roman"/>
          <w:szCs w:val="24"/>
        </w:rPr>
        <w:tab/>
      </w:r>
      <w:r w:rsidRPr="00DF0680">
        <w:rPr>
          <w:rFonts w:cs="Times New Roman"/>
          <w:szCs w:val="24"/>
        </w:rPr>
        <w:tab/>
      </w:r>
      <w:r w:rsidRPr="00DF0680">
        <w:rPr>
          <w:rFonts w:cs="Times New Roman"/>
          <w:szCs w:val="24"/>
        </w:rPr>
        <w:tab/>
        <w:t>ATM- and RAD3- related</w:t>
      </w:r>
    </w:p>
    <w:p w:rsidR="003F0F7E" w:rsidRPr="00DF0680" w:rsidRDefault="003F0F7E" w:rsidP="003F0F7E">
      <w:pPr>
        <w:spacing w:line="240" w:lineRule="auto"/>
        <w:rPr>
          <w:rFonts w:cs="Times New Roman"/>
          <w:szCs w:val="24"/>
        </w:rPr>
      </w:pPr>
      <w:r w:rsidRPr="00DF0680">
        <w:rPr>
          <w:rFonts w:cs="Times New Roman"/>
          <w:szCs w:val="24"/>
        </w:rPr>
        <w:t>ATRIP</w:t>
      </w:r>
      <w:r w:rsidRPr="00DF0680">
        <w:rPr>
          <w:rFonts w:cs="Times New Roman"/>
          <w:szCs w:val="24"/>
        </w:rPr>
        <w:tab/>
      </w:r>
      <w:r w:rsidRPr="00DF0680">
        <w:rPr>
          <w:rFonts w:cs="Times New Roman"/>
          <w:szCs w:val="24"/>
        </w:rPr>
        <w:tab/>
      </w:r>
      <w:r w:rsidRPr="00DF0680">
        <w:rPr>
          <w:rFonts w:cs="Times New Roman"/>
          <w:szCs w:val="24"/>
        </w:rPr>
        <w:tab/>
        <w:t>ATR-interacting protein</w:t>
      </w:r>
    </w:p>
    <w:p w:rsidR="003F0F7E" w:rsidRPr="00DF0680" w:rsidRDefault="003F0F7E" w:rsidP="003F0F7E">
      <w:pPr>
        <w:spacing w:line="240" w:lineRule="auto"/>
        <w:rPr>
          <w:rFonts w:cs="Times New Roman"/>
          <w:szCs w:val="24"/>
        </w:rPr>
      </w:pPr>
      <w:r w:rsidRPr="00DF0680">
        <w:rPr>
          <w:rFonts w:cs="Times New Roman"/>
          <w:szCs w:val="24"/>
        </w:rPr>
        <w:t>BER</w:t>
      </w:r>
      <w:r w:rsidRPr="00DF0680">
        <w:rPr>
          <w:rFonts w:cs="Times New Roman"/>
          <w:szCs w:val="24"/>
        </w:rPr>
        <w:tab/>
      </w:r>
      <w:r w:rsidRPr="00DF0680">
        <w:rPr>
          <w:rFonts w:cs="Times New Roman"/>
          <w:szCs w:val="24"/>
        </w:rPr>
        <w:tab/>
      </w:r>
      <w:r w:rsidRPr="00DF0680">
        <w:rPr>
          <w:rFonts w:cs="Times New Roman"/>
          <w:szCs w:val="24"/>
        </w:rPr>
        <w:tab/>
        <w:t>Base excision repair</w:t>
      </w:r>
    </w:p>
    <w:p w:rsidR="003F0F7E" w:rsidRPr="00DF0680" w:rsidRDefault="003F0F7E" w:rsidP="003F0F7E">
      <w:pPr>
        <w:spacing w:line="240" w:lineRule="auto"/>
        <w:rPr>
          <w:rFonts w:cs="Times New Roman"/>
          <w:szCs w:val="24"/>
        </w:rPr>
      </w:pPr>
      <w:r w:rsidRPr="00DF0680">
        <w:rPr>
          <w:rFonts w:cs="Times New Roman"/>
          <w:szCs w:val="24"/>
        </w:rPr>
        <w:t>bp</w:t>
      </w:r>
      <w:r w:rsidRPr="00DF0680">
        <w:rPr>
          <w:rFonts w:cs="Times New Roman"/>
          <w:szCs w:val="24"/>
        </w:rPr>
        <w:tab/>
      </w:r>
      <w:r w:rsidRPr="00DF0680">
        <w:rPr>
          <w:rFonts w:cs="Times New Roman"/>
          <w:szCs w:val="24"/>
        </w:rPr>
        <w:tab/>
      </w:r>
      <w:r w:rsidRPr="00DF0680">
        <w:rPr>
          <w:rFonts w:cs="Times New Roman"/>
          <w:szCs w:val="24"/>
        </w:rPr>
        <w:tab/>
        <w:t>Base pair</w:t>
      </w:r>
    </w:p>
    <w:p w:rsidR="003F0F7E" w:rsidRPr="00DF0680" w:rsidRDefault="003F0F7E" w:rsidP="003F0F7E">
      <w:pPr>
        <w:spacing w:line="240" w:lineRule="auto"/>
        <w:rPr>
          <w:rFonts w:cs="Times New Roman"/>
          <w:szCs w:val="24"/>
        </w:rPr>
      </w:pPr>
      <w:r w:rsidRPr="00DF0680">
        <w:rPr>
          <w:rFonts w:cs="Times New Roman"/>
          <w:szCs w:val="24"/>
        </w:rPr>
        <w:t>BrdU</w:t>
      </w:r>
      <w:r w:rsidRPr="00DF0680">
        <w:rPr>
          <w:rFonts w:cs="Times New Roman"/>
          <w:szCs w:val="24"/>
        </w:rPr>
        <w:tab/>
      </w:r>
      <w:r w:rsidRPr="00DF0680">
        <w:rPr>
          <w:rFonts w:cs="Times New Roman"/>
          <w:szCs w:val="24"/>
        </w:rPr>
        <w:tab/>
      </w:r>
      <w:r w:rsidRPr="00DF0680">
        <w:rPr>
          <w:rFonts w:cs="Times New Roman"/>
          <w:szCs w:val="24"/>
        </w:rPr>
        <w:tab/>
        <w:t>Bromodeoxyuridine</w:t>
      </w:r>
    </w:p>
    <w:p w:rsidR="00C32AB0" w:rsidRPr="00DF0680" w:rsidRDefault="00C32AB0" w:rsidP="003F0F7E">
      <w:pPr>
        <w:spacing w:line="240" w:lineRule="auto"/>
        <w:rPr>
          <w:rFonts w:cs="Times New Roman"/>
          <w:szCs w:val="24"/>
        </w:rPr>
      </w:pPr>
      <w:r w:rsidRPr="00DF0680">
        <w:rPr>
          <w:rFonts w:cs="Times New Roman"/>
          <w:szCs w:val="24"/>
        </w:rPr>
        <w:t>BRI</w:t>
      </w:r>
      <w:r w:rsidRPr="00DF0680">
        <w:rPr>
          <w:rFonts w:cs="Times New Roman"/>
          <w:szCs w:val="24"/>
        </w:rPr>
        <w:tab/>
      </w:r>
      <w:r w:rsidRPr="00DF0680">
        <w:rPr>
          <w:rFonts w:cs="Times New Roman"/>
          <w:szCs w:val="24"/>
        </w:rPr>
        <w:tab/>
      </w:r>
      <w:r w:rsidRPr="00DF0680">
        <w:rPr>
          <w:rFonts w:cs="Times New Roman"/>
          <w:szCs w:val="24"/>
        </w:rPr>
        <w:tab/>
        <w:t>Bimolecular replication intermediates</w:t>
      </w:r>
    </w:p>
    <w:p w:rsidR="003F0F7E" w:rsidRPr="00DF0680" w:rsidRDefault="003F0F7E" w:rsidP="003F0F7E">
      <w:pPr>
        <w:spacing w:line="240" w:lineRule="auto"/>
        <w:rPr>
          <w:rFonts w:cs="Times New Roman"/>
          <w:szCs w:val="24"/>
        </w:rPr>
      </w:pPr>
      <w:r w:rsidRPr="00DF0680">
        <w:rPr>
          <w:rFonts w:cs="Times New Roman"/>
          <w:szCs w:val="24"/>
        </w:rPr>
        <w:t>BS</w:t>
      </w:r>
      <w:r w:rsidRPr="00DF0680">
        <w:rPr>
          <w:rFonts w:cs="Times New Roman"/>
          <w:szCs w:val="24"/>
        </w:rPr>
        <w:tab/>
      </w:r>
      <w:r w:rsidRPr="00DF0680">
        <w:rPr>
          <w:rFonts w:cs="Times New Roman"/>
          <w:szCs w:val="24"/>
        </w:rPr>
        <w:tab/>
      </w:r>
      <w:r w:rsidRPr="00DF0680">
        <w:rPr>
          <w:rFonts w:cs="Times New Roman"/>
          <w:szCs w:val="24"/>
        </w:rPr>
        <w:tab/>
        <w:t>Bloom’s syndrome</w:t>
      </w:r>
    </w:p>
    <w:p w:rsidR="003F0F7E" w:rsidRPr="00DF0680" w:rsidRDefault="003F0F7E" w:rsidP="003F0F7E">
      <w:pPr>
        <w:spacing w:line="240" w:lineRule="auto"/>
        <w:rPr>
          <w:rFonts w:cs="Times New Roman"/>
          <w:szCs w:val="24"/>
        </w:rPr>
      </w:pPr>
      <w:r w:rsidRPr="00DF0680">
        <w:rPr>
          <w:rFonts w:cs="Times New Roman"/>
          <w:szCs w:val="24"/>
        </w:rPr>
        <w:t>BSA</w:t>
      </w:r>
      <w:r w:rsidRPr="00DF0680">
        <w:rPr>
          <w:rFonts w:cs="Times New Roman"/>
          <w:szCs w:val="24"/>
        </w:rPr>
        <w:tab/>
      </w:r>
      <w:r w:rsidRPr="00DF0680">
        <w:rPr>
          <w:rFonts w:cs="Times New Roman"/>
          <w:szCs w:val="24"/>
        </w:rPr>
        <w:tab/>
      </w:r>
      <w:r w:rsidRPr="00DF0680">
        <w:rPr>
          <w:rFonts w:cs="Times New Roman"/>
          <w:szCs w:val="24"/>
        </w:rPr>
        <w:tab/>
        <w:t>Bovine serum albumin</w:t>
      </w:r>
    </w:p>
    <w:p w:rsidR="003F0F7E" w:rsidRPr="00DF0680" w:rsidRDefault="003F0F7E" w:rsidP="003F0F7E">
      <w:pPr>
        <w:spacing w:line="240" w:lineRule="auto"/>
        <w:rPr>
          <w:rFonts w:cs="Times New Roman"/>
          <w:szCs w:val="24"/>
        </w:rPr>
      </w:pPr>
      <w:r w:rsidRPr="00DF0680">
        <w:rPr>
          <w:rFonts w:cs="Times New Roman"/>
          <w:szCs w:val="24"/>
        </w:rPr>
        <w:t>C</w:t>
      </w:r>
      <w:r w:rsidRPr="00DF0680">
        <w:rPr>
          <w:rFonts w:cs="Times New Roman"/>
          <w:szCs w:val="24"/>
        </w:rPr>
        <w:tab/>
      </w:r>
      <w:r w:rsidRPr="00DF0680">
        <w:rPr>
          <w:rFonts w:cs="Times New Roman"/>
          <w:szCs w:val="24"/>
        </w:rPr>
        <w:tab/>
      </w:r>
      <w:r w:rsidRPr="00DF0680">
        <w:rPr>
          <w:rFonts w:cs="Times New Roman"/>
          <w:szCs w:val="24"/>
        </w:rPr>
        <w:tab/>
        <w:t>Cytosine</w:t>
      </w:r>
    </w:p>
    <w:p w:rsidR="003F0F7E" w:rsidRPr="00DF0680" w:rsidRDefault="003F0F7E" w:rsidP="003F0F7E">
      <w:pPr>
        <w:spacing w:line="240" w:lineRule="auto"/>
        <w:rPr>
          <w:rFonts w:cs="Times New Roman"/>
          <w:szCs w:val="24"/>
        </w:rPr>
      </w:pPr>
      <w:r w:rsidRPr="00DF0680">
        <w:rPr>
          <w:rFonts w:cs="Times New Roman"/>
          <w:szCs w:val="24"/>
        </w:rPr>
        <w:t>C. elegans</w:t>
      </w:r>
      <w:r w:rsidRPr="00DF0680">
        <w:rPr>
          <w:rFonts w:cs="Times New Roman"/>
          <w:szCs w:val="24"/>
        </w:rPr>
        <w:tab/>
      </w:r>
      <w:r w:rsidRPr="00DF0680">
        <w:rPr>
          <w:rFonts w:cs="Times New Roman"/>
          <w:szCs w:val="24"/>
        </w:rPr>
        <w:tab/>
        <w:t>Caenorhabditis elegans</w:t>
      </w:r>
    </w:p>
    <w:p w:rsidR="003F0F7E" w:rsidRPr="00DF0680" w:rsidRDefault="003F0F7E" w:rsidP="003F0F7E">
      <w:pPr>
        <w:spacing w:line="240" w:lineRule="auto"/>
        <w:rPr>
          <w:rFonts w:cs="Times New Roman"/>
          <w:szCs w:val="24"/>
        </w:rPr>
      </w:pPr>
      <w:r w:rsidRPr="00DF0680">
        <w:rPr>
          <w:rFonts w:cs="Times New Roman"/>
          <w:szCs w:val="24"/>
        </w:rPr>
        <w:t>CDK</w:t>
      </w:r>
      <w:r w:rsidRPr="00DF0680">
        <w:rPr>
          <w:rFonts w:cs="Times New Roman"/>
          <w:szCs w:val="24"/>
        </w:rPr>
        <w:tab/>
      </w:r>
      <w:r w:rsidRPr="00DF0680">
        <w:rPr>
          <w:rFonts w:cs="Times New Roman"/>
          <w:szCs w:val="24"/>
        </w:rPr>
        <w:tab/>
      </w:r>
      <w:r w:rsidRPr="00DF0680">
        <w:rPr>
          <w:rFonts w:cs="Times New Roman"/>
          <w:szCs w:val="24"/>
        </w:rPr>
        <w:tab/>
        <w:t>Cyclin dependent kinase</w:t>
      </w:r>
    </w:p>
    <w:p w:rsidR="003F0F7E" w:rsidRPr="00DF0680" w:rsidRDefault="00C32AB0" w:rsidP="003F0F7E">
      <w:pPr>
        <w:spacing w:line="240" w:lineRule="auto"/>
        <w:rPr>
          <w:rFonts w:cs="Times New Roman"/>
          <w:szCs w:val="24"/>
        </w:rPr>
      </w:pPr>
      <w:r w:rsidRPr="00DF0680">
        <w:rPr>
          <w:rFonts w:cs="Times New Roman"/>
          <w:szCs w:val="24"/>
        </w:rPr>
        <w:t>cDNA</w:t>
      </w:r>
      <w:r w:rsidRPr="00DF0680">
        <w:rPr>
          <w:rFonts w:cs="Times New Roman"/>
          <w:szCs w:val="24"/>
        </w:rPr>
        <w:tab/>
      </w:r>
      <w:r w:rsidRPr="00DF0680">
        <w:rPr>
          <w:rFonts w:cs="Times New Roman"/>
          <w:szCs w:val="24"/>
        </w:rPr>
        <w:tab/>
      </w:r>
      <w:r w:rsidRPr="00DF0680">
        <w:rPr>
          <w:rFonts w:cs="Times New Roman"/>
          <w:szCs w:val="24"/>
        </w:rPr>
        <w:tab/>
        <w:t>Comple</w:t>
      </w:r>
      <w:r w:rsidR="003F0F7E" w:rsidRPr="00DF0680">
        <w:rPr>
          <w:rFonts w:cs="Times New Roman"/>
          <w:szCs w:val="24"/>
        </w:rPr>
        <w:t>mentary DNA</w:t>
      </w:r>
    </w:p>
    <w:p w:rsidR="003F0F7E" w:rsidRPr="00DF0680" w:rsidRDefault="003F0F7E" w:rsidP="003F0F7E">
      <w:pPr>
        <w:spacing w:line="240" w:lineRule="auto"/>
        <w:rPr>
          <w:rFonts w:cs="Times New Roman"/>
          <w:szCs w:val="24"/>
        </w:rPr>
      </w:pPr>
      <w:r w:rsidRPr="00DF0680">
        <w:rPr>
          <w:rFonts w:cs="Times New Roman"/>
          <w:szCs w:val="24"/>
        </w:rPr>
        <w:t>CPD</w:t>
      </w:r>
      <w:r w:rsidRPr="00DF0680">
        <w:rPr>
          <w:rFonts w:cs="Times New Roman"/>
          <w:szCs w:val="24"/>
        </w:rPr>
        <w:tab/>
      </w:r>
      <w:r w:rsidRPr="00DF0680">
        <w:rPr>
          <w:rFonts w:cs="Times New Roman"/>
          <w:szCs w:val="24"/>
        </w:rPr>
        <w:tab/>
      </w:r>
      <w:r w:rsidRPr="00DF0680">
        <w:rPr>
          <w:rFonts w:cs="Times New Roman"/>
          <w:szCs w:val="24"/>
        </w:rPr>
        <w:tab/>
        <w:t>Cyclic pyrimidine dimers</w:t>
      </w:r>
    </w:p>
    <w:p w:rsidR="003F0F7E" w:rsidRPr="00DF0680" w:rsidRDefault="003F0F7E" w:rsidP="003F0F7E">
      <w:pPr>
        <w:spacing w:line="240" w:lineRule="auto"/>
        <w:rPr>
          <w:rFonts w:cs="Times New Roman"/>
          <w:szCs w:val="24"/>
        </w:rPr>
      </w:pPr>
      <w:r w:rsidRPr="00DF0680">
        <w:rPr>
          <w:rFonts w:cs="Times New Roman"/>
          <w:szCs w:val="24"/>
        </w:rPr>
        <w:t>CPT</w:t>
      </w:r>
      <w:r w:rsidRPr="00DF0680">
        <w:rPr>
          <w:rFonts w:cs="Times New Roman"/>
          <w:szCs w:val="24"/>
        </w:rPr>
        <w:tab/>
      </w:r>
      <w:r w:rsidRPr="00DF0680">
        <w:rPr>
          <w:rFonts w:cs="Times New Roman"/>
          <w:szCs w:val="24"/>
        </w:rPr>
        <w:tab/>
      </w:r>
      <w:r w:rsidRPr="00DF0680">
        <w:rPr>
          <w:rFonts w:cs="Times New Roman"/>
          <w:szCs w:val="24"/>
        </w:rPr>
        <w:tab/>
        <w:t>Camptothecin</w:t>
      </w:r>
    </w:p>
    <w:p w:rsidR="003F0F7E" w:rsidRPr="00DF0680" w:rsidRDefault="003F0F7E" w:rsidP="003F0F7E">
      <w:pPr>
        <w:spacing w:line="240" w:lineRule="auto"/>
        <w:rPr>
          <w:rFonts w:cs="Times New Roman"/>
          <w:szCs w:val="24"/>
        </w:rPr>
      </w:pPr>
      <w:r w:rsidRPr="00DF0680">
        <w:rPr>
          <w:rFonts w:cs="Times New Roman"/>
          <w:szCs w:val="24"/>
        </w:rPr>
        <w:t>CHK1</w:t>
      </w:r>
      <w:r w:rsidRPr="00DF0680">
        <w:rPr>
          <w:rFonts w:cs="Times New Roman"/>
          <w:szCs w:val="24"/>
        </w:rPr>
        <w:tab/>
      </w:r>
      <w:r w:rsidRPr="00DF0680">
        <w:rPr>
          <w:rFonts w:cs="Times New Roman"/>
          <w:szCs w:val="24"/>
        </w:rPr>
        <w:tab/>
      </w:r>
      <w:r w:rsidRPr="00DF0680">
        <w:rPr>
          <w:rFonts w:cs="Times New Roman"/>
          <w:szCs w:val="24"/>
        </w:rPr>
        <w:tab/>
        <w:t>Checkpoint kinase 1</w:t>
      </w:r>
    </w:p>
    <w:p w:rsidR="003F0F7E" w:rsidRPr="00DF0680" w:rsidRDefault="003F0F7E" w:rsidP="003F0F7E">
      <w:pPr>
        <w:spacing w:line="240" w:lineRule="auto"/>
        <w:rPr>
          <w:rFonts w:cs="Times New Roman"/>
          <w:szCs w:val="24"/>
        </w:rPr>
      </w:pPr>
      <w:r w:rsidRPr="00DF0680">
        <w:rPr>
          <w:rFonts w:cs="Times New Roman"/>
          <w:szCs w:val="24"/>
        </w:rPr>
        <w:t>CHK2</w:t>
      </w:r>
      <w:r w:rsidRPr="00DF0680">
        <w:rPr>
          <w:rFonts w:cs="Times New Roman"/>
          <w:szCs w:val="24"/>
        </w:rPr>
        <w:tab/>
      </w:r>
      <w:r w:rsidRPr="00DF0680">
        <w:rPr>
          <w:rFonts w:cs="Times New Roman"/>
          <w:szCs w:val="24"/>
        </w:rPr>
        <w:tab/>
      </w:r>
      <w:r w:rsidRPr="00DF0680">
        <w:rPr>
          <w:rFonts w:cs="Times New Roman"/>
          <w:szCs w:val="24"/>
        </w:rPr>
        <w:tab/>
        <w:t>Checkpoint kinase 2</w:t>
      </w:r>
    </w:p>
    <w:p w:rsidR="003F0F7E" w:rsidRPr="00DF0680" w:rsidRDefault="003F0F7E" w:rsidP="003F0F7E">
      <w:pPr>
        <w:spacing w:line="240" w:lineRule="auto"/>
        <w:rPr>
          <w:rFonts w:cs="Times New Roman"/>
          <w:szCs w:val="24"/>
        </w:rPr>
      </w:pPr>
      <w:r w:rsidRPr="00DF0680">
        <w:rPr>
          <w:rFonts w:cs="Times New Roman"/>
          <w:szCs w:val="24"/>
        </w:rPr>
        <w:t>D. melanogaster</w:t>
      </w:r>
      <w:r w:rsidRPr="00DF0680">
        <w:rPr>
          <w:rFonts w:cs="Times New Roman"/>
          <w:szCs w:val="24"/>
        </w:rPr>
        <w:tab/>
        <w:t>Drosophila melanogaster</w:t>
      </w:r>
    </w:p>
    <w:p w:rsidR="003F0F7E" w:rsidRPr="00DF0680" w:rsidRDefault="003F0F7E" w:rsidP="003F0F7E">
      <w:pPr>
        <w:spacing w:line="240" w:lineRule="auto"/>
        <w:rPr>
          <w:rFonts w:cs="Times New Roman"/>
          <w:szCs w:val="24"/>
        </w:rPr>
      </w:pPr>
      <w:r w:rsidRPr="00DF0680">
        <w:rPr>
          <w:rFonts w:cs="Times New Roman"/>
          <w:szCs w:val="24"/>
        </w:rPr>
        <w:t xml:space="preserve">D-loop </w:t>
      </w:r>
      <w:r w:rsidRPr="00DF0680">
        <w:rPr>
          <w:rFonts w:cs="Times New Roman"/>
          <w:szCs w:val="24"/>
        </w:rPr>
        <w:tab/>
      </w:r>
      <w:r w:rsidRPr="00DF0680">
        <w:rPr>
          <w:rFonts w:cs="Times New Roman"/>
          <w:szCs w:val="24"/>
        </w:rPr>
        <w:tab/>
        <w:t>Displacement loop</w:t>
      </w:r>
    </w:p>
    <w:p w:rsidR="003F0F7E" w:rsidRPr="00DF0680" w:rsidRDefault="003F0F7E" w:rsidP="003F0F7E">
      <w:pPr>
        <w:spacing w:line="240" w:lineRule="auto"/>
        <w:rPr>
          <w:rFonts w:cs="Times New Roman"/>
          <w:szCs w:val="24"/>
        </w:rPr>
      </w:pPr>
      <w:r w:rsidRPr="00DF0680">
        <w:rPr>
          <w:rFonts w:cs="Times New Roman"/>
          <w:szCs w:val="24"/>
        </w:rPr>
        <w:t>dATP</w:t>
      </w:r>
      <w:r w:rsidRPr="00DF0680">
        <w:rPr>
          <w:rFonts w:cs="Times New Roman"/>
          <w:szCs w:val="24"/>
        </w:rPr>
        <w:tab/>
      </w:r>
      <w:r w:rsidRPr="00DF0680">
        <w:rPr>
          <w:rFonts w:cs="Times New Roman"/>
          <w:szCs w:val="24"/>
        </w:rPr>
        <w:tab/>
      </w:r>
      <w:r w:rsidRPr="00DF0680">
        <w:rPr>
          <w:rFonts w:cs="Times New Roman"/>
          <w:szCs w:val="24"/>
        </w:rPr>
        <w:tab/>
        <w:t>Deoxyadenosine triphosphate</w:t>
      </w:r>
    </w:p>
    <w:p w:rsidR="003F0F7E" w:rsidRPr="00DF0680" w:rsidRDefault="00653403" w:rsidP="003F0F7E">
      <w:pPr>
        <w:spacing w:line="240" w:lineRule="auto"/>
        <w:rPr>
          <w:rFonts w:cs="Times New Roman"/>
          <w:szCs w:val="24"/>
        </w:rPr>
      </w:pPr>
      <w:r w:rsidRPr="00DF0680">
        <w:rPr>
          <w:rFonts w:cs="Times New Roman"/>
          <w:szCs w:val="24"/>
        </w:rPr>
        <w:t>dCTP</w:t>
      </w:r>
      <w:r w:rsidRPr="00DF0680">
        <w:rPr>
          <w:rFonts w:cs="Times New Roman"/>
          <w:szCs w:val="24"/>
        </w:rPr>
        <w:tab/>
      </w:r>
      <w:r w:rsidRPr="00DF0680">
        <w:rPr>
          <w:rFonts w:cs="Times New Roman"/>
          <w:szCs w:val="24"/>
        </w:rPr>
        <w:tab/>
      </w:r>
      <w:r w:rsidRPr="00DF0680">
        <w:rPr>
          <w:rFonts w:cs="Times New Roman"/>
          <w:szCs w:val="24"/>
        </w:rPr>
        <w:tab/>
        <w:t>Deoxycytos</w:t>
      </w:r>
      <w:r w:rsidR="003F0F7E" w:rsidRPr="00DF0680">
        <w:rPr>
          <w:rFonts w:cs="Times New Roman"/>
          <w:szCs w:val="24"/>
        </w:rPr>
        <w:t>ine triphosphate</w:t>
      </w:r>
    </w:p>
    <w:p w:rsidR="003F0F7E" w:rsidRPr="00DF0680" w:rsidRDefault="003F0F7E" w:rsidP="003F0F7E">
      <w:pPr>
        <w:spacing w:line="240" w:lineRule="auto"/>
        <w:rPr>
          <w:rFonts w:cs="Times New Roman"/>
          <w:szCs w:val="24"/>
        </w:rPr>
      </w:pPr>
      <w:r w:rsidRPr="00DF0680">
        <w:rPr>
          <w:rFonts w:cs="Times New Roman"/>
          <w:szCs w:val="24"/>
        </w:rPr>
        <w:t xml:space="preserve">ddH2O    </w:t>
      </w:r>
      <w:r w:rsidRPr="00DF0680">
        <w:rPr>
          <w:rFonts w:cs="Times New Roman"/>
          <w:szCs w:val="24"/>
        </w:rPr>
        <w:tab/>
      </w:r>
      <w:r w:rsidRPr="00DF0680">
        <w:rPr>
          <w:rFonts w:cs="Times New Roman"/>
          <w:szCs w:val="24"/>
        </w:rPr>
        <w:tab/>
        <w:t>Deionised water</w:t>
      </w:r>
    </w:p>
    <w:p w:rsidR="003F0F7E" w:rsidRPr="00DF0680" w:rsidRDefault="003F0F7E" w:rsidP="003F0F7E">
      <w:pPr>
        <w:spacing w:line="240" w:lineRule="auto"/>
        <w:rPr>
          <w:rFonts w:cs="Times New Roman"/>
          <w:szCs w:val="24"/>
        </w:rPr>
      </w:pPr>
      <w:r w:rsidRPr="00DF0680">
        <w:rPr>
          <w:rFonts w:cs="Times New Roman"/>
          <w:szCs w:val="24"/>
        </w:rPr>
        <w:t>dGTP</w:t>
      </w:r>
      <w:r w:rsidRPr="00DF0680">
        <w:rPr>
          <w:rFonts w:cs="Times New Roman"/>
          <w:szCs w:val="24"/>
        </w:rPr>
        <w:tab/>
      </w:r>
      <w:r w:rsidRPr="00DF0680">
        <w:rPr>
          <w:rFonts w:cs="Times New Roman"/>
          <w:szCs w:val="24"/>
        </w:rPr>
        <w:tab/>
      </w:r>
      <w:r w:rsidRPr="00DF0680">
        <w:rPr>
          <w:rFonts w:cs="Times New Roman"/>
          <w:szCs w:val="24"/>
        </w:rPr>
        <w:tab/>
        <w:t>Deoxyguanosine triphosphate</w:t>
      </w:r>
    </w:p>
    <w:p w:rsidR="003F0F7E" w:rsidRPr="00DF0680" w:rsidRDefault="003F0F7E" w:rsidP="003F0F7E">
      <w:pPr>
        <w:spacing w:line="240" w:lineRule="auto"/>
        <w:rPr>
          <w:rFonts w:cs="Times New Roman"/>
          <w:szCs w:val="24"/>
        </w:rPr>
      </w:pPr>
      <w:r w:rsidRPr="00DF0680">
        <w:rPr>
          <w:rFonts w:cs="Times New Roman"/>
          <w:szCs w:val="24"/>
        </w:rPr>
        <w:t>dHJ</w:t>
      </w:r>
      <w:r w:rsidRPr="00DF0680">
        <w:rPr>
          <w:rFonts w:cs="Times New Roman"/>
          <w:szCs w:val="24"/>
        </w:rPr>
        <w:tab/>
      </w:r>
      <w:r w:rsidRPr="00DF0680">
        <w:rPr>
          <w:rFonts w:cs="Times New Roman"/>
          <w:szCs w:val="24"/>
        </w:rPr>
        <w:tab/>
      </w:r>
      <w:r w:rsidRPr="00DF0680">
        <w:rPr>
          <w:rFonts w:cs="Times New Roman"/>
          <w:szCs w:val="24"/>
        </w:rPr>
        <w:tab/>
        <w:t>Double Holliday junction</w:t>
      </w:r>
    </w:p>
    <w:p w:rsidR="003F0F7E" w:rsidRPr="00DF0680" w:rsidRDefault="00653403" w:rsidP="003F0F7E">
      <w:pPr>
        <w:spacing w:line="240" w:lineRule="auto"/>
        <w:rPr>
          <w:rFonts w:cs="Times New Roman"/>
          <w:szCs w:val="24"/>
        </w:rPr>
      </w:pPr>
      <w:r w:rsidRPr="00DF0680">
        <w:rPr>
          <w:rFonts w:cs="Times New Roman"/>
          <w:szCs w:val="24"/>
        </w:rPr>
        <w:lastRenderedPageBreak/>
        <w:t>DMEM</w:t>
      </w:r>
      <w:r w:rsidRPr="00DF0680">
        <w:rPr>
          <w:rFonts w:cs="Times New Roman"/>
          <w:szCs w:val="24"/>
        </w:rPr>
        <w:tab/>
      </w:r>
      <w:r w:rsidRPr="00DF0680">
        <w:rPr>
          <w:rFonts w:cs="Times New Roman"/>
          <w:szCs w:val="24"/>
        </w:rPr>
        <w:tab/>
        <w:t>Dulbecco’s M</w:t>
      </w:r>
      <w:r w:rsidR="003F0F7E" w:rsidRPr="00DF0680">
        <w:rPr>
          <w:rFonts w:cs="Times New Roman"/>
          <w:szCs w:val="24"/>
        </w:rPr>
        <w:t xml:space="preserve">odified </w:t>
      </w:r>
      <w:r w:rsidRPr="00DF0680">
        <w:rPr>
          <w:rFonts w:cs="Times New Roman"/>
          <w:szCs w:val="24"/>
        </w:rPr>
        <w:t>E</w:t>
      </w:r>
      <w:r w:rsidR="003F0F7E" w:rsidRPr="00DF0680">
        <w:rPr>
          <w:rFonts w:cs="Times New Roman"/>
          <w:szCs w:val="24"/>
        </w:rPr>
        <w:t>agle</w:t>
      </w:r>
      <w:r w:rsidR="00644626" w:rsidRPr="00DF0680">
        <w:rPr>
          <w:rFonts w:cs="Times New Roman"/>
          <w:szCs w:val="24"/>
        </w:rPr>
        <w:t>’s</w:t>
      </w:r>
      <w:r w:rsidR="003F0F7E" w:rsidRPr="00DF0680">
        <w:rPr>
          <w:rFonts w:cs="Times New Roman"/>
          <w:szCs w:val="24"/>
        </w:rPr>
        <w:t xml:space="preserve"> medium</w:t>
      </w:r>
    </w:p>
    <w:p w:rsidR="003F0F7E" w:rsidRPr="00DF0680" w:rsidRDefault="003F0F7E" w:rsidP="003F0F7E">
      <w:pPr>
        <w:spacing w:line="240" w:lineRule="auto"/>
        <w:rPr>
          <w:rFonts w:cs="Times New Roman"/>
          <w:szCs w:val="24"/>
        </w:rPr>
      </w:pPr>
      <w:r w:rsidRPr="00DF0680">
        <w:rPr>
          <w:rFonts w:cs="Times New Roman"/>
          <w:szCs w:val="24"/>
        </w:rPr>
        <w:t>DMSO</w:t>
      </w:r>
      <w:r w:rsidRPr="00DF0680">
        <w:rPr>
          <w:rFonts w:cs="Times New Roman"/>
          <w:szCs w:val="24"/>
        </w:rPr>
        <w:tab/>
      </w:r>
      <w:r w:rsidRPr="00DF0680">
        <w:rPr>
          <w:rFonts w:cs="Times New Roman"/>
          <w:szCs w:val="24"/>
        </w:rPr>
        <w:tab/>
      </w:r>
      <w:r w:rsidRPr="00DF0680">
        <w:rPr>
          <w:rFonts w:cs="Times New Roman"/>
          <w:szCs w:val="24"/>
        </w:rPr>
        <w:tab/>
        <w:t xml:space="preserve">Dimethyl </w:t>
      </w:r>
      <w:r w:rsidR="00653403" w:rsidRPr="00DF0680">
        <w:rPr>
          <w:rFonts w:cs="Times New Roman"/>
          <w:szCs w:val="24"/>
        </w:rPr>
        <w:t>s</w:t>
      </w:r>
      <w:r w:rsidRPr="00DF0680">
        <w:rPr>
          <w:rFonts w:cs="Times New Roman"/>
          <w:szCs w:val="24"/>
        </w:rPr>
        <w:t>ulphoxide</w:t>
      </w:r>
    </w:p>
    <w:p w:rsidR="003F0F7E" w:rsidRPr="00DF0680" w:rsidRDefault="003F0F7E" w:rsidP="003F0F7E">
      <w:pPr>
        <w:spacing w:line="240" w:lineRule="auto"/>
        <w:rPr>
          <w:rFonts w:cs="Times New Roman"/>
          <w:szCs w:val="24"/>
        </w:rPr>
      </w:pPr>
      <w:r w:rsidRPr="00DF0680">
        <w:rPr>
          <w:rFonts w:cs="Times New Roman"/>
          <w:szCs w:val="24"/>
        </w:rPr>
        <w:t>DNA</w:t>
      </w:r>
      <w:r w:rsidRPr="00DF0680">
        <w:rPr>
          <w:rFonts w:cs="Times New Roman"/>
          <w:szCs w:val="24"/>
        </w:rPr>
        <w:tab/>
      </w:r>
      <w:r w:rsidRPr="00DF0680">
        <w:rPr>
          <w:rFonts w:cs="Times New Roman"/>
          <w:szCs w:val="24"/>
        </w:rPr>
        <w:tab/>
      </w:r>
      <w:r w:rsidRPr="00DF0680">
        <w:rPr>
          <w:rFonts w:cs="Times New Roman"/>
          <w:szCs w:val="24"/>
        </w:rPr>
        <w:tab/>
        <w:t>Deoxyribonucleic acid</w:t>
      </w:r>
    </w:p>
    <w:p w:rsidR="003F0F7E" w:rsidRPr="00DF0680" w:rsidRDefault="003F0F7E" w:rsidP="003F0F7E">
      <w:pPr>
        <w:spacing w:line="240" w:lineRule="auto"/>
        <w:rPr>
          <w:rFonts w:cs="Times New Roman"/>
          <w:szCs w:val="24"/>
        </w:rPr>
      </w:pPr>
      <w:r w:rsidRPr="00DF0680">
        <w:rPr>
          <w:rFonts w:cs="Times New Roman"/>
          <w:szCs w:val="24"/>
        </w:rPr>
        <w:t>dNTP</w:t>
      </w:r>
      <w:r w:rsidRPr="00DF0680">
        <w:rPr>
          <w:rFonts w:cs="Times New Roman"/>
          <w:szCs w:val="24"/>
        </w:rPr>
        <w:tab/>
      </w:r>
      <w:r w:rsidRPr="00DF0680">
        <w:rPr>
          <w:rFonts w:cs="Times New Roman"/>
          <w:szCs w:val="24"/>
        </w:rPr>
        <w:tab/>
      </w:r>
      <w:r w:rsidRPr="00DF0680">
        <w:rPr>
          <w:rFonts w:cs="Times New Roman"/>
          <w:szCs w:val="24"/>
        </w:rPr>
        <w:tab/>
        <w:t>Deoxy</w:t>
      </w:r>
      <w:r w:rsidR="00653403" w:rsidRPr="00DF0680">
        <w:rPr>
          <w:rFonts w:cs="Times New Roman"/>
          <w:szCs w:val="24"/>
        </w:rPr>
        <w:t>ribo</w:t>
      </w:r>
      <w:r w:rsidRPr="00DF0680">
        <w:rPr>
          <w:rFonts w:cs="Times New Roman"/>
          <w:szCs w:val="24"/>
        </w:rPr>
        <w:t>nucleotide triphosphate</w:t>
      </w:r>
    </w:p>
    <w:p w:rsidR="003F0F7E" w:rsidRPr="00DF0680" w:rsidRDefault="003F0F7E" w:rsidP="003F0F7E">
      <w:pPr>
        <w:spacing w:line="240" w:lineRule="auto"/>
        <w:rPr>
          <w:rFonts w:cs="Times New Roman"/>
        </w:rPr>
      </w:pPr>
      <w:r w:rsidRPr="00DF0680">
        <w:rPr>
          <w:rFonts w:cs="Times New Roman"/>
        </w:rPr>
        <w:t>DRB</w:t>
      </w:r>
      <w:r w:rsidRPr="00DF0680">
        <w:rPr>
          <w:rFonts w:cs="Times New Roman"/>
        </w:rPr>
        <w:tab/>
      </w:r>
      <w:r w:rsidRPr="00DF0680">
        <w:rPr>
          <w:rFonts w:cs="Times New Roman"/>
        </w:rPr>
        <w:tab/>
      </w:r>
      <w:r w:rsidRPr="00DF0680">
        <w:rPr>
          <w:rFonts w:cs="Times New Roman"/>
        </w:rPr>
        <w:tab/>
        <w:t>5,6-Dichloro-1-beta-D-ribofuranosylbenzimidazole</w:t>
      </w:r>
    </w:p>
    <w:p w:rsidR="003F0F7E" w:rsidRPr="00DF0680" w:rsidRDefault="003F0F7E" w:rsidP="003F0F7E">
      <w:pPr>
        <w:spacing w:line="240" w:lineRule="auto"/>
        <w:rPr>
          <w:rFonts w:cs="Times New Roman"/>
          <w:szCs w:val="24"/>
        </w:rPr>
      </w:pPr>
      <w:r w:rsidRPr="00DF0680">
        <w:rPr>
          <w:rFonts w:cs="Times New Roman"/>
          <w:szCs w:val="24"/>
        </w:rPr>
        <w:t>DSB</w:t>
      </w:r>
      <w:r w:rsidRPr="00DF0680">
        <w:rPr>
          <w:rFonts w:cs="Times New Roman"/>
          <w:szCs w:val="24"/>
        </w:rPr>
        <w:tab/>
      </w:r>
      <w:r w:rsidRPr="00DF0680">
        <w:rPr>
          <w:rFonts w:cs="Times New Roman"/>
          <w:szCs w:val="24"/>
        </w:rPr>
        <w:tab/>
      </w:r>
      <w:r w:rsidRPr="00DF0680">
        <w:rPr>
          <w:rFonts w:cs="Times New Roman"/>
          <w:szCs w:val="24"/>
        </w:rPr>
        <w:tab/>
        <w:t>Double strand break</w:t>
      </w:r>
    </w:p>
    <w:p w:rsidR="003F0F7E" w:rsidRPr="00DF0680" w:rsidRDefault="003F0F7E" w:rsidP="003F0F7E">
      <w:pPr>
        <w:spacing w:line="240" w:lineRule="auto"/>
        <w:rPr>
          <w:rFonts w:cs="Times New Roman"/>
          <w:szCs w:val="24"/>
        </w:rPr>
      </w:pPr>
      <w:r w:rsidRPr="00DF0680">
        <w:rPr>
          <w:rFonts w:cs="Times New Roman"/>
          <w:szCs w:val="24"/>
        </w:rPr>
        <w:t>dsDNA</w:t>
      </w:r>
      <w:r w:rsidRPr="00DF0680">
        <w:rPr>
          <w:rFonts w:cs="Times New Roman"/>
          <w:szCs w:val="24"/>
        </w:rPr>
        <w:tab/>
      </w:r>
      <w:r w:rsidRPr="00DF0680">
        <w:rPr>
          <w:rFonts w:cs="Times New Roman"/>
          <w:szCs w:val="24"/>
        </w:rPr>
        <w:tab/>
        <w:t>Double stranded DNA</w:t>
      </w:r>
    </w:p>
    <w:p w:rsidR="003F0F7E" w:rsidRPr="00DF0680" w:rsidRDefault="003F0F7E" w:rsidP="003F0F7E">
      <w:pPr>
        <w:spacing w:line="240" w:lineRule="auto"/>
        <w:rPr>
          <w:rFonts w:cs="Times New Roman"/>
          <w:szCs w:val="24"/>
        </w:rPr>
      </w:pPr>
      <w:r w:rsidRPr="00DF0680">
        <w:rPr>
          <w:rFonts w:cs="Times New Roman"/>
          <w:szCs w:val="24"/>
        </w:rPr>
        <w:t>dT</w:t>
      </w:r>
      <w:r w:rsidRPr="00DF0680">
        <w:rPr>
          <w:rFonts w:cs="Times New Roman"/>
          <w:szCs w:val="24"/>
        </w:rPr>
        <w:tab/>
      </w:r>
      <w:r w:rsidRPr="00DF0680">
        <w:rPr>
          <w:rFonts w:cs="Times New Roman"/>
          <w:szCs w:val="24"/>
        </w:rPr>
        <w:tab/>
      </w:r>
      <w:r w:rsidRPr="00DF0680">
        <w:rPr>
          <w:rFonts w:cs="Times New Roman"/>
          <w:szCs w:val="24"/>
        </w:rPr>
        <w:tab/>
        <w:t>Thymidine</w:t>
      </w:r>
    </w:p>
    <w:p w:rsidR="003F0F7E" w:rsidRPr="00DF0680" w:rsidRDefault="003F0F7E" w:rsidP="003F0F7E">
      <w:pPr>
        <w:spacing w:line="240" w:lineRule="auto"/>
        <w:rPr>
          <w:rFonts w:cs="Times New Roman"/>
          <w:szCs w:val="24"/>
        </w:rPr>
      </w:pPr>
      <w:r w:rsidRPr="00DF0680">
        <w:rPr>
          <w:rFonts w:cs="Times New Roman"/>
          <w:szCs w:val="24"/>
        </w:rPr>
        <w:t>dTTP</w:t>
      </w:r>
      <w:r w:rsidRPr="00DF0680">
        <w:rPr>
          <w:rFonts w:cs="Times New Roman"/>
          <w:szCs w:val="24"/>
        </w:rPr>
        <w:tab/>
      </w:r>
      <w:r w:rsidRPr="00DF0680">
        <w:rPr>
          <w:rFonts w:cs="Times New Roman"/>
          <w:szCs w:val="24"/>
        </w:rPr>
        <w:tab/>
      </w:r>
      <w:r w:rsidRPr="00DF0680">
        <w:rPr>
          <w:rFonts w:cs="Times New Roman"/>
          <w:szCs w:val="24"/>
        </w:rPr>
        <w:tab/>
        <w:t>Deoxythymidine triphosphate</w:t>
      </w:r>
    </w:p>
    <w:p w:rsidR="003F0F7E" w:rsidRPr="00DF0680" w:rsidRDefault="003F0F7E" w:rsidP="003F0F7E">
      <w:pPr>
        <w:spacing w:line="240" w:lineRule="auto"/>
        <w:rPr>
          <w:rFonts w:cs="Times New Roman"/>
          <w:szCs w:val="24"/>
        </w:rPr>
      </w:pPr>
      <w:r w:rsidRPr="00DF0680">
        <w:rPr>
          <w:rFonts w:cs="Times New Roman"/>
          <w:szCs w:val="24"/>
        </w:rPr>
        <w:t>E. coli</w:t>
      </w:r>
      <w:r w:rsidRPr="00DF0680">
        <w:rPr>
          <w:rFonts w:cs="Times New Roman"/>
          <w:szCs w:val="24"/>
        </w:rPr>
        <w:tab/>
      </w:r>
      <w:r w:rsidRPr="00DF0680">
        <w:rPr>
          <w:rFonts w:cs="Times New Roman"/>
          <w:szCs w:val="24"/>
        </w:rPr>
        <w:tab/>
      </w:r>
      <w:r w:rsidRPr="00DF0680">
        <w:rPr>
          <w:rFonts w:cs="Times New Roman"/>
          <w:szCs w:val="24"/>
        </w:rPr>
        <w:tab/>
        <w:t>Escherichia Coli</w:t>
      </w:r>
    </w:p>
    <w:p w:rsidR="003F0F7E" w:rsidRPr="00DF0680" w:rsidRDefault="00653403" w:rsidP="003F0F7E">
      <w:pPr>
        <w:spacing w:line="240" w:lineRule="auto"/>
        <w:rPr>
          <w:rFonts w:cs="Times New Roman"/>
          <w:szCs w:val="24"/>
        </w:rPr>
      </w:pPr>
      <w:r w:rsidRPr="00DF0680">
        <w:rPr>
          <w:rFonts w:cs="Times New Roman"/>
          <w:szCs w:val="24"/>
        </w:rPr>
        <w:t>ECL</w:t>
      </w:r>
      <w:r w:rsidRPr="00DF0680">
        <w:rPr>
          <w:rFonts w:cs="Times New Roman"/>
          <w:szCs w:val="24"/>
        </w:rPr>
        <w:tab/>
      </w:r>
      <w:r w:rsidRPr="00DF0680">
        <w:rPr>
          <w:rFonts w:cs="Times New Roman"/>
          <w:szCs w:val="24"/>
        </w:rPr>
        <w:tab/>
      </w:r>
      <w:r w:rsidRPr="00DF0680">
        <w:rPr>
          <w:rFonts w:cs="Times New Roman"/>
          <w:szCs w:val="24"/>
        </w:rPr>
        <w:tab/>
        <w:t>Enhanced c</w:t>
      </w:r>
      <w:r w:rsidR="003F0F7E" w:rsidRPr="00DF0680">
        <w:rPr>
          <w:rFonts w:cs="Times New Roman"/>
          <w:szCs w:val="24"/>
        </w:rPr>
        <w:t>hemiluminescence</w:t>
      </w:r>
    </w:p>
    <w:p w:rsidR="003F0F7E" w:rsidRPr="00DF0680" w:rsidRDefault="003F0F7E" w:rsidP="003F0F7E">
      <w:pPr>
        <w:spacing w:line="240" w:lineRule="auto"/>
        <w:rPr>
          <w:rFonts w:cs="Times New Roman"/>
          <w:szCs w:val="24"/>
        </w:rPr>
      </w:pPr>
      <w:r w:rsidRPr="00DF0680">
        <w:rPr>
          <w:rFonts w:cs="Times New Roman"/>
          <w:szCs w:val="24"/>
        </w:rPr>
        <w:t>EDTA</w:t>
      </w:r>
      <w:r w:rsidRPr="00DF0680">
        <w:rPr>
          <w:rFonts w:cs="Times New Roman"/>
          <w:szCs w:val="24"/>
        </w:rPr>
        <w:tab/>
      </w:r>
      <w:r w:rsidRPr="00DF0680">
        <w:rPr>
          <w:rFonts w:cs="Times New Roman"/>
          <w:szCs w:val="24"/>
        </w:rPr>
        <w:tab/>
      </w:r>
      <w:r w:rsidRPr="00DF0680">
        <w:rPr>
          <w:rFonts w:cs="Times New Roman"/>
          <w:szCs w:val="24"/>
        </w:rPr>
        <w:tab/>
        <w:t>Ethylene diamine tetra-acetic acid</w:t>
      </w:r>
    </w:p>
    <w:p w:rsidR="003F0F7E" w:rsidRPr="00DF0680" w:rsidRDefault="003F0F7E" w:rsidP="003F0F7E">
      <w:pPr>
        <w:spacing w:line="240" w:lineRule="auto"/>
        <w:rPr>
          <w:rFonts w:cs="Times New Roman"/>
          <w:szCs w:val="24"/>
        </w:rPr>
      </w:pPr>
      <w:r w:rsidRPr="00DF0680">
        <w:rPr>
          <w:rFonts w:cs="Times New Roman"/>
          <w:szCs w:val="24"/>
        </w:rPr>
        <w:t>EGTA</w:t>
      </w:r>
      <w:r w:rsidRPr="00DF0680">
        <w:rPr>
          <w:rFonts w:cs="Times New Roman"/>
          <w:szCs w:val="24"/>
        </w:rPr>
        <w:tab/>
      </w:r>
      <w:r w:rsidRPr="00DF0680">
        <w:rPr>
          <w:rFonts w:cs="Times New Roman"/>
          <w:szCs w:val="24"/>
        </w:rPr>
        <w:tab/>
      </w:r>
      <w:r w:rsidRPr="00DF0680">
        <w:rPr>
          <w:rFonts w:cs="Times New Roman"/>
          <w:szCs w:val="24"/>
        </w:rPr>
        <w:tab/>
        <w:t>Ethylene glycol tetra-acetic acid</w:t>
      </w:r>
    </w:p>
    <w:p w:rsidR="003F0F7E" w:rsidRPr="00DF0680" w:rsidRDefault="003F0F7E" w:rsidP="003F0F7E">
      <w:pPr>
        <w:spacing w:line="240" w:lineRule="auto"/>
        <w:rPr>
          <w:rFonts w:cs="Times New Roman"/>
          <w:szCs w:val="24"/>
        </w:rPr>
      </w:pPr>
      <w:r w:rsidRPr="00DF0680">
        <w:rPr>
          <w:rFonts w:cs="Times New Roman"/>
          <w:szCs w:val="24"/>
        </w:rPr>
        <w:t>ES</w:t>
      </w:r>
      <w:r w:rsidRPr="00DF0680">
        <w:rPr>
          <w:rFonts w:cs="Times New Roman"/>
          <w:szCs w:val="24"/>
        </w:rPr>
        <w:tab/>
      </w:r>
      <w:r w:rsidRPr="00DF0680">
        <w:rPr>
          <w:rFonts w:cs="Times New Roman"/>
          <w:szCs w:val="24"/>
        </w:rPr>
        <w:tab/>
      </w:r>
      <w:r w:rsidRPr="00DF0680">
        <w:rPr>
          <w:rFonts w:cs="Times New Roman"/>
          <w:szCs w:val="24"/>
        </w:rPr>
        <w:tab/>
        <w:t>Embryonic stem cell</w:t>
      </w:r>
    </w:p>
    <w:p w:rsidR="003F0F7E" w:rsidRPr="00DF0680" w:rsidRDefault="003F0F7E" w:rsidP="003F0F7E">
      <w:pPr>
        <w:spacing w:line="240" w:lineRule="auto"/>
        <w:rPr>
          <w:rFonts w:cs="Times New Roman"/>
          <w:szCs w:val="24"/>
        </w:rPr>
      </w:pPr>
      <w:r w:rsidRPr="00DF0680">
        <w:rPr>
          <w:rFonts w:cs="Times New Roman"/>
          <w:szCs w:val="24"/>
        </w:rPr>
        <w:t>FACS</w:t>
      </w:r>
      <w:r w:rsidRPr="00DF0680">
        <w:rPr>
          <w:rFonts w:cs="Times New Roman"/>
          <w:szCs w:val="24"/>
        </w:rPr>
        <w:tab/>
      </w:r>
      <w:r w:rsidRPr="00DF0680">
        <w:rPr>
          <w:rFonts w:cs="Times New Roman"/>
          <w:szCs w:val="24"/>
        </w:rPr>
        <w:tab/>
      </w:r>
      <w:r w:rsidRPr="00DF0680">
        <w:rPr>
          <w:rFonts w:cs="Times New Roman"/>
          <w:szCs w:val="24"/>
        </w:rPr>
        <w:tab/>
        <w:t>Fluorescence activated cell sorting</w:t>
      </w:r>
    </w:p>
    <w:p w:rsidR="003F0F7E" w:rsidRPr="00DF0680" w:rsidRDefault="003F0F7E" w:rsidP="003F0F7E">
      <w:pPr>
        <w:spacing w:line="240" w:lineRule="auto"/>
        <w:rPr>
          <w:rFonts w:cs="Times New Roman"/>
          <w:szCs w:val="24"/>
        </w:rPr>
      </w:pPr>
      <w:r w:rsidRPr="00DF0680">
        <w:rPr>
          <w:rFonts w:cs="Times New Roman"/>
          <w:szCs w:val="24"/>
        </w:rPr>
        <w:t>FCS</w:t>
      </w:r>
      <w:r w:rsidRPr="00DF0680">
        <w:rPr>
          <w:rFonts w:cs="Times New Roman"/>
          <w:szCs w:val="24"/>
        </w:rPr>
        <w:tab/>
      </w:r>
      <w:r w:rsidRPr="00DF0680">
        <w:rPr>
          <w:rFonts w:cs="Times New Roman"/>
          <w:szCs w:val="24"/>
        </w:rPr>
        <w:tab/>
      </w:r>
      <w:r w:rsidRPr="00DF0680">
        <w:rPr>
          <w:rFonts w:cs="Times New Roman"/>
          <w:szCs w:val="24"/>
        </w:rPr>
        <w:tab/>
        <w:t>Foetal calf serum</w:t>
      </w:r>
    </w:p>
    <w:p w:rsidR="003F0F7E" w:rsidRPr="00DF0680" w:rsidRDefault="003F0F7E" w:rsidP="003F0F7E">
      <w:pPr>
        <w:spacing w:line="240" w:lineRule="auto"/>
        <w:rPr>
          <w:rFonts w:cs="Times New Roman"/>
          <w:szCs w:val="24"/>
        </w:rPr>
      </w:pPr>
      <w:r w:rsidRPr="00DF0680">
        <w:rPr>
          <w:rFonts w:cs="Times New Roman"/>
          <w:szCs w:val="24"/>
        </w:rPr>
        <w:t>g</w:t>
      </w:r>
      <w:r w:rsidRPr="00DF0680">
        <w:rPr>
          <w:rFonts w:cs="Times New Roman"/>
          <w:szCs w:val="24"/>
        </w:rPr>
        <w:tab/>
      </w:r>
      <w:r w:rsidRPr="00DF0680">
        <w:rPr>
          <w:rFonts w:cs="Times New Roman"/>
          <w:szCs w:val="24"/>
        </w:rPr>
        <w:tab/>
      </w:r>
      <w:r w:rsidRPr="00DF0680">
        <w:rPr>
          <w:rFonts w:cs="Times New Roman"/>
          <w:szCs w:val="24"/>
        </w:rPr>
        <w:tab/>
        <w:t>Gram</w:t>
      </w:r>
    </w:p>
    <w:p w:rsidR="003F0F7E" w:rsidRPr="00DF0680" w:rsidRDefault="003F0F7E" w:rsidP="003F0F7E">
      <w:pPr>
        <w:spacing w:line="240" w:lineRule="auto"/>
        <w:rPr>
          <w:rFonts w:cs="Times New Roman"/>
          <w:szCs w:val="24"/>
        </w:rPr>
      </w:pPr>
      <w:r w:rsidRPr="00DF0680">
        <w:rPr>
          <w:rFonts w:cs="Times New Roman"/>
          <w:szCs w:val="24"/>
        </w:rPr>
        <w:t>G</w:t>
      </w:r>
      <w:r w:rsidRPr="00DF0680">
        <w:rPr>
          <w:rFonts w:cs="Times New Roman"/>
          <w:szCs w:val="24"/>
        </w:rPr>
        <w:tab/>
      </w:r>
      <w:r w:rsidRPr="00DF0680">
        <w:rPr>
          <w:rFonts w:cs="Times New Roman"/>
          <w:szCs w:val="24"/>
        </w:rPr>
        <w:tab/>
      </w:r>
      <w:r w:rsidRPr="00DF0680">
        <w:rPr>
          <w:rFonts w:cs="Times New Roman"/>
          <w:szCs w:val="24"/>
        </w:rPr>
        <w:tab/>
        <w:t>Guanine</w:t>
      </w:r>
    </w:p>
    <w:p w:rsidR="003F0F7E" w:rsidRPr="00DF0680" w:rsidRDefault="003F0F7E" w:rsidP="003F0F7E">
      <w:pPr>
        <w:spacing w:line="240" w:lineRule="auto"/>
        <w:rPr>
          <w:rFonts w:cs="Times New Roman"/>
          <w:szCs w:val="24"/>
        </w:rPr>
      </w:pPr>
      <w:r w:rsidRPr="00DF0680">
        <w:rPr>
          <w:rFonts w:cs="Times New Roman"/>
          <w:szCs w:val="24"/>
        </w:rPr>
        <w:t>G1</w:t>
      </w:r>
      <w:r w:rsidRPr="00DF0680">
        <w:rPr>
          <w:rFonts w:cs="Times New Roman"/>
          <w:szCs w:val="24"/>
        </w:rPr>
        <w:tab/>
      </w:r>
      <w:r w:rsidRPr="00DF0680">
        <w:rPr>
          <w:rFonts w:cs="Times New Roman"/>
          <w:szCs w:val="24"/>
        </w:rPr>
        <w:tab/>
      </w:r>
      <w:r w:rsidRPr="00DF0680">
        <w:rPr>
          <w:rFonts w:cs="Times New Roman"/>
          <w:szCs w:val="24"/>
        </w:rPr>
        <w:tab/>
        <w:t>Gap phase 1</w:t>
      </w:r>
    </w:p>
    <w:p w:rsidR="003F0F7E" w:rsidRPr="00DF0680" w:rsidRDefault="003F0F7E" w:rsidP="003F0F7E">
      <w:pPr>
        <w:spacing w:line="240" w:lineRule="auto"/>
        <w:rPr>
          <w:rFonts w:cs="Times New Roman"/>
          <w:szCs w:val="24"/>
        </w:rPr>
      </w:pPr>
      <w:r w:rsidRPr="00DF0680">
        <w:rPr>
          <w:rFonts w:cs="Times New Roman"/>
          <w:szCs w:val="24"/>
        </w:rPr>
        <w:t>G2</w:t>
      </w:r>
      <w:r w:rsidRPr="00DF0680">
        <w:rPr>
          <w:rFonts w:cs="Times New Roman"/>
          <w:szCs w:val="24"/>
        </w:rPr>
        <w:tab/>
      </w:r>
      <w:r w:rsidRPr="00DF0680">
        <w:rPr>
          <w:rFonts w:cs="Times New Roman"/>
          <w:szCs w:val="24"/>
        </w:rPr>
        <w:tab/>
      </w:r>
      <w:r w:rsidRPr="00DF0680">
        <w:rPr>
          <w:rFonts w:cs="Times New Roman"/>
          <w:szCs w:val="24"/>
        </w:rPr>
        <w:tab/>
        <w:t>Gap phase 2</w:t>
      </w:r>
    </w:p>
    <w:p w:rsidR="003F0F7E" w:rsidRPr="00DF0680" w:rsidRDefault="003F0F7E" w:rsidP="003F0F7E">
      <w:pPr>
        <w:spacing w:line="240" w:lineRule="auto"/>
        <w:rPr>
          <w:rFonts w:cs="Times New Roman"/>
          <w:szCs w:val="24"/>
        </w:rPr>
      </w:pPr>
      <w:r w:rsidRPr="00DF0680">
        <w:rPr>
          <w:rFonts w:cs="Times New Roman"/>
          <w:szCs w:val="24"/>
        </w:rPr>
        <w:t xml:space="preserve">(γ)H2A.X </w:t>
      </w:r>
      <w:r w:rsidRPr="00DF0680">
        <w:rPr>
          <w:rFonts w:cs="Times New Roman"/>
          <w:szCs w:val="24"/>
        </w:rPr>
        <w:tab/>
      </w:r>
      <w:r w:rsidRPr="00DF0680">
        <w:rPr>
          <w:rFonts w:cs="Times New Roman"/>
          <w:szCs w:val="24"/>
        </w:rPr>
        <w:tab/>
        <w:t>(phosphorylated) Histone H2A variant X</w:t>
      </w:r>
    </w:p>
    <w:p w:rsidR="003F0F7E" w:rsidRPr="00DF0680" w:rsidRDefault="003F0F7E" w:rsidP="003F0F7E">
      <w:pPr>
        <w:spacing w:line="240" w:lineRule="auto"/>
        <w:rPr>
          <w:rFonts w:cs="Times New Roman"/>
          <w:szCs w:val="24"/>
        </w:rPr>
      </w:pPr>
      <w:r w:rsidRPr="00DF0680">
        <w:rPr>
          <w:rFonts w:cs="Times New Roman"/>
          <w:szCs w:val="24"/>
        </w:rPr>
        <w:t>HRP</w:t>
      </w:r>
      <w:r w:rsidRPr="00DF0680">
        <w:rPr>
          <w:rFonts w:cs="Times New Roman"/>
          <w:szCs w:val="24"/>
        </w:rPr>
        <w:tab/>
      </w:r>
      <w:r w:rsidRPr="00DF0680">
        <w:rPr>
          <w:rFonts w:cs="Times New Roman"/>
          <w:szCs w:val="24"/>
        </w:rPr>
        <w:tab/>
      </w:r>
      <w:r w:rsidRPr="00DF0680">
        <w:rPr>
          <w:rFonts w:cs="Times New Roman"/>
          <w:szCs w:val="24"/>
        </w:rPr>
        <w:tab/>
        <w:t>Horseradish peroxidase</w:t>
      </w:r>
    </w:p>
    <w:p w:rsidR="003F0F7E" w:rsidRPr="00DF0680" w:rsidRDefault="003F0F7E" w:rsidP="003F0F7E">
      <w:pPr>
        <w:spacing w:line="240" w:lineRule="auto"/>
        <w:rPr>
          <w:rFonts w:cs="Times New Roman"/>
          <w:szCs w:val="24"/>
        </w:rPr>
      </w:pPr>
      <w:r w:rsidRPr="00DF0680">
        <w:rPr>
          <w:rFonts w:cs="Times New Roman"/>
          <w:szCs w:val="24"/>
        </w:rPr>
        <w:t>HRR</w:t>
      </w:r>
      <w:r w:rsidRPr="00DF0680">
        <w:rPr>
          <w:rFonts w:cs="Times New Roman"/>
          <w:szCs w:val="24"/>
        </w:rPr>
        <w:tab/>
      </w:r>
      <w:r w:rsidRPr="00DF0680">
        <w:rPr>
          <w:rFonts w:cs="Times New Roman"/>
          <w:szCs w:val="24"/>
        </w:rPr>
        <w:tab/>
      </w:r>
      <w:r w:rsidRPr="00DF0680">
        <w:rPr>
          <w:rFonts w:cs="Times New Roman"/>
          <w:szCs w:val="24"/>
        </w:rPr>
        <w:tab/>
        <w:t>Homologous recombination repair</w:t>
      </w:r>
    </w:p>
    <w:p w:rsidR="003F0F7E" w:rsidRPr="00DF0680" w:rsidRDefault="003F0F7E" w:rsidP="003F0F7E">
      <w:pPr>
        <w:spacing w:line="240" w:lineRule="auto"/>
        <w:rPr>
          <w:rFonts w:cs="Times New Roman"/>
          <w:szCs w:val="24"/>
        </w:rPr>
      </w:pPr>
      <w:r w:rsidRPr="00DF0680">
        <w:rPr>
          <w:rFonts w:cs="Times New Roman"/>
          <w:szCs w:val="24"/>
        </w:rPr>
        <w:t xml:space="preserve">HU </w:t>
      </w:r>
      <w:r w:rsidRPr="00DF0680">
        <w:rPr>
          <w:rFonts w:cs="Times New Roman"/>
          <w:szCs w:val="24"/>
        </w:rPr>
        <w:tab/>
      </w:r>
      <w:r w:rsidRPr="00DF0680">
        <w:rPr>
          <w:rFonts w:cs="Times New Roman"/>
          <w:szCs w:val="24"/>
        </w:rPr>
        <w:tab/>
      </w:r>
      <w:r w:rsidRPr="00DF0680">
        <w:rPr>
          <w:rFonts w:cs="Times New Roman"/>
          <w:szCs w:val="24"/>
        </w:rPr>
        <w:tab/>
        <w:t>Hydroxyurea</w:t>
      </w:r>
    </w:p>
    <w:p w:rsidR="003F0F7E" w:rsidRPr="00DF0680" w:rsidRDefault="003F0F7E" w:rsidP="003F0F7E">
      <w:pPr>
        <w:spacing w:line="240" w:lineRule="auto"/>
        <w:rPr>
          <w:rFonts w:cs="Times New Roman"/>
          <w:szCs w:val="24"/>
        </w:rPr>
      </w:pPr>
      <w:r w:rsidRPr="00DF0680">
        <w:rPr>
          <w:rFonts w:cs="Times New Roman"/>
          <w:szCs w:val="24"/>
        </w:rPr>
        <w:t>IF</w:t>
      </w:r>
      <w:r w:rsidRPr="00DF0680">
        <w:rPr>
          <w:rFonts w:cs="Times New Roman"/>
          <w:szCs w:val="24"/>
        </w:rPr>
        <w:tab/>
      </w:r>
      <w:r w:rsidRPr="00DF0680">
        <w:rPr>
          <w:rFonts w:cs="Times New Roman"/>
          <w:szCs w:val="24"/>
        </w:rPr>
        <w:tab/>
      </w:r>
      <w:r w:rsidRPr="00DF0680">
        <w:rPr>
          <w:rFonts w:cs="Times New Roman"/>
          <w:szCs w:val="24"/>
        </w:rPr>
        <w:tab/>
        <w:t>Immunofluorescence</w:t>
      </w:r>
    </w:p>
    <w:p w:rsidR="003F0F7E" w:rsidRPr="00DF0680" w:rsidRDefault="003F0F7E" w:rsidP="003F0F7E">
      <w:pPr>
        <w:spacing w:line="240" w:lineRule="auto"/>
        <w:rPr>
          <w:rFonts w:cs="Times New Roman"/>
          <w:szCs w:val="24"/>
        </w:rPr>
      </w:pPr>
      <w:r w:rsidRPr="00DF0680">
        <w:rPr>
          <w:rFonts w:cs="Times New Roman"/>
          <w:szCs w:val="24"/>
        </w:rPr>
        <w:t>IHC</w:t>
      </w:r>
      <w:r w:rsidRPr="00DF0680">
        <w:rPr>
          <w:rFonts w:cs="Times New Roman"/>
          <w:szCs w:val="24"/>
        </w:rPr>
        <w:tab/>
      </w:r>
      <w:r w:rsidRPr="00DF0680">
        <w:rPr>
          <w:rFonts w:cs="Times New Roman"/>
          <w:szCs w:val="24"/>
        </w:rPr>
        <w:tab/>
      </w:r>
      <w:r w:rsidRPr="00DF0680">
        <w:rPr>
          <w:rFonts w:cs="Times New Roman"/>
          <w:szCs w:val="24"/>
        </w:rPr>
        <w:tab/>
        <w:t>Immunohistochemistry</w:t>
      </w:r>
    </w:p>
    <w:p w:rsidR="003F0F7E" w:rsidRPr="00DF0680" w:rsidRDefault="003F0F7E" w:rsidP="003F0F7E">
      <w:pPr>
        <w:spacing w:line="240" w:lineRule="auto"/>
        <w:rPr>
          <w:rFonts w:cs="Times New Roman"/>
          <w:szCs w:val="24"/>
        </w:rPr>
      </w:pPr>
      <w:r w:rsidRPr="00DF0680">
        <w:rPr>
          <w:rFonts w:cs="Times New Roman"/>
          <w:szCs w:val="24"/>
        </w:rPr>
        <w:t>IR</w:t>
      </w:r>
      <w:r w:rsidRPr="00DF0680">
        <w:rPr>
          <w:rFonts w:cs="Times New Roman"/>
          <w:szCs w:val="24"/>
        </w:rPr>
        <w:tab/>
      </w:r>
      <w:r w:rsidRPr="00DF0680">
        <w:rPr>
          <w:rFonts w:cs="Times New Roman"/>
          <w:szCs w:val="24"/>
        </w:rPr>
        <w:tab/>
      </w:r>
      <w:r w:rsidRPr="00DF0680">
        <w:rPr>
          <w:rFonts w:cs="Times New Roman"/>
          <w:szCs w:val="24"/>
        </w:rPr>
        <w:tab/>
        <w:t>Ionising radiation</w:t>
      </w:r>
    </w:p>
    <w:p w:rsidR="003F0F7E" w:rsidRPr="00DF0680" w:rsidRDefault="003F0F7E" w:rsidP="003F0F7E">
      <w:pPr>
        <w:spacing w:line="240" w:lineRule="auto"/>
        <w:rPr>
          <w:rFonts w:cs="Times New Roman"/>
          <w:szCs w:val="24"/>
        </w:rPr>
      </w:pPr>
      <w:r w:rsidRPr="00DF0680">
        <w:rPr>
          <w:rFonts w:cs="Times New Roman"/>
          <w:szCs w:val="24"/>
        </w:rPr>
        <w:t>Kb</w:t>
      </w:r>
      <w:r w:rsidRPr="00DF0680">
        <w:rPr>
          <w:rFonts w:cs="Times New Roman"/>
          <w:szCs w:val="24"/>
        </w:rPr>
        <w:tab/>
      </w:r>
      <w:r w:rsidRPr="00DF0680">
        <w:rPr>
          <w:rFonts w:cs="Times New Roman"/>
          <w:szCs w:val="24"/>
        </w:rPr>
        <w:tab/>
      </w:r>
      <w:r w:rsidRPr="00DF0680">
        <w:rPr>
          <w:rFonts w:cs="Times New Roman"/>
          <w:szCs w:val="24"/>
        </w:rPr>
        <w:tab/>
        <w:t>Kilobase</w:t>
      </w:r>
    </w:p>
    <w:p w:rsidR="003F0F7E" w:rsidRPr="00DF0680" w:rsidRDefault="003F0F7E" w:rsidP="003F0F7E">
      <w:pPr>
        <w:spacing w:line="240" w:lineRule="auto"/>
        <w:rPr>
          <w:rFonts w:cs="Times New Roman"/>
          <w:szCs w:val="24"/>
        </w:rPr>
      </w:pPr>
      <w:r w:rsidRPr="00DF0680">
        <w:rPr>
          <w:rFonts w:cs="Times New Roman"/>
          <w:szCs w:val="24"/>
        </w:rPr>
        <w:t>kDa</w:t>
      </w:r>
      <w:r w:rsidRPr="00DF0680">
        <w:rPr>
          <w:rFonts w:cs="Times New Roman"/>
          <w:szCs w:val="24"/>
        </w:rPr>
        <w:tab/>
      </w:r>
      <w:r w:rsidRPr="00DF0680">
        <w:rPr>
          <w:rFonts w:cs="Times New Roman"/>
          <w:szCs w:val="24"/>
        </w:rPr>
        <w:tab/>
      </w:r>
      <w:r w:rsidRPr="00DF0680">
        <w:rPr>
          <w:rFonts w:cs="Times New Roman"/>
          <w:szCs w:val="24"/>
        </w:rPr>
        <w:tab/>
        <w:t>Kilodaltons</w:t>
      </w:r>
    </w:p>
    <w:p w:rsidR="00577EA5" w:rsidRPr="00DF0680" w:rsidRDefault="00577EA5" w:rsidP="003F0F7E">
      <w:pPr>
        <w:spacing w:line="240" w:lineRule="auto"/>
        <w:rPr>
          <w:rFonts w:cs="Times New Roman"/>
          <w:color w:val="auto"/>
          <w:szCs w:val="24"/>
        </w:rPr>
      </w:pPr>
      <w:r w:rsidRPr="00DF0680">
        <w:rPr>
          <w:rFonts w:cs="Times New Roman"/>
          <w:color w:val="auto"/>
          <w:szCs w:val="24"/>
        </w:rPr>
        <w:lastRenderedPageBreak/>
        <w:t>KIX</w:t>
      </w:r>
      <w:r w:rsidRPr="00DF0680">
        <w:rPr>
          <w:rFonts w:cs="Times New Roman"/>
          <w:color w:val="auto"/>
          <w:szCs w:val="24"/>
        </w:rPr>
        <w:tab/>
      </w:r>
      <w:r w:rsidRPr="00DF0680">
        <w:rPr>
          <w:rFonts w:cs="Times New Roman"/>
          <w:color w:val="auto"/>
          <w:szCs w:val="24"/>
        </w:rPr>
        <w:tab/>
      </w:r>
      <w:r w:rsidRPr="00DF0680">
        <w:rPr>
          <w:rFonts w:cs="Times New Roman"/>
          <w:color w:val="auto"/>
          <w:szCs w:val="24"/>
        </w:rPr>
        <w:tab/>
        <w:t>K</w:t>
      </w:r>
      <w:r w:rsidRPr="00DF0680">
        <w:rPr>
          <w:rFonts w:cs="Times New Roman"/>
          <w:color w:val="auto"/>
          <w:shd w:val="clear" w:color="auto" w:fill="FFFFFF"/>
        </w:rPr>
        <w:t>inase-inducible domain interacting</w:t>
      </w:r>
    </w:p>
    <w:p w:rsidR="003F0F7E" w:rsidRPr="00DF0680" w:rsidRDefault="003F0F7E" w:rsidP="003F0F7E">
      <w:pPr>
        <w:spacing w:line="240" w:lineRule="auto"/>
        <w:rPr>
          <w:rFonts w:cs="Times New Roman"/>
          <w:szCs w:val="24"/>
        </w:rPr>
      </w:pPr>
      <w:r w:rsidRPr="00DF0680">
        <w:rPr>
          <w:rFonts w:cs="Times New Roman"/>
          <w:szCs w:val="24"/>
        </w:rPr>
        <w:t>L</w:t>
      </w:r>
      <w:r w:rsidRPr="00DF0680">
        <w:rPr>
          <w:rFonts w:cs="Times New Roman"/>
          <w:szCs w:val="24"/>
        </w:rPr>
        <w:tab/>
      </w:r>
      <w:r w:rsidRPr="00DF0680">
        <w:rPr>
          <w:rFonts w:cs="Times New Roman"/>
          <w:szCs w:val="24"/>
        </w:rPr>
        <w:tab/>
      </w:r>
      <w:r w:rsidRPr="00DF0680">
        <w:rPr>
          <w:rFonts w:cs="Times New Roman"/>
          <w:szCs w:val="24"/>
        </w:rPr>
        <w:tab/>
        <w:t>Litre</w:t>
      </w:r>
    </w:p>
    <w:p w:rsidR="003F0F7E" w:rsidRPr="00DF0680" w:rsidRDefault="003F0F7E" w:rsidP="003F0F7E">
      <w:pPr>
        <w:spacing w:line="240" w:lineRule="auto"/>
        <w:rPr>
          <w:rFonts w:cs="Times New Roman"/>
          <w:szCs w:val="24"/>
        </w:rPr>
      </w:pPr>
      <w:r w:rsidRPr="00DF0680">
        <w:rPr>
          <w:rFonts w:cs="Times New Roman"/>
          <w:szCs w:val="24"/>
        </w:rPr>
        <w:t>LOH</w:t>
      </w:r>
      <w:r w:rsidRPr="00DF0680">
        <w:rPr>
          <w:rFonts w:cs="Times New Roman"/>
          <w:szCs w:val="24"/>
        </w:rPr>
        <w:tab/>
      </w:r>
      <w:r w:rsidRPr="00DF0680">
        <w:rPr>
          <w:rFonts w:cs="Times New Roman"/>
          <w:szCs w:val="24"/>
        </w:rPr>
        <w:tab/>
      </w:r>
      <w:r w:rsidRPr="00DF0680">
        <w:rPr>
          <w:rFonts w:cs="Times New Roman"/>
          <w:szCs w:val="24"/>
        </w:rPr>
        <w:tab/>
        <w:t>Loss of heterozygosity</w:t>
      </w:r>
    </w:p>
    <w:p w:rsidR="003F0F7E" w:rsidRPr="00DF0680" w:rsidRDefault="003F0F7E" w:rsidP="003F0F7E">
      <w:pPr>
        <w:spacing w:line="240" w:lineRule="auto"/>
        <w:rPr>
          <w:rFonts w:cs="Times New Roman"/>
          <w:szCs w:val="24"/>
        </w:rPr>
      </w:pPr>
      <w:r w:rsidRPr="00DF0680">
        <w:rPr>
          <w:rFonts w:cs="Times New Roman"/>
          <w:szCs w:val="24"/>
        </w:rPr>
        <w:t>M</w:t>
      </w:r>
      <w:r w:rsidRPr="00DF0680">
        <w:rPr>
          <w:rFonts w:cs="Times New Roman"/>
          <w:szCs w:val="24"/>
        </w:rPr>
        <w:tab/>
      </w:r>
      <w:r w:rsidRPr="00DF0680">
        <w:rPr>
          <w:rFonts w:cs="Times New Roman"/>
          <w:szCs w:val="24"/>
        </w:rPr>
        <w:tab/>
      </w:r>
      <w:r w:rsidRPr="00DF0680">
        <w:rPr>
          <w:rFonts w:cs="Times New Roman"/>
          <w:szCs w:val="24"/>
        </w:rPr>
        <w:tab/>
        <w:t>Molar</w:t>
      </w:r>
    </w:p>
    <w:p w:rsidR="003F0F7E" w:rsidRPr="00DF0680" w:rsidRDefault="003F0F7E" w:rsidP="003F0F7E">
      <w:pPr>
        <w:spacing w:line="240" w:lineRule="auto"/>
        <w:rPr>
          <w:rFonts w:cs="Times New Roman"/>
          <w:szCs w:val="24"/>
        </w:rPr>
      </w:pPr>
      <w:r w:rsidRPr="00DF0680">
        <w:rPr>
          <w:rFonts w:cs="Times New Roman"/>
          <w:szCs w:val="24"/>
        </w:rPr>
        <w:t>mg</w:t>
      </w:r>
      <w:r w:rsidRPr="00DF0680">
        <w:rPr>
          <w:rFonts w:cs="Times New Roman"/>
          <w:szCs w:val="24"/>
        </w:rPr>
        <w:tab/>
      </w:r>
      <w:r w:rsidRPr="00DF0680">
        <w:rPr>
          <w:rFonts w:cs="Times New Roman"/>
          <w:szCs w:val="24"/>
        </w:rPr>
        <w:tab/>
      </w:r>
      <w:r w:rsidRPr="00DF0680">
        <w:rPr>
          <w:rFonts w:cs="Times New Roman"/>
          <w:szCs w:val="24"/>
        </w:rPr>
        <w:tab/>
        <w:t>Milligram</w:t>
      </w:r>
    </w:p>
    <w:p w:rsidR="003F0F7E" w:rsidRPr="00DF0680" w:rsidRDefault="003F0F7E" w:rsidP="003F0F7E">
      <w:pPr>
        <w:spacing w:line="240" w:lineRule="auto"/>
        <w:rPr>
          <w:rFonts w:cs="Times New Roman"/>
          <w:szCs w:val="24"/>
        </w:rPr>
      </w:pPr>
      <w:r w:rsidRPr="00DF0680">
        <w:rPr>
          <w:rFonts w:cs="Times New Roman"/>
          <w:szCs w:val="24"/>
        </w:rPr>
        <w:t>ml</w:t>
      </w:r>
      <w:r w:rsidRPr="00DF0680">
        <w:rPr>
          <w:rFonts w:cs="Times New Roman"/>
          <w:szCs w:val="24"/>
        </w:rPr>
        <w:tab/>
      </w:r>
      <w:r w:rsidRPr="00DF0680">
        <w:rPr>
          <w:rFonts w:cs="Times New Roman"/>
          <w:szCs w:val="24"/>
        </w:rPr>
        <w:tab/>
      </w:r>
      <w:r w:rsidRPr="00DF0680">
        <w:rPr>
          <w:rFonts w:cs="Times New Roman"/>
          <w:szCs w:val="24"/>
        </w:rPr>
        <w:tab/>
        <w:t>Millilitre</w:t>
      </w:r>
    </w:p>
    <w:p w:rsidR="003F0F7E" w:rsidRPr="00DF0680" w:rsidRDefault="003F0F7E" w:rsidP="003F0F7E">
      <w:pPr>
        <w:spacing w:line="240" w:lineRule="auto"/>
        <w:rPr>
          <w:rFonts w:cs="Times New Roman"/>
          <w:szCs w:val="24"/>
        </w:rPr>
      </w:pPr>
      <w:r w:rsidRPr="00DF0680">
        <w:rPr>
          <w:rFonts w:cs="Times New Roman"/>
          <w:szCs w:val="24"/>
        </w:rPr>
        <w:t>mM</w:t>
      </w:r>
      <w:r w:rsidRPr="00DF0680">
        <w:rPr>
          <w:rFonts w:cs="Times New Roman"/>
          <w:szCs w:val="24"/>
        </w:rPr>
        <w:tab/>
      </w:r>
      <w:r w:rsidRPr="00DF0680">
        <w:rPr>
          <w:rFonts w:cs="Times New Roman"/>
          <w:szCs w:val="24"/>
        </w:rPr>
        <w:tab/>
      </w:r>
      <w:r w:rsidRPr="00DF0680">
        <w:rPr>
          <w:rFonts w:cs="Times New Roman"/>
          <w:szCs w:val="24"/>
        </w:rPr>
        <w:tab/>
        <w:t>Millimolar</w:t>
      </w:r>
    </w:p>
    <w:p w:rsidR="003F0F7E" w:rsidRPr="00DF0680" w:rsidRDefault="003F0F7E" w:rsidP="003F0F7E">
      <w:pPr>
        <w:spacing w:line="240" w:lineRule="auto"/>
        <w:rPr>
          <w:rFonts w:cs="Times New Roman"/>
          <w:szCs w:val="24"/>
        </w:rPr>
      </w:pPr>
      <w:r w:rsidRPr="00DF0680">
        <w:rPr>
          <w:rFonts w:cs="Times New Roman"/>
          <w:szCs w:val="24"/>
        </w:rPr>
        <w:t>M-phase</w:t>
      </w:r>
      <w:r w:rsidRPr="00DF0680">
        <w:rPr>
          <w:rFonts w:cs="Times New Roman"/>
          <w:szCs w:val="24"/>
        </w:rPr>
        <w:tab/>
      </w:r>
      <w:r w:rsidRPr="00DF0680">
        <w:rPr>
          <w:rFonts w:cs="Times New Roman"/>
          <w:szCs w:val="24"/>
        </w:rPr>
        <w:tab/>
        <w:t>Mitosis</w:t>
      </w:r>
    </w:p>
    <w:p w:rsidR="003F0F7E" w:rsidRPr="00DF0680" w:rsidRDefault="003F0F7E" w:rsidP="003F0F7E">
      <w:pPr>
        <w:spacing w:line="240" w:lineRule="auto"/>
        <w:rPr>
          <w:rFonts w:cs="Times New Roman"/>
          <w:szCs w:val="24"/>
        </w:rPr>
      </w:pPr>
      <w:r w:rsidRPr="00DF0680">
        <w:rPr>
          <w:rFonts w:cs="Times New Roman"/>
          <w:szCs w:val="24"/>
        </w:rPr>
        <w:t>MBD</w:t>
      </w:r>
      <w:r w:rsidRPr="00DF0680">
        <w:rPr>
          <w:rFonts w:cs="Times New Roman"/>
          <w:szCs w:val="24"/>
        </w:rPr>
        <w:tab/>
      </w:r>
      <w:r w:rsidRPr="00DF0680">
        <w:rPr>
          <w:rFonts w:cs="Times New Roman"/>
          <w:szCs w:val="24"/>
        </w:rPr>
        <w:tab/>
      </w:r>
      <w:r w:rsidRPr="00DF0680">
        <w:rPr>
          <w:rFonts w:cs="Times New Roman"/>
          <w:szCs w:val="24"/>
        </w:rPr>
        <w:tab/>
        <w:t>Metastatic bone disease</w:t>
      </w:r>
    </w:p>
    <w:p w:rsidR="003F0F7E" w:rsidRPr="00DF0680" w:rsidRDefault="003F0F7E" w:rsidP="003F0F7E">
      <w:pPr>
        <w:spacing w:line="240" w:lineRule="auto"/>
        <w:rPr>
          <w:rFonts w:cs="Times New Roman"/>
          <w:szCs w:val="24"/>
        </w:rPr>
      </w:pPr>
      <w:r w:rsidRPr="00DF0680">
        <w:rPr>
          <w:rFonts w:cs="Times New Roman"/>
          <w:szCs w:val="24"/>
        </w:rPr>
        <w:t>MCM</w:t>
      </w:r>
      <w:r w:rsidRPr="00DF0680">
        <w:rPr>
          <w:rFonts w:cs="Times New Roman"/>
          <w:szCs w:val="24"/>
        </w:rPr>
        <w:tab/>
      </w:r>
      <w:r w:rsidRPr="00DF0680">
        <w:rPr>
          <w:rFonts w:cs="Times New Roman"/>
          <w:szCs w:val="24"/>
        </w:rPr>
        <w:tab/>
      </w:r>
      <w:r w:rsidRPr="00DF0680">
        <w:rPr>
          <w:rFonts w:cs="Times New Roman"/>
          <w:szCs w:val="24"/>
        </w:rPr>
        <w:tab/>
        <w:t>Minichromosome maintenance</w:t>
      </w:r>
    </w:p>
    <w:p w:rsidR="003F0F7E" w:rsidRPr="00DF0680" w:rsidRDefault="003F0F7E" w:rsidP="003F0F7E">
      <w:pPr>
        <w:spacing w:line="240" w:lineRule="auto"/>
        <w:rPr>
          <w:rFonts w:cs="Times New Roman"/>
          <w:szCs w:val="24"/>
        </w:rPr>
      </w:pPr>
      <w:r w:rsidRPr="00DF0680">
        <w:rPr>
          <w:rFonts w:cs="Times New Roman"/>
          <w:szCs w:val="24"/>
        </w:rPr>
        <w:t>MEF</w:t>
      </w:r>
      <w:r w:rsidRPr="00DF0680">
        <w:rPr>
          <w:rFonts w:cs="Times New Roman"/>
          <w:szCs w:val="24"/>
        </w:rPr>
        <w:tab/>
      </w:r>
      <w:r w:rsidRPr="00DF0680">
        <w:rPr>
          <w:rFonts w:cs="Times New Roman"/>
          <w:szCs w:val="24"/>
        </w:rPr>
        <w:tab/>
      </w:r>
      <w:r w:rsidRPr="00DF0680">
        <w:rPr>
          <w:rFonts w:cs="Times New Roman"/>
          <w:szCs w:val="24"/>
        </w:rPr>
        <w:tab/>
        <w:t>Murine embryonic fibroblasts</w:t>
      </w:r>
    </w:p>
    <w:p w:rsidR="003F0F7E" w:rsidRPr="00DF0680" w:rsidRDefault="003F0F7E" w:rsidP="003F0F7E">
      <w:pPr>
        <w:spacing w:line="240" w:lineRule="auto"/>
        <w:rPr>
          <w:rFonts w:cs="Times New Roman"/>
          <w:szCs w:val="24"/>
        </w:rPr>
      </w:pPr>
      <w:r w:rsidRPr="00DF0680">
        <w:rPr>
          <w:rFonts w:cs="Times New Roman"/>
          <w:szCs w:val="24"/>
        </w:rPr>
        <w:t>MMC</w:t>
      </w:r>
      <w:r w:rsidRPr="00DF0680">
        <w:rPr>
          <w:rFonts w:cs="Times New Roman"/>
          <w:szCs w:val="24"/>
        </w:rPr>
        <w:tab/>
      </w:r>
      <w:r w:rsidRPr="00DF0680">
        <w:rPr>
          <w:rFonts w:cs="Times New Roman"/>
          <w:szCs w:val="24"/>
        </w:rPr>
        <w:tab/>
      </w:r>
      <w:r w:rsidRPr="00DF0680">
        <w:rPr>
          <w:rFonts w:cs="Times New Roman"/>
          <w:szCs w:val="24"/>
        </w:rPr>
        <w:tab/>
        <w:t>Mitomycin C</w:t>
      </w:r>
    </w:p>
    <w:p w:rsidR="003F0F7E" w:rsidRPr="00DF0680" w:rsidRDefault="003F0F7E" w:rsidP="003F0F7E">
      <w:pPr>
        <w:spacing w:line="240" w:lineRule="auto"/>
        <w:rPr>
          <w:rFonts w:cs="Times New Roman"/>
          <w:szCs w:val="24"/>
        </w:rPr>
      </w:pPr>
      <w:r w:rsidRPr="00DF0680">
        <w:rPr>
          <w:rFonts w:cs="Times New Roman"/>
          <w:szCs w:val="24"/>
        </w:rPr>
        <w:t>MMR</w:t>
      </w:r>
      <w:r w:rsidRPr="00DF0680">
        <w:rPr>
          <w:rFonts w:cs="Times New Roman"/>
          <w:szCs w:val="24"/>
        </w:rPr>
        <w:tab/>
      </w:r>
      <w:r w:rsidRPr="00DF0680">
        <w:rPr>
          <w:rFonts w:cs="Times New Roman"/>
          <w:szCs w:val="24"/>
        </w:rPr>
        <w:tab/>
      </w:r>
      <w:r w:rsidRPr="00DF0680">
        <w:rPr>
          <w:rFonts w:cs="Times New Roman"/>
          <w:szCs w:val="24"/>
        </w:rPr>
        <w:tab/>
        <w:t>Mismatch repair</w:t>
      </w:r>
    </w:p>
    <w:p w:rsidR="003F0F7E" w:rsidRPr="00DF0680" w:rsidRDefault="003F0F7E" w:rsidP="003F0F7E">
      <w:pPr>
        <w:spacing w:line="240" w:lineRule="auto"/>
        <w:rPr>
          <w:rFonts w:cs="Times New Roman"/>
          <w:szCs w:val="24"/>
        </w:rPr>
      </w:pPr>
      <w:r w:rsidRPr="00DF0680">
        <w:rPr>
          <w:rFonts w:cs="Times New Roman"/>
          <w:szCs w:val="24"/>
        </w:rPr>
        <w:t>MMS</w:t>
      </w:r>
      <w:r w:rsidRPr="00DF0680">
        <w:rPr>
          <w:rFonts w:cs="Times New Roman"/>
          <w:szCs w:val="24"/>
        </w:rPr>
        <w:tab/>
      </w:r>
      <w:r w:rsidRPr="00DF0680">
        <w:rPr>
          <w:rFonts w:cs="Times New Roman"/>
          <w:szCs w:val="24"/>
        </w:rPr>
        <w:tab/>
      </w:r>
      <w:r w:rsidRPr="00DF0680">
        <w:rPr>
          <w:rFonts w:cs="Times New Roman"/>
          <w:szCs w:val="24"/>
        </w:rPr>
        <w:tab/>
        <w:t xml:space="preserve">Methyl methanesulfonate </w:t>
      </w:r>
    </w:p>
    <w:p w:rsidR="003F0F7E" w:rsidRPr="00DF0680" w:rsidRDefault="003F0F7E" w:rsidP="003F0F7E">
      <w:pPr>
        <w:spacing w:line="240" w:lineRule="auto"/>
        <w:rPr>
          <w:rFonts w:cs="Times New Roman"/>
          <w:szCs w:val="24"/>
        </w:rPr>
      </w:pPr>
      <w:r w:rsidRPr="00DF0680">
        <w:rPr>
          <w:rFonts w:cs="Times New Roman"/>
          <w:szCs w:val="24"/>
        </w:rPr>
        <w:t>MRE11</w:t>
      </w:r>
      <w:r w:rsidRPr="00DF0680">
        <w:rPr>
          <w:rFonts w:cs="Times New Roman"/>
          <w:szCs w:val="24"/>
        </w:rPr>
        <w:tab/>
      </w:r>
      <w:r w:rsidRPr="00DF0680">
        <w:rPr>
          <w:rFonts w:cs="Times New Roman"/>
          <w:szCs w:val="24"/>
        </w:rPr>
        <w:tab/>
        <w:t>Mitotic recombination 11 homologue A</w:t>
      </w:r>
    </w:p>
    <w:p w:rsidR="003F0F7E" w:rsidRPr="00DF0680" w:rsidRDefault="003F0F7E" w:rsidP="003F0F7E">
      <w:pPr>
        <w:spacing w:line="240" w:lineRule="auto"/>
        <w:rPr>
          <w:rFonts w:cs="Times New Roman"/>
          <w:szCs w:val="24"/>
        </w:rPr>
      </w:pPr>
      <w:r w:rsidRPr="00DF0680">
        <w:rPr>
          <w:rFonts w:cs="Times New Roman"/>
          <w:szCs w:val="24"/>
        </w:rPr>
        <w:t>MRN</w:t>
      </w:r>
      <w:r w:rsidRPr="00DF0680">
        <w:rPr>
          <w:rFonts w:cs="Times New Roman"/>
          <w:szCs w:val="24"/>
        </w:rPr>
        <w:tab/>
      </w:r>
      <w:r w:rsidRPr="00DF0680">
        <w:rPr>
          <w:rFonts w:cs="Times New Roman"/>
          <w:szCs w:val="24"/>
        </w:rPr>
        <w:tab/>
      </w:r>
      <w:r w:rsidRPr="00DF0680">
        <w:rPr>
          <w:rFonts w:cs="Times New Roman"/>
          <w:szCs w:val="24"/>
        </w:rPr>
        <w:tab/>
        <w:t>MRE11-RAD51-NBS1 complex</w:t>
      </w:r>
    </w:p>
    <w:p w:rsidR="003F0F7E" w:rsidRPr="00DF0680" w:rsidRDefault="003F0F7E" w:rsidP="003F0F7E">
      <w:pPr>
        <w:spacing w:line="240" w:lineRule="auto"/>
        <w:rPr>
          <w:rFonts w:cs="Times New Roman"/>
          <w:szCs w:val="24"/>
        </w:rPr>
      </w:pPr>
      <w:r w:rsidRPr="00DF0680">
        <w:rPr>
          <w:rFonts w:cs="Times New Roman"/>
          <w:szCs w:val="24"/>
        </w:rPr>
        <w:t>mRNA</w:t>
      </w:r>
      <w:r w:rsidRPr="00DF0680">
        <w:rPr>
          <w:rFonts w:cs="Times New Roman"/>
          <w:szCs w:val="24"/>
        </w:rPr>
        <w:tab/>
      </w:r>
      <w:r w:rsidRPr="00DF0680">
        <w:rPr>
          <w:rFonts w:cs="Times New Roman"/>
          <w:szCs w:val="24"/>
        </w:rPr>
        <w:tab/>
      </w:r>
      <w:r w:rsidRPr="00DF0680">
        <w:rPr>
          <w:rFonts w:cs="Times New Roman"/>
          <w:szCs w:val="24"/>
        </w:rPr>
        <w:tab/>
        <w:t>Messenger RNA</w:t>
      </w:r>
    </w:p>
    <w:p w:rsidR="003F0F7E" w:rsidRPr="00DF0680" w:rsidRDefault="003F0F7E" w:rsidP="003F0F7E">
      <w:pPr>
        <w:spacing w:line="240" w:lineRule="auto"/>
        <w:rPr>
          <w:rFonts w:cs="Times New Roman"/>
          <w:szCs w:val="24"/>
        </w:rPr>
      </w:pPr>
      <w:r w:rsidRPr="00DF0680">
        <w:rPr>
          <w:rFonts w:cs="Times New Roman"/>
          <w:szCs w:val="24"/>
        </w:rPr>
        <w:t>MVAC</w:t>
      </w:r>
      <w:r w:rsidRPr="00DF0680">
        <w:rPr>
          <w:rFonts w:cs="Times New Roman"/>
          <w:szCs w:val="24"/>
        </w:rPr>
        <w:tab/>
      </w:r>
      <w:r w:rsidRPr="00DF0680">
        <w:rPr>
          <w:rFonts w:cs="Times New Roman"/>
          <w:szCs w:val="24"/>
        </w:rPr>
        <w:tab/>
        <w:t>Methotrexate, vinblastine, doxorubicin and cisplatin</w:t>
      </w:r>
    </w:p>
    <w:p w:rsidR="003F0F7E" w:rsidRPr="00DF0680" w:rsidRDefault="003F0F7E" w:rsidP="003F0F7E">
      <w:pPr>
        <w:spacing w:line="240" w:lineRule="auto"/>
        <w:rPr>
          <w:rFonts w:cs="Times New Roman"/>
          <w:szCs w:val="24"/>
        </w:rPr>
      </w:pPr>
      <w:r w:rsidRPr="00DF0680">
        <w:rPr>
          <w:rFonts w:cs="Times New Roman"/>
          <w:szCs w:val="24"/>
        </w:rPr>
        <w:t>Noc</w:t>
      </w:r>
      <w:r w:rsidRPr="00DF0680">
        <w:rPr>
          <w:rFonts w:cs="Times New Roman"/>
          <w:szCs w:val="24"/>
        </w:rPr>
        <w:tab/>
      </w:r>
      <w:r w:rsidRPr="00DF0680">
        <w:rPr>
          <w:rFonts w:cs="Times New Roman"/>
          <w:szCs w:val="24"/>
        </w:rPr>
        <w:tab/>
      </w:r>
      <w:r w:rsidRPr="00DF0680">
        <w:rPr>
          <w:rFonts w:cs="Times New Roman"/>
          <w:szCs w:val="24"/>
        </w:rPr>
        <w:tab/>
        <w:t>Nocodazole</w:t>
      </w:r>
    </w:p>
    <w:p w:rsidR="003F0F7E" w:rsidRPr="00DF0680" w:rsidRDefault="003F0F7E" w:rsidP="003F0F7E">
      <w:pPr>
        <w:spacing w:line="240" w:lineRule="auto"/>
        <w:rPr>
          <w:rFonts w:cs="Times New Roman"/>
          <w:szCs w:val="24"/>
        </w:rPr>
      </w:pPr>
      <w:r w:rsidRPr="00DF0680">
        <w:rPr>
          <w:rFonts w:cs="Times New Roman"/>
          <w:szCs w:val="24"/>
        </w:rPr>
        <w:t>NER</w:t>
      </w:r>
      <w:r w:rsidRPr="00DF0680">
        <w:rPr>
          <w:rFonts w:cs="Times New Roman"/>
          <w:szCs w:val="24"/>
        </w:rPr>
        <w:tab/>
      </w:r>
      <w:r w:rsidRPr="00DF0680">
        <w:rPr>
          <w:rFonts w:cs="Times New Roman"/>
          <w:szCs w:val="24"/>
        </w:rPr>
        <w:tab/>
      </w:r>
      <w:r w:rsidRPr="00DF0680">
        <w:rPr>
          <w:rFonts w:cs="Times New Roman"/>
          <w:szCs w:val="24"/>
        </w:rPr>
        <w:tab/>
        <w:t>Nucleotide excision repair</w:t>
      </w:r>
    </w:p>
    <w:p w:rsidR="003F0F7E" w:rsidRPr="00DF0680" w:rsidRDefault="003F0F7E" w:rsidP="003F0F7E">
      <w:pPr>
        <w:spacing w:line="240" w:lineRule="auto"/>
        <w:rPr>
          <w:rFonts w:cs="Times New Roman"/>
          <w:szCs w:val="24"/>
        </w:rPr>
      </w:pPr>
      <w:r w:rsidRPr="00DF0680">
        <w:rPr>
          <w:rFonts w:cs="Times New Roman"/>
          <w:szCs w:val="24"/>
        </w:rPr>
        <w:t>ng</w:t>
      </w:r>
      <w:r w:rsidRPr="00DF0680">
        <w:rPr>
          <w:rFonts w:cs="Times New Roman"/>
          <w:szCs w:val="24"/>
        </w:rPr>
        <w:tab/>
      </w:r>
      <w:r w:rsidRPr="00DF0680">
        <w:rPr>
          <w:rFonts w:cs="Times New Roman"/>
          <w:szCs w:val="24"/>
        </w:rPr>
        <w:tab/>
      </w:r>
      <w:r w:rsidRPr="00DF0680">
        <w:rPr>
          <w:rFonts w:cs="Times New Roman"/>
          <w:szCs w:val="24"/>
        </w:rPr>
        <w:tab/>
        <w:t>Nanogram</w:t>
      </w:r>
    </w:p>
    <w:p w:rsidR="003F0F7E" w:rsidRPr="00DF0680" w:rsidRDefault="003F0F7E" w:rsidP="003F0F7E">
      <w:pPr>
        <w:spacing w:line="240" w:lineRule="auto"/>
        <w:rPr>
          <w:rFonts w:cs="Times New Roman"/>
          <w:szCs w:val="24"/>
        </w:rPr>
      </w:pPr>
      <w:r w:rsidRPr="00DF0680">
        <w:rPr>
          <w:rFonts w:cs="Times New Roman"/>
          <w:szCs w:val="24"/>
        </w:rPr>
        <w:t>NHEJ</w:t>
      </w:r>
      <w:r w:rsidRPr="00DF0680">
        <w:rPr>
          <w:rFonts w:cs="Times New Roman"/>
          <w:szCs w:val="24"/>
        </w:rPr>
        <w:tab/>
      </w:r>
      <w:r w:rsidRPr="00DF0680">
        <w:rPr>
          <w:rFonts w:cs="Times New Roman"/>
          <w:szCs w:val="24"/>
        </w:rPr>
        <w:tab/>
      </w:r>
      <w:r w:rsidRPr="00DF0680">
        <w:rPr>
          <w:rFonts w:cs="Times New Roman"/>
          <w:szCs w:val="24"/>
        </w:rPr>
        <w:tab/>
        <w:t>Non-homologous end joining</w:t>
      </w:r>
    </w:p>
    <w:p w:rsidR="003F0F7E" w:rsidRPr="00DF0680" w:rsidRDefault="003F0F7E" w:rsidP="003F0F7E">
      <w:pPr>
        <w:spacing w:line="240" w:lineRule="auto"/>
        <w:rPr>
          <w:rFonts w:cs="Times New Roman"/>
          <w:szCs w:val="24"/>
        </w:rPr>
      </w:pPr>
      <w:r w:rsidRPr="00DF0680">
        <w:rPr>
          <w:rFonts w:cs="Times New Roman"/>
          <w:szCs w:val="24"/>
        </w:rPr>
        <w:t xml:space="preserve">ORC </w:t>
      </w:r>
      <w:r w:rsidRPr="00DF0680">
        <w:rPr>
          <w:rFonts w:cs="Times New Roman"/>
          <w:szCs w:val="24"/>
        </w:rPr>
        <w:tab/>
      </w:r>
      <w:r w:rsidRPr="00DF0680">
        <w:rPr>
          <w:rFonts w:cs="Times New Roman"/>
          <w:szCs w:val="24"/>
        </w:rPr>
        <w:tab/>
      </w:r>
      <w:r w:rsidR="00653403" w:rsidRPr="00DF0680">
        <w:rPr>
          <w:rFonts w:cs="Times New Roman"/>
          <w:szCs w:val="24"/>
        </w:rPr>
        <w:tab/>
        <w:t>Origin</w:t>
      </w:r>
      <w:r w:rsidRPr="00DF0680">
        <w:rPr>
          <w:rFonts w:cs="Times New Roman"/>
          <w:szCs w:val="24"/>
        </w:rPr>
        <w:t xml:space="preserve"> replication complex</w:t>
      </w:r>
    </w:p>
    <w:p w:rsidR="003F0F7E" w:rsidRPr="00DF0680" w:rsidRDefault="003F0F7E" w:rsidP="003F0F7E">
      <w:pPr>
        <w:spacing w:line="240" w:lineRule="auto"/>
        <w:rPr>
          <w:rFonts w:cs="Times New Roman"/>
          <w:szCs w:val="24"/>
        </w:rPr>
      </w:pPr>
      <w:r w:rsidRPr="00DF0680">
        <w:rPr>
          <w:rFonts w:cs="Times New Roman"/>
          <w:szCs w:val="24"/>
        </w:rPr>
        <w:t>PBS</w:t>
      </w:r>
      <w:r w:rsidRPr="00DF0680">
        <w:rPr>
          <w:rFonts w:cs="Times New Roman"/>
          <w:szCs w:val="24"/>
        </w:rPr>
        <w:tab/>
      </w:r>
      <w:r w:rsidRPr="00DF0680">
        <w:rPr>
          <w:rFonts w:cs="Times New Roman"/>
          <w:szCs w:val="24"/>
        </w:rPr>
        <w:tab/>
      </w:r>
      <w:r w:rsidRPr="00DF0680">
        <w:rPr>
          <w:rFonts w:cs="Times New Roman"/>
          <w:szCs w:val="24"/>
        </w:rPr>
        <w:tab/>
        <w:t>Phosphate buffered saline</w:t>
      </w:r>
    </w:p>
    <w:p w:rsidR="003F0F7E" w:rsidRPr="00DF0680" w:rsidRDefault="003F0F7E" w:rsidP="003F0F7E">
      <w:pPr>
        <w:spacing w:line="240" w:lineRule="auto"/>
        <w:rPr>
          <w:rFonts w:cs="Times New Roman"/>
          <w:szCs w:val="24"/>
        </w:rPr>
      </w:pPr>
      <w:r w:rsidRPr="00DF0680">
        <w:rPr>
          <w:rFonts w:cs="Times New Roman"/>
          <w:szCs w:val="24"/>
        </w:rPr>
        <w:t>PBS-t</w:t>
      </w:r>
      <w:r w:rsidRPr="00DF0680">
        <w:rPr>
          <w:rFonts w:cs="Times New Roman"/>
          <w:szCs w:val="24"/>
        </w:rPr>
        <w:tab/>
      </w:r>
      <w:r w:rsidRPr="00DF0680">
        <w:rPr>
          <w:rFonts w:cs="Times New Roman"/>
          <w:szCs w:val="24"/>
        </w:rPr>
        <w:tab/>
      </w:r>
      <w:r w:rsidRPr="00DF0680">
        <w:rPr>
          <w:rFonts w:cs="Times New Roman"/>
          <w:szCs w:val="24"/>
        </w:rPr>
        <w:tab/>
        <w:t>PBS supplemented with Tween-20</w:t>
      </w:r>
    </w:p>
    <w:p w:rsidR="003F0F7E" w:rsidRPr="00DF0680" w:rsidRDefault="003F0F7E" w:rsidP="003F0F7E">
      <w:pPr>
        <w:spacing w:line="240" w:lineRule="auto"/>
        <w:rPr>
          <w:rFonts w:cs="Times New Roman"/>
          <w:szCs w:val="24"/>
        </w:rPr>
      </w:pPr>
      <w:r w:rsidRPr="00DF0680">
        <w:rPr>
          <w:rFonts w:cs="Times New Roman"/>
          <w:szCs w:val="24"/>
        </w:rPr>
        <w:t>PBS-tb</w:t>
      </w:r>
      <w:r w:rsidRPr="00DF0680">
        <w:rPr>
          <w:rFonts w:cs="Times New Roman"/>
          <w:szCs w:val="24"/>
        </w:rPr>
        <w:tab/>
      </w:r>
      <w:r w:rsidRPr="00DF0680">
        <w:rPr>
          <w:rFonts w:cs="Times New Roman"/>
          <w:szCs w:val="24"/>
        </w:rPr>
        <w:tab/>
      </w:r>
      <w:r w:rsidRPr="00DF0680">
        <w:rPr>
          <w:rFonts w:cs="Times New Roman"/>
          <w:szCs w:val="24"/>
        </w:rPr>
        <w:tab/>
        <w:t xml:space="preserve">PBS supplemented with BSA and Tween-20  </w:t>
      </w:r>
    </w:p>
    <w:p w:rsidR="003F0F7E" w:rsidRPr="00DF0680" w:rsidRDefault="003F0F7E" w:rsidP="003F0F7E">
      <w:pPr>
        <w:spacing w:line="240" w:lineRule="auto"/>
        <w:rPr>
          <w:rFonts w:cs="Times New Roman"/>
          <w:szCs w:val="24"/>
        </w:rPr>
      </w:pPr>
      <w:r w:rsidRPr="00DF0680">
        <w:rPr>
          <w:rFonts w:cs="Times New Roman"/>
          <w:szCs w:val="24"/>
        </w:rPr>
        <w:t>PBS-tx</w:t>
      </w:r>
      <w:r w:rsidRPr="00DF0680">
        <w:rPr>
          <w:rFonts w:cs="Times New Roman"/>
          <w:szCs w:val="24"/>
        </w:rPr>
        <w:tab/>
      </w:r>
      <w:r w:rsidRPr="00DF0680">
        <w:rPr>
          <w:rFonts w:cs="Times New Roman"/>
          <w:szCs w:val="24"/>
        </w:rPr>
        <w:tab/>
      </w:r>
      <w:r w:rsidRPr="00DF0680">
        <w:rPr>
          <w:rFonts w:cs="Times New Roman"/>
          <w:szCs w:val="24"/>
        </w:rPr>
        <w:tab/>
        <w:t>PBS supplemented with TritonX-100</w:t>
      </w:r>
    </w:p>
    <w:p w:rsidR="003F0F7E" w:rsidRPr="00DF0680" w:rsidRDefault="00653403" w:rsidP="003F0F7E">
      <w:pPr>
        <w:spacing w:line="240" w:lineRule="auto"/>
        <w:rPr>
          <w:rFonts w:cs="Times New Roman"/>
          <w:szCs w:val="24"/>
        </w:rPr>
      </w:pPr>
      <w:r w:rsidRPr="00DF0680">
        <w:rPr>
          <w:rFonts w:cs="Times New Roman"/>
          <w:szCs w:val="24"/>
        </w:rPr>
        <w:t>PCNA</w:t>
      </w:r>
      <w:r w:rsidRPr="00DF0680">
        <w:rPr>
          <w:rFonts w:cs="Times New Roman"/>
          <w:szCs w:val="24"/>
        </w:rPr>
        <w:tab/>
      </w:r>
      <w:r w:rsidRPr="00DF0680">
        <w:rPr>
          <w:rFonts w:cs="Times New Roman"/>
          <w:szCs w:val="24"/>
        </w:rPr>
        <w:tab/>
      </w:r>
      <w:r w:rsidRPr="00DF0680">
        <w:rPr>
          <w:rFonts w:cs="Times New Roman"/>
          <w:szCs w:val="24"/>
        </w:rPr>
        <w:tab/>
        <w:t>Proliferati</w:t>
      </w:r>
      <w:r w:rsidR="003F0F7E" w:rsidRPr="00DF0680">
        <w:rPr>
          <w:rFonts w:cs="Times New Roman"/>
          <w:szCs w:val="24"/>
        </w:rPr>
        <w:t>n</w:t>
      </w:r>
      <w:r w:rsidRPr="00DF0680">
        <w:rPr>
          <w:rFonts w:cs="Times New Roman"/>
          <w:szCs w:val="24"/>
        </w:rPr>
        <w:t>g</w:t>
      </w:r>
      <w:r w:rsidR="003F0F7E" w:rsidRPr="00DF0680">
        <w:rPr>
          <w:rFonts w:cs="Times New Roman"/>
          <w:szCs w:val="24"/>
        </w:rPr>
        <w:t xml:space="preserve"> cell nuclear antigen</w:t>
      </w:r>
    </w:p>
    <w:p w:rsidR="003F0F7E" w:rsidRPr="00DF0680" w:rsidRDefault="003F0F7E" w:rsidP="003F0F7E">
      <w:pPr>
        <w:spacing w:line="240" w:lineRule="auto"/>
        <w:rPr>
          <w:rFonts w:cs="Times New Roman"/>
          <w:szCs w:val="24"/>
        </w:rPr>
      </w:pPr>
      <w:r w:rsidRPr="00DF0680">
        <w:rPr>
          <w:rFonts w:cs="Times New Roman"/>
          <w:szCs w:val="24"/>
        </w:rPr>
        <w:t>PCR</w:t>
      </w:r>
      <w:r w:rsidRPr="00DF0680">
        <w:rPr>
          <w:rFonts w:cs="Times New Roman"/>
          <w:szCs w:val="24"/>
        </w:rPr>
        <w:tab/>
      </w:r>
      <w:r w:rsidRPr="00DF0680">
        <w:rPr>
          <w:rFonts w:cs="Times New Roman"/>
          <w:szCs w:val="24"/>
        </w:rPr>
        <w:tab/>
      </w:r>
      <w:r w:rsidRPr="00DF0680">
        <w:rPr>
          <w:rFonts w:cs="Times New Roman"/>
          <w:szCs w:val="24"/>
        </w:rPr>
        <w:tab/>
        <w:t>Polymerase chain reaction</w:t>
      </w:r>
    </w:p>
    <w:p w:rsidR="003F0F7E" w:rsidRPr="00DF0680" w:rsidRDefault="003F0F7E" w:rsidP="003F0F7E">
      <w:pPr>
        <w:spacing w:line="240" w:lineRule="auto"/>
        <w:rPr>
          <w:rFonts w:cs="Times New Roman"/>
          <w:szCs w:val="24"/>
        </w:rPr>
      </w:pPr>
      <w:r w:rsidRPr="00DF0680">
        <w:rPr>
          <w:rFonts w:cs="Times New Roman"/>
          <w:szCs w:val="24"/>
        </w:rPr>
        <w:lastRenderedPageBreak/>
        <w:t>PFA</w:t>
      </w:r>
      <w:r w:rsidRPr="00DF0680">
        <w:rPr>
          <w:rFonts w:cs="Times New Roman"/>
          <w:szCs w:val="24"/>
        </w:rPr>
        <w:tab/>
      </w:r>
      <w:r w:rsidRPr="00DF0680">
        <w:rPr>
          <w:rFonts w:cs="Times New Roman"/>
          <w:szCs w:val="24"/>
        </w:rPr>
        <w:tab/>
      </w:r>
      <w:r w:rsidRPr="00DF0680">
        <w:rPr>
          <w:rFonts w:cs="Times New Roman"/>
          <w:szCs w:val="24"/>
        </w:rPr>
        <w:tab/>
        <w:t>Paraformaldehyde</w:t>
      </w:r>
    </w:p>
    <w:p w:rsidR="003F0F7E" w:rsidRPr="00DF0680" w:rsidRDefault="003F0F7E" w:rsidP="003F0F7E">
      <w:pPr>
        <w:spacing w:line="240" w:lineRule="auto"/>
        <w:rPr>
          <w:rFonts w:cs="Times New Roman"/>
          <w:szCs w:val="24"/>
        </w:rPr>
      </w:pPr>
      <w:r w:rsidRPr="00DF0680">
        <w:rPr>
          <w:rFonts w:cs="Times New Roman"/>
          <w:szCs w:val="24"/>
        </w:rPr>
        <w:t>PI</w:t>
      </w:r>
      <w:r w:rsidRPr="00DF0680">
        <w:rPr>
          <w:rFonts w:cs="Times New Roman"/>
          <w:szCs w:val="24"/>
        </w:rPr>
        <w:tab/>
      </w:r>
      <w:r w:rsidRPr="00DF0680">
        <w:rPr>
          <w:rFonts w:cs="Times New Roman"/>
          <w:szCs w:val="24"/>
        </w:rPr>
        <w:tab/>
      </w:r>
      <w:r w:rsidRPr="00DF0680">
        <w:rPr>
          <w:rFonts w:cs="Times New Roman"/>
          <w:szCs w:val="24"/>
        </w:rPr>
        <w:tab/>
        <w:t>Propidium iodide</w:t>
      </w:r>
    </w:p>
    <w:p w:rsidR="003F0F7E" w:rsidRPr="00DF0680" w:rsidRDefault="003F0F7E" w:rsidP="003F0F7E">
      <w:pPr>
        <w:spacing w:line="240" w:lineRule="auto"/>
        <w:rPr>
          <w:rFonts w:cs="Times New Roman"/>
          <w:szCs w:val="24"/>
        </w:rPr>
      </w:pPr>
      <w:r w:rsidRPr="00DF0680">
        <w:rPr>
          <w:rFonts w:cs="Times New Roman"/>
          <w:szCs w:val="24"/>
        </w:rPr>
        <w:t>PMSF</w:t>
      </w:r>
      <w:r w:rsidRPr="00DF0680">
        <w:rPr>
          <w:rFonts w:cs="Times New Roman"/>
          <w:szCs w:val="24"/>
        </w:rPr>
        <w:tab/>
      </w:r>
      <w:r w:rsidRPr="00DF0680">
        <w:rPr>
          <w:rFonts w:cs="Times New Roman"/>
          <w:szCs w:val="24"/>
        </w:rPr>
        <w:tab/>
      </w:r>
      <w:r w:rsidRPr="00DF0680">
        <w:rPr>
          <w:rFonts w:cs="Times New Roman"/>
          <w:szCs w:val="24"/>
        </w:rPr>
        <w:tab/>
        <w:t>Phenyl methyl sulphonyl fluoride</w:t>
      </w:r>
    </w:p>
    <w:p w:rsidR="003F0F7E" w:rsidRPr="00DF0680" w:rsidRDefault="003F0F7E" w:rsidP="003F0F7E">
      <w:pPr>
        <w:spacing w:line="240" w:lineRule="auto"/>
        <w:rPr>
          <w:rFonts w:cs="Times New Roman"/>
          <w:szCs w:val="24"/>
        </w:rPr>
      </w:pPr>
      <w:r w:rsidRPr="00DF0680">
        <w:rPr>
          <w:rFonts w:cs="Times New Roman"/>
          <w:szCs w:val="24"/>
        </w:rPr>
        <w:t>POL</w:t>
      </w:r>
      <w:r w:rsidRPr="00DF0680">
        <w:rPr>
          <w:rFonts w:cs="Times New Roman"/>
          <w:szCs w:val="24"/>
        </w:rPr>
        <w:tab/>
      </w:r>
      <w:r w:rsidRPr="00DF0680">
        <w:rPr>
          <w:rFonts w:cs="Times New Roman"/>
          <w:szCs w:val="24"/>
        </w:rPr>
        <w:tab/>
      </w:r>
      <w:r w:rsidRPr="00DF0680">
        <w:rPr>
          <w:rFonts w:cs="Times New Roman"/>
          <w:szCs w:val="24"/>
        </w:rPr>
        <w:tab/>
        <w:t xml:space="preserve">DNA polymerase </w:t>
      </w:r>
    </w:p>
    <w:p w:rsidR="003F0F7E" w:rsidRPr="00DF0680" w:rsidRDefault="003F0F7E" w:rsidP="003F0F7E">
      <w:pPr>
        <w:spacing w:line="240" w:lineRule="auto"/>
        <w:rPr>
          <w:rFonts w:cs="Times New Roman"/>
          <w:szCs w:val="24"/>
        </w:rPr>
      </w:pPr>
      <w:r w:rsidRPr="00DF0680">
        <w:rPr>
          <w:rFonts w:cs="Times New Roman"/>
          <w:szCs w:val="24"/>
        </w:rPr>
        <w:t>RC</w:t>
      </w:r>
      <w:r w:rsidRPr="00DF0680">
        <w:rPr>
          <w:rFonts w:cs="Times New Roman"/>
          <w:szCs w:val="24"/>
        </w:rPr>
        <w:tab/>
      </w:r>
      <w:r w:rsidRPr="00DF0680">
        <w:rPr>
          <w:rFonts w:cs="Times New Roman"/>
          <w:szCs w:val="24"/>
        </w:rPr>
        <w:tab/>
      </w:r>
      <w:r w:rsidRPr="00DF0680">
        <w:rPr>
          <w:rFonts w:cs="Times New Roman"/>
          <w:szCs w:val="24"/>
        </w:rPr>
        <w:tab/>
        <w:t>Radical cystectomy</w:t>
      </w:r>
    </w:p>
    <w:p w:rsidR="003F0F7E" w:rsidRPr="00DF0680" w:rsidRDefault="003F0F7E" w:rsidP="003F0F7E">
      <w:pPr>
        <w:spacing w:line="240" w:lineRule="auto"/>
        <w:rPr>
          <w:rFonts w:cs="Times New Roman"/>
          <w:szCs w:val="24"/>
        </w:rPr>
      </w:pPr>
      <w:r w:rsidRPr="00DF0680">
        <w:rPr>
          <w:rFonts w:cs="Times New Roman"/>
          <w:szCs w:val="24"/>
        </w:rPr>
        <w:t>RNA</w:t>
      </w:r>
      <w:r w:rsidRPr="00DF0680">
        <w:rPr>
          <w:rFonts w:cs="Times New Roman"/>
          <w:szCs w:val="24"/>
        </w:rPr>
        <w:tab/>
      </w:r>
      <w:r w:rsidRPr="00DF0680">
        <w:rPr>
          <w:rFonts w:cs="Times New Roman"/>
          <w:szCs w:val="24"/>
        </w:rPr>
        <w:tab/>
      </w:r>
      <w:r w:rsidRPr="00DF0680">
        <w:rPr>
          <w:rFonts w:cs="Times New Roman"/>
          <w:szCs w:val="24"/>
        </w:rPr>
        <w:tab/>
        <w:t>Ribonucleic acid</w:t>
      </w:r>
    </w:p>
    <w:p w:rsidR="003F0F7E" w:rsidRPr="00DF0680" w:rsidRDefault="003F0F7E" w:rsidP="003F0F7E">
      <w:pPr>
        <w:spacing w:line="240" w:lineRule="auto"/>
        <w:rPr>
          <w:rFonts w:cs="Times New Roman"/>
          <w:szCs w:val="24"/>
        </w:rPr>
      </w:pPr>
      <w:r w:rsidRPr="00DF0680">
        <w:rPr>
          <w:rFonts w:cs="Times New Roman"/>
          <w:szCs w:val="24"/>
        </w:rPr>
        <w:t>RNase</w:t>
      </w:r>
      <w:r w:rsidRPr="00DF0680">
        <w:rPr>
          <w:rFonts w:cs="Times New Roman"/>
          <w:szCs w:val="24"/>
        </w:rPr>
        <w:tab/>
      </w:r>
      <w:r w:rsidRPr="00DF0680">
        <w:rPr>
          <w:rFonts w:cs="Times New Roman"/>
          <w:szCs w:val="24"/>
        </w:rPr>
        <w:tab/>
      </w:r>
      <w:r w:rsidRPr="00DF0680">
        <w:rPr>
          <w:rFonts w:cs="Times New Roman"/>
          <w:szCs w:val="24"/>
        </w:rPr>
        <w:tab/>
        <w:t>Ribonuclease</w:t>
      </w:r>
    </w:p>
    <w:p w:rsidR="003F0F7E" w:rsidRPr="00DF0680" w:rsidRDefault="003F0F7E" w:rsidP="003F0F7E">
      <w:pPr>
        <w:spacing w:line="240" w:lineRule="auto"/>
        <w:rPr>
          <w:rFonts w:cs="Times New Roman"/>
          <w:szCs w:val="24"/>
        </w:rPr>
      </w:pPr>
      <w:r w:rsidRPr="00DF0680">
        <w:rPr>
          <w:rFonts w:cs="Times New Roman"/>
          <w:szCs w:val="24"/>
        </w:rPr>
        <w:t>ROS</w:t>
      </w:r>
      <w:r w:rsidRPr="00DF0680">
        <w:rPr>
          <w:rFonts w:cs="Times New Roman"/>
          <w:szCs w:val="24"/>
        </w:rPr>
        <w:tab/>
      </w:r>
      <w:r w:rsidRPr="00DF0680">
        <w:rPr>
          <w:rFonts w:cs="Times New Roman"/>
          <w:szCs w:val="24"/>
        </w:rPr>
        <w:tab/>
      </w:r>
      <w:r w:rsidRPr="00DF0680">
        <w:rPr>
          <w:rFonts w:cs="Times New Roman"/>
          <w:szCs w:val="24"/>
        </w:rPr>
        <w:tab/>
        <w:t>Reactive oxygen species</w:t>
      </w:r>
    </w:p>
    <w:p w:rsidR="003F0F7E" w:rsidRPr="00DF0680" w:rsidRDefault="003F0F7E" w:rsidP="003F0F7E">
      <w:pPr>
        <w:spacing w:line="240" w:lineRule="auto"/>
        <w:rPr>
          <w:rFonts w:cs="Times New Roman"/>
          <w:szCs w:val="24"/>
        </w:rPr>
      </w:pPr>
      <w:r w:rsidRPr="00DF0680">
        <w:rPr>
          <w:rFonts w:cs="Times New Roman"/>
          <w:szCs w:val="24"/>
        </w:rPr>
        <w:t>RPA</w:t>
      </w:r>
      <w:r w:rsidRPr="00DF0680">
        <w:rPr>
          <w:rFonts w:cs="Times New Roman"/>
          <w:szCs w:val="24"/>
        </w:rPr>
        <w:tab/>
      </w:r>
      <w:r w:rsidRPr="00DF0680">
        <w:rPr>
          <w:rFonts w:cs="Times New Roman"/>
          <w:szCs w:val="24"/>
        </w:rPr>
        <w:tab/>
      </w:r>
      <w:r w:rsidRPr="00DF0680">
        <w:rPr>
          <w:rFonts w:cs="Times New Roman"/>
          <w:szCs w:val="24"/>
        </w:rPr>
        <w:tab/>
        <w:t>Replication protein A</w:t>
      </w:r>
    </w:p>
    <w:p w:rsidR="003F0F7E" w:rsidRPr="00DF0680" w:rsidRDefault="003F0F7E" w:rsidP="003F0F7E">
      <w:pPr>
        <w:spacing w:line="240" w:lineRule="auto"/>
        <w:rPr>
          <w:rFonts w:cs="Times New Roman"/>
          <w:szCs w:val="24"/>
        </w:rPr>
      </w:pPr>
      <w:r w:rsidRPr="00DF0680">
        <w:rPr>
          <w:rFonts w:cs="Times New Roman"/>
          <w:szCs w:val="24"/>
        </w:rPr>
        <w:t>rpm</w:t>
      </w:r>
      <w:r w:rsidRPr="00DF0680">
        <w:rPr>
          <w:rFonts w:cs="Times New Roman"/>
          <w:szCs w:val="24"/>
        </w:rPr>
        <w:tab/>
      </w:r>
      <w:r w:rsidRPr="00DF0680">
        <w:rPr>
          <w:rFonts w:cs="Times New Roman"/>
          <w:szCs w:val="24"/>
        </w:rPr>
        <w:tab/>
      </w:r>
      <w:r w:rsidRPr="00DF0680">
        <w:rPr>
          <w:rFonts w:cs="Times New Roman"/>
          <w:szCs w:val="24"/>
        </w:rPr>
        <w:tab/>
        <w:t>Revolutions per minute</w:t>
      </w:r>
    </w:p>
    <w:p w:rsidR="003F0F7E" w:rsidRPr="00DF0680" w:rsidRDefault="003F0F7E" w:rsidP="003F0F7E">
      <w:pPr>
        <w:spacing w:line="240" w:lineRule="auto"/>
        <w:rPr>
          <w:rFonts w:cs="Times New Roman"/>
          <w:szCs w:val="24"/>
        </w:rPr>
      </w:pPr>
      <w:r w:rsidRPr="00DF0680">
        <w:rPr>
          <w:rFonts w:cs="Times New Roman"/>
          <w:szCs w:val="24"/>
        </w:rPr>
        <w:t>RTS</w:t>
      </w:r>
      <w:r w:rsidRPr="00DF0680">
        <w:rPr>
          <w:rFonts w:cs="Times New Roman"/>
          <w:szCs w:val="24"/>
        </w:rPr>
        <w:tab/>
      </w:r>
      <w:r w:rsidRPr="00DF0680">
        <w:rPr>
          <w:rFonts w:cs="Times New Roman"/>
          <w:szCs w:val="24"/>
        </w:rPr>
        <w:tab/>
      </w:r>
      <w:r w:rsidRPr="00DF0680">
        <w:rPr>
          <w:rFonts w:cs="Times New Roman"/>
          <w:szCs w:val="24"/>
        </w:rPr>
        <w:tab/>
        <w:t>Rothmund-Thompson’s syndrome</w:t>
      </w:r>
    </w:p>
    <w:p w:rsidR="003F0F7E" w:rsidRPr="00DF0680" w:rsidRDefault="003F0F7E" w:rsidP="003F0F7E">
      <w:pPr>
        <w:spacing w:line="240" w:lineRule="auto"/>
        <w:rPr>
          <w:rFonts w:cs="Times New Roman"/>
          <w:szCs w:val="24"/>
        </w:rPr>
      </w:pPr>
      <w:r w:rsidRPr="00DF0680">
        <w:rPr>
          <w:rFonts w:cs="Times New Roman"/>
          <w:szCs w:val="24"/>
        </w:rPr>
        <w:t>S</w:t>
      </w:r>
      <w:r w:rsidRPr="00DF0680">
        <w:rPr>
          <w:rFonts w:cs="Times New Roman"/>
          <w:szCs w:val="24"/>
        </w:rPr>
        <w:tab/>
      </w:r>
      <w:r w:rsidRPr="00DF0680">
        <w:rPr>
          <w:rFonts w:cs="Times New Roman"/>
          <w:szCs w:val="24"/>
        </w:rPr>
        <w:tab/>
      </w:r>
      <w:r w:rsidRPr="00DF0680">
        <w:rPr>
          <w:rFonts w:cs="Times New Roman"/>
          <w:szCs w:val="24"/>
        </w:rPr>
        <w:tab/>
        <w:t>DNA synthesis phase (also referred to as S-phase)</w:t>
      </w:r>
    </w:p>
    <w:p w:rsidR="003F0F7E" w:rsidRPr="00DF0680" w:rsidRDefault="00653403" w:rsidP="003F0F7E">
      <w:pPr>
        <w:spacing w:line="240" w:lineRule="auto"/>
        <w:rPr>
          <w:rFonts w:cs="Times New Roman"/>
          <w:szCs w:val="24"/>
        </w:rPr>
      </w:pPr>
      <w:r w:rsidRPr="00DF0680">
        <w:rPr>
          <w:rFonts w:cs="Times New Roman"/>
          <w:szCs w:val="24"/>
        </w:rPr>
        <w:t>S. cerevisiae</w:t>
      </w:r>
      <w:r w:rsidRPr="00DF0680">
        <w:rPr>
          <w:rFonts w:cs="Times New Roman"/>
          <w:szCs w:val="24"/>
        </w:rPr>
        <w:tab/>
      </w:r>
      <w:r w:rsidRPr="00DF0680">
        <w:rPr>
          <w:rFonts w:cs="Times New Roman"/>
          <w:szCs w:val="24"/>
        </w:rPr>
        <w:tab/>
        <w:t>Saccharomyces c</w:t>
      </w:r>
      <w:r w:rsidR="003F0F7E" w:rsidRPr="00DF0680">
        <w:rPr>
          <w:rFonts w:cs="Times New Roman"/>
          <w:szCs w:val="24"/>
        </w:rPr>
        <w:t>erevisiae</w:t>
      </w:r>
    </w:p>
    <w:p w:rsidR="003F0F7E" w:rsidRPr="00DF0680" w:rsidRDefault="00653403" w:rsidP="003F0F7E">
      <w:pPr>
        <w:spacing w:line="240" w:lineRule="auto"/>
        <w:rPr>
          <w:rFonts w:cs="Times New Roman"/>
          <w:szCs w:val="24"/>
        </w:rPr>
      </w:pPr>
      <w:r w:rsidRPr="00DF0680">
        <w:rPr>
          <w:rFonts w:cs="Times New Roman"/>
          <w:szCs w:val="24"/>
        </w:rPr>
        <w:t>S. pombe</w:t>
      </w:r>
      <w:r w:rsidRPr="00DF0680">
        <w:rPr>
          <w:rFonts w:cs="Times New Roman"/>
          <w:szCs w:val="24"/>
        </w:rPr>
        <w:tab/>
      </w:r>
      <w:r w:rsidRPr="00DF0680">
        <w:rPr>
          <w:rFonts w:cs="Times New Roman"/>
          <w:szCs w:val="24"/>
        </w:rPr>
        <w:tab/>
        <w:t>Saccharomyces p</w:t>
      </w:r>
      <w:r w:rsidR="003F0F7E" w:rsidRPr="00DF0680">
        <w:rPr>
          <w:rFonts w:cs="Times New Roman"/>
          <w:szCs w:val="24"/>
        </w:rPr>
        <w:t>ombe</w:t>
      </w:r>
    </w:p>
    <w:p w:rsidR="003F0F7E" w:rsidRPr="00DF0680" w:rsidRDefault="003F0F7E" w:rsidP="003F0F7E">
      <w:pPr>
        <w:spacing w:line="240" w:lineRule="auto"/>
        <w:rPr>
          <w:rFonts w:cs="Times New Roman"/>
          <w:szCs w:val="24"/>
        </w:rPr>
      </w:pPr>
      <w:r w:rsidRPr="00DF0680">
        <w:rPr>
          <w:rFonts w:cs="Times New Roman"/>
          <w:szCs w:val="24"/>
        </w:rPr>
        <w:t>SCE</w:t>
      </w:r>
      <w:r w:rsidRPr="00DF0680">
        <w:rPr>
          <w:rFonts w:cs="Times New Roman"/>
          <w:szCs w:val="24"/>
        </w:rPr>
        <w:tab/>
      </w:r>
      <w:r w:rsidRPr="00DF0680">
        <w:rPr>
          <w:rFonts w:cs="Times New Roman"/>
          <w:szCs w:val="24"/>
        </w:rPr>
        <w:tab/>
      </w:r>
      <w:r w:rsidRPr="00DF0680">
        <w:rPr>
          <w:rFonts w:cs="Times New Roman"/>
          <w:szCs w:val="24"/>
        </w:rPr>
        <w:tab/>
        <w:t>Sister chromatid exchange</w:t>
      </w:r>
    </w:p>
    <w:p w:rsidR="003F0F7E" w:rsidRPr="00DF0680" w:rsidRDefault="003F0F7E" w:rsidP="003F0F7E">
      <w:pPr>
        <w:spacing w:line="240" w:lineRule="auto"/>
        <w:rPr>
          <w:rFonts w:cs="Times New Roman"/>
          <w:szCs w:val="24"/>
        </w:rPr>
      </w:pPr>
      <w:r w:rsidRPr="00DF0680">
        <w:rPr>
          <w:rFonts w:cs="Times New Roman"/>
          <w:szCs w:val="24"/>
        </w:rPr>
        <w:t>SDS</w:t>
      </w:r>
      <w:r w:rsidRPr="00DF0680">
        <w:rPr>
          <w:rFonts w:cs="Times New Roman"/>
          <w:szCs w:val="24"/>
        </w:rPr>
        <w:tab/>
      </w:r>
      <w:r w:rsidRPr="00DF0680">
        <w:rPr>
          <w:rFonts w:cs="Times New Roman"/>
          <w:szCs w:val="24"/>
        </w:rPr>
        <w:tab/>
      </w:r>
      <w:r w:rsidRPr="00DF0680">
        <w:rPr>
          <w:rFonts w:cs="Times New Roman"/>
          <w:szCs w:val="24"/>
        </w:rPr>
        <w:tab/>
        <w:t>Sodium dodecyl sulphate</w:t>
      </w:r>
    </w:p>
    <w:p w:rsidR="003F0F7E" w:rsidRPr="00DF0680" w:rsidRDefault="003F0F7E" w:rsidP="003F0F7E">
      <w:pPr>
        <w:spacing w:line="240" w:lineRule="auto"/>
        <w:rPr>
          <w:rFonts w:cs="Times New Roman"/>
          <w:szCs w:val="24"/>
        </w:rPr>
      </w:pPr>
      <w:r w:rsidRPr="00DF0680">
        <w:rPr>
          <w:rFonts w:cs="Times New Roman"/>
          <w:szCs w:val="24"/>
        </w:rPr>
        <w:t>SDSA</w:t>
      </w:r>
      <w:r w:rsidRPr="00DF0680">
        <w:rPr>
          <w:rFonts w:cs="Times New Roman"/>
          <w:szCs w:val="24"/>
        </w:rPr>
        <w:tab/>
      </w:r>
      <w:r w:rsidRPr="00DF0680">
        <w:rPr>
          <w:rFonts w:cs="Times New Roman"/>
          <w:szCs w:val="24"/>
        </w:rPr>
        <w:tab/>
      </w:r>
      <w:r w:rsidRPr="00DF0680">
        <w:rPr>
          <w:rFonts w:cs="Times New Roman"/>
          <w:szCs w:val="24"/>
        </w:rPr>
        <w:tab/>
        <w:t>Synthesis-dependant strand annealing</w:t>
      </w:r>
    </w:p>
    <w:p w:rsidR="003F0F7E" w:rsidRPr="00DF0680" w:rsidRDefault="003F0F7E" w:rsidP="003F0F7E">
      <w:pPr>
        <w:spacing w:line="240" w:lineRule="auto"/>
        <w:rPr>
          <w:rFonts w:cs="Times New Roman"/>
          <w:szCs w:val="24"/>
        </w:rPr>
      </w:pPr>
      <w:r w:rsidRPr="00DF0680">
        <w:rPr>
          <w:rFonts w:cs="Times New Roman"/>
          <w:szCs w:val="24"/>
        </w:rPr>
        <w:t>SDS-PAGE</w:t>
      </w:r>
      <w:r w:rsidRPr="00DF0680">
        <w:rPr>
          <w:rFonts w:cs="Times New Roman"/>
          <w:szCs w:val="24"/>
        </w:rPr>
        <w:tab/>
      </w:r>
      <w:r w:rsidRPr="00DF0680">
        <w:rPr>
          <w:rFonts w:cs="Times New Roman"/>
          <w:szCs w:val="24"/>
        </w:rPr>
        <w:tab/>
        <w:t>SDS-polyacrylamide gel electrophoresis</w:t>
      </w:r>
    </w:p>
    <w:p w:rsidR="003F0F7E" w:rsidRPr="00DF0680" w:rsidRDefault="003F0F7E" w:rsidP="003F0F7E">
      <w:pPr>
        <w:spacing w:line="240" w:lineRule="auto"/>
        <w:rPr>
          <w:rFonts w:cs="Times New Roman"/>
          <w:szCs w:val="24"/>
        </w:rPr>
      </w:pPr>
      <w:r w:rsidRPr="00DF0680">
        <w:rPr>
          <w:rFonts w:cs="Times New Roman"/>
          <w:szCs w:val="24"/>
        </w:rPr>
        <w:t>siRNA</w:t>
      </w:r>
      <w:r w:rsidRPr="00DF0680">
        <w:rPr>
          <w:rFonts w:cs="Times New Roman"/>
          <w:szCs w:val="24"/>
        </w:rPr>
        <w:tab/>
      </w:r>
      <w:r w:rsidRPr="00DF0680">
        <w:rPr>
          <w:rFonts w:cs="Times New Roman"/>
          <w:szCs w:val="24"/>
        </w:rPr>
        <w:tab/>
      </w:r>
      <w:r w:rsidRPr="00DF0680">
        <w:rPr>
          <w:rFonts w:cs="Times New Roman"/>
          <w:szCs w:val="24"/>
        </w:rPr>
        <w:tab/>
        <w:t>Short-interfering RNA</w:t>
      </w:r>
    </w:p>
    <w:p w:rsidR="003F0F7E" w:rsidRPr="00DF0680" w:rsidRDefault="003F0F7E" w:rsidP="003F0F7E">
      <w:pPr>
        <w:spacing w:line="240" w:lineRule="auto"/>
        <w:rPr>
          <w:rFonts w:cs="Times New Roman"/>
          <w:szCs w:val="24"/>
        </w:rPr>
      </w:pPr>
      <w:r w:rsidRPr="00DF0680">
        <w:rPr>
          <w:rFonts w:cs="Times New Roman"/>
          <w:szCs w:val="24"/>
        </w:rPr>
        <w:t>SSA</w:t>
      </w:r>
      <w:r w:rsidRPr="00DF0680">
        <w:rPr>
          <w:rFonts w:cs="Times New Roman"/>
          <w:szCs w:val="24"/>
        </w:rPr>
        <w:tab/>
      </w:r>
      <w:r w:rsidRPr="00DF0680">
        <w:rPr>
          <w:rFonts w:cs="Times New Roman"/>
          <w:szCs w:val="24"/>
        </w:rPr>
        <w:tab/>
      </w:r>
      <w:r w:rsidRPr="00DF0680">
        <w:rPr>
          <w:rFonts w:cs="Times New Roman"/>
          <w:szCs w:val="24"/>
        </w:rPr>
        <w:tab/>
        <w:t>Single-strand annealing</w:t>
      </w:r>
    </w:p>
    <w:p w:rsidR="003F0F7E" w:rsidRPr="00DF0680" w:rsidRDefault="003F0F7E" w:rsidP="003F0F7E">
      <w:pPr>
        <w:spacing w:line="240" w:lineRule="auto"/>
        <w:rPr>
          <w:rFonts w:cs="Times New Roman"/>
          <w:szCs w:val="24"/>
        </w:rPr>
      </w:pPr>
      <w:r w:rsidRPr="00DF0680">
        <w:rPr>
          <w:rFonts w:cs="Times New Roman"/>
          <w:szCs w:val="24"/>
        </w:rPr>
        <w:t>ssDNA</w:t>
      </w:r>
      <w:r w:rsidRPr="00DF0680">
        <w:rPr>
          <w:rFonts w:cs="Times New Roman"/>
          <w:szCs w:val="24"/>
        </w:rPr>
        <w:tab/>
      </w:r>
      <w:r w:rsidRPr="00DF0680">
        <w:rPr>
          <w:rFonts w:cs="Times New Roman"/>
          <w:szCs w:val="24"/>
        </w:rPr>
        <w:tab/>
      </w:r>
      <w:r w:rsidRPr="00DF0680">
        <w:rPr>
          <w:rFonts w:cs="Times New Roman"/>
          <w:szCs w:val="24"/>
        </w:rPr>
        <w:tab/>
        <w:t>Single-stranded DNA</w:t>
      </w:r>
    </w:p>
    <w:p w:rsidR="003F0F7E" w:rsidRPr="00DF0680" w:rsidRDefault="003F0F7E" w:rsidP="003F0F7E">
      <w:pPr>
        <w:spacing w:line="240" w:lineRule="auto"/>
        <w:rPr>
          <w:rFonts w:cs="Times New Roman"/>
          <w:szCs w:val="24"/>
        </w:rPr>
      </w:pPr>
      <w:r w:rsidRPr="00DF0680">
        <w:rPr>
          <w:rFonts w:cs="Times New Roman"/>
          <w:szCs w:val="24"/>
        </w:rPr>
        <w:t>T</w:t>
      </w:r>
      <w:r w:rsidRPr="00DF0680">
        <w:rPr>
          <w:rFonts w:cs="Times New Roman"/>
          <w:szCs w:val="24"/>
        </w:rPr>
        <w:tab/>
      </w:r>
      <w:r w:rsidRPr="00DF0680">
        <w:rPr>
          <w:rFonts w:cs="Times New Roman"/>
          <w:szCs w:val="24"/>
        </w:rPr>
        <w:tab/>
      </w:r>
      <w:r w:rsidRPr="00DF0680">
        <w:rPr>
          <w:rFonts w:cs="Times New Roman"/>
          <w:szCs w:val="24"/>
        </w:rPr>
        <w:tab/>
        <w:t>Thymine</w:t>
      </w:r>
    </w:p>
    <w:p w:rsidR="003F0F7E" w:rsidRPr="00DF0680" w:rsidRDefault="003F0F7E" w:rsidP="003F0F7E">
      <w:pPr>
        <w:spacing w:line="240" w:lineRule="auto"/>
        <w:rPr>
          <w:rFonts w:cs="Times New Roman"/>
          <w:szCs w:val="24"/>
        </w:rPr>
      </w:pPr>
      <w:r w:rsidRPr="00DF0680">
        <w:rPr>
          <w:rFonts w:cs="Times New Roman"/>
          <w:szCs w:val="24"/>
        </w:rPr>
        <w:t>TAE</w:t>
      </w:r>
      <w:r w:rsidRPr="00DF0680">
        <w:rPr>
          <w:rFonts w:cs="Times New Roman"/>
          <w:szCs w:val="24"/>
        </w:rPr>
        <w:tab/>
      </w:r>
      <w:r w:rsidRPr="00DF0680">
        <w:rPr>
          <w:rFonts w:cs="Times New Roman"/>
          <w:szCs w:val="24"/>
        </w:rPr>
        <w:tab/>
      </w:r>
      <w:r w:rsidRPr="00DF0680">
        <w:rPr>
          <w:rFonts w:cs="Times New Roman"/>
          <w:szCs w:val="24"/>
        </w:rPr>
        <w:tab/>
        <w:t>Tris-acetate/EDTA</w:t>
      </w:r>
    </w:p>
    <w:p w:rsidR="003F0F7E" w:rsidRPr="00DF0680" w:rsidRDefault="001952DC" w:rsidP="003F0F7E">
      <w:pPr>
        <w:spacing w:line="240" w:lineRule="auto"/>
        <w:rPr>
          <w:rFonts w:cs="Times New Roman"/>
          <w:szCs w:val="24"/>
        </w:rPr>
      </w:pPr>
      <w:r w:rsidRPr="00DF0680">
        <w:rPr>
          <w:rFonts w:cs="Times New Roman"/>
          <w:szCs w:val="24"/>
        </w:rPr>
        <w:t>TBS</w:t>
      </w:r>
      <w:r w:rsidRPr="00DF0680">
        <w:rPr>
          <w:rFonts w:cs="Times New Roman"/>
          <w:szCs w:val="24"/>
        </w:rPr>
        <w:tab/>
      </w:r>
      <w:r w:rsidRPr="00DF0680">
        <w:rPr>
          <w:rFonts w:cs="Times New Roman"/>
          <w:szCs w:val="24"/>
        </w:rPr>
        <w:tab/>
      </w:r>
      <w:r w:rsidRPr="00DF0680">
        <w:rPr>
          <w:rFonts w:cs="Times New Roman"/>
          <w:szCs w:val="24"/>
        </w:rPr>
        <w:tab/>
        <w:t>Tris-b</w:t>
      </w:r>
      <w:r w:rsidR="003F0F7E" w:rsidRPr="00DF0680">
        <w:rPr>
          <w:rFonts w:cs="Times New Roman"/>
          <w:szCs w:val="24"/>
        </w:rPr>
        <w:t>uffer</w:t>
      </w:r>
      <w:r w:rsidRPr="00DF0680">
        <w:rPr>
          <w:rFonts w:cs="Times New Roman"/>
          <w:szCs w:val="24"/>
        </w:rPr>
        <w:t>ed</w:t>
      </w:r>
      <w:r w:rsidR="003F0F7E" w:rsidRPr="00DF0680">
        <w:rPr>
          <w:rFonts w:cs="Times New Roman"/>
          <w:szCs w:val="24"/>
        </w:rPr>
        <w:t xml:space="preserve"> saline</w:t>
      </w:r>
    </w:p>
    <w:p w:rsidR="003F0F7E" w:rsidRPr="00DF0680" w:rsidRDefault="003F0F7E" w:rsidP="003F0F7E">
      <w:pPr>
        <w:spacing w:line="240" w:lineRule="auto"/>
        <w:rPr>
          <w:rFonts w:cs="Times New Roman"/>
          <w:szCs w:val="24"/>
        </w:rPr>
      </w:pPr>
      <w:r w:rsidRPr="00DF0680">
        <w:rPr>
          <w:rFonts w:cs="Times New Roman"/>
          <w:szCs w:val="24"/>
        </w:rPr>
        <w:t>TC-NER</w:t>
      </w:r>
      <w:r w:rsidRPr="00DF0680">
        <w:rPr>
          <w:rFonts w:cs="Times New Roman"/>
          <w:szCs w:val="24"/>
        </w:rPr>
        <w:tab/>
      </w:r>
      <w:r w:rsidRPr="00DF0680">
        <w:rPr>
          <w:rFonts w:cs="Times New Roman"/>
          <w:szCs w:val="24"/>
        </w:rPr>
        <w:tab/>
        <w:t>Transcription coupled nucleotide excision repair</w:t>
      </w:r>
    </w:p>
    <w:p w:rsidR="003F0F7E" w:rsidRPr="00DF0680" w:rsidRDefault="003F0F7E" w:rsidP="003F0F7E">
      <w:pPr>
        <w:spacing w:line="240" w:lineRule="auto"/>
        <w:rPr>
          <w:rFonts w:cs="Times New Roman"/>
          <w:szCs w:val="24"/>
        </w:rPr>
      </w:pPr>
      <w:r w:rsidRPr="00DF0680">
        <w:rPr>
          <w:rFonts w:cs="Times New Roman"/>
          <w:szCs w:val="24"/>
        </w:rPr>
        <w:t>TEMED</w:t>
      </w:r>
      <w:r w:rsidRPr="00DF0680">
        <w:rPr>
          <w:rFonts w:cs="Times New Roman"/>
          <w:szCs w:val="24"/>
        </w:rPr>
        <w:tab/>
      </w:r>
      <w:r w:rsidRPr="00DF0680">
        <w:rPr>
          <w:rFonts w:cs="Times New Roman"/>
          <w:szCs w:val="24"/>
        </w:rPr>
        <w:tab/>
        <w:t>N,N,N,N Tetrameth</w:t>
      </w:r>
      <w:r w:rsidR="001952DC" w:rsidRPr="00DF0680">
        <w:rPr>
          <w:rFonts w:cs="Times New Roman"/>
          <w:szCs w:val="24"/>
        </w:rPr>
        <w:t>y</w:t>
      </w:r>
      <w:r w:rsidRPr="00DF0680">
        <w:rPr>
          <w:rFonts w:cs="Times New Roman"/>
          <w:szCs w:val="24"/>
        </w:rPr>
        <w:t>lethylenediamine</w:t>
      </w:r>
      <w:r w:rsidRPr="00DF0680">
        <w:rPr>
          <w:rFonts w:cs="Times New Roman"/>
          <w:szCs w:val="24"/>
        </w:rPr>
        <w:tab/>
      </w:r>
    </w:p>
    <w:p w:rsidR="003F0F7E" w:rsidRPr="00DF0680" w:rsidRDefault="003F0F7E" w:rsidP="003F0F7E">
      <w:pPr>
        <w:spacing w:line="240" w:lineRule="auto"/>
        <w:rPr>
          <w:rFonts w:cs="Times New Roman"/>
          <w:szCs w:val="24"/>
        </w:rPr>
      </w:pPr>
      <w:r w:rsidRPr="00DF0680">
        <w:rPr>
          <w:rFonts w:cs="Times New Roman"/>
          <w:szCs w:val="24"/>
        </w:rPr>
        <w:t>U</w:t>
      </w:r>
      <w:r w:rsidRPr="00DF0680">
        <w:rPr>
          <w:rFonts w:cs="Times New Roman"/>
          <w:szCs w:val="24"/>
        </w:rPr>
        <w:tab/>
      </w:r>
      <w:r w:rsidRPr="00DF0680">
        <w:rPr>
          <w:rFonts w:cs="Times New Roman"/>
          <w:szCs w:val="24"/>
        </w:rPr>
        <w:tab/>
      </w:r>
      <w:r w:rsidRPr="00DF0680">
        <w:rPr>
          <w:rFonts w:cs="Times New Roman"/>
          <w:szCs w:val="24"/>
        </w:rPr>
        <w:tab/>
        <w:t>Uracil</w:t>
      </w:r>
    </w:p>
    <w:p w:rsidR="003F0F7E" w:rsidRPr="00DF0680" w:rsidRDefault="003F0F7E" w:rsidP="003F0F7E">
      <w:pPr>
        <w:spacing w:line="240" w:lineRule="auto"/>
        <w:rPr>
          <w:rFonts w:cs="Times New Roman"/>
          <w:szCs w:val="24"/>
        </w:rPr>
      </w:pPr>
      <w:r w:rsidRPr="00DF0680">
        <w:rPr>
          <w:rFonts w:cs="Times New Roman"/>
          <w:szCs w:val="24"/>
        </w:rPr>
        <w:t>UV</w:t>
      </w:r>
      <w:r w:rsidRPr="00DF0680">
        <w:rPr>
          <w:rFonts w:cs="Times New Roman"/>
          <w:szCs w:val="24"/>
        </w:rPr>
        <w:tab/>
      </w:r>
      <w:r w:rsidRPr="00DF0680">
        <w:rPr>
          <w:rFonts w:cs="Times New Roman"/>
          <w:szCs w:val="24"/>
        </w:rPr>
        <w:tab/>
      </w:r>
      <w:r w:rsidRPr="00DF0680">
        <w:rPr>
          <w:rFonts w:cs="Times New Roman"/>
          <w:szCs w:val="24"/>
        </w:rPr>
        <w:tab/>
        <w:t>Ultraviolet</w:t>
      </w:r>
    </w:p>
    <w:p w:rsidR="003F0F7E" w:rsidRPr="00DF0680" w:rsidRDefault="003F0F7E" w:rsidP="003F0F7E">
      <w:pPr>
        <w:spacing w:line="240" w:lineRule="auto"/>
        <w:rPr>
          <w:rFonts w:cs="Times New Roman"/>
          <w:szCs w:val="24"/>
        </w:rPr>
      </w:pPr>
      <w:r w:rsidRPr="00DF0680">
        <w:rPr>
          <w:rFonts w:cs="Times New Roman"/>
          <w:szCs w:val="24"/>
        </w:rPr>
        <w:t>WB</w:t>
      </w:r>
      <w:r w:rsidRPr="00DF0680">
        <w:rPr>
          <w:rFonts w:cs="Times New Roman"/>
          <w:szCs w:val="24"/>
        </w:rPr>
        <w:tab/>
      </w:r>
      <w:r w:rsidRPr="00DF0680">
        <w:rPr>
          <w:rFonts w:cs="Times New Roman"/>
          <w:szCs w:val="24"/>
        </w:rPr>
        <w:tab/>
      </w:r>
      <w:r w:rsidRPr="00DF0680">
        <w:rPr>
          <w:rFonts w:cs="Times New Roman"/>
          <w:szCs w:val="24"/>
        </w:rPr>
        <w:tab/>
        <w:t>Western blot</w:t>
      </w:r>
    </w:p>
    <w:p w:rsidR="003F0F7E" w:rsidRPr="00DF0680" w:rsidRDefault="003F0F7E" w:rsidP="003F0F7E">
      <w:pPr>
        <w:spacing w:line="240" w:lineRule="auto"/>
        <w:rPr>
          <w:rFonts w:cs="Times New Roman"/>
          <w:szCs w:val="24"/>
        </w:rPr>
      </w:pPr>
      <w:r w:rsidRPr="00DF0680">
        <w:rPr>
          <w:rFonts w:cs="Times New Roman"/>
          <w:szCs w:val="24"/>
        </w:rPr>
        <w:lastRenderedPageBreak/>
        <w:t>WHO</w:t>
      </w:r>
      <w:r w:rsidRPr="00DF0680">
        <w:rPr>
          <w:rFonts w:cs="Times New Roman"/>
          <w:szCs w:val="24"/>
        </w:rPr>
        <w:tab/>
      </w:r>
      <w:r w:rsidRPr="00DF0680">
        <w:rPr>
          <w:rFonts w:cs="Times New Roman"/>
          <w:szCs w:val="24"/>
        </w:rPr>
        <w:tab/>
      </w:r>
      <w:r w:rsidRPr="00DF0680">
        <w:rPr>
          <w:rFonts w:cs="Times New Roman"/>
          <w:szCs w:val="24"/>
        </w:rPr>
        <w:tab/>
        <w:t>World Health Organization</w:t>
      </w:r>
    </w:p>
    <w:p w:rsidR="003F0F7E" w:rsidRPr="00DF0680" w:rsidRDefault="003F0F7E" w:rsidP="003F0F7E">
      <w:pPr>
        <w:spacing w:line="240" w:lineRule="auto"/>
        <w:rPr>
          <w:rFonts w:cs="Times New Roman"/>
          <w:szCs w:val="24"/>
        </w:rPr>
      </w:pPr>
      <w:r w:rsidRPr="00DF0680">
        <w:rPr>
          <w:rFonts w:cs="Times New Roman"/>
          <w:szCs w:val="24"/>
        </w:rPr>
        <w:t>WS</w:t>
      </w:r>
      <w:r w:rsidRPr="00DF0680">
        <w:rPr>
          <w:rFonts w:cs="Times New Roman"/>
          <w:szCs w:val="24"/>
        </w:rPr>
        <w:tab/>
      </w:r>
      <w:r w:rsidRPr="00DF0680">
        <w:rPr>
          <w:rFonts w:cs="Times New Roman"/>
          <w:szCs w:val="24"/>
        </w:rPr>
        <w:tab/>
      </w:r>
      <w:r w:rsidRPr="00DF0680">
        <w:rPr>
          <w:rFonts w:cs="Times New Roman"/>
          <w:szCs w:val="24"/>
        </w:rPr>
        <w:tab/>
        <w:t>Werner’s syndrome</w:t>
      </w:r>
    </w:p>
    <w:p w:rsidR="003F0F7E" w:rsidRPr="00DF0680" w:rsidRDefault="003F0F7E" w:rsidP="003F0F7E">
      <w:pPr>
        <w:spacing w:line="240" w:lineRule="auto"/>
        <w:rPr>
          <w:rFonts w:cs="Times New Roman"/>
          <w:szCs w:val="24"/>
        </w:rPr>
      </w:pPr>
      <w:r w:rsidRPr="00DF0680">
        <w:rPr>
          <w:rFonts w:cs="Times New Roman"/>
          <w:szCs w:val="24"/>
        </w:rPr>
        <w:t>XP</w:t>
      </w:r>
      <w:r w:rsidRPr="00DF0680">
        <w:rPr>
          <w:rFonts w:cs="Times New Roman"/>
          <w:szCs w:val="24"/>
        </w:rPr>
        <w:tab/>
      </w:r>
      <w:r w:rsidRPr="00DF0680">
        <w:rPr>
          <w:rFonts w:cs="Times New Roman"/>
          <w:szCs w:val="24"/>
        </w:rPr>
        <w:tab/>
      </w:r>
      <w:r w:rsidRPr="00DF0680">
        <w:rPr>
          <w:rFonts w:cs="Times New Roman"/>
          <w:szCs w:val="24"/>
        </w:rPr>
        <w:tab/>
        <w:t>Xeroderma pigmentosum</w:t>
      </w:r>
    </w:p>
    <w:p w:rsidR="003F0F7E" w:rsidRPr="00DF0680" w:rsidRDefault="003F0F7E" w:rsidP="003F0F7E">
      <w:pPr>
        <w:spacing w:line="240" w:lineRule="auto"/>
        <w:rPr>
          <w:rFonts w:cs="Times New Roman"/>
          <w:szCs w:val="24"/>
        </w:rPr>
      </w:pPr>
      <w:r w:rsidRPr="00DF0680">
        <w:rPr>
          <w:rFonts w:cs="Times New Roman"/>
          <w:szCs w:val="24"/>
        </w:rPr>
        <w:t>μg</w:t>
      </w:r>
      <w:r w:rsidRPr="00DF0680">
        <w:rPr>
          <w:rFonts w:cs="Times New Roman"/>
          <w:szCs w:val="24"/>
        </w:rPr>
        <w:tab/>
      </w:r>
      <w:r w:rsidRPr="00DF0680">
        <w:rPr>
          <w:rFonts w:cs="Times New Roman"/>
          <w:szCs w:val="24"/>
        </w:rPr>
        <w:tab/>
      </w:r>
      <w:r w:rsidRPr="00DF0680">
        <w:rPr>
          <w:rFonts w:cs="Times New Roman"/>
          <w:szCs w:val="24"/>
        </w:rPr>
        <w:tab/>
        <w:t>Microgram</w:t>
      </w:r>
    </w:p>
    <w:p w:rsidR="003F0F7E" w:rsidRPr="00DF0680" w:rsidRDefault="003F0F7E" w:rsidP="003F0F7E">
      <w:pPr>
        <w:spacing w:line="240" w:lineRule="auto"/>
        <w:rPr>
          <w:rFonts w:cs="Times New Roman"/>
          <w:szCs w:val="24"/>
        </w:rPr>
      </w:pPr>
      <w:r w:rsidRPr="00DF0680">
        <w:rPr>
          <w:rFonts w:cs="Times New Roman"/>
          <w:szCs w:val="24"/>
        </w:rPr>
        <w:t>μL</w:t>
      </w:r>
      <w:r w:rsidRPr="00DF0680">
        <w:rPr>
          <w:rFonts w:cs="Times New Roman"/>
          <w:szCs w:val="24"/>
        </w:rPr>
        <w:tab/>
      </w:r>
      <w:r w:rsidRPr="00DF0680">
        <w:rPr>
          <w:rFonts w:cs="Times New Roman"/>
          <w:szCs w:val="24"/>
        </w:rPr>
        <w:tab/>
      </w:r>
      <w:r w:rsidRPr="00DF0680">
        <w:rPr>
          <w:rFonts w:cs="Times New Roman"/>
          <w:szCs w:val="24"/>
        </w:rPr>
        <w:tab/>
        <w:t>Microlitre</w:t>
      </w:r>
    </w:p>
    <w:p w:rsidR="003F0F7E" w:rsidRPr="00DF0680" w:rsidRDefault="003F0F7E" w:rsidP="003F0F7E">
      <w:pPr>
        <w:spacing w:line="240" w:lineRule="auto"/>
        <w:rPr>
          <w:rFonts w:cs="Times New Roman"/>
          <w:szCs w:val="24"/>
        </w:rPr>
      </w:pPr>
      <w:r w:rsidRPr="00DF0680">
        <w:rPr>
          <w:rFonts w:cs="Times New Roman"/>
          <w:szCs w:val="24"/>
        </w:rPr>
        <w:t>μM</w:t>
      </w:r>
      <w:r w:rsidRPr="00DF0680">
        <w:rPr>
          <w:rFonts w:cs="Times New Roman"/>
          <w:szCs w:val="24"/>
        </w:rPr>
        <w:tab/>
      </w:r>
      <w:r w:rsidRPr="00DF0680">
        <w:rPr>
          <w:rFonts w:cs="Times New Roman"/>
          <w:szCs w:val="24"/>
        </w:rPr>
        <w:tab/>
      </w:r>
      <w:r w:rsidRPr="00DF0680">
        <w:rPr>
          <w:rFonts w:cs="Times New Roman"/>
          <w:szCs w:val="24"/>
        </w:rPr>
        <w:tab/>
        <w:t>Micromolar</w:t>
      </w:r>
    </w:p>
    <w:p w:rsidR="003F0F7E" w:rsidRPr="00DF0680" w:rsidRDefault="003F0F7E" w:rsidP="003F0F7E">
      <w:pPr>
        <w:rPr>
          <w:rFonts w:cs="Times New Roman"/>
          <w:szCs w:val="24"/>
        </w:rPr>
      </w:pPr>
    </w:p>
    <w:p w:rsidR="003F0F7E" w:rsidRPr="00DF0680" w:rsidRDefault="003F0F7E" w:rsidP="003F0F7E">
      <w:pPr>
        <w:rPr>
          <w:rFonts w:cs="Times New Roman"/>
          <w:szCs w:val="24"/>
        </w:rPr>
        <w:sectPr w:rsidR="003F0F7E" w:rsidRPr="00DF0680" w:rsidSect="003F0F7E">
          <w:headerReference w:type="default" r:id="rId13"/>
          <w:pgSz w:w="11906" w:h="16838"/>
          <w:pgMar w:top="1440" w:right="1134" w:bottom="1440" w:left="2268" w:header="709" w:footer="709" w:gutter="0"/>
          <w:pgNumType w:fmt="lowerRoman"/>
          <w:cols w:space="708"/>
          <w:docGrid w:linePitch="360"/>
        </w:sectPr>
      </w:pPr>
    </w:p>
    <w:p w:rsidR="003F0F7E" w:rsidRPr="00DF0680" w:rsidRDefault="003F0F7E" w:rsidP="003F0F7E">
      <w:pPr>
        <w:jc w:val="center"/>
        <w:rPr>
          <w:rFonts w:cs="Times New Roman"/>
          <w:b/>
          <w:sz w:val="32"/>
          <w:szCs w:val="24"/>
        </w:rPr>
      </w:pPr>
      <w:r w:rsidRPr="00DF0680">
        <w:rPr>
          <w:rFonts w:cs="Times New Roman"/>
          <w:b/>
          <w:sz w:val="32"/>
          <w:szCs w:val="24"/>
        </w:rPr>
        <w:lastRenderedPageBreak/>
        <w:t>Contents Page</w:t>
      </w:r>
    </w:p>
    <w:p w:rsidR="00A430D9" w:rsidRPr="00DF0680" w:rsidRDefault="00F20EC0">
      <w:pPr>
        <w:pStyle w:val="TOC1"/>
        <w:rPr>
          <w:rFonts w:asciiTheme="minorHAnsi" w:eastAsiaTheme="minorEastAsia" w:hAnsiTheme="minorHAnsi" w:cstheme="minorBidi"/>
          <w:b w:val="0"/>
          <w:noProof w:val="0"/>
          <w:color w:val="auto"/>
          <w:sz w:val="22"/>
        </w:rPr>
      </w:pPr>
      <w:r w:rsidRPr="00DF0680">
        <w:rPr>
          <w:rFonts w:cs="Times New Roman"/>
          <w:b w:val="0"/>
          <w:noProof w:val="0"/>
          <w:szCs w:val="24"/>
        </w:rPr>
        <w:fldChar w:fldCharType="begin"/>
      </w:r>
      <w:r w:rsidR="00A430D9" w:rsidRPr="00DF0680">
        <w:rPr>
          <w:rFonts w:cs="Times New Roman"/>
          <w:b w:val="0"/>
          <w:noProof w:val="0"/>
          <w:szCs w:val="24"/>
        </w:rPr>
        <w:instrText xml:space="preserve"> TOC \o "1-2" \h \z \u </w:instrText>
      </w:r>
      <w:r w:rsidRPr="00DF0680">
        <w:rPr>
          <w:rFonts w:cs="Times New Roman"/>
          <w:b w:val="0"/>
          <w:noProof w:val="0"/>
          <w:szCs w:val="24"/>
        </w:rPr>
        <w:fldChar w:fldCharType="separate"/>
      </w:r>
      <w:hyperlink w:anchor="_Toc417204766" w:history="1">
        <w:r w:rsidR="00A430D9" w:rsidRPr="00DF0680">
          <w:rPr>
            <w:rStyle w:val="Hyperlink"/>
            <w:noProof w:val="0"/>
            <w:snapToGrid w:val="0"/>
            <w:w w:val="0"/>
          </w:rPr>
          <w:t>Chapter 1</w:t>
        </w:r>
        <w:r w:rsidR="00A430D9" w:rsidRPr="00DF0680">
          <w:rPr>
            <w:rFonts w:asciiTheme="minorHAnsi" w:eastAsiaTheme="minorEastAsia" w:hAnsiTheme="minorHAnsi" w:cstheme="minorBidi"/>
            <w:b w:val="0"/>
            <w:noProof w:val="0"/>
            <w:color w:val="auto"/>
            <w:sz w:val="22"/>
          </w:rPr>
          <w:tab/>
        </w:r>
        <w:r w:rsidR="00A430D9" w:rsidRPr="00DF0680">
          <w:rPr>
            <w:rStyle w:val="Hyperlink"/>
            <w:noProof w:val="0"/>
          </w:rPr>
          <w:t>– Introduction</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_Toc417204766 \h </w:instrText>
        </w:r>
        <w:r w:rsidRPr="00DF0680">
          <w:rPr>
            <w:noProof w:val="0"/>
            <w:webHidden/>
          </w:rPr>
        </w:r>
        <w:r w:rsidRPr="00DF0680">
          <w:rPr>
            <w:noProof w:val="0"/>
            <w:webHidden/>
          </w:rPr>
          <w:fldChar w:fldCharType="separate"/>
        </w:r>
        <w:r w:rsidR="009801AF" w:rsidRPr="00DF0680">
          <w:rPr>
            <w:noProof w:val="0"/>
            <w:webHidden/>
          </w:rPr>
          <w:t>1</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67" w:history="1">
        <w:r w:rsidR="00A430D9" w:rsidRPr="00DF0680">
          <w:rPr>
            <w:rStyle w:val="Hyperlink"/>
            <w:noProof w:val="0"/>
          </w:rPr>
          <w:t>1.1</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Cancer</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_Toc417204767 \h </w:instrText>
        </w:r>
        <w:r w:rsidRPr="00DF0680">
          <w:rPr>
            <w:noProof w:val="0"/>
            <w:webHidden/>
          </w:rPr>
        </w:r>
        <w:r w:rsidRPr="00DF0680">
          <w:rPr>
            <w:noProof w:val="0"/>
            <w:webHidden/>
          </w:rPr>
          <w:fldChar w:fldCharType="separate"/>
        </w:r>
        <w:r w:rsidR="009801AF" w:rsidRPr="00DF0680">
          <w:rPr>
            <w:noProof w:val="0"/>
            <w:webHidden/>
          </w:rPr>
          <w:t>4</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68" w:history="1">
        <w:r w:rsidR="00A430D9" w:rsidRPr="00DF0680">
          <w:rPr>
            <w:rStyle w:val="Hyperlink"/>
            <w:noProof w:val="0"/>
          </w:rPr>
          <w:t>1.2</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DNA Damage</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_Toc417204768 \h </w:instrText>
        </w:r>
        <w:r w:rsidRPr="00DF0680">
          <w:rPr>
            <w:noProof w:val="0"/>
            <w:webHidden/>
          </w:rPr>
        </w:r>
        <w:r w:rsidRPr="00DF0680">
          <w:rPr>
            <w:noProof w:val="0"/>
            <w:webHidden/>
          </w:rPr>
          <w:fldChar w:fldCharType="separate"/>
        </w:r>
        <w:r w:rsidR="009801AF" w:rsidRPr="00DF0680">
          <w:rPr>
            <w:noProof w:val="0"/>
            <w:webHidden/>
          </w:rPr>
          <w:t>9</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69" w:history="1">
        <w:r w:rsidR="00A430D9" w:rsidRPr="00DF0680">
          <w:rPr>
            <w:rStyle w:val="Hyperlink"/>
            <w:noProof w:val="0"/>
          </w:rPr>
          <w:t>1.3</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DNA Damage Response</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_Toc417204769 \h </w:instrText>
        </w:r>
        <w:r w:rsidRPr="00DF0680">
          <w:rPr>
            <w:noProof w:val="0"/>
            <w:webHidden/>
          </w:rPr>
        </w:r>
        <w:r w:rsidRPr="00DF0680">
          <w:rPr>
            <w:noProof w:val="0"/>
            <w:webHidden/>
          </w:rPr>
          <w:fldChar w:fldCharType="separate"/>
        </w:r>
        <w:r w:rsidR="009801AF" w:rsidRPr="00DF0680">
          <w:rPr>
            <w:noProof w:val="0"/>
            <w:webHidden/>
          </w:rPr>
          <w:t>14</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70" w:history="1">
        <w:r w:rsidR="00A430D9" w:rsidRPr="00DF0680">
          <w:rPr>
            <w:rStyle w:val="Hyperlink"/>
            <w:noProof w:val="0"/>
          </w:rPr>
          <w:t>1.4</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 family</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_Toc417204770 \h </w:instrText>
        </w:r>
        <w:r w:rsidRPr="00DF0680">
          <w:rPr>
            <w:noProof w:val="0"/>
            <w:webHidden/>
          </w:rPr>
        </w:r>
        <w:r w:rsidRPr="00DF0680">
          <w:rPr>
            <w:noProof w:val="0"/>
            <w:webHidden/>
          </w:rPr>
          <w:fldChar w:fldCharType="separate"/>
        </w:r>
        <w:r w:rsidR="009801AF" w:rsidRPr="00DF0680">
          <w:rPr>
            <w:noProof w:val="0"/>
            <w:webHidden/>
          </w:rPr>
          <w:t>37</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71" w:history="1">
        <w:r w:rsidR="00A430D9" w:rsidRPr="00DF0680">
          <w:rPr>
            <w:rStyle w:val="Hyperlink"/>
            <w:noProof w:val="0"/>
          </w:rPr>
          <w:t>1.5</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RECQL5</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_Toc417204771 \h </w:instrText>
        </w:r>
        <w:r w:rsidRPr="00DF0680">
          <w:rPr>
            <w:noProof w:val="0"/>
            <w:webHidden/>
          </w:rPr>
        </w:r>
        <w:r w:rsidRPr="00DF0680">
          <w:rPr>
            <w:noProof w:val="0"/>
            <w:webHidden/>
          </w:rPr>
          <w:fldChar w:fldCharType="separate"/>
        </w:r>
        <w:r w:rsidR="009801AF" w:rsidRPr="00DF0680">
          <w:rPr>
            <w:noProof w:val="0"/>
            <w:webHidden/>
          </w:rPr>
          <w:t>51</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72" w:history="1">
        <w:r w:rsidR="00A430D9" w:rsidRPr="00DF0680">
          <w:rPr>
            <w:rStyle w:val="Hyperlink"/>
            <w:noProof w:val="0"/>
          </w:rPr>
          <w:t>1.6</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Aims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_Toc417204772 \h </w:instrText>
        </w:r>
        <w:r w:rsidRPr="00DF0680">
          <w:rPr>
            <w:noProof w:val="0"/>
            <w:webHidden/>
          </w:rPr>
        </w:r>
        <w:r w:rsidRPr="00DF0680">
          <w:rPr>
            <w:noProof w:val="0"/>
            <w:webHidden/>
          </w:rPr>
          <w:fldChar w:fldCharType="separate"/>
        </w:r>
        <w:r w:rsidR="009801AF" w:rsidRPr="00DF0680">
          <w:rPr>
            <w:noProof w:val="0"/>
            <w:webHidden/>
          </w:rPr>
          <w:t>55</w:t>
        </w:r>
        <w:r w:rsidRPr="00DF0680">
          <w:rPr>
            <w:noProof w:val="0"/>
            <w:webHidden/>
          </w:rPr>
          <w:fldChar w:fldCharType="end"/>
        </w:r>
      </w:hyperlink>
    </w:p>
    <w:p w:rsidR="00A430D9" w:rsidRPr="00DF0680" w:rsidRDefault="00F20EC0">
      <w:pPr>
        <w:pStyle w:val="TOC1"/>
        <w:rPr>
          <w:rFonts w:asciiTheme="minorHAnsi" w:eastAsiaTheme="minorEastAsia" w:hAnsiTheme="minorHAnsi" w:cstheme="minorBidi"/>
          <w:b w:val="0"/>
          <w:noProof w:val="0"/>
          <w:color w:val="auto"/>
          <w:sz w:val="22"/>
        </w:rPr>
      </w:pPr>
      <w:hyperlink w:anchor="_Toc417204773" w:history="1">
        <w:r w:rsidR="00A430D9" w:rsidRPr="00DF0680">
          <w:rPr>
            <w:rStyle w:val="Hyperlink"/>
            <w:noProof w:val="0"/>
            <w:snapToGrid w:val="0"/>
            <w:w w:val="0"/>
          </w:rPr>
          <w:t>Chapter 2</w:t>
        </w:r>
        <w:r w:rsidR="00A430D9" w:rsidRPr="00DF0680">
          <w:rPr>
            <w:rFonts w:asciiTheme="minorHAnsi" w:eastAsiaTheme="minorEastAsia" w:hAnsiTheme="minorHAnsi" w:cstheme="minorBidi"/>
            <w:b w:val="0"/>
            <w:noProof w:val="0"/>
            <w:color w:val="auto"/>
            <w:sz w:val="22"/>
          </w:rPr>
          <w:tab/>
        </w:r>
        <w:r w:rsidR="00A430D9" w:rsidRPr="00DF0680">
          <w:rPr>
            <w:rStyle w:val="Hyperlink"/>
            <w:noProof w:val="0"/>
          </w:rPr>
          <w:t>– Materials and Methods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_Toc417204773 \h </w:instrText>
        </w:r>
        <w:r w:rsidRPr="00DF0680">
          <w:rPr>
            <w:noProof w:val="0"/>
            <w:webHidden/>
          </w:rPr>
        </w:r>
        <w:r w:rsidRPr="00DF0680">
          <w:rPr>
            <w:noProof w:val="0"/>
            <w:webHidden/>
          </w:rPr>
          <w:fldChar w:fldCharType="separate"/>
        </w:r>
        <w:r w:rsidR="009801AF" w:rsidRPr="00DF0680">
          <w:rPr>
            <w:noProof w:val="0"/>
            <w:webHidden/>
          </w:rPr>
          <w:t>56</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74" w:history="1">
        <w:r w:rsidR="00A430D9" w:rsidRPr="00DF0680">
          <w:rPr>
            <w:rStyle w:val="Hyperlink"/>
            <w:noProof w:val="0"/>
          </w:rPr>
          <w:t>2.1</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Materials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_Toc417204774 \h </w:instrText>
        </w:r>
        <w:r w:rsidRPr="00DF0680">
          <w:rPr>
            <w:noProof w:val="0"/>
            <w:webHidden/>
          </w:rPr>
        </w:r>
        <w:r w:rsidRPr="00DF0680">
          <w:rPr>
            <w:noProof w:val="0"/>
            <w:webHidden/>
          </w:rPr>
          <w:fldChar w:fldCharType="separate"/>
        </w:r>
        <w:r w:rsidR="009801AF" w:rsidRPr="00DF0680">
          <w:rPr>
            <w:noProof w:val="0"/>
            <w:webHidden/>
          </w:rPr>
          <w:t>59</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75" w:history="1">
        <w:r w:rsidR="00A430D9" w:rsidRPr="00DF0680">
          <w:rPr>
            <w:rStyle w:val="Hyperlink"/>
            <w:noProof w:val="0"/>
          </w:rPr>
          <w:t>2.2</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Methods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_Toc417204775 \h </w:instrText>
        </w:r>
        <w:r w:rsidRPr="00DF0680">
          <w:rPr>
            <w:noProof w:val="0"/>
            <w:webHidden/>
          </w:rPr>
        </w:r>
        <w:r w:rsidRPr="00DF0680">
          <w:rPr>
            <w:noProof w:val="0"/>
            <w:webHidden/>
          </w:rPr>
          <w:fldChar w:fldCharType="separate"/>
        </w:r>
        <w:r w:rsidR="009801AF" w:rsidRPr="00DF0680">
          <w:rPr>
            <w:noProof w:val="0"/>
            <w:webHidden/>
          </w:rPr>
          <w:t>69</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76" w:history="1">
        <w:r w:rsidR="00A430D9" w:rsidRPr="00DF0680">
          <w:rPr>
            <w:rStyle w:val="Hyperlink"/>
            <w:noProof w:val="0"/>
          </w:rPr>
          <w:t>2.3</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Statistics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_Toc417204776 \h </w:instrText>
        </w:r>
        <w:r w:rsidRPr="00DF0680">
          <w:rPr>
            <w:noProof w:val="0"/>
            <w:webHidden/>
          </w:rPr>
        </w:r>
        <w:r w:rsidRPr="00DF0680">
          <w:rPr>
            <w:noProof w:val="0"/>
            <w:webHidden/>
          </w:rPr>
          <w:fldChar w:fldCharType="separate"/>
        </w:r>
        <w:r w:rsidR="009801AF" w:rsidRPr="00DF0680">
          <w:rPr>
            <w:noProof w:val="0"/>
            <w:webHidden/>
          </w:rPr>
          <w:t>86</w:t>
        </w:r>
        <w:r w:rsidRPr="00DF0680">
          <w:rPr>
            <w:noProof w:val="0"/>
            <w:webHidden/>
          </w:rPr>
          <w:fldChar w:fldCharType="end"/>
        </w:r>
      </w:hyperlink>
    </w:p>
    <w:p w:rsidR="00A430D9" w:rsidRPr="00DF0680" w:rsidRDefault="00F20EC0">
      <w:pPr>
        <w:pStyle w:val="TOC1"/>
        <w:rPr>
          <w:rFonts w:asciiTheme="minorHAnsi" w:eastAsiaTheme="minorEastAsia" w:hAnsiTheme="minorHAnsi" w:cstheme="minorBidi"/>
          <w:b w:val="0"/>
          <w:noProof w:val="0"/>
          <w:color w:val="auto"/>
          <w:sz w:val="22"/>
        </w:rPr>
      </w:pPr>
      <w:hyperlink w:anchor="_Toc417204777" w:history="1">
        <w:r w:rsidR="00A430D9" w:rsidRPr="00DF0680">
          <w:rPr>
            <w:rStyle w:val="Hyperlink"/>
            <w:noProof w:val="0"/>
            <w:snapToGrid w:val="0"/>
            <w:w w:val="0"/>
          </w:rPr>
          <w:t>Chapter 3</w:t>
        </w:r>
        <w:r w:rsidR="00A430D9" w:rsidRPr="00DF0680">
          <w:rPr>
            <w:rFonts w:asciiTheme="minorHAnsi" w:eastAsiaTheme="minorEastAsia" w:hAnsiTheme="minorHAnsi" w:cstheme="minorBidi"/>
            <w:b w:val="0"/>
            <w:noProof w:val="0"/>
            <w:color w:val="auto"/>
            <w:sz w:val="22"/>
          </w:rPr>
          <w:tab/>
        </w:r>
        <w:r w:rsidR="00A430D9" w:rsidRPr="00DF0680">
          <w:rPr>
            <w:rStyle w:val="Hyperlink"/>
            <w:noProof w:val="0"/>
          </w:rPr>
          <w:t>– The expression of RECQL5 in bladder cancer</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_Toc417204777 \h </w:instrText>
        </w:r>
        <w:r w:rsidRPr="00DF0680">
          <w:rPr>
            <w:noProof w:val="0"/>
            <w:webHidden/>
          </w:rPr>
        </w:r>
        <w:r w:rsidRPr="00DF0680">
          <w:rPr>
            <w:noProof w:val="0"/>
            <w:webHidden/>
          </w:rPr>
          <w:fldChar w:fldCharType="separate"/>
        </w:r>
        <w:r w:rsidR="009801AF" w:rsidRPr="00DF0680">
          <w:rPr>
            <w:noProof w:val="0"/>
            <w:webHidden/>
          </w:rPr>
          <w:t>87</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78" w:history="1">
        <w:r w:rsidR="00A430D9" w:rsidRPr="00DF0680">
          <w:rPr>
            <w:rStyle w:val="Hyperlink"/>
            <w:noProof w:val="0"/>
          </w:rPr>
          <w:t>3.1</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Introduction</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_Toc417204778 \h </w:instrText>
        </w:r>
        <w:r w:rsidRPr="00DF0680">
          <w:rPr>
            <w:noProof w:val="0"/>
            <w:webHidden/>
          </w:rPr>
        </w:r>
        <w:r w:rsidRPr="00DF0680">
          <w:rPr>
            <w:noProof w:val="0"/>
            <w:webHidden/>
          </w:rPr>
          <w:fldChar w:fldCharType="separate"/>
        </w:r>
        <w:r w:rsidR="009801AF" w:rsidRPr="00DF0680">
          <w:rPr>
            <w:noProof w:val="0"/>
            <w:webHidden/>
          </w:rPr>
          <w:t>89</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79" w:history="1">
        <w:r w:rsidR="00A430D9" w:rsidRPr="00DF0680">
          <w:rPr>
            <w:rStyle w:val="Hyperlink"/>
            <w:noProof w:val="0"/>
          </w:rPr>
          <w:t>3.2</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RECQL5β mRNA levels are decreased in bladder cancers compared to normal bladder tissue</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_Toc417204779 \h </w:instrText>
        </w:r>
        <w:r w:rsidRPr="00DF0680">
          <w:rPr>
            <w:noProof w:val="0"/>
            <w:webHidden/>
          </w:rPr>
        </w:r>
        <w:r w:rsidRPr="00DF0680">
          <w:rPr>
            <w:noProof w:val="0"/>
            <w:webHidden/>
          </w:rPr>
          <w:fldChar w:fldCharType="separate"/>
        </w:r>
        <w:r w:rsidR="009801AF" w:rsidRPr="00DF0680">
          <w:rPr>
            <w:noProof w:val="0"/>
            <w:webHidden/>
          </w:rPr>
          <w:t>90</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80" w:history="1">
        <w:r w:rsidR="00A430D9" w:rsidRPr="00DF0680">
          <w:rPr>
            <w:rStyle w:val="Hyperlink"/>
            <w:noProof w:val="0"/>
          </w:rPr>
          <w:t>3.3</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RECQL5β protein is over-expressed in bladder cancers compared to normal bladder tissue</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_Toc417204780 \h </w:instrText>
        </w:r>
        <w:r w:rsidRPr="00DF0680">
          <w:rPr>
            <w:noProof w:val="0"/>
            <w:webHidden/>
          </w:rPr>
        </w:r>
        <w:r w:rsidRPr="00DF0680">
          <w:rPr>
            <w:noProof w:val="0"/>
            <w:webHidden/>
          </w:rPr>
          <w:fldChar w:fldCharType="separate"/>
        </w:r>
        <w:r w:rsidR="009801AF" w:rsidRPr="00DF0680">
          <w:rPr>
            <w:noProof w:val="0"/>
            <w:webHidden/>
          </w:rPr>
          <w:t>93</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81" w:history="1">
        <w:r w:rsidR="00A430D9" w:rsidRPr="00DF0680">
          <w:rPr>
            <w:rStyle w:val="Hyperlink"/>
            <w:noProof w:val="0"/>
          </w:rPr>
          <w:t>3.4</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Difference in RECQL5β protein expression is not due to cell cycle differences between cell lines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_Toc417204781 \h </w:instrText>
        </w:r>
        <w:r w:rsidRPr="00DF0680">
          <w:rPr>
            <w:noProof w:val="0"/>
            <w:webHidden/>
          </w:rPr>
        </w:r>
        <w:r w:rsidRPr="00DF0680">
          <w:rPr>
            <w:noProof w:val="0"/>
            <w:webHidden/>
          </w:rPr>
          <w:fldChar w:fldCharType="separate"/>
        </w:r>
        <w:r w:rsidR="009801AF" w:rsidRPr="00DF0680">
          <w:rPr>
            <w:noProof w:val="0"/>
            <w:webHidden/>
          </w:rPr>
          <w:t>97</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82" w:history="1">
        <w:r w:rsidR="00A430D9" w:rsidRPr="00DF0680">
          <w:rPr>
            <w:rStyle w:val="Hyperlink"/>
            <w:noProof w:val="0"/>
          </w:rPr>
          <w:t>3.5</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Regulation of RECQL5β is not due to altered promoter methylation status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_Toc417204782 \h </w:instrText>
        </w:r>
        <w:r w:rsidRPr="00DF0680">
          <w:rPr>
            <w:noProof w:val="0"/>
            <w:webHidden/>
          </w:rPr>
        </w:r>
        <w:r w:rsidRPr="00DF0680">
          <w:rPr>
            <w:noProof w:val="0"/>
            <w:webHidden/>
          </w:rPr>
          <w:fldChar w:fldCharType="separate"/>
        </w:r>
        <w:r w:rsidR="009801AF" w:rsidRPr="00DF0680">
          <w:rPr>
            <w:noProof w:val="0"/>
            <w:webHidden/>
          </w:rPr>
          <w:t>102</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83" w:history="1">
        <w:r w:rsidR="00A430D9" w:rsidRPr="00DF0680">
          <w:rPr>
            <w:rStyle w:val="Hyperlink"/>
            <w:noProof w:val="0"/>
          </w:rPr>
          <w:t>3.6</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The stability of RECQL5β protein is similar between cancer and normal cell lines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_Toc417204783 \h </w:instrText>
        </w:r>
        <w:r w:rsidRPr="00DF0680">
          <w:rPr>
            <w:noProof w:val="0"/>
            <w:webHidden/>
          </w:rPr>
        </w:r>
        <w:r w:rsidRPr="00DF0680">
          <w:rPr>
            <w:noProof w:val="0"/>
            <w:webHidden/>
          </w:rPr>
          <w:fldChar w:fldCharType="separate"/>
        </w:r>
        <w:r w:rsidR="009801AF" w:rsidRPr="00DF0680">
          <w:rPr>
            <w:noProof w:val="0"/>
            <w:webHidden/>
          </w:rPr>
          <w:t>105</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84" w:history="1">
        <w:r w:rsidR="00A430D9" w:rsidRPr="00DF0680">
          <w:rPr>
            <w:rStyle w:val="Hyperlink"/>
            <w:noProof w:val="0"/>
          </w:rPr>
          <w:t>3.7</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RECQL5β 3’UTR does not confer differential protein expression between bladder cell lines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_Toc417204784 \h </w:instrText>
        </w:r>
        <w:r w:rsidRPr="00DF0680">
          <w:rPr>
            <w:noProof w:val="0"/>
            <w:webHidden/>
          </w:rPr>
        </w:r>
        <w:r w:rsidRPr="00DF0680">
          <w:rPr>
            <w:noProof w:val="0"/>
            <w:webHidden/>
          </w:rPr>
          <w:fldChar w:fldCharType="separate"/>
        </w:r>
        <w:r w:rsidR="009801AF" w:rsidRPr="00DF0680">
          <w:rPr>
            <w:noProof w:val="0"/>
            <w:webHidden/>
          </w:rPr>
          <w:t>108</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85" w:history="1">
        <w:r w:rsidR="00A430D9" w:rsidRPr="00DF0680">
          <w:rPr>
            <w:rStyle w:val="Hyperlink"/>
            <w:noProof w:val="0"/>
          </w:rPr>
          <w:t>3.8</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Regulation of translation initiation is altered in bladder cancer cells to increase global protein translation</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_Toc417204785 \h </w:instrText>
        </w:r>
        <w:r w:rsidRPr="00DF0680">
          <w:rPr>
            <w:noProof w:val="0"/>
            <w:webHidden/>
          </w:rPr>
        </w:r>
        <w:r w:rsidRPr="00DF0680">
          <w:rPr>
            <w:noProof w:val="0"/>
            <w:webHidden/>
          </w:rPr>
          <w:fldChar w:fldCharType="separate"/>
        </w:r>
        <w:r w:rsidR="009801AF" w:rsidRPr="00DF0680">
          <w:rPr>
            <w:noProof w:val="0"/>
            <w:webHidden/>
          </w:rPr>
          <w:t>110</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86" w:history="1">
        <w:r w:rsidR="00A430D9" w:rsidRPr="00DF0680">
          <w:rPr>
            <w:rStyle w:val="Hyperlink"/>
            <w:noProof w:val="0"/>
          </w:rPr>
          <w:t>3.9</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Discussion</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_Toc417204786 \h </w:instrText>
        </w:r>
        <w:r w:rsidRPr="00DF0680">
          <w:rPr>
            <w:noProof w:val="0"/>
            <w:webHidden/>
          </w:rPr>
        </w:r>
        <w:r w:rsidRPr="00DF0680">
          <w:rPr>
            <w:noProof w:val="0"/>
            <w:webHidden/>
          </w:rPr>
          <w:fldChar w:fldCharType="separate"/>
        </w:r>
        <w:r w:rsidR="009801AF" w:rsidRPr="00DF0680">
          <w:rPr>
            <w:noProof w:val="0"/>
            <w:webHidden/>
          </w:rPr>
          <w:t>111</w:t>
        </w:r>
        <w:r w:rsidRPr="00DF0680">
          <w:rPr>
            <w:noProof w:val="0"/>
            <w:webHidden/>
          </w:rPr>
          <w:fldChar w:fldCharType="end"/>
        </w:r>
      </w:hyperlink>
    </w:p>
    <w:p w:rsidR="00A430D9" w:rsidRPr="00DF0680" w:rsidRDefault="00F20EC0">
      <w:pPr>
        <w:pStyle w:val="TOC1"/>
        <w:rPr>
          <w:rFonts w:asciiTheme="minorHAnsi" w:eastAsiaTheme="minorEastAsia" w:hAnsiTheme="minorHAnsi" w:cstheme="minorBidi"/>
          <w:b w:val="0"/>
          <w:noProof w:val="0"/>
          <w:color w:val="auto"/>
          <w:sz w:val="22"/>
        </w:rPr>
      </w:pPr>
      <w:hyperlink w:anchor="_Toc417204787" w:history="1">
        <w:r w:rsidR="00A430D9" w:rsidRPr="00DF0680">
          <w:rPr>
            <w:rStyle w:val="Hyperlink"/>
            <w:noProof w:val="0"/>
            <w:snapToGrid w:val="0"/>
            <w:w w:val="0"/>
          </w:rPr>
          <w:t>Chapter 4</w:t>
        </w:r>
        <w:r w:rsidR="00A430D9" w:rsidRPr="00DF0680">
          <w:rPr>
            <w:rFonts w:asciiTheme="minorHAnsi" w:eastAsiaTheme="minorEastAsia" w:hAnsiTheme="minorHAnsi" w:cstheme="minorBidi"/>
            <w:b w:val="0"/>
            <w:noProof w:val="0"/>
            <w:color w:val="auto"/>
            <w:sz w:val="22"/>
          </w:rPr>
          <w:tab/>
        </w:r>
        <w:r w:rsidR="00A430D9" w:rsidRPr="00DF0680">
          <w:rPr>
            <w:rStyle w:val="Hyperlink"/>
            <w:noProof w:val="0"/>
          </w:rPr>
          <w:t>– The role of RECQL5 at the replication fork</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_Toc417204787 \h </w:instrText>
        </w:r>
        <w:r w:rsidRPr="00DF0680">
          <w:rPr>
            <w:noProof w:val="0"/>
            <w:webHidden/>
          </w:rPr>
        </w:r>
        <w:r w:rsidRPr="00DF0680">
          <w:rPr>
            <w:noProof w:val="0"/>
            <w:webHidden/>
          </w:rPr>
          <w:fldChar w:fldCharType="separate"/>
        </w:r>
        <w:r w:rsidR="009801AF" w:rsidRPr="00DF0680">
          <w:rPr>
            <w:noProof w:val="0"/>
            <w:webHidden/>
          </w:rPr>
          <w:t>114</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88" w:history="1">
        <w:r w:rsidR="00A430D9" w:rsidRPr="00DF0680">
          <w:rPr>
            <w:rStyle w:val="Hyperlink"/>
            <w:noProof w:val="0"/>
          </w:rPr>
          <w:t>4.1</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Introduction</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_Toc417204788 \h </w:instrText>
        </w:r>
        <w:r w:rsidRPr="00DF0680">
          <w:rPr>
            <w:noProof w:val="0"/>
            <w:webHidden/>
          </w:rPr>
        </w:r>
        <w:r w:rsidRPr="00DF0680">
          <w:rPr>
            <w:noProof w:val="0"/>
            <w:webHidden/>
          </w:rPr>
          <w:fldChar w:fldCharType="separate"/>
        </w:r>
        <w:r w:rsidR="009801AF" w:rsidRPr="00DF0680">
          <w:rPr>
            <w:noProof w:val="0"/>
            <w:webHidden/>
          </w:rPr>
          <w:t>116</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89" w:history="1">
        <w:r w:rsidR="00A430D9" w:rsidRPr="00DF0680">
          <w:rPr>
            <w:rStyle w:val="Hyperlink"/>
            <w:noProof w:val="0"/>
          </w:rPr>
          <w:t>4.2</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Over-expressing RECQL5β increases endogenous fork speed</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_Toc417204789 \h </w:instrText>
        </w:r>
        <w:r w:rsidRPr="00DF0680">
          <w:rPr>
            <w:noProof w:val="0"/>
            <w:webHidden/>
          </w:rPr>
        </w:r>
        <w:r w:rsidRPr="00DF0680">
          <w:rPr>
            <w:noProof w:val="0"/>
            <w:webHidden/>
          </w:rPr>
          <w:fldChar w:fldCharType="separate"/>
        </w:r>
        <w:r w:rsidR="009801AF" w:rsidRPr="00DF0680">
          <w:rPr>
            <w:noProof w:val="0"/>
            <w:webHidden/>
          </w:rPr>
          <w:t>117</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90" w:history="1">
        <w:r w:rsidR="00A430D9" w:rsidRPr="00DF0680">
          <w:rPr>
            <w:rStyle w:val="Hyperlink"/>
            <w:noProof w:val="0"/>
          </w:rPr>
          <w:t>4.3</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Over-expressing RECQL5β decreases endogenous fork stalling and new origin firing</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_Toc417204790 \h </w:instrText>
        </w:r>
        <w:r w:rsidRPr="00DF0680">
          <w:rPr>
            <w:noProof w:val="0"/>
            <w:webHidden/>
          </w:rPr>
        </w:r>
        <w:r w:rsidRPr="00DF0680">
          <w:rPr>
            <w:noProof w:val="0"/>
            <w:webHidden/>
          </w:rPr>
          <w:fldChar w:fldCharType="separate"/>
        </w:r>
        <w:r w:rsidR="009801AF" w:rsidRPr="00DF0680">
          <w:rPr>
            <w:noProof w:val="0"/>
            <w:webHidden/>
          </w:rPr>
          <w:t>120</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91" w:history="1">
        <w:r w:rsidR="00A430D9" w:rsidRPr="00DF0680">
          <w:rPr>
            <w:rStyle w:val="Hyperlink"/>
            <w:noProof w:val="0"/>
          </w:rPr>
          <w:t>4.4</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Depleting cells of RECQL5β does not alter replication fork dynamics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_Toc417204791 \h </w:instrText>
        </w:r>
        <w:r w:rsidRPr="00DF0680">
          <w:rPr>
            <w:noProof w:val="0"/>
            <w:webHidden/>
          </w:rPr>
        </w:r>
        <w:r w:rsidRPr="00DF0680">
          <w:rPr>
            <w:noProof w:val="0"/>
            <w:webHidden/>
          </w:rPr>
          <w:fldChar w:fldCharType="separate"/>
        </w:r>
        <w:r w:rsidR="009801AF" w:rsidRPr="00DF0680">
          <w:rPr>
            <w:noProof w:val="0"/>
            <w:webHidden/>
          </w:rPr>
          <w:t>122</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92" w:history="1">
        <w:r w:rsidR="00A430D9" w:rsidRPr="00DF0680">
          <w:rPr>
            <w:rStyle w:val="Hyperlink"/>
            <w:noProof w:val="0"/>
          </w:rPr>
          <w:t>4.5</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Over-expressing RECQL5β does not influence speed of fork restart after hydroxyurea treatment</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_Toc417204792 \h </w:instrText>
        </w:r>
        <w:r w:rsidRPr="00DF0680">
          <w:rPr>
            <w:noProof w:val="0"/>
            <w:webHidden/>
          </w:rPr>
        </w:r>
        <w:r w:rsidRPr="00DF0680">
          <w:rPr>
            <w:noProof w:val="0"/>
            <w:webHidden/>
          </w:rPr>
          <w:fldChar w:fldCharType="separate"/>
        </w:r>
        <w:r w:rsidR="009801AF" w:rsidRPr="00DF0680">
          <w:rPr>
            <w:noProof w:val="0"/>
            <w:webHidden/>
          </w:rPr>
          <w:t>123</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93" w:history="1">
        <w:r w:rsidR="00A430D9" w:rsidRPr="00DF0680">
          <w:rPr>
            <w:rStyle w:val="Hyperlink"/>
            <w:noProof w:val="0"/>
          </w:rPr>
          <w:t>4.6</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RECQL5β protects replication forks from camptothecin induced fork slowing</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_Toc417204793 \h </w:instrText>
        </w:r>
        <w:r w:rsidRPr="00DF0680">
          <w:rPr>
            <w:noProof w:val="0"/>
            <w:webHidden/>
          </w:rPr>
        </w:r>
        <w:r w:rsidRPr="00DF0680">
          <w:rPr>
            <w:noProof w:val="0"/>
            <w:webHidden/>
          </w:rPr>
          <w:fldChar w:fldCharType="separate"/>
        </w:r>
        <w:r w:rsidR="009801AF" w:rsidRPr="00DF0680">
          <w:rPr>
            <w:noProof w:val="0"/>
            <w:webHidden/>
          </w:rPr>
          <w:t>126</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94" w:history="1">
        <w:r w:rsidR="00A430D9" w:rsidRPr="00DF0680">
          <w:rPr>
            <w:rStyle w:val="Hyperlink"/>
            <w:noProof w:val="0"/>
          </w:rPr>
          <w:t>4.7</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RECQL5β protects replication forks from DRB induced fork slowing</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_Toc417204794 \h </w:instrText>
        </w:r>
        <w:r w:rsidRPr="00DF0680">
          <w:rPr>
            <w:noProof w:val="0"/>
            <w:webHidden/>
          </w:rPr>
        </w:r>
        <w:r w:rsidRPr="00DF0680">
          <w:rPr>
            <w:noProof w:val="0"/>
            <w:webHidden/>
          </w:rPr>
          <w:fldChar w:fldCharType="separate"/>
        </w:r>
        <w:r w:rsidR="009801AF" w:rsidRPr="00DF0680">
          <w:rPr>
            <w:noProof w:val="0"/>
            <w:webHidden/>
          </w:rPr>
          <w:t>130</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95" w:history="1">
        <w:r w:rsidR="00A430D9" w:rsidRPr="00DF0680">
          <w:rPr>
            <w:rStyle w:val="Hyperlink"/>
            <w:noProof w:val="0"/>
          </w:rPr>
          <w:t>4.8</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The increased fork speed in camptothecin and DRB provided by RECQL5βKR may be dependent on replication-transcription collisions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_Toc417204795 \h </w:instrText>
        </w:r>
        <w:r w:rsidRPr="00DF0680">
          <w:rPr>
            <w:noProof w:val="0"/>
            <w:webHidden/>
          </w:rPr>
        </w:r>
        <w:r w:rsidRPr="00DF0680">
          <w:rPr>
            <w:noProof w:val="0"/>
            <w:webHidden/>
          </w:rPr>
          <w:fldChar w:fldCharType="separate"/>
        </w:r>
        <w:r w:rsidR="009801AF" w:rsidRPr="00DF0680">
          <w:rPr>
            <w:noProof w:val="0"/>
            <w:webHidden/>
          </w:rPr>
          <w:t>132</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96" w:history="1">
        <w:r w:rsidR="00A430D9" w:rsidRPr="00DF0680">
          <w:rPr>
            <w:rStyle w:val="Hyperlink"/>
            <w:noProof w:val="0"/>
          </w:rPr>
          <w:t>4.9</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Treating cells with both CPT and DRB does not reduce DNA damage signalling compared to treating with each individually</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_Toc417204796 \h </w:instrText>
        </w:r>
        <w:r w:rsidRPr="00DF0680">
          <w:rPr>
            <w:noProof w:val="0"/>
            <w:webHidden/>
          </w:rPr>
        </w:r>
        <w:r w:rsidRPr="00DF0680">
          <w:rPr>
            <w:noProof w:val="0"/>
            <w:webHidden/>
          </w:rPr>
          <w:fldChar w:fldCharType="separate"/>
        </w:r>
        <w:r w:rsidR="009801AF" w:rsidRPr="00DF0680">
          <w:rPr>
            <w:noProof w:val="0"/>
            <w:webHidden/>
          </w:rPr>
          <w:t>136</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97" w:history="1">
        <w:r w:rsidR="00A430D9" w:rsidRPr="00DF0680">
          <w:rPr>
            <w:rStyle w:val="Hyperlink"/>
            <w:noProof w:val="0"/>
          </w:rPr>
          <w:t>4.10</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Discussion</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_Toc417204797 \h </w:instrText>
        </w:r>
        <w:r w:rsidRPr="00DF0680">
          <w:rPr>
            <w:noProof w:val="0"/>
            <w:webHidden/>
          </w:rPr>
        </w:r>
        <w:r w:rsidRPr="00DF0680">
          <w:rPr>
            <w:noProof w:val="0"/>
            <w:webHidden/>
          </w:rPr>
          <w:fldChar w:fldCharType="separate"/>
        </w:r>
        <w:r w:rsidR="009801AF" w:rsidRPr="00DF0680">
          <w:rPr>
            <w:noProof w:val="0"/>
            <w:webHidden/>
          </w:rPr>
          <w:t>143</w:t>
        </w:r>
        <w:r w:rsidRPr="00DF0680">
          <w:rPr>
            <w:noProof w:val="0"/>
            <w:webHidden/>
          </w:rPr>
          <w:fldChar w:fldCharType="end"/>
        </w:r>
      </w:hyperlink>
    </w:p>
    <w:p w:rsidR="00A430D9" w:rsidRPr="00DF0680" w:rsidRDefault="00F20EC0">
      <w:pPr>
        <w:pStyle w:val="TOC1"/>
        <w:rPr>
          <w:rFonts w:asciiTheme="minorHAnsi" w:eastAsiaTheme="minorEastAsia" w:hAnsiTheme="minorHAnsi" w:cstheme="minorBidi"/>
          <w:b w:val="0"/>
          <w:noProof w:val="0"/>
          <w:color w:val="auto"/>
          <w:sz w:val="22"/>
        </w:rPr>
      </w:pPr>
      <w:hyperlink w:anchor="_Toc417204798" w:history="1">
        <w:r w:rsidR="00A430D9" w:rsidRPr="00DF0680">
          <w:rPr>
            <w:rStyle w:val="Hyperlink"/>
            <w:noProof w:val="0"/>
            <w:snapToGrid w:val="0"/>
            <w:w w:val="0"/>
          </w:rPr>
          <w:t>Chapter 5</w:t>
        </w:r>
        <w:r w:rsidR="00A430D9" w:rsidRPr="00DF0680">
          <w:rPr>
            <w:rFonts w:asciiTheme="minorHAnsi" w:eastAsiaTheme="minorEastAsia" w:hAnsiTheme="minorHAnsi" w:cstheme="minorBidi"/>
            <w:b w:val="0"/>
            <w:noProof w:val="0"/>
            <w:color w:val="auto"/>
            <w:sz w:val="22"/>
          </w:rPr>
          <w:tab/>
        </w:r>
        <w:r w:rsidR="00A430D9" w:rsidRPr="00DF0680">
          <w:rPr>
            <w:rStyle w:val="Hyperlink"/>
            <w:noProof w:val="0"/>
          </w:rPr>
          <w:t>– Manipulating RECQL5 levels to influence response to replication stress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_Toc417204798 \h </w:instrText>
        </w:r>
        <w:r w:rsidRPr="00DF0680">
          <w:rPr>
            <w:noProof w:val="0"/>
            <w:webHidden/>
          </w:rPr>
        </w:r>
        <w:r w:rsidRPr="00DF0680">
          <w:rPr>
            <w:noProof w:val="0"/>
            <w:webHidden/>
          </w:rPr>
          <w:fldChar w:fldCharType="separate"/>
        </w:r>
        <w:r w:rsidR="009801AF" w:rsidRPr="00DF0680">
          <w:rPr>
            <w:noProof w:val="0"/>
            <w:webHidden/>
          </w:rPr>
          <w:t>148</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799" w:history="1">
        <w:r w:rsidR="00A430D9" w:rsidRPr="00DF0680">
          <w:rPr>
            <w:rStyle w:val="Hyperlink"/>
            <w:noProof w:val="0"/>
          </w:rPr>
          <w:t>5.1</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Introduction</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_Toc417204799 \h </w:instrText>
        </w:r>
        <w:r w:rsidRPr="00DF0680">
          <w:rPr>
            <w:noProof w:val="0"/>
            <w:webHidden/>
          </w:rPr>
        </w:r>
        <w:r w:rsidRPr="00DF0680">
          <w:rPr>
            <w:noProof w:val="0"/>
            <w:webHidden/>
          </w:rPr>
          <w:fldChar w:fldCharType="separate"/>
        </w:r>
        <w:r w:rsidR="009801AF" w:rsidRPr="00DF0680">
          <w:rPr>
            <w:noProof w:val="0"/>
            <w:webHidden/>
          </w:rPr>
          <w:t>150</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00" w:history="1">
        <w:r w:rsidR="00A430D9" w:rsidRPr="00DF0680">
          <w:rPr>
            <w:rStyle w:val="Hyperlink"/>
            <w:noProof w:val="0"/>
          </w:rPr>
          <w:t>5.2</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Bladder cancer cells are more sensitive to replication stress than normal bladder</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_Toc417204800 \h </w:instrText>
        </w:r>
        <w:r w:rsidRPr="00DF0680">
          <w:rPr>
            <w:noProof w:val="0"/>
            <w:webHidden/>
          </w:rPr>
        </w:r>
        <w:r w:rsidRPr="00DF0680">
          <w:rPr>
            <w:noProof w:val="0"/>
            <w:webHidden/>
          </w:rPr>
          <w:fldChar w:fldCharType="separate"/>
        </w:r>
        <w:r w:rsidR="009801AF" w:rsidRPr="00DF0680">
          <w:rPr>
            <w:noProof w:val="0"/>
            <w:webHidden/>
          </w:rPr>
          <w:t>151</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01" w:history="1">
        <w:r w:rsidR="00A430D9" w:rsidRPr="00DF0680">
          <w:rPr>
            <w:rStyle w:val="Hyperlink"/>
            <w:noProof w:val="0"/>
          </w:rPr>
          <w:t>5.3</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Transfecting cells with a pool of RECQL5 siRNA sensitises cells to replication stress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_Toc417204801 \h </w:instrText>
        </w:r>
        <w:r w:rsidRPr="00DF0680">
          <w:rPr>
            <w:noProof w:val="0"/>
            <w:webHidden/>
          </w:rPr>
        </w:r>
        <w:r w:rsidRPr="00DF0680">
          <w:rPr>
            <w:noProof w:val="0"/>
            <w:webHidden/>
          </w:rPr>
          <w:fldChar w:fldCharType="separate"/>
        </w:r>
        <w:r w:rsidR="009801AF" w:rsidRPr="00DF0680">
          <w:rPr>
            <w:noProof w:val="0"/>
            <w:webHidden/>
          </w:rPr>
          <w:t>152</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02" w:history="1">
        <w:r w:rsidR="00A430D9" w:rsidRPr="00DF0680">
          <w:rPr>
            <w:rStyle w:val="Hyperlink"/>
            <w:noProof w:val="0"/>
          </w:rPr>
          <w:t>5.4</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Sensitivity to replication stress from the RECQL5 siRNA pool is due to off target effects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_Toc417204802 \h </w:instrText>
        </w:r>
        <w:r w:rsidRPr="00DF0680">
          <w:rPr>
            <w:noProof w:val="0"/>
            <w:webHidden/>
          </w:rPr>
        </w:r>
        <w:r w:rsidRPr="00DF0680">
          <w:rPr>
            <w:noProof w:val="0"/>
            <w:webHidden/>
          </w:rPr>
          <w:fldChar w:fldCharType="separate"/>
        </w:r>
        <w:r w:rsidR="009801AF" w:rsidRPr="00DF0680">
          <w:rPr>
            <w:noProof w:val="0"/>
            <w:webHidden/>
          </w:rPr>
          <w:t>155</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03" w:history="1">
        <w:r w:rsidR="00A430D9" w:rsidRPr="00DF0680">
          <w:rPr>
            <w:rStyle w:val="Hyperlink"/>
            <w:noProof w:val="0"/>
          </w:rPr>
          <w:t>5.5</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Depleting RECQL5 protein levels reduces proliferation rate in EJ cells but not in NHU hTERT</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_Toc417204803 \h </w:instrText>
        </w:r>
        <w:r w:rsidRPr="00DF0680">
          <w:rPr>
            <w:noProof w:val="0"/>
            <w:webHidden/>
          </w:rPr>
        </w:r>
        <w:r w:rsidRPr="00DF0680">
          <w:rPr>
            <w:noProof w:val="0"/>
            <w:webHidden/>
          </w:rPr>
          <w:fldChar w:fldCharType="separate"/>
        </w:r>
        <w:r w:rsidR="009801AF" w:rsidRPr="00DF0680">
          <w:rPr>
            <w:noProof w:val="0"/>
            <w:webHidden/>
          </w:rPr>
          <w:t>159</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04" w:history="1">
        <w:r w:rsidR="00A430D9" w:rsidRPr="00DF0680">
          <w:rPr>
            <w:rStyle w:val="Hyperlink"/>
            <w:noProof w:val="0"/>
          </w:rPr>
          <w:t>5.6</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Over-expression of RECQL5β does not provide resistance to thymidine in EJ cells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_Toc417204804 \h </w:instrText>
        </w:r>
        <w:r w:rsidRPr="00DF0680">
          <w:rPr>
            <w:noProof w:val="0"/>
            <w:webHidden/>
          </w:rPr>
        </w:r>
        <w:r w:rsidRPr="00DF0680">
          <w:rPr>
            <w:noProof w:val="0"/>
            <w:webHidden/>
          </w:rPr>
          <w:fldChar w:fldCharType="separate"/>
        </w:r>
        <w:r w:rsidR="009801AF" w:rsidRPr="00DF0680">
          <w:rPr>
            <w:noProof w:val="0"/>
            <w:webHidden/>
          </w:rPr>
          <w:t>159</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05" w:history="1">
        <w:r w:rsidR="00A430D9" w:rsidRPr="00DF0680">
          <w:rPr>
            <w:rStyle w:val="Hyperlink"/>
            <w:noProof w:val="0"/>
          </w:rPr>
          <w:t>5.7</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Cells depleted of RECQL5 do not have increased DNA damage signalling upon replication stress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_Toc417204805 \h </w:instrText>
        </w:r>
        <w:r w:rsidRPr="00DF0680">
          <w:rPr>
            <w:noProof w:val="0"/>
            <w:webHidden/>
          </w:rPr>
        </w:r>
        <w:r w:rsidRPr="00DF0680">
          <w:rPr>
            <w:noProof w:val="0"/>
            <w:webHidden/>
          </w:rPr>
          <w:fldChar w:fldCharType="separate"/>
        </w:r>
        <w:r w:rsidR="009801AF" w:rsidRPr="00DF0680">
          <w:rPr>
            <w:noProof w:val="0"/>
            <w:webHidden/>
          </w:rPr>
          <w:t>163</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06" w:history="1">
        <w:r w:rsidR="00A430D9" w:rsidRPr="00DF0680">
          <w:rPr>
            <w:rStyle w:val="Hyperlink"/>
            <w:noProof w:val="0"/>
          </w:rPr>
          <w:t>5.8</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Depleting cells of RECQL5 reduces S phase arrest in thymidine</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_Toc417204806 \h </w:instrText>
        </w:r>
        <w:r w:rsidRPr="00DF0680">
          <w:rPr>
            <w:noProof w:val="0"/>
            <w:webHidden/>
          </w:rPr>
        </w:r>
        <w:r w:rsidRPr="00DF0680">
          <w:rPr>
            <w:noProof w:val="0"/>
            <w:webHidden/>
          </w:rPr>
          <w:fldChar w:fldCharType="separate"/>
        </w:r>
        <w:r w:rsidR="009801AF" w:rsidRPr="00DF0680">
          <w:rPr>
            <w:noProof w:val="0"/>
            <w:webHidden/>
          </w:rPr>
          <w:t>166</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07" w:history="1">
        <w:r w:rsidR="00A430D9" w:rsidRPr="00DF0680">
          <w:rPr>
            <w:rStyle w:val="Hyperlink"/>
            <w:noProof w:val="0"/>
          </w:rPr>
          <w:t>5.9</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Discussion</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_Toc417204807 \h </w:instrText>
        </w:r>
        <w:r w:rsidRPr="00DF0680">
          <w:rPr>
            <w:noProof w:val="0"/>
            <w:webHidden/>
          </w:rPr>
        </w:r>
        <w:r w:rsidRPr="00DF0680">
          <w:rPr>
            <w:noProof w:val="0"/>
            <w:webHidden/>
          </w:rPr>
          <w:fldChar w:fldCharType="separate"/>
        </w:r>
        <w:r w:rsidR="009801AF" w:rsidRPr="00DF0680">
          <w:rPr>
            <w:noProof w:val="0"/>
            <w:webHidden/>
          </w:rPr>
          <w:t>168</w:t>
        </w:r>
        <w:r w:rsidRPr="00DF0680">
          <w:rPr>
            <w:noProof w:val="0"/>
            <w:webHidden/>
          </w:rPr>
          <w:fldChar w:fldCharType="end"/>
        </w:r>
      </w:hyperlink>
    </w:p>
    <w:p w:rsidR="00A430D9" w:rsidRPr="00DF0680" w:rsidRDefault="00F20EC0">
      <w:pPr>
        <w:pStyle w:val="TOC1"/>
        <w:rPr>
          <w:rFonts w:asciiTheme="minorHAnsi" w:eastAsiaTheme="minorEastAsia" w:hAnsiTheme="minorHAnsi" w:cstheme="minorBidi"/>
          <w:b w:val="0"/>
          <w:noProof w:val="0"/>
          <w:color w:val="auto"/>
          <w:sz w:val="22"/>
        </w:rPr>
      </w:pPr>
      <w:hyperlink w:anchor="_Toc417204808" w:history="1">
        <w:r w:rsidR="00A430D9" w:rsidRPr="00DF0680">
          <w:rPr>
            <w:rStyle w:val="Hyperlink"/>
            <w:noProof w:val="0"/>
            <w:snapToGrid w:val="0"/>
            <w:w w:val="0"/>
          </w:rPr>
          <w:t>Chapter 6</w:t>
        </w:r>
        <w:r w:rsidR="00A430D9" w:rsidRPr="00DF0680">
          <w:rPr>
            <w:rFonts w:asciiTheme="minorHAnsi" w:eastAsiaTheme="minorEastAsia" w:hAnsiTheme="minorHAnsi" w:cstheme="minorBidi"/>
            <w:b w:val="0"/>
            <w:noProof w:val="0"/>
            <w:color w:val="auto"/>
            <w:sz w:val="22"/>
          </w:rPr>
          <w:tab/>
        </w:r>
        <w:r w:rsidR="00A430D9" w:rsidRPr="00DF0680">
          <w:rPr>
            <w:rStyle w:val="Hyperlink"/>
            <w:noProof w:val="0"/>
          </w:rPr>
          <w:t>– The relationship between RECQL5 and MRE11</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_Toc417204808 \h </w:instrText>
        </w:r>
        <w:r w:rsidRPr="00DF0680">
          <w:rPr>
            <w:noProof w:val="0"/>
            <w:webHidden/>
          </w:rPr>
        </w:r>
        <w:r w:rsidRPr="00DF0680">
          <w:rPr>
            <w:noProof w:val="0"/>
            <w:webHidden/>
          </w:rPr>
          <w:fldChar w:fldCharType="separate"/>
        </w:r>
        <w:r w:rsidR="009801AF" w:rsidRPr="00DF0680">
          <w:rPr>
            <w:noProof w:val="0"/>
            <w:webHidden/>
          </w:rPr>
          <w:t>173</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09" w:history="1">
        <w:r w:rsidR="00A430D9" w:rsidRPr="00DF0680">
          <w:rPr>
            <w:rStyle w:val="Hyperlink"/>
            <w:noProof w:val="0"/>
          </w:rPr>
          <w:t>6.1</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Introduction</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_Toc417204809 \h </w:instrText>
        </w:r>
        <w:r w:rsidRPr="00DF0680">
          <w:rPr>
            <w:noProof w:val="0"/>
            <w:webHidden/>
          </w:rPr>
        </w:r>
        <w:r w:rsidRPr="00DF0680">
          <w:rPr>
            <w:noProof w:val="0"/>
            <w:webHidden/>
          </w:rPr>
          <w:fldChar w:fldCharType="separate"/>
        </w:r>
        <w:r w:rsidR="009801AF" w:rsidRPr="00DF0680">
          <w:rPr>
            <w:noProof w:val="0"/>
            <w:webHidden/>
          </w:rPr>
          <w:t>174</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10" w:history="1">
        <w:r w:rsidR="00A430D9" w:rsidRPr="00DF0680">
          <w:rPr>
            <w:rStyle w:val="Hyperlink"/>
            <w:noProof w:val="0"/>
          </w:rPr>
          <w:t>6.2</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The correlation between RECQL5 and MRE11 mRNA in bladder cancer</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_Toc417204810 \h </w:instrText>
        </w:r>
        <w:r w:rsidRPr="00DF0680">
          <w:rPr>
            <w:noProof w:val="0"/>
            <w:webHidden/>
          </w:rPr>
        </w:r>
        <w:r w:rsidRPr="00DF0680">
          <w:rPr>
            <w:noProof w:val="0"/>
            <w:webHidden/>
          </w:rPr>
          <w:fldChar w:fldCharType="separate"/>
        </w:r>
        <w:r w:rsidR="009801AF" w:rsidRPr="00DF0680">
          <w:rPr>
            <w:noProof w:val="0"/>
            <w:webHidden/>
          </w:rPr>
          <w:t>174</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11" w:history="1">
        <w:r w:rsidR="00A430D9" w:rsidRPr="00DF0680">
          <w:rPr>
            <w:rStyle w:val="Hyperlink"/>
            <w:noProof w:val="0"/>
          </w:rPr>
          <w:t>6.3</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The expression of MRE11 mRNA and protein in bladder cancer</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_Toc417204811 \h </w:instrText>
        </w:r>
        <w:r w:rsidRPr="00DF0680">
          <w:rPr>
            <w:noProof w:val="0"/>
            <w:webHidden/>
          </w:rPr>
        </w:r>
        <w:r w:rsidRPr="00DF0680">
          <w:rPr>
            <w:noProof w:val="0"/>
            <w:webHidden/>
          </w:rPr>
          <w:fldChar w:fldCharType="separate"/>
        </w:r>
        <w:r w:rsidR="009801AF" w:rsidRPr="00DF0680">
          <w:rPr>
            <w:noProof w:val="0"/>
            <w:webHidden/>
          </w:rPr>
          <w:t>175</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12" w:history="1">
        <w:r w:rsidR="00A430D9" w:rsidRPr="00DF0680">
          <w:rPr>
            <w:rStyle w:val="Hyperlink"/>
            <w:noProof w:val="0"/>
          </w:rPr>
          <w:t>6.4</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MRE11 mRNA levels influence the difference in RECQL5 mRNA levels between normal and cancerous bladder tissue</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_Toc417204812 \h </w:instrText>
        </w:r>
        <w:r w:rsidRPr="00DF0680">
          <w:rPr>
            <w:noProof w:val="0"/>
            <w:webHidden/>
          </w:rPr>
        </w:r>
        <w:r w:rsidRPr="00DF0680">
          <w:rPr>
            <w:noProof w:val="0"/>
            <w:webHidden/>
          </w:rPr>
          <w:fldChar w:fldCharType="separate"/>
        </w:r>
        <w:r w:rsidR="009801AF" w:rsidRPr="00DF0680">
          <w:rPr>
            <w:noProof w:val="0"/>
            <w:webHidden/>
          </w:rPr>
          <w:t>176</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13" w:history="1">
        <w:r w:rsidR="00A430D9" w:rsidRPr="00DF0680">
          <w:rPr>
            <w:rStyle w:val="Hyperlink"/>
            <w:noProof w:val="0"/>
          </w:rPr>
          <w:t>6.5</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Depleting cells of RECQL5β and MRE11 does not increase sensitivity to hydroxyurea</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_Toc417204813 \h </w:instrText>
        </w:r>
        <w:r w:rsidRPr="00DF0680">
          <w:rPr>
            <w:noProof w:val="0"/>
            <w:webHidden/>
          </w:rPr>
        </w:r>
        <w:r w:rsidRPr="00DF0680">
          <w:rPr>
            <w:noProof w:val="0"/>
            <w:webHidden/>
          </w:rPr>
          <w:fldChar w:fldCharType="separate"/>
        </w:r>
        <w:r w:rsidR="009801AF" w:rsidRPr="00DF0680">
          <w:rPr>
            <w:noProof w:val="0"/>
            <w:webHidden/>
          </w:rPr>
          <w:t>180</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14" w:history="1">
        <w:r w:rsidR="00A430D9" w:rsidRPr="00DF0680">
          <w:rPr>
            <w:rStyle w:val="Hyperlink"/>
            <w:noProof w:val="0"/>
          </w:rPr>
          <w:t>6.6</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 xml:space="preserve">RECQL5β and MRE11 interact </w:t>
        </w:r>
        <w:r w:rsidR="00A430D9" w:rsidRPr="00DF0680">
          <w:rPr>
            <w:rStyle w:val="Hyperlink"/>
            <w:i/>
            <w:noProof w:val="0"/>
          </w:rPr>
          <w:t>in vitro</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_Toc417204814 \h </w:instrText>
        </w:r>
        <w:r w:rsidRPr="00DF0680">
          <w:rPr>
            <w:noProof w:val="0"/>
            <w:webHidden/>
          </w:rPr>
        </w:r>
        <w:r w:rsidRPr="00DF0680">
          <w:rPr>
            <w:noProof w:val="0"/>
            <w:webHidden/>
          </w:rPr>
          <w:fldChar w:fldCharType="separate"/>
        </w:r>
        <w:r w:rsidR="009801AF" w:rsidRPr="00DF0680">
          <w:rPr>
            <w:noProof w:val="0"/>
            <w:webHidden/>
          </w:rPr>
          <w:t>180</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15" w:history="1">
        <w:r w:rsidR="00A430D9" w:rsidRPr="00DF0680">
          <w:rPr>
            <w:rStyle w:val="Hyperlink"/>
            <w:noProof w:val="0"/>
          </w:rPr>
          <w:t>6.7</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Discussion</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_Toc417204815 \h </w:instrText>
        </w:r>
        <w:r w:rsidRPr="00DF0680">
          <w:rPr>
            <w:noProof w:val="0"/>
            <w:webHidden/>
          </w:rPr>
        </w:r>
        <w:r w:rsidRPr="00DF0680">
          <w:rPr>
            <w:noProof w:val="0"/>
            <w:webHidden/>
          </w:rPr>
          <w:fldChar w:fldCharType="separate"/>
        </w:r>
        <w:r w:rsidR="009801AF" w:rsidRPr="00DF0680">
          <w:rPr>
            <w:noProof w:val="0"/>
            <w:webHidden/>
          </w:rPr>
          <w:t>182</w:t>
        </w:r>
        <w:r w:rsidRPr="00DF0680">
          <w:rPr>
            <w:noProof w:val="0"/>
            <w:webHidden/>
          </w:rPr>
          <w:fldChar w:fldCharType="end"/>
        </w:r>
      </w:hyperlink>
    </w:p>
    <w:p w:rsidR="00A430D9" w:rsidRPr="00DF0680" w:rsidRDefault="00F20EC0">
      <w:pPr>
        <w:pStyle w:val="TOC1"/>
        <w:rPr>
          <w:rFonts w:asciiTheme="minorHAnsi" w:eastAsiaTheme="minorEastAsia" w:hAnsiTheme="minorHAnsi" w:cstheme="minorBidi"/>
          <w:b w:val="0"/>
          <w:noProof w:val="0"/>
          <w:color w:val="auto"/>
          <w:sz w:val="22"/>
        </w:rPr>
      </w:pPr>
      <w:hyperlink w:anchor="_Toc417204816" w:history="1">
        <w:r w:rsidR="00A430D9" w:rsidRPr="00DF0680">
          <w:rPr>
            <w:rStyle w:val="Hyperlink"/>
            <w:noProof w:val="0"/>
            <w:snapToGrid w:val="0"/>
            <w:w w:val="0"/>
          </w:rPr>
          <w:t>Chapter 7</w:t>
        </w:r>
        <w:r w:rsidR="00A430D9" w:rsidRPr="00DF0680">
          <w:rPr>
            <w:rFonts w:asciiTheme="minorHAnsi" w:eastAsiaTheme="minorEastAsia" w:hAnsiTheme="minorHAnsi" w:cstheme="minorBidi"/>
            <w:b w:val="0"/>
            <w:noProof w:val="0"/>
            <w:color w:val="auto"/>
            <w:sz w:val="22"/>
          </w:rPr>
          <w:tab/>
        </w:r>
        <w:r w:rsidR="00A430D9" w:rsidRPr="00DF0680">
          <w:rPr>
            <w:rStyle w:val="Hyperlink"/>
            <w:noProof w:val="0"/>
          </w:rPr>
          <w:t>– Discussion</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_Toc417204816 \h </w:instrText>
        </w:r>
        <w:r w:rsidRPr="00DF0680">
          <w:rPr>
            <w:noProof w:val="0"/>
            <w:webHidden/>
          </w:rPr>
        </w:r>
        <w:r w:rsidRPr="00DF0680">
          <w:rPr>
            <w:noProof w:val="0"/>
            <w:webHidden/>
          </w:rPr>
          <w:fldChar w:fldCharType="separate"/>
        </w:r>
        <w:r w:rsidR="009801AF" w:rsidRPr="00DF0680">
          <w:rPr>
            <w:noProof w:val="0"/>
            <w:webHidden/>
          </w:rPr>
          <w:t>185</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17" w:history="1">
        <w:r w:rsidR="00A430D9" w:rsidRPr="00DF0680">
          <w:rPr>
            <w:rStyle w:val="Hyperlink"/>
            <w:noProof w:val="0"/>
          </w:rPr>
          <w:t>7.1</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RECQL5 expression in cancer</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_Toc417204817 \h </w:instrText>
        </w:r>
        <w:r w:rsidRPr="00DF0680">
          <w:rPr>
            <w:noProof w:val="0"/>
            <w:webHidden/>
          </w:rPr>
        </w:r>
        <w:r w:rsidRPr="00DF0680">
          <w:rPr>
            <w:noProof w:val="0"/>
            <w:webHidden/>
          </w:rPr>
          <w:fldChar w:fldCharType="separate"/>
        </w:r>
        <w:r w:rsidR="009801AF" w:rsidRPr="00DF0680">
          <w:rPr>
            <w:noProof w:val="0"/>
            <w:webHidden/>
          </w:rPr>
          <w:t>186</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18" w:history="1">
        <w:r w:rsidR="00A430D9" w:rsidRPr="00DF0680">
          <w:rPr>
            <w:rStyle w:val="Hyperlink"/>
            <w:noProof w:val="0"/>
          </w:rPr>
          <w:t>7.2</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RECQL5 as a potential target for cancer therapy</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_Toc417204818 \h </w:instrText>
        </w:r>
        <w:r w:rsidRPr="00DF0680">
          <w:rPr>
            <w:noProof w:val="0"/>
            <w:webHidden/>
          </w:rPr>
        </w:r>
        <w:r w:rsidRPr="00DF0680">
          <w:rPr>
            <w:noProof w:val="0"/>
            <w:webHidden/>
          </w:rPr>
          <w:fldChar w:fldCharType="separate"/>
        </w:r>
        <w:r w:rsidR="009801AF" w:rsidRPr="00DF0680">
          <w:rPr>
            <w:noProof w:val="0"/>
            <w:webHidden/>
          </w:rPr>
          <w:t>187</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19" w:history="1">
        <w:r w:rsidR="00A430D9" w:rsidRPr="00DF0680">
          <w:rPr>
            <w:rStyle w:val="Hyperlink"/>
            <w:noProof w:val="0"/>
          </w:rPr>
          <w:t>7.3</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RECQL5α and RECQL5γ</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_Toc417204819 \h </w:instrText>
        </w:r>
        <w:r w:rsidRPr="00DF0680">
          <w:rPr>
            <w:noProof w:val="0"/>
            <w:webHidden/>
          </w:rPr>
        </w:r>
        <w:r w:rsidRPr="00DF0680">
          <w:rPr>
            <w:noProof w:val="0"/>
            <w:webHidden/>
          </w:rPr>
          <w:fldChar w:fldCharType="separate"/>
        </w:r>
        <w:r w:rsidR="009801AF" w:rsidRPr="00DF0680">
          <w:rPr>
            <w:noProof w:val="0"/>
            <w:webHidden/>
          </w:rPr>
          <w:t>188</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20" w:history="1">
        <w:r w:rsidR="00A430D9" w:rsidRPr="00DF0680">
          <w:rPr>
            <w:rStyle w:val="Hyperlink"/>
            <w:noProof w:val="0"/>
          </w:rPr>
          <w:t>7.4</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RECQL5 and replication stress and DNA damage repair</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_Toc417204820 \h </w:instrText>
        </w:r>
        <w:r w:rsidRPr="00DF0680">
          <w:rPr>
            <w:noProof w:val="0"/>
            <w:webHidden/>
          </w:rPr>
        </w:r>
        <w:r w:rsidRPr="00DF0680">
          <w:rPr>
            <w:noProof w:val="0"/>
            <w:webHidden/>
          </w:rPr>
          <w:fldChar w:fldCharType="separate"/>
        </w:r>
        <w:r w:rsidR="009801AF" w:rsidRPr="00DF0680">
          <w:rPr>
            <w:noProof w:val="0"/>
            <w:webHidden/>
          </w:rPr>
          <w:t>189</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21" w:history="1">
        <w:r w:rsidR="00A430D9" w:rsidRPr="00DF0680">
          <w:rPr>
            <w:rStyle w:val="Hyperlink"/>
            <w:noProof w:val="0"/>
          </w:rPr>
          <w:t>7.5</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RECQL5 in S phase</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_Toc417204821 \h </w:instrText>
        </w:r>
        <w:r w:rsidRPr="00DF0680">
          <w:rPr>
            <w:noProof w:val="0"/>
            <w:webHidden/>
          </w:rPr>
        </w:r>
        <w:r w:rsidRPr="00DF0680">
          <w:rPr>
            <w:noProof w:val="0"/>
            <w:webHidden/>
          </w:rPr>
          <w:fldChar w:fldCharType="separate"/>
        </w:r>
        <w:r w:rsidR="009801AF" w:rsidRPr="00DF0680">
          <w:rPr>
            <w:noProof w:val="0"/>
            <w:webHidden/>
          </w:rPr>
          <w:t>192</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22" w:history="1">
        <w:r w:rsidR="00A430D9" w:rsidRPr="00DF0680">
          <w:rPr>
            <w:rStyle w:val="Hyperlink"/>
            <w:noProof w:val="0"/>
          </w:rPr>
          <w:t>7.6</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RECQL5 at the replication fork</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_Toc417204822 \h </w:instrText>
        </w:r>
        <w:r w:rsidRPr="00DF0680">
          <w:rPr>
            <w:noProof w:val="0"/>
            <w:webHidden/>
          </w:rPr>
        </w:r>
        <w:r w:rsidRPr="00DF0680">
          <w:rPr>
            <w:noProof w:val="0"/>
            <w:webHidden/>
          </w:rPr>
          <w:fldChar w:fldCharType="separate"/>
        </w:r>
        <w:r w:rsidR="009801AF" w:rsidRPr="00DF0680">
          <w:rPr>
            <w:noProof w:val="0"/>
            <w:webHidden/>
          </w:rPr>
          <w:t>192</w:t>
        </w:r>
        <w:r w:rsidRPr="00DF0680">
          <w:rPr>
            <w:noProof w:val="0"/>
            <w:webHidden/>
          </w:rPr>
          <w:fldChar w:fldCharType="end"/>
        </w:r>
      </w:hyperlink>
    </w:p>
    <w:p w:rsidR="00A430D9" w:rsidRPr="00DF0680" w:rsidRDefault="00F20EC0">
      <w:pPr>
        <w:pStyle w:val="TOC2"/>
        <w:rPr>
          <w:rFonts w:asciiTheme="minorHAnsi" w:eastAsiaTheme="minorEastAsia" w:hAnsiTheme="minorHAnsi" w:cstheme="minorBidi"/>
          <w:noProof w:val="0"/>
          <w:color w:val="auto"/>
          <w:sz w:val="22"/>
        </w:rPr>
      </w:pPr>
      <w:hyperlink w:anchor="_Toc417204823" w:history="1">
        <w:r w:rsidR="00A430D9" w:rsidRPr="00DF0680">
          <w:rPr>
            <w:rStyle w:val="Hyperlink"/>
            <w:noProof w:val="0"/>
          </w:rPr>
          <w:t>7.7</w:t>
        </w:r>
        <w:r w:rsidR="00A430D9" w:rsidRPr="00DF0680">
          <w:rPr>
            <w:rFonts w:asciiTheme="minorHAnsi" w:eastAsiaTheme="minorEastAsia" w:hAnsiTheme="minorHAnsi" w:cstheme="minorBidi"/>
            <w:noProof w:val="0"/>
            <w:color w:val="auto"/>
            <w:sz w:val="22"/>
          </w:rPr>
          <w:tab/>
        </w:r>
        <w:r w:rsidR="00A430D9" w:rsidRPr="00DF0680">
          <w:rPr>
            <w:rStyle w:val="Hyperlink"/>
            <w:noProof w:val="0"/>
          </w:rPr>
          <w:t>RECQL5 and transcription</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_Toc417204823 \h </w:instrText>
        </w:r>
        <w:r w:rsidRPr="00DF0680">
          <w:rPr>
            <w:noProof w:val="0"/>
            <w:webHidden/>
          </w:rPr>
        </w:r>
        <w:r w:rsidRPr="00DF0680">
          <w:rPr>
            <w:noProof w:val="0"/>
            <w:webHidden/>
          </w:rPr>
          <w:fldChar w:fldCharType="separate"/>
        </w:r>
        <w:r w:rsidR="009801AF" w:rsidRPr="00DF0680">
          <w:rPr>
            <w:noProof w:val="0"/>
            <w:webHidden/>
          </w:rPr>
          <w:t>192</w:t>
        </w:r>
        <w:r w:rsidRPr="00DF0680">
          <w:rPr>
            <w:noProof w:val="0"/>
            <w:webHidden/>
          </w:rPr>
          <w:fldChar w:fldCharType="end"/>
        </w:r>
      </w:hyperlink>
    </w:p>
    <w:p w:rsidR="00A430D9" w:rsidRPr="00DF0680" w:rsidRDefault="00F20EC0">
      <w:pPr>
        <w:pStyle w:val="TOC1"/>
        <w:rPr>
          <w:rFonts w:asciiTheme="minorHAnsi" w:eastAsiaTheme="minorEastAsia" w:hAnsiTheme="minorHAnsi" w:cstheme="minorBidi"/>
          <w:b w:val="0"/>
          <w:noProof w:val="0"/>
          <w:color w:val="auto"/>
          <w:sz w:val="22"/>
        </w:rPr>
      </w:pPr>
      <w:hyperlink w:anchor="_Toc417204824" w:history="1">
        <w:r w:rsidR="00A430D9" w:rsidRPr="00DF0680">
          <w:rPr>
            <w:rStyle w:val="Hyperlink"/>
            <w:noProof w:val="0"/>
          </w:rPr>
          <w:t>References</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_Toc417204824 \h </w:instrText>
        </w:r>
        <w:r w:rsidRPr="00DF0680">
          <w:rPr>
            <w:noProof w:val="0"/>
            <w:webHidden/>
          </w:rPr>
        </w:r>
        <w:r w:rsidRPr="00DF0680">
          <w:rPr>
            <w:noProof w:val="0"/>
            <w:webHidden/>
          </w:rPr>
          <w:fldChar w:fldCharType="separate"/>
        </w:r>
        <w:r w:rsidR="009801AF" w:rsidRPr="00DF0680">
          <w:rPr>
            <w:noProof w:val="0"/>
            <w:webHidden/>
          </w:rPr>
          <w:t>195</w:t>
        </w:r>
        <w:r w:rsidRPr="00DF0680">
          <w:rPr>
            <w:noProof w:val="0"/>
            <w:webHidden/>
          </w:rPr>
          <w:fldChar w:fldCharType="end"/>
        </w:r>
      </w:hyperlink>
    </w:p>
    <w:p w:rsidR="00A430D9" w:rsidRPr="00DF0680" w:rsidRDefault="00F20EC0">
      <w:pPr>
        <w:pStyle w:val="TOC1"/>
        <w:rPr>
          <w:rFonts w:asciiTheme="minorHAnsi" w:eastAsiaTheme="minorEastAsia" w:hAnsiTheme="minorHAnsi" w:cstheme="minorBidi"/>
          <w:b w:val="0"/>
          <w:noProof w:val="0"/>
          <w:color w:val="auto"/>
          <w:sz w:val="22"/>
        </w:rPr>
      </w:pPr>
      <w:hyperlink w:anchor="_Toc417204825" w:history="1">
        <w:r w:rsidR="00A430D9" w:rsidRPr="00DF0680">
          <w:rPr>
            <w:rStyle w:val="Hyperlink"/>
            <w:noProof w:val="0"/>
          </w:rPr>
          <w:t>Appendix</w:t>
        </w:r>
        <w:r w:rsidR="00A430D9" w:rsidRPr="00DF0680">
          <w:rPr>
            <w:noProof w:val="0"/>
            <w:webHidden/>
          </w:rPr>
          <w:tab/>
        </w:r>
        <w:r w:rsidRPr="00DF0680">
          <w:rPr>
            <w:noProof w:val="0"/>
            <w:webHidden/>
          </w:rPr>
          <w:fldChar w:fldCharType="begin"/>
        </w:r>
        <w:r w:rsidR="00A430D9" w:rsidRPr="00DF0680">
          <w:rPr>
            <w:noProof w:val="0"/>
            <w:webHidden/>
          </w:rPr>
          <w:instrText xml:space="preserve"> PAGEREF _Toc417204825 \h </w:instrText>
        </w:r>
        <w:r w:rsidRPr="00DF0680">
          <w:rPr>
            <w:noProof w:val="0"/>
            <w:webHidden/>
          </w:rPr>
        </w:r>
        <w:r w:rsidRPr="00DF0680">
          <w:rPr>
            <w:noProof w:val="0"/>
            <w:webHidden/>
          </w:rPr>
          <w:fldChar w:fldCharType="separate"/>
        </w:r>
        <w:r w:rsidR="009801AF" w:rsidRPr="00DF0680">
          <w:rPr>
            <w:noProof w:val="0"/>
            <w:webHidden/>
          </w:rPr>
          <w:t>244</w:t>
        </w:r>
        <w:r w:rsidRPr="00DF0680">
          <w:rPr>
            <w:noProof w:val="0"/>
            <w:webHidden/>
          </w:rPr>
          <w:fldChar w:fldCharType="end"/>
        </w:r>
      </w:hyperlink>
    </w:p>
    <w:p w:rsidR="003F0F7E" w:rsidRPr="00DF0680" w:rsidRDefault="00F20EC0" w:rsidP="003F0F7E">
      <w:pPr>
        <w:rPr>
          <w:rFonts w:cs="Times New Roman"/>
          <w:szCs w:val="24"/>
        </w:rPr>
      </w:pPr>
      <w:r w:rsidRPr="00DF0680">
        <w:rPr>
          <w:rFonts w:cs="Times New Roman"/>
          <w:b/>
          <w:szCs w:val="24"/>
        </w:rPr>
        <w:fldChar w:fldCharType="end"/>
      </w:r>
    </w:p>
    <w:p w:rsidR="003F0F7E" w:rsidRPr="00DF0680" w:rsidRDefault="003F0F7E" w:rsidP="00E664FC">
      <w:pPr>
        <w:pStyle w:val="Heading1"/>
        <w:sectPr w:rsidR="003F0F7E" w:rsidRPr="00DF0680" w:rsidSect="00AD3855">
          <w:headerReference w:type="default" r:id="rId14"/>
          <w:pgSz w:w="11906" w:h="16838"/>
          <w:pgMar w:top="1440" w:right="1134" w:bottom="1440" w:left="2268" w:header="709" w:footer="709" w:gutter="0"/>
          <w:pgNumType w:fmt="lowerRoman"/>
          <w:cols w:space="708"/>
          <w:docGrid w:linePitch="360"/>
        </w:sectPr>
      </w:pPr>
    </w:p>
    <w:p w:rsidR="00BE6880" w:rsidRPr="00DF0680" w:rsidRDefault="00320F40" w:rsidP="00E664FC">
      <w:pPr>
        <w:pStyle w:val="Heading1"/>
      </w:pPr>
      <w:bookmarkStart w:id="5" w:name="_Toc417204070"/>
      <w:bookmarkStart w:id="6" w:name="_Toc417204706"/>
      <w:bookmarkStart w:id="7" w:name="_Toc417204766"/>
      <w:bookmarkStart w:id="8" w:name="_Toc417674307"/>
      <w:bookmarkStart w:id="9" w:name="Intro"/>
      <w:r w:rsidRPr="00DF0680">
        <w:lastRenderedPageBreak/>
        <w:t>– Introduction</w:t>
      </w:r>
      <w:bookmarkEnd w:id="0"/>
      <w:bookmarkEnd w:id="1"/>
      <w:bookmarkEnd w:id="2"/>
      <w:bookmarkEnd w:id="3"/>
      <w:bookmarkEnd w:id="5"/>
      <w:bookmarkEnd w:id="6"/>
      <w:bookmarkEnd w:id="7"/>
      <w:bookmarkEnd w:id="8"/>
    </w:p>
    <w:p w:rsidR="00CE6110" w:rsidRPr="00DF0680" w:rsidRDefault="00F20EC0">
      <w:pPr>
        <w:pStyle w:val="TOC1"/>
        <w:rPr>
          <w:rFonts w:asciiTheme="minorHAnsi" w:eastAsiaTheme="minorEastAsia" w:hAnsiTheme="minorHAnsi" w:cstheme="minorBidi"/>
          <w:b w:val="0"/>
          <w:noProof w:val="0"/>
          <w:color w:val="auto"/>
          <w:sz w:val="22"/>
        </w:rPr>
      </w:pPr>
      <w:r w:rsidRPr="00DF0680">
        <w:rPr>
          <w:noProof w:val="0"/>
        </w:rPr>
        <w:fldChar w:fldCharType="begin"/>
      </w:r>
      <w:r w:rsidR="00D94477" w:rsidRPr="00DF0680">
        <w:rPr>
          <w:noProof w:val="0"/>
        </w:rPr>
        <w:instrText xml:space="preserve"> TOC \b Intro \* MERGEFORMAT </w:instrText>
      </w:r>
      <w:r w:rsidRPr="00DF0680">
        <w:rPr>
          <w:noProof w:val="0"/>
        </w:rPr>
        <w:fldChar w:fldCharType="separate"/>
      </w:r>
    </w:p>
    <w:p w:rsidR="00CE6110" w:rsidRPr="00DF0680" w:rsidRDefault="00CE6110">
      <w:pPr>
        <w:pStyle w:val="TOC2"/>
        <w:rPr>
          <w:rFonts w:asciiTheme="minorHAnsi" w:eastAsiaTheme="minorEastAsia" w:hAnsiTheme="minorHAnsi" w:cstheme="minorBidi"/>
          <w:noProof w:val="0"/>
          <w:color w:val="auto"/>
          <w:sz w:val="22"/>
        </w:rPr>
      </w:pPr>
      <w:r w:rsidRPr="00DF0680">
        <w:rPr>
          <w:noProof w:val="0"/>
        </w:rPr>
        <w:t>1.1</w:t>
      </w:r>
      <w:r w:rsidRPr="00DF0680">
        <w:rPr>
          <w:rFonts w:asciiTheme="minorHAnsi" w:eastAsiaTheme="minorEastAsia" w:hAnsiTheme="minorHAnsi" w:cstheme="minorBidi"/>
          <w:noProof w:val="0"/>
          <w:color w:val="auto"/>
          <w:sz w:val="22"/>
        </w:rPr>
        <w:tab/>
      </w:r>
      <w:r w:rsidRPr="00DF0680">
        <w:rPr>
          <w:noProof w:val="0"/>
        </w:rPr>
        <w:t>Cancer</w:t>
      </w:r>
      <w:r w:rsidRPr="00DF0680">
        <w:rPr>
          <w:noProof w:val="0"/>
        </w:rPr>
        <w:tab/>
      </w:r>
      <w:r w:rsidR="00F20EC0" w:rsidRPr="00DF0680">
        <w:rPr>
          <w:noProof w:val="0"/>
        </w:rPr>
        <w:fldChar w:fldCharType="begin"/>
      </w:r>
      <w:r w:rsidRPr="00DF0680">
        <w:rPr>
          <w:noProof w:val="0"/>
        </w:rPr>
        <w:instrText xml:space="preserve"> PAGEREF _Toc417674308 \h </w:instrText>
      </w:r>
      <w:r w:rsidR="00F20EC0" w:rsidRPr="00DF0680">
        <w:rPr>
          <w:noProof w:val="0"/>
        </w:rPr>
      </w:r>
      <w:r w:rsidR="00F20EC0" w:rsidRPr="00DF0680">
        <w:rPr>
          <w:noProof w:val="0"/>
        </w:rPr>
        <w:fldChar w:fldCharType="separate"/>
      </w:r>
      <w:r w:rsidR="009801AF" w:rsidRPr="00DF0680">
        <w:rPr>
          <w:noProof w:val="0"/>
        </w:rPr>
        <w:t>4</w:t>
      </w:r>
      <w:r w:rsidR="00F20EC0" w:rsidRPr="00DF0680">
        <w:rPr>
          <w:noProof w:val="0"/>
        </w:rPr>
        <w:fldChar w:fldCharType="end"/>
      </w:r>
    </w:p>
    <w:p w:rsidR="00CE6110" w:rsidRPr="00DF0680" w:rsidRDefault="00CE6110">
      <w:pPr>
        <w:pStyle w:val="TOC3"/>
        <w:rPr>
          <w:rFonts w:asciiTheme="minorHAnsi" w:eastAsiaTheme="minorEastAsia" w:hAnsiTheme="minorHAnsi" w:cstheme="minorBidi"/>
          <w:color w:val="auto"/>
          <w:sz w:val="22"/>
        </w:rPr>
      </w:pPr>
      <w:r w:rsidRPr="00DF0680">
        <w:t>1.1.1</w:t>
      </w:r>
      <w:r w:rsidRPr="00DF0680">
        <w:rPr>
          <w:rFonts w:asciiTheme="minorHAnsi" w:eastAsiaTheme="minorEastAsia" w:hAnsiTheme="minorHAnsi" w:cstheme="minorBidi"/>
          <w:color w:val="auto"/>
          <w:sz w:val="22"/>
        </w:rPr>
        <w:tab/>
      </w:r>
      <w:r w:rsidRPr="00DF0680">
        <w:t>Cancer</w:t>
      </w:r>
      <w:r w:rsidRPr="00DF0680">
        <w:tab/>
      </w:r>
      <w:r w:rsidR="00F20EC0" w:rsidRPr="00DF0680">
        <w:fldChar w:fldCharType="begin"/>
      </w:r>
      <w:r w:rsidRPr="00DF0680">
        <w:instrText xml:space="preserve"> PAGEREF _Toc417674309 \h </w:instrText>
      </w:r>
      <w:r w:rsidR="00F20EC0" w:rsidRPr="00DF0680">
        <w:fldChar w:fldCharType="separate"/>
      </w:r>
      <w:r w:rsidR="009801AF" w:rsidRPr="00DF0680">
        <w:t>4</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1.1.2</w:t>
      </w:r>
      <w:r w:rsidRPr="00DF0680">
        <w:rPr>
          <w:rFonts w:asciiTheme="minorHAnsi" w:eastAsiaTheme="minorEastAsia" w:hAnsiTheme="minorHAnsi" w:cstheme="minorBidi"/>
          <w:color w:val="auto"/>
          <w:sz w:val="22"/>
        </w:rPr>
        <w:tab/>
      </w:r>
      <w:r w:rsidRPr="00DF0680">
        <w:t>Bladder cancer</w:t>
      </w:r>
      <w:r w:rsidRPr="00DF0680">
        <w:tab/>
      </w:r>
      <w:r w:rsidR="00F20EC0" w:rsidRPr="00DF0680">
        <w:fldChar w:fldCharType="begin"/>
      </w:r>
      <w:r w:rsidRPr="00DF0680">
        <w:instrText xml:space="preserve"> PAGEREF _Toc417674310 \h </w:instrText>
      </w:r>
      <w:r w:rsidR="00F20EC0" w:rsidRPr="00DF0680">
        <w:fldChar w:fldCharType="separate"/>
      </w:r>
      <w:r w:rsidR="009801AF" w:rsidRPr="00DF0680">
        <w:t>4</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1.1.3</w:t>
      </w:r>
      <w:r w:rsidRPr="00DF0680">
        <w:rPr>
          <w:rFonts w:asciiTheme="minorHAnsi" w:eastAsiaTheme="minorEastAsia" w:hAnsiTheme="minorHAnsi" w:cstheme="minorBidi"/>
          <w:color w:val="auto"/>
          <w:sz w:val="22"/>
        </w:rPr>
        <w:tab/>
      </w:r>
      <w:r w:rsidRPr="00DF0680">
        <w:t>Cancer and genome instability</w:t>
      </w:r>
      <w:r w:rsidRPr="00DF0680">
        <w:tab/>
      </w:r>
      <w:r w:rsidR="00F20EC0" w:rsidRPr="00DF0680">
        <w:fldChar w:fldCharType="begin"/>
      </w:r>
      <w:r w:rsidRPr="00DF0680">
        <w:instrText xml:space="preserve"> PAGEREF _Toc417674311 \h </w:instrText>
      </w:r>
      <w:r w:rsidR="00F20EC0" w:rsidRPr="00DF0680">
        <w:fldChar w:fldCharType="separate"/>
      </w:r>
      <w:r w:rsidR="009801AF" w:rsidRPr="00DF0680">
        <w:t>8</w:t>
      </w:r>
      <w:r w:rsidR="00F20EC0" w:rsidRPr="00DF0680">
        <w:fldChar w:fldCharType="end"/>
      </w:r>
    </w:p>
    <w:p w:rsidR="00CE6110" w:rsidRPr="00DF0680" w:rsidRDefault="00CE6110">
      <w:pPr>
        <w:pStyle w:val="TOC2"/>
        <w:rPr>
          <w:rFonts w:asciiTheme="minorHAnsi" w:eastAsiaTheme="minorEastAsia" w:hAnsiTheme="minorHAnsi" w:cstheme="minorBidi"/>
          <w:noProof w:val="0"/>
          <w:color w:val="auto"/>
          <w:sz w:val="22"/>
        </w:rPr>
      </w:pPr>
      <w:r w:rsidRPr="00DF0680">
        <w:rPr>
          <w:noProof w:val="0"/>
        </w:rPr>
        <w:t>1.2</w:t>
      </w:r>
      <w:r w:rsidRPr="00DF0680">
        <w:rPr>
          <w:rFonts w:asciiTheme="minorHAnsi" w:eastAsiaTheme="minorEastAsia" w:hAnsiTheme="minorHAnsi" w:cstheme="minorBidi"/>
          <w:noProof w:val="0"/>
          <w:color w:val="auto"/>
          <w:sz w:val="22"/>
        </w:rPr>
        <w:tab/>
      </w:r>
      <w:r w:rsidRPr="00DF0680">
        <w:rPr>
          <w:noProof w:val="0"/>
        </w:rPr>
        <w:t>DNA damage</w:t>
      </w:r>
      <w:r w:rsidRPr="00DF0680">
        <w:rPr>
          <w:noProof w:val="0"/>
        </w:rPr>
        <w:tab/>
      </w:r>
      <w:r w:rsidR="00F20EC0" w:rsidRPr="00DF0680">
        <w:rPr>
          <w:noProof w:val="0"/>
        </w:rPr>
        <w:fldChar w:fldCharType="begin"/>
      </w:r>
      <w:r w:rsidRPr="00DF0680">
        <w:rPr>
          <w:noProof w:val="0"/>
        </w:rPr>
        <w:instrText xml:space="preserve"> PAGEREF _Toc417674312 \h </w:instrText>
      </w:r>
      <w:r w:rsidR="00F20EC0" w:rsidRPr="00DF0680">
        <w:rPr>
          <w:noProof w:val="0"/>
        </w:rPr>
      </w:r>
      <w:r w:rsidR="00F20EC0" w:rsidRPr="00DF0680">
        <w:rPr>
          <w:noProof w:val="0"/>
        </w:rPr>
        <w:fldChar w:fldCharType="separate"/>
      </w:r>
      <w:r w:rsidR="009801AF" w:rsidRPr="00DF0680">
        <w:rPr>
          <w:noProof w:val="0"/>
        </w:rPr>
        <w:t>9</w:t>
      </w:r>
      <w:r w:rsidR="00F20EC0" w:rsidRPr="00DF0680">
        <w:rPr>
          <w:noProof w:val="0"/>
        </w:rPr>
        <w:fldChar w:fldCharType="end"/>
      </w:r>
    </w:p>
    <w:p w:rsidR="00CE6110" w:rsidRPr="00DF0680" w:rsidRDefault="00CE6110">
      <w:pPr>
        <w:pStyle w:val="TOC3"/>
        <w:rPr>
          <w:rFonts w:asciiTheme="minorHAnsi" w:eastAsiaTheme="minorEastAsia" w:hAnsiTheme="minorHAnsi" w:cstheme="minorBidi"/>
          <w:color w:val="auto"/>
          <w:sz w:val="22"/>
        </w:rPr>
      </w:pPr>
      <w:r w:rsidRPr="00DF0680">
        <w:t>1.2.1</w:t>
      </w:r>
      <w:r w:rsidRPr="00DF0680">
        <w:rPr>
          <w:rFonts w:asciiTheme="minorHAnsi" w:eastAsiaTheme="minorEastAsia" w:hAnsiTheme="minorHAnsi" w:cstheme="minorBidi"/>
          <w:color w:val="auto"/>
          <w:sz w:val="22"/>
        </w:rPr>
        <w:tab/>
      </w:r>
      <w:r w:rsidRPr="00DF0680">
        <w:t>Endogenous DNA damage</w:t>
      </w:r>
      <w:r w:rsidRPr="00DF0680">
        <w:tab/>
      </w:r>
      <w:r w:rsidR="00F20EC0" w:rsidRPr="00DF0680">
        <w:fldChar w:fldCharType="begin"/>
      </w:r>
      <w:r w:rsidRPr="00DF0680">
        <w:instrText xml:space="preserve"> PAGEREF _Toc417674313 \h </w:instrText>
      </w:r>
      <w:r w:rsidR="00F20EC0" w:rsidRPr="00DF0680">
        <w:fldChar w:fldCharType="separate"/>
      </w:r>
      <w:r w:rsidR="009801AF" w:rsidRPr="00DF0680">
        <w:t>9</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1.2.2</w:t>
      </w:r>
      <w:r w:rsidRPr="00DF0680">
        <w:rPr>
          <w:rFonts w:asciiTheme="minorHAnsi" w:eastAsiaTheme="minorEastAsia" w:hAnsiTheme="minorHAnsi" w:cstheme="minorBidi"/>
          <w:color w:val="auto"/>
          <w:sz w:val="22"/>
        </w:rPr>
        <w:tab/>
      </w:r>
      <w:r w:rsidRPr="00DF0680">
        <w:t>Exogenous DNA damage</w:t>
      </w:r>
      <w:r w:rsidRPr="00DF0680">
        <w:tab/>
      </w:r>
      <w:r w:rsidR="00F20EC0" w:rsidRPr="00DF0680">
        <w:fldChar w:fldCharType="begin"/>
      </w:r>
      <w:r w:rsidRPr="00DF0680">
        <w:instrText xml:space="preserve"> PAGEREF _Toc417674314 \h </w:instrText>
      </w:r>
      <w:r w:rsidR="00F20EC0" w:rsidRPr="00DF0680">
        <w:fldChar w:fldCharType="separate"/>
      </w:r>
      <w:r w:rsidR="009801AF" w:rsidRPr="00DF0680">
        <w:t>10</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1.2.3</w:t>
      </w:r>
      <w:r w:rsidRPr="00DF0680">
        <w:rPr>
          <w:rFonts w:asciiTheme="minorHAnsi" w:eastAsiaTheme="minorEastAsia" w:hAnsiTheme="minorHAnsi" w:cstheme="minorBidi"/>
          <w:color w:val="auto"/>
          <w:sz w:val="22"/>
        </w:rPr>
        <w:tab/>
      </w:r>
      <w:r w:rsidRPr="00DF0680">
        <w:t>DNA damage, ionising radiation and radiotherapy</w:t>
      </w:r>
      <w:r w:rsidRPr="00DF0680">
        <w:tab/>
      </w:r>
      <w:r w:rsidR="00F20EC0" w:rsidRPr="00DF0680">
        <w:fldChar w:fldCharType="begin"/>
      </w:r>
      <w:r w:rsidRPr="00DF0680">
        <w:instrText xml:space="preserve"> PAGEREF _Toc417674315 \h </w:instrText>
      </w:r>
      <w:r w:rsidR="00F20EC0" w:rsidRPr="00DF0680">
        <w:fldChar w:fldCharType="separate"/>
      </w:r>
      <w:r w:rsidR="009801AF" w:rsidRPr="00DF0680">
        <w:t>11</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1.2.4</w:t>
      </w:r>
      <w:r w:rsidRPr="00DF0680">
        <w:rPr>
          <w:rFonts w:asciiTheme="minorHAnsi" w:eastAsiaTheme="minorEastAsia" w:hAnsiTheme="minorHAnsi" w:cstheme="minorBidi"/>
          <w:color w:val="auto"/>
          <w:sz w:val="22"/>
        </w:rPr>
        <w:tab/>
      </w:r>
      <w:r w:rsidRPr="00DF0680">
        <w:t>DNA damage, chemicals and chemotherapy</w:t>
      </w:r>
      <w:r w:rsidRPr="00DF0680">
        <w:tab/>
      </w:r>
      <w:r w:rsidR="00F20EC0" w:rsidRPr="00DF0680">
        <w:fldChar w:fldCharType="begin"/>
      </w:r>
      <w:r w:rsidRPr="00DF0680">
        <w:instrText xml:space="preserve"> PAGEREF _Toc417674316 \h </w:instrText>
      </w:r>
      <w:r w:rsidR="00F20EC0" w:rsidRPr="00DF0680">
        <w:fldChar w:fldCharType="separate"/>
      </w:r>
      <w:r w:rsidR="009801AF" w:rsidRPr="00DF0680">
        <w:t>11</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1.2.5</w:t>
      </w:r>
      <w:r w:rsidRPr="00DF0680">
        <w:rPr>
          <w:rFonts w:asciiTheme="minorHAnsi" w:eastAsiaTheme="minorEastAsia" w:hAnsiTheme="minorHAnsi" w:cstheme="minorBidi"/>
          <w:color w:val="auto"/>
          <w:sz w:val="22"/>
        </w:rPr>
        <w:tab/>
      </w:r>
      <w:r w:rsidRPr="00DF0680">
        <w:t>Replication stress and replication fork collapse</w:t>
      </w:r>
      <w:r w:rsidRPr="00DF0680">
        <w:tab/>
      </w:r>
      <w:r w:rsidR="00F20EC0" w:rsidRPr="00DF0680">
        <w:fldChar w:fldCharType="begin"/>
      </w:r>
      <w:r w:rsidRPr="00DF0680">
        <w:instrText xml:space="preserve"> PAGEREF _Toc417674317 \h </w:instrText>
      </w:r>
      <w:r w:rsidR="00F20EC0" w:rsidRPr="00DF0680">
        <w:fldChar w:fldCharType="separate"/>
      </w:r>
      <w:r w:rsidR="009801AF" w:rsidRPr="00DF0680">
        <w:t>12</w:t>
      </w:r>
      <w:r w:rsidR="00F20EC0" w:rsidRPr="00DF0680">
        <w:fldChar w:fldCharType="end"/>
      </w:r>
    </w:p>
    <w:p w:rsidR="00CE6110" w:rsidRPr="00DF0680" w:rsidRDefault="00CE6110">
      <w:pPr>
        <w:pStyle w:val="TOC2"/>
        <w:rPr>
          <w:rFonts w:asciiTheme="minorHAnsi" w:eastAsiaTheme="minorEastAsia" w:hAnsiTheme="minorHAnsi" w:cstheme="minorBidi"/>
          <w:noProof w:val="0"/>
          <w:color w:val="auto"/>
          <w:sz w:val="22"/>
        </w:rPr>
      </w:pPr>
      <w:r w:rsidRPr="00DF0680">
        <w:rPr>
          <w:noProof w:val="0"/>
        </w:rPr>
        <w:t>1.3</w:t>
      </w:r>
      <w:r w:rsidRPr="00DF0680">
        <w:rPr>
          <w:rFonts w:asciiTheme="minorHAnsi" w:eastAsiaTheme="minorEastAsia" w:hAnsiTheme="minorHAnsi" w:cstheme="minorBidi"/>
          <w:noProof w:val="0"/>
          <w:color w:val="auto"/>
          <w:sz w:val="22"/>
        </w:rPr>
        <w:tab/>
      </w:r>
      <w:r w:rsidRPr="00DF0680">
        <w:rPr>
          <w:noProof w:val="0"/>
        </w:rPr>
        <w:t>DNA damage response</w:t>
      </w:r>
      <w:r w:rsidRPr="00DF0680">
        <w:rPr>
          <w:noProof w:val="0"/>
        </w:rPr>
        <w:tab/>
      </w:r>
      <w:r w:rsidR="00F20EC0" w:rsidRPr="00DF0680">
        <w:rPr>
          <w:noProof w:val="0"/>
        </w:rPr>
        <w:fldChar w:fldCharType="begin"/>
      </w:r>
      <w:r w:rsidRPr="00DF0680">
        <w:rPr>
          <w:noProof w:val="0"/>
        </w:rPr>
        <w:instrText xml:space="preserve"> PAGEREF _Toc417674318 \h </w:instrText>
      </w:r>
      <w:r w:rsidR="00F20EC0" w:rsidRPr="00DF0680">
        <w:rPr>
          <w:noProof w:val="0"/>
        </w:rPr>
      </w:r>
      <w:r w:rsidR="00F20EC0" w:rsidRPr="00DF0680">
        <w:rPr>
          <w:noProof w:val="0"/>
        </w:rPr>
        <w:fldChar w:fldCharType="separate"/>
      </w:r>
      <w:r w:rsidR="009801AF" w:rsidRPr="00DF0680">
        <w:rPr>
          <w:noProof w:val="0"/>
        </w:rPr>
        <w:t>14</w:t>
      </w:r>
      <w:r w:rsidR="00F20EC0" w:rsidRPr="00DF0680">
        <w:rPr>
          <w:noProof w:val="0"/>
        </w:rPr>
        <w:fldChar w:fldCharType="end"/>
      </w:r>
    </w:p>
    <w:p w:rsidR="00CE6110" w:rsidRPr="00DF0680" w:rsidRDefault="00CE6110">
      <w:pPr>
        <w:pStyle w:val="TOC3"/>
        <w:rPr>
          <w:rFonts w:asciiTheme="minorHAnsi" w:eastAsiaTheme="minorEastAsia" w:hAnsiTheme="minorHAnsi" w:cstheme="minorBidi"/>
          <w:color w:val="auto"/>
          <w:sz w:val="22"/>
        </w:rPr>
      </w:pPr>
      <w:r w:rsidRPr="00DF0680">
        <w:t>1.3.1</w:t>
      </w:r>
      <w:r w:rsidRPr="00DF0680">
        <w:rPr>
          <w:rFonts w:asciiTheme="minorHAnsi" w:eastAsiaTheme="minorEastAsia" w:hAnsiTheme="minorHAnsi" w:cstheme="minorBidi"/>
          <w:color w:val="auto"/>
          <w:sz w:val="22"/>
        </w:rPr>
        <w:tab/>
      </w:r>
      <w:r w:rsidRPr="00DF0680">
        <w:t>DNA damage recognition and signalling</w:t>
      </w:r>
      <w:r w:rsidRPr="00DF0680">
        <w:tab/>
      </w:r>
      <w:r w:rsidR="00F20EC0" w:rsidRPr="00DF0680">
        <w:fldChar w:fldCharType="begin"/>
      </w:r>
      <w:r w:rsidRPr="00DF0680">
        <w:instrText xml:space="preserve"> PAGEREF _Toc417674319 \h </w:instrText>
      </w:r>
      <w:r w:rsidR="00F20EC0" w:rsidRPr="00DF0680">
        <w:fldChar w:fldCharType="separate"/>
      </w:r>
      <w:r w:rsidR="009801AF" w:rsidRPr="00DF0680">
        <w:t>17</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1.3.1.1</w:t>
      </w:r>
      <w:r w:rsidRPr="00DF0680">
        <w:rPr>
          <w:rFonts w:asciiTheme="minorHAnsi" w:eastAsiaTheme="minorEastAsia" w:hAnsiTheme="minorHAnsi" w:cstheme="minorBidi"/>
          <w:color w:val="auto"/>
          <w:sz w:val="22"/>
        </w:rPr>
        <w:tab/>
      </w:r>
      <w:r w:rsidRPr="00DF0680">
        <w:t>Poly ADP-ribose</w:t>
      </w:r>
      <w:r w:rsidRPr="00DF0680">
        <w:tab/>
      </w:r>
      <w:r w:rsidR="00F20EC0" w:rsidRPr="00DF0680">
        <w:fldChar w:fldCharType="begin"/>
      </w:r>
      <w:r w:rsidRPr="00DF0680">
        <w:instrText xml:space="preserve"> PAGEREF _Toc417674320 \h </w:instrText>
      </w:r>
      <w:r w:rsidR="00F20EC0" w:rsidRPr="00DF0680">
        <w:fldChar w:fldCharType="separate"/>
      </w:r>
      <w:r w:rsidR="009801AF" w:rsidRPr="00DF0680">
        <w:t>17</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1.3.1.2</w:t>
      </w:r>
      <w:r w:rsidRPr="00DF0680">
        <w:rPr>
          <w:rFonts w:asciiTheme="minorHAnsi" w:eastAsiaTheme="minorEastAsia" w:hAnsiTheme="minorHAnsi" w:cstheme="minorBidi"/>
          <w:color w:val="auto"/>
          <w:sz w:val="22"/>
        </w:rPr>
        <w:tab/>
      </w:r>
      <w:r w:rsidRPr="00DF0680">
        <w:t>Recognition of double-strand breaks</w:t>
      </w:r>
      <w:r w:rsidRPr="00DF0680">
        <w:tab/>
      </w:r>
      <w:r w:rsidR="00F20EC0" w:rsidRPr="00DF0680">
        <w:fldChar w:fldCharType="begin"/>
      </w:r>
      <w:r w:rsidRPr="00DF0680">
        <w:instrText xml:space="preserve"> PAGEREF _Toc417674321 \h </w:instrText>
      </w:r>
      <w:r w:rsidR="00F20EC0" w:rsidRPr="00DF0680">
        <w:fldChar w:fldCharType="separate"/>
      </w:r>
      <w:r w:rsidR="009801AF" w:rsidRPr="00DF0680">
        <w:t>17</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1.3.1.3</w:t>
      </w:r>
      <w:r w:rsidRPr="00DF0680">
        <w:rPr>
          <w:rFonts w:asciiTheme="minorHAnsi" w:eastAsiaTheme="minorEastAsia" w:hAnsiTheme="minorHAnsi" w:cstheme="minorBidi"/>
          <w:color w:val="auto"/>
          <w:sz w:val="22"/>
        </w:rPr>
        <w:tab/>
      </w:r>
      <w:r w:rsidRPr="00DF0680">
        <w:t>Recognition of replication stress – Replication Protein A</w:t>
      </w:r>
      <w:r w:rsidRPr="00DF0680">
        <w:tab/>
      </w:r>
      <w:r w:rsidR="00F20EC0" w:rsidRPr="00DF0680">
        <w:fldChar w:fldCharType="begin"/>
      </w:r>
      <w:r w:rsidRPr="00DF0680">
        <w:instrText xml:space="preserve"> PAGEREF _Toc417674322 \h </w:instrText>
      </w:r>
      <w:r w:rsidR="00F20EC0" w:rsidRPr="00DF0680">
        <w:fldChar w:fldCharType="separate"/>
      </w:r>
      <w:r w:rsidR="009801AF" w:rsidRPr="00DF0680">
        <w:t>18</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1.3.1.4</w:t>
      </w:r>
      <w:r w:rsidRPr="00DF0680">
        <w:rPr>
          <w:rFonts w:asciiTheme="minorHAnsi" w:eastAsiaTheme="minorEastAsia" w:hAnsiTheme="minorHAnsi" w:cstheme="minorBidi"/>
          <w:color w:val="auto"/>
          <w:sz w:val="22"/>
        </w:rPr>
        <w:tab/>
      </w:r>
      <w:r w:rsidRPr="00DF0680">
        <w:t>Recognition of replication stress – Fanconi anaemia pathway</w:t>
      </w:r>
      <w:r w:rsidRPr="00DF0680">
        <w:tab/>
      </w:r>
      <w:r w:rsidR="00F20EC0" w:rsidRPr="00DF0680">
        <w:fldChar w:fldCharType="begin"/>
      </w:r>
      <w:r w:rsidRPr="00DF0680">
        <w:instrText xml:space="preserve"> PAGEREF _Toc417674323 \h </w:instrText>
      </w:r>
      <w:r w:rsidR="00F20EC0" w:rsidRPr="00DF0680">
        <w:fldChar w:fldCharType="separate"/>
      </w:r>
      <w:r w:rsidR="009801AF" w:rsidRPr="00DF0680">
        <w:t>18</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1.3.2</w:t>
      </w:r>
      <w:r w:rsidRPr="00DF0680">
        <w:rPr>
          <w:rFonts w:asciiTheme="minorHAnsi" w:eastAsiaTheme="minorEastAsia" w:hAnsiTheme="minorHAnsi" w:cstheme="minorBidi"/>
          <w:color w:val="auto"/>
          <w:sz w:val="22"/>
        </w:rPr>
        <w:tab/>
      </w:r>
      <w:r w:rsidRPr="00DF0680">
        <w:t>DNA damage signalling molecules</w:t>
      </w:r>
      <w:r w:rsidRPr="00DF0680">
        <w:tab/>
      </w:r>
      <w:r w:rsidR="00F20EC0" w:rsidRPr="00DF0680">
        <w:fldChar w:fldCharType="begin"/>
      </w:r>
      <w:r w:rsidRPr="00DF0680">
        <w:instrText xml:space="preserve"> PAGEREF _Toc417674324 \h </w:instrText>
      </w:r>
      <w:r w:rsidR="00F20EC0" w:rsidRPr="00DF0680">
        <w:fldChar w:fldCharType="separate"/>
      </w:r>
      <w:r w:rsidR="009801AF" w:rsidRPr="00DF0680">
        <w:t>19</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1.3.3</w:t>
      </w:r>
      <w:r w:rsidRPr="00DF0680">
        <w:rPr>
          <w:rFonts w:asciiTheme="minorHAnsi" w:eastAsiaTheme="minorEastAsia" w:hAnsiTheme="minorHAnsi" w:cstheme="minorBidi"/>
          <w:color w:val="auto"/>
          <w:sz w:val="22"/>
        </w:rPr>
        <w:tab/>
      </w:r>
      <w:r w:rsidRPr="00DF0680">
        <w:t>Effects on the cell cycle</w:t>
      </w:r>
      <w:r w:rsidRPr="00DF0680">
        <w:tab/>
      </w:r>
      <w:r w:rsidR="00F20EC0" w:rsidRPr="00DF0680">
        <w:fldChar w:fldCharType="begin"/>
      </w:r>
      <w:r w:rsidRPr="00DF0680">
        <w:instrText xml:space="preserve"> PAGEREF _Toc417674325 \h </w:instrText>
      </w:r>
      <w:r w:rsidR="00F20EC0" w:rsidRPr="00DF0680">
        <w:fldChar w:fldCharType="separate"/>
      </w:r>
      <w:r w:rsidR="009801AF" w:rsidRPr="00DF0680">
        <w:t>21</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1.3.4</w:t>
      </w:r>
      <w:r w:rsidRPr="00DF0680">
        <w:rPr>
          <w:rFonts w:asciiTheme="minorHAnsi" w:eastAsiaTheme="minorEastAsia" w:hAnsiTheme="minorHAnsi" w:cstheme="minorBidi"/>
          <w:color w:val="auto"/>
          <w:sz w:val="22"/>
        </w:rPr>
        <w:tab/>
      </w:r>
      <w:r w:rsidRPr="00DF0680">
        <w:t>Effects on apoptosis and senescence</w:t>
      </w:r>
      <w:r w:rsidRPr="00DF0680">
        <w:tab/>
      </w:r>
      <w:r w:rsidR="00F20EC0" w:rsidRPr="00DF0680">
        <w:fldChar w:fldCharType="begin"/>
      </w:r>
      <w:r w:rsidRPr="00DF0680">
        <w:instrText xml:space="preserve"> PAGEREF _Toc417674326 \h </w:instrText>
      </w:r>
      <w:r w:rsidR="00F20EC0" w:rsidRPr="00DF0680">
        <w:fldChar w:fldCharType="separate"/>
      </w:r>
      <w:r w:rsidR="009801AF" w:rsidRPr="00DF0680">
        <w:t>23</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1.3.5</w:t>
      </w:r>
      <w:r w:rsidRPr="00DF0680">
        <w:rPr>
          <w:rFonts w:asciiTheme="minorHAnsi" w:eastAsiaTheme="minorEastAsia" w:hAnsiTheme="minorHAnsi" w:cstheme="minorBidi"/>
          <w:color w:val="auto"/>
          <w:sz w:val="22"/>
        </w:rPr>
        <w:tab/>
      </w:r>
      <w:r w:rsidRPr="00DF0680">
        <w:t>DNA damage repair</w:t>
      </w:r>
      <w:r w:rsidRPr="00DF0680">
        <w:tab/>
      </w:r>
      <w:r w:rsidR="00F20EC0" w:rsidRPr="00DF0680">
        <w:fldChar w:fldCharType="begin"/>
      </w:r>
      <w:r w:rsidRPr="00DF0680">
        <w:instrText xml:space="preserve"> PAGEREF _Toc417674327 \h </w:instrText>
      </w:r>
      <w:r w:rsidR="00F20EC0" w:rsidRPr="00DF0680">
        <w:fldChar w:fldCharType="separate"/>
      </w:r>
      <w:r w:rsidR="009801AF" w:rsidRPr="00DF0680">
        <w:t>24</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1.3.5.1</w:t>
      </w:r>
      <w:r w:rsidRPr="00DF0680">
        <w:rPr>
          <w:rFonts w:asciiTheme="minorHAnsi" w:eastAsiaTheme="minorEastAsia" w:hAnsiTheme="minorHAnsi" w:cstheme="minorBidi"/>
          <w:color w:val="auto"/>
          <w:sz w:val="22"/>
        </w:rPr>
        <w:tab/>
      </w:r>
      <w:r w:rsidRPr="00DF0680">
        <w:t>Base excision repair</w:t>
      </w:r>
      <w:r w:rsidRPr="00DF0680">
        <w:tab/>
      </w:r>
      <w:r w:rsidR="00F20EC0" w:rsidRPr="00DF0680">
        <w:fldChar w:fldCharType="begin"/>
      </w:r>
      <w:r w:rsidRPr="00DF0680">
        <w:instrText xml:space="preserve"> PAGEREF _Toc417674328 \h </w:instrText>
      </w:r>
      <w:r w:rsidR="00F20EC0" w:rsidRPr="00DF0680">
        <w:fldChar w:fldCharType="separate"/>
      </w:r>
      <w:r w:rsidR="009801AF" w:rsidRPr="00DF0680">
        <w:t>24</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1.3.5.2</w:t>
      </w:r>
      <w:r w:rsidRPr="00DF0680">
        <w:rPr>
          <w:rFonts w:asciiTheme="minorHAnsi" w:eastAsiaTheme="minorEastAsia" w:hAnsiTheme="minorHAnsi" w:cstheme="minorBidi"/>
          <w:color w:val="auto"/>
          <w:sz w:val="22"/>
        </w:rPr>
        <w:tab/>
      </w:r>
      <w:r w:rsidRPr="00DF0680">
        <w:t>Nucleotide excision repair</w:t>
      </w:r>
      <w:r w:rsidRPr="00DF0680">
        <w:tab/>
      </w:r>
      <w:r w:rsidR="00F20EC0" w:rsidRPr="00DF0680">
        <w:fldChar w:fldCharType="begin"/>
      </w:r>
      <w:r w:rsidRPr="00DF0680">
        <w:instrText xml:space="preserve"> PAGEREF _Toc417674329 \h </w:instrText>
      </w:r>
      <w:r w:rsidR="00F20EC0" w:rsidRPr="00DF0680">
        <w:fldChar w:fldCharType="separate"/>
      </w:r>
      <w:r w:rsidR="009801AF" w:rsidRPr="00DF0680">
        <w:t>25</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1.3.5.3</w:t>
      </w:r>
      <w:r w:rsidRPr="00DF0680">
        <w:rPr>
          <w:rFonts w:asciiTheme="minorHAnsi" w:eastAsiaTheme="minorEastAsia" w:hAnsiTheme="minorHAnsi" w:cstheme="minorBidi"/>
          <w:color w:val="auto"/>
          <w:sz w:val="22"/>
        </w:rPr>
        <w:tab/>
      </w:r>
      <w:r w:rsidRPr="00DF0680">
        <w:t>Mis-match repair</w:t>
      </w:r>
      <w:r w:rsidRPr="00DF0680">
        <w:tab/>
      </w:r>
      <w:r w:rsidR="00F20EC0" w:rsidRPr="00DF0680">
        <w:fldChar w:fldCharType="begin"/>
      </w:r>
      <w:r w:rsidRPr="00DF0680">
        <w:instrText xml:space="preserve"> PAGEREF _Toc417674330 \h </w:instrText>
      </w:r>
      <w:r w:rsidR="00F20EC0" w:rsidRPr="00DF0680">
        <w:fldChar w:fldCharType="separate"/>
      </w:r>
      <w:r w:rsidR="009801AF" w:rsidRPr="00DF0680">
        <w:t>26</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1.3.5.4</w:t>
      </w:r>
      <w:r w:rsidRPr="00DF0680">
        <w:rPr>
          <w:rFonts w:asciiTheme="minorHAnsi" w:eastAsiaTheme="minorEastAsia" w:hAnsiTheme="minorHAnsi" w:cstheme="minorBidi"/>
          <w:color w:val="auto"/>
          <w:sz w:val="22"/>
        </w:rPr>
        <w:tab/>
      </w:r>
      <w:r w:rsidRPr="00DF0680">
        <w:t>Cross-link repair</w:t>
      </w:r>
      <w:r w:rsidRPr="00DF0680">
        <w:tab/>
      </w:r>
      <w:r w:rsidR="00F20EC0" w:rsidRPr="00DF0680">
        <w:fldChar w:fldCharType="begin"/>
      </w:r>
      <w:r w:rsidRPr="00DF0680">
        <w:instrText xml:space="preserve"> PAGEREF _Toc417674331 \h </w:instrText>
      </w:r>
      <w:r w:rsidR="00F20EC0" w:rsidRPr="00DF0680">
        <w:fldChar w:fldCharType="separate"/>
      </w:r>
      <w:r w:rsidR="009801AF" w:rsidRPr="00DF0680">
        <w:t>26</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1.3.5.5</w:t>
      </w:r>
      <w:r w:rsidRPr="00DF0680">
        <w:rPr>
          <w:rFonts w:asciiTheme="minorHAnsi" w:eastAsiaTheme="minorEastAsia" w:hAnsiTheme="minorHAnsi" w:cstheme="minorBidi"/>
          <w:color w:val="auto"/>
          <w:sz w:val="22"/>
        </w:rPr>
        <w:tab/>
      </w:r>
      <w:r w:rsidRPr="00DF0680">
        <w:t>Translesion synthesis</w:t>
      </w:r>
      <w:r w:rsidRPr="00DF0680">
        <w:tab/>
      </w:r>
      <w:r w:rsidR="00F20EC0" w:rsidRPr="00DF0680">
        <w:fldChar w:fldCharType="begin"/>
      </w:r>
      <w:r w:rsidRPr="00DF0680">
        <w:instrText xml:space="preserve"> PAGEREF _Toc417674332 \h </w:instrText>
      </w:r>
      <w:r w:rsidR="00F20EC0" w:rsidRPr="00DF0680">
        <w:fldChar w:fldCharType="separate"/>
      </w:r>
      <w:r w:rsidR="009801AF" w:rsidRPr="00DF0680">
        <w:t>27</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lastRenderedPageBreak/>
        <w:t>1.3.5.6</w:t>
      </w:r>
      <w:r w:rsidRPr="00DF0680">
        <w:rPr>
          <w:rFonts w:asciiTheme="minorHAnsi" w:eastAsiaTheme="minorEastAsia" w:hAnsiTheme="minorHAnsi" w:cstheme="minorBidi"/>
          <w:color w:val="auto"/>
          <w:sz w:val="22"/>
        </w:rPr>
        <w:tab/>
      </w:r>
      <w:r w:rsidRPr="00DF0680">
        <w:t>Non-homologous end joining</w:t>
      </w:r>
      <w:r w:rsidRPr="00DF0680">
        <w:tab/>
      </w:r>
      <w:r w:rsidR="00F20EC0" w:rsidRPr="00DF0680">
        <w:fldChar w:fldCharType="begin"/>
      </w:r>
      <w:r w:rsidRPr="00DF0680">
        <w:instrText xml:space="preserve"> PAGEREF _Toc417674333 \h </w:instrText>
      </w:r>
      <w:r w:rsidR="00F20EC0" w:rsidRPr="00DF0680">
        <w:fldChar w:fldCharType="separate"/>
      </w:r>
      <w:r w:rsidR="009801AF" w:rsidRPr="00DF0680">
        <w:t>27</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1.3.5.7</w:t>
      </w:r>
      <w:r w:rsidRPr="00DF0680">
        <w:rPr>
          <w:rFonts w:asciiTheme="minorHAnsi" w:eastAsiaTheme="minorEastAsia" w:hAnsiTheme="minorHAnsi" w:cstheme="minorBidi"/>
          <w:color w:val="auto"/>
          <w:sz w:val="22"/>
        </w:rPr>
        <w:tab/>
      </w:r>
      <w:r w:rsidRPr="00DF0680">
        <w:t>Alternative non-homologous end joining</w:t>
      </w:r>
      <w:r w:rsidRPr="00DF0680">
        <w:tab/>
      </w:r>
      <w:r w:rsidR="00F20EC0" w:rsidRPr="00DF0680">
        <w:fldChar w:fldCharType="begin"/>
      </w:r>
      <w:r w:rsidRPr="00DF0680">
        <w:instrText xml:space="preserve"> PAGEREF _Toc417674334 \h </w:instrText>
      </w:r>
      <w:r w:rsidR="00F20EC0" w:rsidRPr="00DF0680">
        <w:fldChar w:fldCharType="separate"/>
      </w:r>
      <w:r w:rsidR="009801AF" w:rsidRPr="00DF0680">
        <w:t>28</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1.3.5.8</w:t>
      </w:r>
      <w:r w:rsidRPr="00DF0680">
        <w:rPr>
          <w:rFonts w:asciiTheme="minorHAnsi" w:eastAsiaTheme="minorEastAsia" w:hAnsiTheme="minorHAnsi" w:cstheme="minorBidi"/>
          <w:color w:val="auto"/>
          <w:sz w:val="22"/>
        </w:rPr>
        <w:tab/>
      </w:r>
      <w:r w:rsidRPr="00DF0680">
        <w:t>Homologous recombination</w:t>
      </w:r>
      <w:r w:rsidRPr="00DF0680">
        <w:tab/>
      </w:r>
      <w:r w:rsidR="00F20EC0" w:rsidRPr="00DF0680">
        <w:fldChar w:fldCharType="begin"/>
      </w:r>
      <w:r w:rsidRPr="00DF0680">
        <w:instrText xml:space="preserve"> PAGEREF _Toc417674335 \h </w:instrText>
      </w:r>
      <w:r w:rsidR="00F20EC0" w:rsidRPr="00DF0680">
        <w:fldChar w:fldCharType="separate"/>
      </w:r>
      <w:r w:rsidR="009801AF" w:rsidRPr="00DF0680">
        <w:t>29</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1.3.5.9</w:t>
      </w:r>
      <w:r w:rsidRPr="00DF0680">
        <w:rPr>
          <w:rFonts w:asciiTheme="minorHAnsi" w:eastAsiaTheme="minorEastAsia" w:hAnsiTheme="minorHAnsi" w:cstheme="minorBidi"/>
          <w:color w:val="auto"/>
          <w:sz w:val="22"/>
        </w:rPr>
        <w:tab/>
      </w:r>
      <w:r w:rsidRPr="00DF0680">
        <w:t>Single strand annealing</w:t>
      </w:r>
      <w:r w:rsidRPr="00DF0680">
        <w:tab/>
      </w:r>
      <w:r w:rsidR="00F20EC0" w:rsidRPr="00DF0680">
        <w:fldChar w:fldCharType="begin"/>
      </w:r>
      <w:r w:rsidRPr="00DF0680">
        <w:instrText xml:space="preserve"> PAGEREF _Toc417674336 \h </w:instrText>
      </w:r>
      <w:r w:rsidR="00F20EC0" w:rsidRPr="00DF0680">
        <w:fldChar w:fldCharType="separate"/>
      </w:r>
      <w:r w:rsidR="009801AF" w:rsidRPr="00DF0680">
        <w:t>30</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1.3.5.10</w:t>
      </w:r>
      <w:r w:rsidRPr="00DF0680">
        <w:rPr>
          <w:rFonts w:asciiTheme="minorHAnsi" w:eastAsiaTheme="minorEastAsia" w:hAnsiTheme="minorHAnsi" w:cstheme="minorBidi"/>
          <w:color w:val="auto"/>
          <w:sz w:val="22"/>
        </w:rPr>
        <w:tab/>
      </w:r>
      <w:r w:rsidRPr="00DF0680">
        <w:t>Synthesis dependent strand annealing</w:t>
      </w:r>
      <w:r w:rsidRPr="00DF0680">
        <w:tab/>
      </w:r>
      <w:r w:rsidR="00F20EC0" w:rsidRPr="00DF0680">
        <w:fldChar w:fldCharType="begin"/>
      </w:r>
      <w:r w:rsidRPr="00DF0680">
        <w:instrText xml:space="preserve"> PAGEREF _Toc417674337 \h </w:instrText>
      </w:r>
      <w:r w:rsidR="00F20EC0" w:rsidRPr="00DF0680">
        <w:fldChar w:fldCharType="separate"/>
      </w:r>
      <w:r w:rsidR="009801AF" w:rsidRPr="00DF0680">
        <w:t>30</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1.3.5.11</w:t>
      </w:r>
      <w:r w:rsidRPr="00DF0680">
        <w:rPr>
          <w:rFonts w:asciiTheme="minorHAnsi" w:eastAsiaTheme="minorEastAsia" w:hAnsiTheme="minorHAnsi" w:cstheme="minorBidi"/>
          <w:color w:val="auto"/>
          <w:sz w:val="22"/>
        </w:rPr>
        <w:tab/>
      </w:r>
      <w:r w:rsidRPr="00DF0680">
        <w:t>Fork stabilisation and restart</w:t>
      </w:r>
      <w:r w:rsidRPr="00DF0680">
        <w:tab/>
      </w:r>
      <w:r w:rsidR="00F20EC0" w:rsidRPr="00DF0680">
        <w:fldChar w:fldCharType="begin"/>
      </w:r>
      <w:r w:rsidRPr="00DF0680">
        <w:instrText xml:space="preserve"> PAGEREF _Toc417674338 \h </w:instrText>
      </w:r>
      <w:r w:rsidR="00F20EC0" w:rsidRPr="00DF0680">
        <w:fldChar w:fldCharType="separate"/>
      </w:r>
      <w:r w:rsidR="009801AF" w:rsidRPr="00DF0680">
        <w:t>31</w:t>
      </w:r>
      <w:r w:rsidR="00F20EC0" w:rsidRPr="00DF0680">
        <w:fldChar w:fldCharType="end"/>
      </w:r>
    </w:p>
    <w:p w:rsidR="00CE6110" w:rsidRPr="00DF0680" w:rsidRDefault="00CE6110">
      <w:pPr>
        <w:pStyle w:val="TOC2"/>
        <w:rPr>
          <w:rFonts w:asciiTheme="minorHAnsi" w:eastAsiaTheme="minorEastAsia" w:hAnsiTheme="minorHAnsi" w:cstheme="minorBidi"/>
          <w:noProof w:val="0"/>
          <w:color w:val="auto"/>
          <w:sz w:val="22"/>
        </w:rPr>
      </w:pPr>
      <w:r w:rsidRPr="00DF0680">
        <w:rPr>
          <w:noProof w:val="0"/>
        </w:rPr>
        <w:t>1.4</w:t>
      </w:r>
      <w:r w:rsidRPr="00DF0680">
        <w:rPr>
          <w:rFonts w:asciiTheme="minorHAnsi" w:eastAsiaTheme="minorEastAsia" w:hAnsiTheme="minorHAnsi" w:cstheme="minorBidi"/>
          <w:noProof w:val="0"/>
          <w:color w:val="auto"/>
          <w:sz w:val="22"/>
        </w:rPr>
        <w:tab/>
      </w:r>
      <w:r w:rsidRPr="00DF0680">
        <w:rPr>
          <w:noProof w:val="0"/>
        </w:rPr>
        <w:t>RECQ family</w:t>
      </w:r>
      <w:r w:rsidRPr="00DF0680">
        <w:rPr>
          <w:noProof w:val="0"/>
        </w:rPr>
        <w:tab/>
      </w:r>
      <w:r w:rsidR="00F20EC0" w:rsidRPr="00DF0680">
        <w:rPr>
          <w:noProof w:val="0"/>
        </w:rPr>
        <w:fldChar w:fldCharType="begin"/>
      </w:r>
      <w:r w:rsidRPr="00DF0680">
        <w:rPr>
          <w:noProof w:val="0"/>
        </w:rPr>
        <w:instrText xml:space="preserve"> PAGEREF _Toc417674339 \h </w:instrText>
      </w:r>
      <w:r w:rsidR="00F20EC0" w:rsidRPr="00DF0680">
        <w:rPr>
          <w:noProof w:val="0"/>
        </w:rPr>
      </w:r>
      <w:r w:rsidR="00F20EC0" w:rsidRPr="00DF0680">
        <w:rPr>
          <w:noProof w:val="0"/>
        </w:rPr>
        <w:fldChar w:fldCharType="separate"/>
      </w:r>
      <w:r w:rsidR="009801AF" w:rsidRPr="00DF0680">
        <w:rPr>
          <w:noProof w:val="0"/>
        </w:rPr>
        <w:t>37</w:t>
      </w:r>
      <w:r w:rsidR="00F20EC0" w:rsidRPr="00DF0680">
        <w:rPr>
          <w:noProof w:val="0"/>
        </w:rPr>
        <w:fldChar w:fldCharType="end"/>
      </w:r>
    </w:p>
    <w:p w:rsidR="00CE6110" w:rsidRPr="00DF0680" w:rsidRDefault="00CE6110">
      <w:pPr>
        <w:pStyle w:val="TOC3"/>
        <w:rPr>
          <w:rFonts w:asciiTheme="minorHAnsi" w:eastAsiaTheme="minorEastAsia" w:hAnsiTheme="minorHAnsi" w:cstheme="minorBidi"/>
          <w:color w:val="auto"/>
          <w:sz w:val="22"/>
        </w:rPr>
      </w:pPr>
      <w:r w:rsidRPr="00DF0680">
        <w:t>1.4.1</w:t>
      </w:r>
      <w:r w:rsidRPr="00DF0680">
        <w:rPr>
          <w:rFonts w:asciiTheme="minorHAnsi" w:eastAsiaTheme="minorEastAsia" w:hAnsiTheme="minorHAnsi" w:cstheme="minorBidi"/>
          <w:color w:val="auto"/>
          <w:sz w:val="22"/>
        </w:rPr>
        <w:tab/>
      </w:r>
      <w:r w:rsidRPr="00DF0680">
        <w:t>RecQ</w:t>
      </w:r>
      <w:r w:rsidRPr="00DF0680">
        <w:tab/>
      </w:r>
      <w:r w:rsidR="00F20EC0" w:rsidRPr="00DF0680">
        <w:fldChar w:fldCharType="begin"/>
      </w:r>
      <w:r w:rsidRPr="00DF0680">
        <w:instrText xml:space="preserve"> PAGEREF _Toc417674340 \h </w:instrText>
      </w:r>
      <w:r w:rsidR="00F20EC0" w:rsidRPr="00DF0680">
        <w:fldChar w:fldCharType="separate"/>
      </w:r>
      <w:r w:rsidR="009801AF" w:rsidRPr="00DF0680">
        <w:t>38</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1.4.2</w:t>
      </w:r>
      <w:r w:rsidRPr="00DF0680">
        <w:rPr>
          <w:rFonts w:asciiTheme="minorHAnsi" w:eastAsiaTheme="minorEastAsia" w:hAnsiTheme="minorHAnsi" w:cstheme="minorBidi"/>
          <w:color w:val="auto"/>
          <w:sz w:val="22"/>
        </w:rPr>
        <w:tab/>
      </w:r>
      <w:r w:rsidRPr="00DF0680">
        <w:t>Sgs1</w:t>
      </w:r>
      <w:r w:rsidRPr="00DF0680">
        <w:tab/>
      </w:r>
      <w:r w:rsidR="00F20EC0" w:rsidRPr="00DF0680">
        <w:fldChar w:fldCharType="begin"/>
      </w:r>
      <w:r w:rsidRPr="00DF0680">
        <w:instrText xml:space="preserve"> PAGEREF _Toc417674341 \h </w:instrText>
      </w:r>
      <w:r w:rsidR="00F20EC0" w:rsidRPr="00DF0680">
        <w:fldChar w:fldCharType="separate"/>
      </w:r>
      <w:r w:rsidR="009801AF" w:rsidRPr="00DF0680">
        <w:t>39</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1.4.3</w:t>
      </w:r>
      <w:r w:rsidRPr="00DF0680">
        <w:rPr>
          <w:rFonts w:asciiTheme="minorHAnsi" w:eastAsiaTheme="minorEastAsia" w:hAnsiTheme="minorHAnsi" w:cstheme="minorBidi"/>
          <w:color w:val="auto"/>
          <w:sz w:val="22"/>
        </w:rPr>
        <w:tab/>
      </w:r>
      <w:r w:rsidRPr="00DF0680">
        <w:t>RECQL1</w:t>
      </w:r>
      <w:r w:rsidRPr="00DF0680">
        <w:tab/>
      </w:r>
      <w:r w:rsidR="00F20EC0" w:rsidRPr="00DF0680">
        <w:fldChar w:fldCharType="begin"/>
      </w:r>
      <w:r w:rsidRPr="00DF0680">
        <w:instrText xml:space="preserve"> PAGEREF _Toc417674342 \h </w:instrText>
      </w:r>
      <w:r w:rsidR="00F20EC0" w:rsidRPr="00DF0680">
        <w:fldChar w:fldCharType="separate"/>
      </w:r>
      <w:r w:rsidR="009801AF" w:rsidRPr="00DF0680">
        <w:t>40</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1.4.4</w:t>
      </w:r>
      <w:r w:rsidRPr="00DF0680">
        <w:rPr>
          <w:rFonts w:asciiTheme="minorHAnsi" w:eastAsiaTheme="minorEastAsia" w:hAnsiTheme="minorHAnsi" w:cstheme="minorBidi"/>
          <w:color w:val="auto"/>
          <w:sz w:val="22"/>
        </w:rPr>
        <w:tab/>
      </w:r>
      <w:r w:rsidRPr="00DF0680">
        <w:t>BLM</w:t>
      </w:r>
      <w:r w:rsidRPr="00DF0680">
        <w:tab/>
      </w:r>
      <w:r w:rsidR="00F20EC0" w:rsidRPr="00DF0680">
        <w:fldChar w:fldCharType="begin"/>
      </w:r>
      <w:r w:rsidRPr="00DF0680">
        <w:instrText xml:space="preserve"> PAGEREF _Toc417674343 \h </w:instrText>
      </w:r>
      <w:r w:rsidR="00F20EC0" w:rsidRPr="00DF0680">
        <w:fldChar w:fldCharType="separate"/>
      </w:r>
      <w:r w:rsidR="009801AF" w:rsidRPr="00DF0680">
        <w:t>42</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1.4.5</w:t>
      </w:r>
      <w:r w:rsidRPr="00DF0680">
        <w:rPr>
          <w:rFonts w:asciiTheme="minorHAnsi" w:eastAsiaTheme="minorEastAsia" w:hAnsiTheme="minorHAnsi" w:cstheme="minorBidi"/>
          <w:color w:val="auto"/>
          <w:sz w:val="22"/>
        </w:rPr>
        <w:tab/>
      </w:r>
      <w:r w:rsidRPr="00DF0680">
        <w:t>WRN</w:t>
      </w:r>
      <w:r w:rsidRPr="00DF0680">
        <w:tab/>
      </w:r>
      <w:r w:rsidR="00F20EC0" w:rsidRPr="00DF0680">
        <w:fldChar w:fldCharType="begin"/>
      </w:r>
      <w:r w:rsidRPr="00DF0680">
        <w:instrText xml:space="preserve"> PAGEREF _Toc417674344 \h </w:instrText>
      </w:r>
      <w:r w:rsidR="00F20EC0" w:rsidRPr="00DF0680">
        <w:fldChar w:fldCharType="separate"/>
      </w:r>
      <w:r w:rsidR="009801AF" w:rsidRPr="00DF0680">
        <w:t>46</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1.4.6</w:t>
      </w:r>
      <w:r w:rsidRPr="00DF0680">
        <w:rPr>
          <w:rFonts w:asciiTheme="minorHAnsi" w:eastAsiaTheme="minorEastAsia" w:hAnsiTheme="minorHAnsi" w:cstheme="minorBidi"/>
          <w:color w:val="auto"/>
          <w:sz w:val="22"/>
        </w:rPr>
        <w:tab/>
      </w:r>
      <w:r w:rsidRPr="00DF0680">
        <w:t>RECQL4</w:t>
      </w:r>
      <w:r w:rsidRPr="00DF0680">
        <w:tab/>
      </w:r>
      <w:r w:rsidR="00F20EC0" w:rsidRPr="00DF0680">
        <w:fldChar w:fldCharType="begin"/>
      </w:r>
      <w:r w:rsidRPr="00DF0680">
        <w:instrText xml:space="preserve"> PAGEREF _Toc417674345 \h </w:instrText>
      </w:r>
      <w:r w:rsidR="00F20EC0" w:rsidRPr="00DF0680">
        <w:fldChar w:fldCharType="separate"/>
      </w:r>
      <w:r w:rsidR="009801AF" w:rsidRPr="00DF0680">
        <w:t>48</w:t>
      </w:r>
      <w:r w:rsidR="00F20EC0" w:rsidRPr="00DF0680">
        <w:fldChar w:fldCharType="end"/>
      </w:r>
    </w:p>
    <w:p w:rsidR="00CE6110" w:rsidRPr="00DF0680" w:rsidRDefault="00CE6110">
      <w:pPr>
        <w:pStyle w:val="TOC2"/>
        <w:rPr>
          <w:rFonts w:asciiTheme="minorHAnsi" w:eastAsiaTheme="minorEastAsia" w:hAnsiTheme="minorHAnsi" w:cstheme="minorBidi"/>
          <w:noProof w:val="0"/>
          <w:color w:val="auto"/>
          <w:sz w:val="22"/>
        </w:rPr>
      </w:pPr>
      <w:r w:rsidRPr="00DF0680">
        <w:rPr>
          <w:noProof w:val="0"/>
        </w:rPr>
        <w:t>1.5</w:t>
      </w:r>
      <w:r w:rsidRPr="00DF0680">
        <w:rPr>
          <w:rFonts w:asciiTheme="minorHAnsi" w:eastAsiaTheme="minorEastAsia" w:hAnsiTheme="minorHAnsi" w:cstheme="minorBidi"/>
          <w:noProof w:val="0"/>
          <w:color w:val="auto"/>
          <w:sz w:val="22"/>
        </w:rPr>
        <w:tab/>
      </w:r>
      <w:r w:rsidRPr="00DF0680">
        <w:rPr>
          <w:noProof w:val="0"/>
        </w:rPr>
        <w:t>RECQL5</w:t>
      </w:r>
      <w:r w:rsidRPr="00DF0680">
        <w:rPr>
          <w:noProof w:val="0"/>
        </w:rPr>
        <w:tab/>
      </w:r>
      <w:r w:rsidR="00F20EC0" w:rsidRPr="00DF0680">
        <w:rPr>
          <w:noProof w:val="0"/>
        </w:rPr>
        <w:fldChar w:fldCharType="begin"/>
      </w:r>
      <w:r w:rsidRPr="00DF0680">
        <w:rPr>
          <w:noProof w:val="0"/>
        </w:rPr>
        <w:instrText xml:space="preserve"> PAGEREF _Toc417674346 \h </w:instrText>
      </w:r>
      <w:r w:rsidR="00F20EC0" w:rsidRPr="00DF0680">
        <w:rPr>
          <w:noProof w:val="0"/>
        </w:rPr>
      </w:r>
      <w:r w:rsidR="00F20EC0" w:rsidRPr="00DF0680">
        <w:rPr>
          <w:noProof w:val="0"/>
        </w:rPr>
        <w:fldChar w:fldCharType="separate"/>
      </w:r>
      <w:r w:rsidR="009801AF" w:rsidRPr="00DF0680">
        <w:rPr>
          <w:noProof w:val="0"/>
        </w:rPr>
        <w:t>51</w:t>
      </w:r>
      <w:r w:rsidR="00F20EC0" w:rsidRPr="00DF0680">
        <w:rPr>
          <w:noProof w:val="0"/>
        </w:rPr>
        <w:fldChar w:fldCharType="end"/>
      </w:r>
    </w:p>
    <w:p w:rsidR="00CE6110" w:rsidRPr="00DF0680" w:rsidRDefault="00CE6110">
      <w:pPr>
        <w:pStyle w:val="TOC2"/>
        <w:rPr>
          <w:rFonts w:asciiTheme="minorHAnsi" w:eastAsiaTheme="minorEastAsia" w:hAnsiTheme="minorHAnsi" w:cstheme="minorBidi"/>
          <w:noProof w:val="0"/>
          <w:color w:val="auto"/>
          <w:sz w:val="22"/>
        </w:rPr>
      </w:pPr>
      <w:r w:rsidRPr="00DF0680">
        <w:rPr>
          <w:noProof w:val="0"/>
        </w:rPr>
        <w:t>1.6</w:t>
      </w:r>
      <w:r w:rsidRPr="00DF0680">
        <w:rPr>
          <w:rFonts w:asciiTheme="minorHAnsi" w:eastAsiaTheme="minorEastAsia" w:hAnsiTheme="minorHAnsi" w:cstheme="minorBidi"/>
          <w:noProof w:val="0"/>
          <w:color w:val="auto"/>
          <w:sz w:val="22"/>
        </w:rPr>
        <w:tab/>
      </w:r>
      <w:r w:rsidRPr="00DF0680">
        <w:rPr>
          <w:noProof w:val="0"/>
        </w:rPr>
        <w:t>Aims</w:t>
      </w:r>
      <w:r w:rsidRPr="00DF0680">
        <w:rPr>
          <w:noProof w:val="0"/>
        </w:rPr>
        <w:tab/>
      </w:r>
      <w:r w:rsidR="00F20EC0" w:rsidRPr="00DF0680">
        <w:rPr>
          <w:noProof w:val="0"/>
        </w:rPr>
        <w:fldChar w:fldCharType="begin"/>
      </w:r>
      <w:r w:rsidRPr="00DF0680">
        <w:rPr>
          <w:noProof w:val="0"/>
        </w:rPr>
        <w:instrText xml:space="preserve"> PAGEREF _Toc417674347 \h </w:instrText>
      </w:r>
      <w:r w:rsidR="00F20EC0" w:rsidRPr="00DF0680">
        <w:rPr>
          <w:noProof w:val="0"/>
        </w:rPr>
      </w:r>
      <w:r w:rsidR="00F20EC0" w:rsidRPr="00DF0680">
        <w:rPr>
          <w:noProof w:val="0"/>
        </w:rPr>
        <w:fldChar w:fldCharType="separate"/>
      </w:r>
      <w:r w:rsidR="009801AF" w:rsidRPr="00DF0680">
        <w:rPr>
          <w:noProof w:val="0"/>
        </w:rPr>
        <w:t>55</w:t>
      </w:r>
      <w:r w:rsidR="00F20EC0" w:rsidRPr="00DF0680">
        <w:rPr>
          <w:noProof w:val="0"/>
        </w:rPr>
        <w:fldChar w:fldCharType="end"/>
      </w:r>
    </w:p>
    <w:p w:rsidR="00D94477" w:rsidRPr="00DF0680" w:rsidRDefault="00F20EC0" w:rsidP="00577EA5">
      <w:pPr>
        <w:pStyle w:val="TOC1"/>
        <w:rPr>
          <w:noProof w:val="0"/>
        </w:rPr>
      </w:pPr>
      <w:r w:rsidRPr="00DF0680">
        <w:rPr>
          <w:noProof w:val="0"/>
        </w:rPr>
        <w:fldChar w:fldCharType="end"/>
      </w:r>
    </w:p>
    <w:p w:rsidR="00EB2E9A" w:rsidRPr="00DF0680" w:rsidRDefault="00EB2E9A" w:rsidP="00577EA5">
      <w:pPr>
        <w:pStyle w:val="TOC1"/>
        <w:rPr>
          <w:noProof w:val="0"/>
        </w:rPr>
      </w:pPr>
      <w:r w:rsidRPr="00DF0680">
        <w:rPr>
          <w:noProof w:val="0"/>
        </w:rPr>
        <w:br w:type="page"/>
      </w:r>
    </w:p>
    <w:p w:rsidR="008048FD" w:rsidRPr="00DF0680" w:rsidRDefault="008048FD" w:rsidP="006904F8">
      <w:pPr>
        <w:rPr>
          <w:rFonts w:cs="Times New Roman"/>
          <w:b/>
          <w:sz w:val="28"/>
          <w:u w:val="single"/>
        </w:rPr>
      </w:pPr>
      <w:r w:rsidRPr="00DF0680">
        <w:rPr>
          <w:rFonts w:cs="Times New Roman"/>
          <w:b/>
          <w:sz w:val="28"/>
          <w:u w:val="single"/>
        </w:rPr>
        <w:lastRenderedPageBreak/>
        <w:t>List of Figures</w:t>
      </w:r>
    </w:p>
    <w:p w:rsidR="00173346" w:rsidRPr="00DF0680" w:rsidRDefault="00F20EC0">
      <w:pPr>
        <w:pStyle w:val="TableofFigures"/>
        <w:tabs>
          <w:tab w:val="right" w:leader="dot" w:pos="8494"/>
        </w:tabs>
        <w:rPr>
          <w:rFonts w:eastAsiaTheme="minorEastAsia" w:cs="Times New Roman"/>
          <w:color w:val="auto"/>
          <w:sz w:val="22"/>
        </w:rPr>
      </w:pPr>
      <w:r w:rsidRPr="00DF0680">
        <w:rPr>
          <w:rFonts w:cs="Times New Roman"/>
        </w:rPr>
        <w:fldChar w:fldCharType="begin"/>
      </w:r>
      <w:r w:rsidR="008048FD" w:rsidRPr="00DF0680">
        <w:rPr>
          <w:rFonts w:cs="Times New Roman"/>
        </w:rPr>
        <w:instrText xml:space="preserve"> TOC \h \z \c "Figure" </w:instrText>
      </w:r>
      <w:r w:rsidRPr="00DF0680">
        <w:rPr>
          <w:rFonts w:cs="Times New Roman"/>
        </w:rPr>
        <w:fldChar w:fldCharType="separate"/>
      </w:r>
      <w:hyperlink w:anchor="_Toc409449299" w:history="1">
        <w:r w:rsidR="00173346" w:rsidRPr="00DF0680">
          <w:rPr>
            <w:rStyle w:val="Hyperlink"/>
            <w:rFonts w:cs="Times New Roman"/>
          </w:rPr>
          <w:t>Figure 1.1 – The stages of bladder cancer</w:t>
        </w:r>
        <w:r w:rsidR="00173346" w:rsidRPr="00DF0680">
          <w:rPr>
            <w:rFonts w:cs="Times New Roman"/>
            <w:webHidden/>
          </w:rPr>
          <w:tab/>
        </w:r>
        <w:r w:rsidRPr="00DF0680">
          <w:rPr>
            <w:rFonts w:cs="Times New Roman"/>
            <w:webHidden/>
          </w:rPr>
          <w:fldChar w:fldCharType="begin"/>
        </w:r>
        <w:r w:rsidR="00173346" w:rsidRPr="00DF0680">
          <w:rPr>
            <w:rFonts w:cs="Times New Roman"/>
            <w:webHidden/>
          </w:rPr>
          <w:instrText xml:space="preserve"> PAGEREF _Toc409449299 \h </w:instrText>
        </w:r>
        <w:r w:rsidRPr="00DF0680">
          <w:rPr>
            <w:rFonts w:cs="Times New Roman"/>
            <w:webHidden/>
          </w:rPr>
        </w:r>
        <w:r w:rsidRPr="00DF0680">
          <w:rPr>
            <w:rFonts w:cs="Times New Roman"/>
            <w:webHidden/>
          </w:rPr>
          <w:fldChar w:fldCharType="separate"/>
        </w:r>
        <w:r w:rsidR="009801AF" w:rsidRPr="00DF0680">
          <w:rPr>
            <w:rFonts w:cs="Times New Roman"/>
            <w:webHidden/>
          </w:rPr>
          <w:t>7</w:t>
        </w:r>
        <w:r w:rsidRPr="00DF0680">
          <w:rPr>
            <w:rFonts w:cs="Times New Roman"/>
            <w:webHidden/>
          </w:rPr>
          <w:fldChar w:fldCharType="end"/>
        </w:r>
      </w:hyperlink>
    </w:p>
    <w:p w:rsidR="00173346" w:rsidRPr="00DF0680" w:rsidRDefault="00F20EC0">
      <w:pPr>
        <w:pStyle w:val="TableofFigures"/>
        <w:tabs>
          <w:tab w:val="right" w:leader="dot" w:pos="8494"/>
        </w:tabs>
        <w:rPr>
          <w:rFonts w:eastAsiaTheme="minorEastAsia" w:cs="Times New Roman"/>
          <w:color w:val="auto"/>
          <w:sz w:val="22"/>
        </w:rPr>
      </w:pPr>
      <w:hyperlink w:anchor="_Toc409449300" w:history="1">
        <w:r w:rsidR="00173346" w:rsidRPr="00DF0680">
          <w:rPr>
            <w:rStyle w:val="Hyperlink"/>
            <w:rFonts w:cs="Times New Roman"/>
          </w:rPr>
          <w:t>Figure 1.2 – Cellular response to a double-strand break</w:t>
        </w:r>
        <w:r w:rsidR="00173346" w:rsidRPr="00DF0680">
          <w:rPr>
            <w:rFonts w:cs="Times New Roman"/>
            <w:webHidden/>
          </w:rPr>
          <w:tab/>
        </w:r>
        <w:r w:rsidRPr="00DF0680">
          <w:rPr>
            <w:rFonts w:cs="Times New Roman"/>
            <w:webHidden/>
          </w:rPr>
          <w:fldChar w:fldCharType="begin"/>
        </w:r>
        <w:r w:rsidR="00173346" w:rsidRPr="00DF0680">
          <w:rPr>
            <w:rFonts w:cs="Times New Roman"/>
            <w:webHidden/>
          </w:rPr>
          <w:instrText xml:space="preserve"> PAGEREF _Toc409449300 \h </w:instrText>
        </w:r>
        <w:r w:rsidRPr="00DF0680">
          <w:rPr>
            <w:rFonts w:cs="Times New Roman"/>
            <w:webHidden/>
          </w:rPr>
        </w:r>
        <w:r w:rsidRPr="00DF0680">
          <w:rPr>
            <w:rFonts w:cs="Times New Roman"/>
            <w:webHidden/>
          </w:rPr>
          <w:fldChar w:fldCharType="separate"/>
        </w:r>
        <w:r w:rsidR="009801AF" w:rsidRPr="00DF0680">
          <w:rPr>
            <w:rFonts w:cs="Times New Roman"/>
            <w:webHidden/>
          </w:rPr>
          <w:t>15</w:t>
        </w:r>
        <w:r w:rsidRPr="00DF0680">
          <w:rPr>
            <w:rFonts w:cs="Times New Roman"/>
            <w:webHidden/>
          </w:rPr>
          <w:fldChar w:fldCharType="end"/>
        </w:r>
      </w:hyperlink>
    </w:p>
    <w:p w:rsidR="00173346" w:rsidRPr="00DF0680" w:rsidRDefault="00F20EC0">
      <w:pPr>
        <w:pStyle w:val="TableofFigures"/>
        <w:tabs>
          <w:tab w:val="right" w:leader="dot" w:pos="8494"/>
        </w:tabs>
        <w:rPr>
          <w:rFonts w:eastAsiaTheme="minorEastAsia" w:cs="Times New Roman"/>
          <w:color w:val="auto"/>
          <w:sz w:val="22"/>
        </w:rPr>
      </w:pPr>
      <w:hyperlink w:anchor="_Toc409449301" w:history="1">
        <w:r w:rsidR="00173346" w:rsidRPr="00DF0680">
          <w:rPr>
            <w:rStyle w:val="Hyperlink"/>
            <w:rFonts w:cs="Times New Roman"/>
          </w:rPr>
          <w:t>Figure 1.3 – Cellular response to a stalled replication fork</w:t>
        </w:r>
        <w:r w:rsidR="00173346" w:rsidRPr="00DF0680">
          <w:rPr>
            <w:rFonts w:cs="Times New Roman"/>
            <w:webHidden/>
          </w:rPr>
          <w:tab/>
        </w:r>
        <w:r w:rsidRPr="00DF0680">
          <w:rPr>
            <w:rFonts w:cs="Times New Roman"/>
            <w:webHidden/>
          </w:rPr>
          <w:fldChar w:fldCharType="begin"/>
        </w:r>
        <w:r w:rsidR="00173346" w:rsidRPr="00DF0680">
          <w:rPr>
            <w:rFonts w:cs="Times New Roman"/>
            <w:webHidden/>
          </w:rPr>
          <w:instrText xml:space="preserve"> PAGEREF _Toc409449301 \h </w:instrText>
        </w:r>
        <w:r w:rsidRPr="00DF0680">
          <w:rPr>
            <w:rFonts w:cs="Times New Roman"/>
            <w:webHidden/>
          </w:rPr>
        </w:r>
        <w:r w:rsidRPr="00DF0680">
          <w:rPr>
            <w:rFonts w:cs="Times New Roman"/>
            <w:webHidden/>
          </w:rPr>
          <w:fldChar w:fldCharType="separate"/>
        </w:r>
        <w:r w:rsidR="009801AF" w:rsidRPr="00DF0680">
          <w:rPr>
            <w:rFonts w:cs="Times New Roman"/>
            <w:webHidden/>
          </w:rPr>
          <w:t>16</w:t>
        </w:r>
        <w:r w:rsidRPr="00DF0680">
          <w:rPr>
            <w:rFonts w:cs="Times New Roman"/>
            <w:webHidden/>
          </w:rPr>
          <w:fldChar w:fldCharType="end"/>
        </w:r>
      </w:hyperlink>
    </w:p>
    <w:p w:rsidR="00173346" w:rsidRPr="00DF0680" w:rsidRDefault="00F20EC0">
      <w:pPr>
        <w:pStyle w:val="TableofFigures"/>
        <w:tabs>
          <w:tab w:val="right" w:leader="dot" w:pos="8494"/>
        </w:tabs>
        <w:rPr>
          <w:rFonts w:eastAsiaTheme="minorEastAsia" w:cs="Times New Roman"/>
          <w:color w:val="auto"/>
          <w:sz w:val="22"/>
        </w:rPr>
      </w:pPr>
      <w:hyperlink w:anchor="_Toc409449302" w:history="1">
        <w:r w:rsidR="00173346" w:rsidRPr="00DF0680">
          <w:rPr>
            <w:rStyle w:val="Hyperlink"/>
            <w:rFonts w:cs="Times New Roman"/>
          </w:rPr>
          <w:t>Figure 1.4 – Pathways of double-strand break repair</w:t>
        </w:r>
        <w:r w:rsidR="00173346" w:rsidRPr="00DF0680">
          <w:rPr>
            <w:rFonts w:cs="Times New Roman"/>
            <w:webHidden/>
          </w:rPr>
          <w:tab/>
        </w:r>
        <w:r w:rsidRPr="00DF0680">
          <w:rPr>
            <w:rFonts w:cs="Times New Roman"/>
            <w:webHidden/>
          </w:rPr>
          <w:fldChar w:fldCharType="begin"/>
        </w:r>
        <w:r w:rsidR="00173346" w:rsidRPr="00DF0680">
          <w:rPr>
            <w:rFonts w:cs="Times New Roman"/>
            <w:webHidden/>
          </w:rPr>
          <w:instrText xml:space="preserve"> PAGEREF _Toc409449302 \h </w:instrText>
        </w:r>
        <w:r w:rsidRPr="00DF0680">
          <w:rPr>
            <w:rFonts w:cs="Times New Roman"/>
            <w:webHidden/>
          </w:rPr>
        </w:r>
        <w:r w:rsidRPr="00DF0680">
          <w:rPr>
            <w:rFonts w:cs="Times New Roman"/>
            <w:webHidden/>
          </w:rPr>
          <w:fldChar w:fldCharType="separate"/>
        </w:r>
        <w:r w:rsidR="009801AF" w:rsidRPr="00DF0680">
          <w:rPr>
            <w:rFonts w:cs="Times New Roman"/>
            <w:webHidden/>
          </w:rPr>
          <w:t>32</w:t>
        </w:r>
        <w:r w:rsidRPr="00DF0680">
          <w:rPr>
            <w:rFonts w:cs="Times New Roman"/>
            <w:webHidden/>
          </w:rPr>
          <w:fldChar w:fldCharType="end"/>
        </w:r>
      </w:hyperlink>
    </w:p>
    <w:p w:rsidR="00173346" w:rsidRPr="00DF0680" w:rsidRDefault="00F20EC0">
      <w:pPr>
        <w:pStyle w:val="TableofFigures"/>
        <w:tabs>
          <w:tab w:val="right" w:leader="dot" w:pos="8494"/>
        </w:tabs>
        <w:rPr>
          <w:rFonts w:eastAsiaTheme="minorEastAsia" w:cs="Times New Roman"/>
          <w:color w:val="auto"/>
          <w:sz w:val="22"/>
        </w:rPr>
      </w:pPr>
      <w:hyperlink w:anchor="_Toc409449303" w:history="1">
        <w:r w:rsidR="00173346" w:rsidRPr="00DF0680">
          <w:rPr>
            <w:rStyle w:val="Hyperlink"/>
            <w:rFonts w:cs="Times New Roman"/>
          </w:rPr>
          <w:t>Figure 1.5 – Pathways of replication restart from a stalled fork</w:t>
        </w:r>
        <w:r w:rsidR="00173346" w:rsidRPr="00DF0680">
          <w:rPr>
            <w:rFonts w:cs="Times New Roman"/>
            <w:webHidden/>
          </w:rPr>
          <w:tab/>
        </w:r>
        <w:r w:rsidRPr="00DF0680">
          <w:rPr>
            <w:rFonts w:cs="Times New Roman"/>
            <w:webHidden/>
          </w:rPr>
          <w:fldChar w:fldCharType="begin"/>
        </w:r>
        <w:r w:rsidR="00173346" w:rsidRPr="00DF0680">
          <w:rPr>
            <w:rFonts w:cs="Times New Roman"/>
            <w:webHidden/>
          </w:rPr>
          <w:instrText xml:space="preserve"> PAGEREF _Toc409449303 \h </w:instrText>
        </w:r>
        <w:r w:rsidRPr="00DF0680">
          <w:rPr>
            <w:rFonts w:cs="Times New Roman"/>
            <w:webHidden/>
          </w:rPr>
        </w:r>
        <w:r w:rsidRPr="00DF0680">
          <w:rPr>
            <w:rFonts w:cs="Times New Roman"/>
            <w:webHidden/>
          </w:rPr>
          <w:fldChar w:fldCharType="separate"/>
        </w:r>
        <w:r w:rsidR="009801AF" w:rsidRPr="00DF0680">
          <w:rPr>
            <w:rFonts w:cs="Times New Roman"/>
            <w:webHidden/>
          </w:rPr>
          <w:t>36</w:t>
        </w:r>
        <w:r w:rsidRPr="00DF0680">
          <w:rPr>
            <w:rFonts w:cs="Times New Roman"/>
            <w:webHidden/>
          </w:rPr>
          <w:fldChar w:fldCharType="end"/>
        </w:r>
      </w:hyperlink>
    </w:p>
    <w:p w:rsidR="00173346" w:rsidRPr="00DF0680" w:rsidRDefault="00F20EC0">
      <w:pPr>
        <w:pStyle w:val="TableofFigures"/>
        <w:tabs>
          <w:tab w:val="right" w:leader="dot" w:pos="8494"/>
        </w:tabs>
        <w:rPr>
          <w:rFonts w:eastAsiaTheme="minorEastAsia" w:cs="Times New Roman"/>
          <w:color w:val="auto"/>
          <w:sz w:val="22"/>
        </w:rPr>
      </w:pPr>
      <w:hyperlink w:anchor="_Toc409449304" w:history="1">
        <w:r w:rsidR="00173346" w:rsidRPr="00DF0680">
          <w:rPr>
            <w:rStyle w:val="Hyperlink"/>
            <w:rFonts w:cs="Times New Roman"/>
          </w:rPr>
          <w:t>Figure 1.6 – The RECQ helicases and their domain structure</w:t>
        </w:r>
        <w:r w:rsidR="00173346" w:rsidRPr="00DF0680">
          <w:rPr>
            <w:rFonts w:cs="Times New Roman"/>
            <w:webHidden/>
          </w:rPr>
          <w:tab/>
        </w:r>
        <w:r w:rsidRPr="00DF0680">
          <w:rPr>
            <w:rFonts w:cs="Times New Roman"/>
            <w:webHidden/>
          </w:rPr>
          <w:fldChar w:fldCharType="begin"/>
        </w:r>
        <w:r w:rsidR="00173346" w:rsidRPr="00DF0680">
          <w:rPr>
            <w:rFonts w:cs="Times New Roman"/>
            <w:webHidden/>
          </w:rPr>
          <w:instrText xml:space="preserve"> PAGEREF _Toc409449304 \h </w:instrText>
        </w:r>
        <w:r w:rsidRPr="00DF0680">
          <w:rPr>
            <w:rFonts w:cs="Times New Roman"/>
            <w:webHidden/>
          </w:rPr>
        </w:r>
        <w:r w:rsidRPr="00DF0680">
          <w:rPr>
            <w:rFonts w:cs="Times New Roman"/>
            <w:webHidden/>
          </w:rPr>
          <w:fldChar w:fldCharType="separate"/>
        </w:r>
        <w:r w:rsidR="009801AF" w:rsidRPr="00DF0680">
          <w:rPr>
            <w:rFonts w:cs="Times New Roman"/>
            <w:webHidden/>
          </w:rPr>
          <w:t>37</w:t>
        </w:r>
        <w:r w:rsidRPr="00DF0680">
          <w:rPr>
            <w:rFonts w:cs="Times New Roman"/>
            <w:webHidden/>
          </w:rPr>
          <w:fldChar w:fldCharType="end"/>
        </w:r>
      </w:hyperlink>
    </w:p>
    <w:p w:rsidR="00173346" w:rsidRPr="00DF0680" w:rsidRDefault="00F20EC0">
      <w:pPr>
        <w:pStyle w:val="TableofFigures"/>
        <w:tabs>
          <w:tab w:val="right" w:leader="dot" w:pos="8494"/>
        </w:tabs>
        <w:rPr>
          <w:rFonts w:eastAsiaTheme="minorEastAsia" w:cs="Times New Roman"/>
          <w:color w:val="auto"/>
          <w:sz w:val="22"/>
        </w:rPr>
      </w:pPr>
      <w:hyperlink w:anchor="_Toc409449305" w:history="1">
        <w:r w:rsidR="00173346" w:rsidRPr="00DF0680">
          <w:rPr>
            <w:rStyle w:val="Hyperlink"/>
            <w:rFonts w:cs="Times New Roman"/>
          </w:rPr>
          <w:t>Figure 1.7 – The isoforms of RECQL5 and their domain structure</w:t>
        </w:r>
        <w:r w:rsidR="00173346" w:rsidRPr="00DF0680">
          <w:rPr>
            <w:rFonts w:cs="Times New Roman"/>
            <w:webHidden/>
          </w:rPr>
          <w:tab/>
        </w:r>
        <w:r w:rsidRPr="00DF0680">
          <w:rPr>
            <w:rFonts w:cs="Times New Roman"/>
            <w:webHidden/>
          </w:rPr>
          <w:fldChar w:fldCharType="begin"/>
        </w:r>
        <w:r w:rsidR="00173346" w:rsidRPr="00DF0680">
          <w:rPr>
            <w:rFonts w:cs="Times New Roman"/>
            <w:webHidden/>
          </w:rPr>
          <w:instrText xml:space="preserve"> PAGEREF _Toc409449305 \h </w:instrText>
        </w:r>
        <w:r w:rsidRPr="00DF0680">
          <w:rPr>
            <w:rFonts w:cs="Times New Roman"/>
            <w:webHidden/>
          </w:rPr>
        </w:r>
        <w:r w:rsidRPr="00DF0680">
          <w:rPr>
            <w:rFonts w:cs="Times New Roman"/>
            <w:webHidden/>
          </w:rPr>
          <w:fldChar w:fldCharType="separate"/>
        </w:r>
        <w:r w:rsidR="009801AF" w:rsidRPr="00DF0680">
          <w:rPr>
            <w:rFonts w:cs="Times New Roman"/>
            <w:webHidden/>
          </w:rPr>
          <w:t>51</w:t>
        </w:r>
        <w:r w:rsidRPr="00DF0680">
          <w:rPr>
            <w:rFonts w:cs="Times New Roman"/>
            <w:webHidden/>
          </w:rPr>
          <w:fldChar w:fldCharType="end"/>
        </w:r>
      </w:hyperlink>
    </w:p>
    <w:p w:rsidR="00EB2E9A" w:rsidRPr="00DF0680" w:rsidRDefault="00F20EC0" w:rsidP="00EB2E9A">
      <w:pPr>
        <w:rPr>
          <w:rFonts w:cs="Times New Roman"/>
        </w:rPr>
      </w:pPr>
      <w:r w:rsidRPr="00DF0680">
        <w:rPr>
          <w:rFonts w:cs="Times New Roman"/>
        </w:rPr>
        <w:fldChar w:fldCharType="end"/>
      </w:r>
      <w:r w:rsidR="00EB2E9A" w:rsidRPr="00DF0680">
        <w:rPr>
          <w:rFonts w:cs="Times New Roman"/>
        </w:rPr>
        <w:br w:type="page"/>
      </w:r>
    </w:p>
    <w:p w:rsidR="00CE0F06" w:rsidRPr="00DF0680" w:rsidRDefault="00CE0F06" w:rsidP="00E664FC">
      <w:pPr>
        <w:pStyle w:val="Heading2"/>
      </w:pPr>
      <w:bookmarkStart w:id="10" w:name="_Toc417204071"/>
      <w:bookmarkStart w:id="11" w:name="_Toc417204707"/>
      <w:bookmarkStart w:id="12" w:name="_Toc417204767"/>
      <w:bookmarkStart w:id="13" w:name="_Toc417674308"/>
      <w:r w:rsidRPr="00DF0680">
        <w:lastRenderedPageBreak/>
        <w:t>Cancer</w:t>
      </w:r>
      <w:bookmarkEnd w:id="10"/>
      <w:bookmarkEnd w:id="11"/>
      <w:bookmarkEnd w:id="12"/>
      <w:bookmarkEnd w:id="13"/>
    </w:p>
    <w:p w:rsidR="006E70B1" w:rsidRPr="00DF0680" w:rsidRDefault="006E70B1" w:rsidP="00E664FC">
      <w:pPr>
        <w:pStyle w:val="Heading3"/>
      </w:pPr>
      <w:bookmarkStart w:id="14" w:name="_Toc417204072"/>
      <w:bookmarkStart w:id="15" w:name="_Toc417674309"/>
      <w:r w:rsidRPr="00DF0680">
        <w:t>Cancer</w:t>
      </w:r>
      <w:bookmarkEnd w:id="14"/>
      <w:bookmarkEnd w:id="15"/>
      <w:r w:rsidRPr="00DF0680">
        <w:t xml:space="preserve"> </w:t>
      </w:r>
    </w:p>
    <w:p w:rsidR="006E70B1" w:rsidRPr="00DF0680" w:rsidRDefault="006E70B1" w:rsidP="006E70B1">
      <w:pPr>
        <w:rPr>
          <w:rFonts w:cs="Times New Roman"/>
        </w:rPr>
      </w:pPr>
      <w:r w:rsidRPr="00DF0680">
        <w:rPr>
          <w:rFonts w:cs="Times New Roman"/>
        </w:rPr>
        <w:t xml:space="preserve">Cancer is a disease formed </w:t>
      </w:r>
      <w:r w:rsidR="00070158" w:rsidRPr="00DF0680">
        <w:rPr>
          <w:rFonts w:cs="Times New Roman"/>
        </w:rPr>
        <w:t>by deregulation of normal cellular processes</w:t>
      </w:r>
      <w:r w:rsidRPr="00DF0680">
        <w:rPr>
          <w:rFonts w:cs="Times New Roman"/>
        </w:rPr>
        <w:t>. In 2000, Hanahan and Weinberg suggested that a normal cell only needs to acquire six characteristics to become a malign</w:t>
      </w:r>
      <w:r w:rsidR="009C69B1" w:rsidRPr="00DF0680">
        <w:rPr>
          <w:rFonts w:cs="Times New Roman"/>
        </w:rPr>
        <w:t>a</w:t>
      </w:r>
      <w:r w:rsidR="00070158" w:rsidRPr="00DF0680">
        <w:rPr>
          <w:rFonts w:cs="Times New Roman"/>
        </w:rPr>
        <w:t>nt cancer cell: self-sufficiency</w:t>
      </w:r>
      <w:r w:rsidR="009C69B1" w:rsidRPr="00DF0680">
        <w:rPr>
          <w:rFonts w:cs="Times New Roman"/>
        </w:rPr>
        <w:t xml:space="preserve"> for growth signals, insensitivity</w:t>
      </w:r>
      <w:r w:rsidRPr="00DF0680">
        <w:rPr>
          <w:rFonts w:cs="Times New Roman"/>
        </w:rPr>
        <w:t xml:space="preserve"> to anti-growth signals, ab</w:t>
      </w:r>
      <w:r w:rsidR="009C69B1" w:rsidRPr="00DF0680">
        <w:rPr>
          <w:rFonts w:cs="Times New Roman"/>
        </w:rPr>
        <w:t>i</w:t>
      </w:r>
      <w:r w:rsidRPr="00DF0680">
        <w:rPr>
          <w:rFonts w:cs="Times New Roman"/>
        </w:rPr>
        <w:t>l</w:t>
      </w:r>
      <w:r w:rsidR="009C69B1" w:rsidRPr="00DF0680">
        <w:rPr>
          <w:rFonts w:cs="Times New Roman"/>
        </w:rPr>
        <w:t>ity</w:t>
      </w:r>
      <w:r w:rsidRPr="00DF0680">
        <w:rPr>
          <w:rFonts w:cs="Times New Roman"/>
        </w:rPr>
        <w:t xml:space="preserve"> to evade apoptosis, sustained angiogenesis, limitless replicative potential and ab</w:t>
      </w:r>
      <w:r w:rsidR="009C69B1" w:rsidRPr="00DF0680">
        <w:rPr>
          <w:rFonts w:cs="Times New Roman"/>
        </w:rPr>
        <w:t>i</w:t>
      </w:r>
      <w:r w:rsidRPr="00DF0680">
        <w:rPr>
          <w:rFonts w:cs="Times New Roman"/>
        </w:rPr>
        <w:t>l</w:t>
      </w:r>
      <w:r w:rsidR="009C69B1" w:rsidRPr="00DF0680">
        <w:rPr>
          <w:rFonts w:cs="Times New Roman"/>
        </w:rPr>
        <w:t>ity</w:t>
      </w:r>
      <w:r w:rsidRPr="00DF0680">
        <w:rPr>
          <w:rFonts w:cs="Times New Roman"/>
        </w:rPr>
        <w:t xml:space="preserve"> to invade tissues and metastasise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"Hanahan", "given" : "Douglas", "non-dropping-particle" : "", "parse-names" : false, "suffix" : "" }, { "dropping-particle" : "", "family" : "Weinberg", "given" : "RA", "non-dropping-particle" : "", "parse-names" : false, "suffix" : "" } ], "container-title" : "Cell", "id" : "ITEM-1", "issue" : "1", "issued" : { "date-parts" : [ [ "2000" ] ] }, "page" : "57-70", "title" : "The hallmarks of cancer", "type" : "article-journal", "volume" : "100" }, "uris" : [ "http://www.mendeley.com/documents/?uuid=025fc82c-b731-463a-b759-8a4c91e9649a" ] } ], "mendeley" : { "formattedCitation" : "(Hanahan &amp; Weinberg 2000)", "plainTextFormattedCitation" : "(Hanahan &amp; Weinberg 2000)", "previouslyFormattedCitation" : "(Hanahan &amp; Weinberg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(Hanahan &amp; Weinberg 2000)</w:t>
      </w:r>
      <w:r w:rsidR="00F20EC0" w:rsidRPr="00DF0680">
        <w:rPr>
          <w:rFonts w:cs="Times New Roman"/>
        </w:rPr>
        <w:fldChar w:fldCharType="end"/>
      </w:r>
      <w:r w:rsidRPr="00DF0680">
        <w:rPr>
          <w:rFonts w:cs="Times New Roman"/>
        </w:rPr>
        <w:t xml:space="preserve">. Eleven years later, they added to these six hallmarks with two new emerging hallmarks, deregulation of cellular epigenetics and the avoidance of immune destruction, and two enabling characteristics, </w:t>
      </w:r>
      <w:r w:rsidR="009C69B1" w:rsidRPr="00DF0680">
        <w:rPr>
          <w:rFonts w:cs="Times New Roman"/>
        </w:rPr>
        <w:t>tumour</w:t>
      </w:r>
      <w:r w:rsidRPr="00DF0680">
        <w:rPr>
          <w:rFonts w:cs="Times New Roman"/>
        </w:rPr>
        <w:t xml:space="preserve">-promoting inflammation and genome instability and mutation. These enabling characteristics were defined as assisting the cancer in acquiring these hallmarks of cancer </w:t>
      </w:r>
      <w:r w:rsidR="00F20EC0" w:rsidRPr="00DF0680">
        <w:rPr>
          <w:rFonts w:cs="Times New Roman"/>
        </w:rPr>
        <w:fldChar w:fldCharType="begin" w:fldLock="1"/>
      </w:r>
      <w:r w:rsidR="00525765" w:rsidRPr="00DF0680">
        <w:rPr>
          <w:rFonts w:cs="Times New Roman"/>
        </w:rPr>
        <w:instrText>ADDIN CSL_CITATION { "citationItems" : [ { "id" : "ITEM-1", "itemData" : { "DOI" : "10.1016/j.cell.2011.02.013", "ISSN" : "1097-4172", "PMID" : "21376230", "abstract" : "The hallmarks of cancer comprise six biological capabilities acquired during the multistep development of human tumors. The hallmarks constitute an organizing principle for rationalizing the complexities of neoplastic disease. They include sustaining proliferative signaling, evading growth suppressors, resisting cell death, enabling replicative immortality, inducing angiogenesis, and activating invasion and metastasis. Underlying these hallmarks are genome instability, which generates the genetic diversity that expedites their acquisition, and inflammation, which fosters multiple hallmark functions. Conceptual progress in the last decade has added two emerging hallmarks of potential generality to this list-reprogramming of energy metabolism and evading immune destruction. In addition to cancer cells, tumors exhibit another dimension of complexity: they contain a repertoire of recruited, ostensibly normal cells that contribute to the acquisition of hallmark traits by creating the \"tumor microenvironment.\" Recognition of the widespread applicability of these concepts will increasingly affect the development of new means to treat human cancer.", "author" : [ { "dropping-particle" : "", "family" : "Hanahan", "given" : "Douglas", "non-dropping-particle" : "", "parse-names" : false, "suffix" : "" }, { "dropping-particle" : "", "family" : "Weinberg", "given" : "Robert A", "non-dropping-particle" : "", "parse-names" : false, "suffix" : "" } ], "container-title" : "Cell", "id" : "ITEM-1", "issue" : "5", "issued" : { "date-parts" : [ [ "2011", "3", "4" ] ] }, "page" : "646-674", "publisher" : "Elsevier Inc.", "title" : "Hallmarks of cancer: the next generation.", "type" : "article-journal", "volume" : "144" }, "uris" : [ "http://www.mendeley.com/documents/?uuid=754eafb9-99e9-43da-8944-1cc81e1dfe34" ] } ], "mendeley" : { "formattedCitation" : "(Hanahan &amp; Weinberg 2011)", "plainTextFormattedCitation" : "(Hanahan &amp; Weinberg 2011)", "previouslyFormattedCitation" : "(Hanahan &amp; Weinberg 2011)"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(Hanahan &amp; Weinberg 2011)</w:t>
      </w:r>
      <w:r w:rsidR="00F20EC0" w:rsidRPr="00DF0680">
        <w:rPr>
          <w:rFonts w:cs="Times New Roman"/>
        </w:rPr>
        <w:fldChar w:fldCharType="end"/>
      </w:r>
      <w:r w:rsidRPr="00DF0680">
        <w:rPr>
          <w:rFonts w:cs="Times New Roman"/>
        </w:rPr>
        <w:t xml:space="preserve">. </w:t>
      </w:r>
      <w:r w:rsidR="00070158" w:rsidRPr="00DF0680">
        <w:rPr>
          <w:rFonts w:cs="Times New Roman"/>
        </w:rPr>
        <w:t xml:space="preserve">This thesis is concerned with characterisation, in bladder cancer, and functional analysis of RECQL5, a protein associated with maintaining genomic stability. </w:t>
      </w:r>
    </w:p>
    <w:p w:rsidR="003463CD" w:rsidRPr="00DF0680" w:rsidRDefault="003463CD" w:rsidP="00E664FC">
      <w:pPr>
        <w:pStyle w:val="Heading3"/>
      </w:pPr>
      <w:bookmarkStart w:id="16" w:name="_Toc417204073"/>
      <w:bookmarkStart w:id="17" w:name="_Toc417674310"/>
      <w:r w:rsidRPr="00DF0680">
        <w:t>Bladder cancer</w:t>
      </w:r>
      <w:bookmarkEnd w:id="16"/>
      <w:bookmarkEnd w:id="17"/>
    </w:p>
    <w:p w:rsidR="00280DD8" w:rsidRPr="00DF0680" w:rsidRDefault="00A34CAF" w:rsidP="00A025CF">
      <w:pPr>
        <w:rPr>
          <w:rFonts w:cs="Times New Roman"/>
        </w:rPr>
      </w:pPr>
      <w:r w:rsidRPr="00DF0680">
        <w:rPr>
          <w:rFonts w:cs="Times New Roman"/>
        </w:rPr>
        <w:t>Bladder cancer is the seventh most common cancer in the UK, fo</w:t>
      </w:r>
      <w:r w:rsidR="006E70B1" w:rsidRPr="00DF0680">
        <w:rPr>
          <w:rFonts w:cs="Times New Roman"/>
        </w:rPr>
        <w:t>u</w:t>
      </w:r>
      <w:r w:rsidRPr="00DF0680">
        <w:rPr>
          <w:rFonts w:cs="Times New Roman"/>
        </w:rPr>
        <w:t xml:space="preserve">rth most common in men and thirteenth most common in women. In England in 2012, 6621 men and 2502 women were diagnosed with bladder cancer </w:t>
      </w:r>
      <w:r w:rsidR="00F20EC0" w:rsidRPr="00DF0680">
        <w:rPr>
          <w:rFonts w:cs="Times New Roman"/>
        </w:rPr>
        <w:fldChar w:fldCharType="begin" w:fldLock="1"/>
      </w:r>
      <w:r w:rsidR="00EB2E9A" w:rsidRPr="00DF0680">
        <w:rPr>
          <w:rFonts w:cs="Times New Roman"/>
        </w:rPr>
        <w:instrText>ADDIN CSL_CITATION { "citationItems" : [ { "id" : "ITEM-1", "itemData" : { "author" : [ { "dropping-particle" : "", "family" : "Office for National Statistics", "given" : "", "non-dropping-particle" : "", "parse-names" : false, "suffix" : "" } ], "id" : "ITEM-1", "issue" : "June", "issued" : { "date-parts" : [ [ "2014" ] ] }, "number-of-pages" : "1-19", "title" : "Cancer Registration Statistics, England, 2012", "type" : "report" }, "uris" : [ "http://www.mendeley.com/documents/?uuid=4265da6e-5df4-4030-90b9-d614048bea7d" ] } ], "mendeley" : { "formattedCitation" : "(Office for National Statistics 2014)", "plainTextFormattedCitation" : "(Office for National Statistics 2014)", "previouslyFormattedCitation" : "(Office for National Statistics 2014)"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(Office for National Statistics 2014)</w:t>
      </w:r>
      <w:r w:rsidR="00F20EC0" w:rsidRPr="00DF0680">
        <w:rPr>
          <w:rFonts w:cs="Times New Roman"/>
        </w:rPr>
        <w:fldChar w:fldCharType="end"/>
      </w:r>
      <w:r w:rsidRPr="00DF0680">
        <w:rPr>
          <w:rFonts w:cs="Times New Roman"/>
        </w:rPr>
        <w:t>. Age is a strong factor in bladder cancer incidence with over half of the new cases</w:t>
      </w:r>
      <w:r w:rsidR="00F21481" w:rsidRPr="00DF0680">
        <w:rPr>
          <w:rFonts w:cs="Times New Roman"/>
        </w:rPr>
        <w:t xml:space="preserve"> and two thirds of deaths</w:t>
      </w:r>
      <w:r w:rsidRPr="00DF0680">
        <w:rPr>
          <w:rFonts w:cs="Times New Roman"/>
        </w:rPr>
        <w:t xml:space="preserve"> being attributed to people over the age of 75 </w:t>
      </w:r>
      <w:r w:rsidR="00F20EC0" w:rsidRPr="00DF0680">
        <w:rPr>
          <w:rFonts w:cs="Times New Roman"/>
        </w:rPr>
        <w:fldChar w:fldCharType="begin" w:fldLock="1"/>
      </w:r>
      <w:r w:rsidR="00EB2E9A" w:rsidRPr="00DF0680">
        <w:rPr>
          <w:rFonts w:cs="Times New Roman"/>
        </w:rPr>
        <w:instrText>ADDIN CSL_CITATION { "citationItems" : [ { "id" : "ITEM-1", "itemData" : { "author" : [ { "dropping-particle" : "", "family" : "Cancer Research UK", "given" : "", "non-dropping-particle" : "", "parse-names" : false, "suffix" : "" } ], "container-title" : "Cancer Research UK", "id" : "ITEM-1", "issued" : { "date-parts" : [ [ "2014" ] ] }, "number-of-pages" : "1-2", "title" : "Bladder Cancer - Cancer Statistics Key Stats", "type" : "report" }, "uris" : [ "http://www.mendeley.com/documents/?uuid=a9febffb-29d8-4376-aa2a-8dc2d0e369ff" ] } ], "mendeley" : { "formattedCitation" : "(Cancer Research UK 2014)", "plainTextFormattedCitation" : "(Cancer Research UK 2014)", "previouslyFormattedCitation" : "(Cancer Research UK 2014)"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(Cancer Research UK 2014)</w:t>
      </w:r>
      <w:r w:rsidR="00F20EC0" w:rsidRPr="00DF0680">
        <w:rPr>
          <w:rFonts w:cs="Times New Roman"/>
        </w:rPr>
        <w:fldChar w:fldCharType="end"/>
      </w:r>
      <w:r w:rsidRPr="00DF0680">
        <w:rPr>
          <w:rFonts w:cs="Times New Roman"/>
        </w:rPr>
        <w:t xml:space="preserve">. </w:t>
      </w:r>
      <w:r w:rsidR="00F21481" w:rsidRPr="00DF0680">
        <w:rPr>
          <w:rFonts w:cs="Times New Roman"/>
        </w:rPr>
        <w:t>Alongside age, smoking is a major risk factor and accounts for 35% of cases each year</w:t>
      </w:r>
      <w:r w:rsidR="00864858"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"10.1038/bjc.2011.475", "ISSN" : "1532-1827", "PMID" : "22158323", "author" : [ { "dropping-particle" : "", "family" : "Parkin", "given" : "D M", "non-dropping-particle" : "", "parse-names" : false, "suffix" : "" } ], "container-title" : "British Journal of Cancer", "id" : "ITEM-1", "issue" : "S2", "issued" : { "date-parts" : [ [ "2011", "12", "6" ] ] }, "page" : "S6-S13", "publisher" : "Nature Publishing Group", "title" : "2. Tobacco-attributable cancer burden in the UK in 2010.", "type" : "article-journal", "volume" : "105" }, "uris" : [ "http://www.mendeley.com/documents/?uuid=1293d696-f6d2-4dee-b5f5-dc67b41670e9" ] } ], "mendeley" : { "formattedCitation" : "(Parkin 2011)", "plainTextFormattedCitation" : "(Parkin 2011)", "previouslyFormattedCitation" : "(Parkin 2011)"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(Parkin 2011)</w:t>
      </w:r>
      <w:r w:rsidR="00F20EC0" w:rsidRPr="00DF0680">
        <w:rPr>
          <w:rFonts w:cs="Times New Roman"/>
        </w:rPr>
        <w:fldChar w:fldCharType="end"/>
      </w:r>
      <w:r w:rsidR="00F21481" w:rsidRPr="00DF0680">
        <w:rPr>
          <w:rFonts w:cs="Times New Roman"/>
        </w:rPr>
        <w:t xml:space="preserve">. </w:t>
      </w:r>
      <w:r w:rsidR="0034531B" w:rsidRPr="00DF0680">
        <w:rPr>
          <w:rFonts w:cs="Times New Roman"/>
        </w:rPr>
        <w:t>In addition, r</w:t>
      </w:r>
      <w:r w:rsidR="00F21481" w:rsidRPr="00DF0680">
        <w:rPr>
          <w:rFonts w:cs="Times New Roman"/>
        </w:rPr>
        <w:t xml:space="preserve">oughly 2.5% of cases are linked to exposure to radiation and 7% of male cases and 2% of female cases are linked to occupational exposure </w:t>
      </w:r>
      <w:r w:rsidR="006E70B1" w:rsidRPr="00DF0680">
        <w:rPr>
          <w:rFonts w:cs="Times New Roman"/>
        </w:rPr>
        <w:t>to dangerous chemicals. T</w:t>
      </w:r>
      <w:r w:rsidR="00F21481" w:rsidRPr="00DF0680">
        <w:rPr>
          <w:rFonts w:cs="Times New Roman"/>
        </w:rPr>
        <w:t xml:space="preserve">here is indication </w:t>
      </w:r>
      <w:r w:rsidR="006E70B1" w:rsidRPr="00DF0680">
        <w:rPr>
          <w:rFonts w:cs="Times New Roman"/>
        </w:rPr>
        <w:t>of</w:t>
      </w:r>
      <w:r w:rsidR="00F21481" w:rsidRPr="00DF0680">
        <w:rPr>
          <w:rFonts w:cs="Times New Roman"/>
        </w:rPr>
        <w:t xml:space="preserve"> a genetic </w:t>
      </w:r>
      <w:r w:rsidR="006E70B1" w:rsidRPr="00DF0680">
        <w:rPr>
          <w:rFonts w:cs="Times New Roman"/>
        </w:rPr>
        <w:t>component</w:t>
      </w:r>
      <w:r w:rsidR="00F21481" w:rsidRPr="00DF0680">
        <w:rPr>
          <w:rFonts w:cs="Times New Roman"/>
        </w:rPr>
        <w:t xml:space="preserve"> to bladder cancer</w:t>
      </w:r>
      <w:r w:rsidR="00864858" w:rsidRPr="00DF0680">
        <w:rPr>
          <w:rFonts w:cs="Times New Roman"/>
        </w:rPr>
        <w:t>,</w:t>
      </w:r>
      <w:r w:rsidR="00F21481" w:rsidRPr="00DF0680">
        <w:rPr>
          <w:rFonts w:cs="Times New Roman"/>
        </w:rPr>
        <w:t xml:space="preserve"> as people with a first-degree relative who ha</w:t>
      </w:r>
      <w:r w:rsidR="00864858" w:rsidRPr="00DF0680">
        <w:rPr>
          <w:rFonts w:cs="Times New Roman"/>
        </w:rPr>
        <w:t>ve</w:t>
      </w:r>
      <w:r w:rsidR="00F21481" w:rsidRPr="00DF0680">
        <w:rPr>
          <w:rFonts w:cs="Times New Roman"/>
        </w:rPr>
        <w:t xml:space="preserve"> been diagnosed </w:t>
      </w:r>
      <w:r w:rsidR="006E70B1" w:rsidRPr="00DF0680">
        <w:rPr>
          <w:rFonts w:cs="Times New Roman"/>
        </w:rPr>
        <w:t xml:space="preserve">with bladder cancer </w:t>
      </w:r>
      <w:r w:rsidR="00864858" w:rsidRPr="00DF0680">
        <w:rPr>
          <w:rFonts w:cs="Times New Roman"/>
        </w:rPr>
        <w:t>can have up to a 6-fold</w:t>
      </w:r>
      <w:r w:rsidR="00F21481" w:rsidRPr="00DF0680">
        <w:rPr>
          <w:rFonts w:cs="Times New Roman"/>
        </w:rPr>
        <w:t xml:space="preserve"> higher risk of being diagnosed themselves</w:t>
      </w:r>
      <w:r w:rsidR="00864858"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"10.1002/ijc.23037", "ISSN" : "1097-0215", "PMID" : "17724720", "abstract" : "Family history of urogenital cancers has been associated with an increased risk of cancer at the same sites. To evaluate the risks of bladder, prostate and renal cell neoplasms for family history of urogenital cancers in first-degree relatives, we analysed data from a case-control study conducted in northern Italy between 1985 and 1992 and including a total of 1,356 incident, histologically confirmed cancer cases: 727 bladder, 348 renal cell and 281 prostate cancer cases. Controls were 1,067 patients admitted to the same network of hospitals for acute, nonneoplastic conditions. Unconditional logistic regression was used to estimate odds ratios (ORs) of urogenital cancers, adjusting for age, sex, study centre, education, body mass index, smoking habit, alcohol consumption and number of brothers and, where appropriate, sisters. ORs of urogenital cancers for subjects with at least 1 first-degree relative with cancer at the same site were 6.1 [95% confidence interval (CI), 2.3-16.6] for bladder, 2.0 (95% CI: 0.6-6.2) for renal cell and 2.0 (95% CI: 0.9-4.1) for prostate cancer.", "author" : [ { "dropping-particle" : "", "family" : "Randi", "given" : "Giorgia", "non-dropping-particle" : "", "parse-names" : false, "suffix" : "" }, { "dropping-particle" : "", "family" : "Pelucchi", "given" : "Claudio", "non-dropping-particle" : "", "parse-names" : false, "suffix" : "" }, { "dropping-particle" : "", "family" : "Negri", "given" : "Eva", "non-dropping-particle" : "", "parse-names" : false, "suffix" : "" }, { "dropping-particle" : "", "family" : "Talamini", "given" : "Renato", "non-dropping-particle" : "", "parse-names" : false, "suffix" : "" }, { "dropping-particle" : "", "family" : "Galeone", "given" : "Carlotta", "non-dropping-particle" : "", "parse-names" : false, "suffix" : "" }, { "dropping-particle" : "", "family" : "Franceschi", "given" : "Silvia", "non-dropping-particle" : "", "parse-names" : false, "suffix" : "" }, { "dropping-particle" : "", "family" : "Vecchia", "given" : "Carlo", "non-dropping-particle" : "La", "parse-names" : false, "suffix" : "" } ], "container-title" : "International Journal of Cancer", "id" : "ITEM-1", "issue" : "12", "issued" : { "date-parts" : [ [ "2007", "12", "15" ] ] }, "page" : "2748-52", "title" : "Family history of urogenital cancers in patients with bladder, renal cell and prostate cancers.", "type" : "article-journal", "volume" : "121" }, "uris" : [ "http://www.mendeley.com/documents/?uuid=b83cb55f-4cc6-4d2e-9fa5-a87fe79e3c05" ] } ], "mendeley" : { "formattedCitation" : "(Randi et al. 2007)", "plainTextFormattedCitation" : "(Randi et al. 2007)", "previouslyFormattedCitation" : "(Randi et al. 2007)"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(Randi et al. 2007)</w:t>
      </w:r>
      <w:r w:rsidR="00F20EC0" w:rsidRPr="00DF0680">
        <w:rPr>
          <w:rFonts w:cs="Times New Roman"/>
        </w:rPr>
        <w:fldChar w:fldCharType="end"/>
      </w:r>
      <w:r w:rsidR="00F21481" w:rsidRPr="00DF0680">
        <w:rPr>
          <w:rFonts w:cs="Times New Roman"/>
        </w:rPr>
        <w:t xml:space="preserve">. </w:t>
      </w:r>
      <w:r w:rsidR="004946DA" w:rsidRPr="00DF0680">
        <w:rPr>
          <w:rFonts w:cs="Times New Roman"/>
        </w:rPr>
        <w:t xml:space="preserve">Urinary schistosomiasis has also been </w:t>
      </w:r>
      <w:r w:rsidR="00F81977" w:rsidRPr="00DF0680">
        <w:rPr>
          <w:rFonts w:cs="Times New Roman"/>
        </w:rPr>
        <w:t xml:space="preserve">linked to </w:t>
      </w:r>
      <w:r w:rsidR="004946DA" w:rsidRPr="00DF0680">
        <w:rPr>
          <w:rFonts w:cs="Times New Roman"/>
        </w:rPr>
        <w:t xml:space="preserve">higher incidence rates in parts of Africa and the Middle East </w:t>
      </w:r>
      <w:r w:rsidR="00F20EC0" w:rsidRPr="00DF0680">
        <w:rPr>
          <w:rFonts w:cs="Times New Roman"/>
        </w:rPr>
        <w:fldChar w:fldCharType="begin" w:fldLock="1"/>
      </w:r>
      <w:r w:rsidR="00EB2E9A" w:rsidRPr="00DF0680">
        <w:rPr>
          <w:rFonts w:cs="Times New Roman"/>
        </w:rPr>
        <w:instrText>ADDIN CSL_CITATION { "citationItems" : [ { "id" : "ITEM-1", "itemData" : { "author" : [ { "dropping-particle" : "", "family" : "Cancer Research UK", "given" : "", "non-dropping-particle" : "", "parse-names" : false, "suffix" : "" } ], "container-title" : "Cancer Research UK", "id" : "ITEM-1", "issued" : { "date-parts" : [ [ "2014" ] ] }, "number-of-pages" : "1-2", "title" : "Bladder Cancer - Cancer Statistics Key Stats", "type" : "report" }, "uris" : [ "http://www.mendeley.com/documents/?uuid=a9febffb-29d8-4376-aa2a-8dc2d0e369ff" ] } ], "mendeley" : { "formattedCitation" : "(Cancer Research UK 2014)", "plainTextFormattedCitation" : "(Cancer Research UK 2014)", "previouslyFormattedCitation" : "(Cancer Research UK 2014)"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(Cancer Research UK 2014)</w:t>
      </w:r>
      <w:r w:rsidR="00F20EC0" w:rsidRPr="00DF0680">
        <w:rPr>
          <w:rFonts w:cs="Times New Roman"/>
        </w:rPr>
        <w:fldChar w:fldCharType="end"/>
      </w:r>
      <w:r w:rsidR="004946DA" w:rsidRPr="00DF0680">
        <w:rPr>
          <w:rFonts w:cs="Times New Roman"/>
        </w:rPr>
        <w:t xml:space="preserve">. </w:t>
      </w:r>
      <w:r w:rsidR="006E70B1" w:rsidRPr="00DF0680">
        <w:rPr>
          <w:rFonts w:cs="Times New Roman"/>
        </w:rPr>
        <w:t>In England and Wales, o</w:t>
      </w:r>
      <w:r w:rsidR="009212F8" w:rsidRPr="00DF0680">
        <w:rPr>
          <w:rFonts w:cs="Times New Roman"/>
        </w:rPr>
        <w:t xml:space="preserve">ne, five and ten year survival rates are 75.6%, 56.1% and 48.9% respectively </w:t>
      </w:r>
      <w:r w:rsidR="00F20EC0" w:rsidRPr="00DF0680">
        <w:rPr>
          <w:rFonts w:cs="Times New Roman"/>
        </w:rPr>
        <w:fldChar w:fldCharType="begin" w:fldLock="1"/>
      </w:r>
      <w:r w:rsidR="00EB2E9A" w:rsidRPr="00DF0680">
        <w:rPr>
          <w:rFonts w:cs="Times New Roman"/>
        </w:rPr>
        <w:instrText>ADDIN CSL_CITATION { "citationItems" : [ { "id" : "ITEM-1", "itemData" : { "author" : [ { "dropping-particle" : "", "family" : "Cancer Research UK", "given" : "", "non-dropping-particle" : "", "parse-names" : false, "suffix" : "" } ], "container-title" : "Cancer Research UK", "id" : "ITEM-1", "issued" : { "date-parts" : [ [ "2014" ] ] }, "number-of-pages" : "1-2", "title" : "Bladder Cancer - Cancer Statistics Key Stats", "type" : "report" }, "uris" : [ "http://www.mendeley.com/documents/?uuid=a9febffb-29d8-4376-aa2a-8dc2d0e369ff" ] } ], "mendeley" : { "formattedCitation" : "(Cancer Research UK 2014)", "plainTextFormattedCitation" : "(Cancer Research UK 2014)", "previouslyFormattedCitation" : "(Cancer Research UK 2014)"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(Cancer Research UK 2014)</w:t>
      </w:r>
      <w:r w:rsidR="00F20EC0" w:rsidRPr="00DF0680">
        <w:rPr>
          <w:rFonts w:cs="Times New Roman"/>
        </w:rPr>
        <w:fldChar w:fldCharType="end"/>
      </w:r>
      <w:r w:rsidR="009212F8" w:rsidRPr="00DF0680">
        <w:rPr>
          <w:rFonts w:cs="Times New Roman"/>
        </w:rPr>
        <w:t xml:space="preserve">. </w:t>
      </w:r>
    </w:p>
    <w:p w:rsidR="00275E53" w:rsidRPr="00DF0680" w:rsidRDefault="00087085" w:rsidP="00A025CF">
      <w:pPr>
        <w:rPr>
          <w:rFonts w:cs="Times New Roman"/>
        </w:rPr>
      </w:pPr>
      <w:r w:rsidRPr="00DF0680">
        <w:rPr>
          <w:rFonts w:cs="Times New Roman"/>
        </w:rPr>
        <w:t>Bladder tumours are classified by stage using the TNM system devised by Pierre Denois bet</w:t>
      </w:r>
      <w:r w:rsidR="007225C2" w:rsidRPr="00DF0680">
        <w:rPr>
          <w:rFonts w:cs="Times New Roman"/>
        </w:rPr>
        <w:t xml:space="preserve">ween 1943 and 1952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"Oosterlinck", "given" : "W", "non-dropping-particle" : "", "parse-names" : false, "suffix" : "" }, { "dropping-particle" : "", "family" : "Lobel", "given" : "B", "non-dropping-particle" : "", "parse-names" : false, "suffix" : "" }, { "dropping-particle" : "", "family" : "Jakse", "given" : "G", "non-dropping-particle" : "", "parse-names" : false, "suffix" : "" } ], "container-title" : "European Urology", "id" : "ITEM-1", "issue" : "2", "issued" : { "date-parts" : [ [ "2002" ] ] }, "page" : "105-12", "title" : "Guidelines on bladder cancer", "type" : "article-journal", "volume" : "41" }, "uris" : [ "http://www.mendeley.com/documents/?uuid=966123ed-c0c8-43ca-9952-c01e722504c9" ] } ], "mendeley" : { "formattedCitation" : "(Oosterlinck et al. 2002)", "plainTextFormattedCitation" : "(Oosterlinck et al. 2002)", "previouslyFormattedCitation" : "(Oosterlinck et al. 2002)"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(Oosterlinck et al. 2002)</w:t>
      </w:r>
      <w:r w:rsidR="00F20EC0" w:rsidRPr="00DF0680">
        <w:rPr>
          <w:rFonts w:cs="Times New Roman"/>
        </w:rPr>
        <w:fldChar w:fldCharType="end"/>
      </w:r>
      <w:r w:rsidR="007225C2" w:rsidRPr="00DF0680">
        <w:rPr>
          <w:rFonts w:cs="Times New Roman"/>
        </w:rPr>
        <w:t xml:space="preserve">. </w:t>
      </w:r>
      <w:r w:rsidRPr="00DF0680">
        <w:rPr>
          <w:rFonts w:cs="Times New Roman"/>
        </w:rPr>
        <w:t xml:space="preserve">It defines the tumour by its size and </w:t>
      </w:r>
      <w:r w:rsidRPr="00DF0680">
        <w:rPr>
          <w:rFonts w:cs="Times New Roman"/>
        </w:rPr>
        <w:lastRenderedPageBreak/>
        <w:t>how far it has invaded the surrounding tissue (T), how many lymph nodes have been invaded by the cancer (N) and whether the ca</w:t>
      </w:r>
      <w:r w:rsidR="00F81977" w:rsidRPr="00DF0680">
        <w:rPr>
          <w:rFonts w:cs="Times New Roman"/>
        </w:rPr>
        <w:t>ncer has metastasised (M) or not</w:t>
      </w:r>
      <w:r w:rsidRPr="00DF0680">
        <w:rPr>
          <w:rFonts w:cs="Times New Roman"/>
        </w:rPr>
        <w:t xml:space="preserve">. </w:t>
      </w:r>
      <w:r w:rsidR="000A5B4C" w:rsidRPr="00DF0680">
        <w:rPr>
          <w:rFonts w:cs="Times New Roman"/>
        </w:rPr>
        <w:t>For the T staging, Cis/Tis (carcinoma/tumour in situ) is very early where a group of abnormal cells are isolated in the innermost layer of th</w:t>
      </w:r>
      <w:r w:rsidR="00AC47AB" w:rsidRPr="00DF0680">
        <w:rPr>
          <w:rFonts w:cs="Times New Roman"/>
        </w:rPr>
        <w:t>e bladder lining, Ta is when a</w:t>
      </w:r>
      <w:r w:rsidR="000A5B4C" w:rsidRPr="00DF0680">
        <w:rPr>
          <w:rFonts w:cs="Times New Roman"/>
        </w:rPr>
        <w:t xml:space="preserve"> cancer is just </w:t>
      </w:r>
      <w:r w:rsidR="009C69B1" w:rsidRPr="00DF0680">
        <w:rPr>
          <w:rFonts w:cs="Times New Roman"/>
        </w:rPr>
        <w:t xml:space="preserve">growing </w:t>
      </w:r>
      <w:r w:rsidR="000A5B4C" w:rsidRPr="00DF0680">
        <w:rPr>
          <w:rFonts w:cs="Times New Roman"/>
        </w:rPr>
        <w:t>in the innermost layer of the lining, at T1 the cancer starts to grow into the connective tissue, T2 is when the cancer has grown through the tissue and into the muscle, T3 means the cancer has grown through the muscle and into the fat layer, and at T4, the cancer has spread outs</w:t>
      </w:r>
      <w:r w:rsidR="004C294B" w:rsidRPr="00DF0680">
        <w:rPr>
          <w:rFonts w:cs="Times New Roman"/>
        </w:rPr>
        <w:t>ide the bladder to other organs</w:t>
      </w:r>
      <w:r w:rsidR="000A5B4C" w:rsidRPr="00DF0680">
        <w:rPr>
          <w:rFonts w:cs="Times New Roman"/>
        </w:rPr>
        <w:t xml:space="preserve"> </w:t>
      </w:r>
      <w:r w:rsidR="00DF0665" w:rsidRPr="00DF0680">
        <w:rPr>
          <w:rFonts w:cs="Times New Roman"/>
        </w:rPr>
        <w:t xml:space="preserve">(see </w:t>
      </w:r>
      <w:r w:rsidR="00F20EC0" w:rsidRPr="00DF0680">
        <w:rPr>
          <w:rFonts w:cs="Times New Roman"/>
        </w:rPr>
        <w:fldChar w:fldCharType="begin"/>
      </w:r>
      <w:r w:rsidR="006B2135" w:rsidRPr="00DF0680">
        <w:rPr>
          <w:rFonts w:cs="Times New Roman"/>
        </w:rPr>
        <w:instrText xml:space="preserve"> REF _Ref416515046 \h </w:instrText>
      </w:r>
      <w:r w:rsidR="00F20EC0" w:rsidRPr="00DF0680">
        <w:rPr>
          <w:rFonts w:cs="Times New Roman"/>
        </w:rPr>
      </w:r>
      <w:r w:rsidR="00F20EC0" w:rsidRPr="00DF0680">
        <w:rPr>
          <w:rFonts w:cs="Times New Roman"/>
        </w:rPr>
        <w:fldChar w:fldCharType="separate"/>
      </w:r>
      <w:r w:rsidR="009801AF" w:rsidRPr="00DF0680">
        <w:t>Figure 1.1</w:t>
      </w:r>
      <w:r w:rsidR="00F20EC0" w:rsidRPr="00DF0680">
        <w:rPr>
          <w:rFonts w:cs="Times New Roman"/>
        </w:rPr>
        <w:fldChar w:fldCharType="end"/>
      </w:r>
      <w:r w:rsidR="004C294B" w:rsidRPr="00DF0680">
        <w:rPr>
          <w:rFonts w:cs="Times New Roman"/>
        </w:rPr>
        <w:t xml:space="preserve">). </w:t>
      </w:r>
    </w:p>
    <w:p w:rsidR="003B38E9" w:rsidRPr="00DF0680" w:rsidRDefault="003B38E9" w:rsidP="00A025CF">
      <w:pPr>
        <w:rPr>
          <w:rFonts w:cs="Times New Roman"/>
        </w:rPr>
      </w:pPr>
      <w:r w:rsidRPr="00DF0680">
        <w:rPr>
          <w:rFonts w:cs="Times New Roman"/>
        </w:rPr>
        <w:t>In 2004, the World Health Organisation (WHO) established a grading system for urothelial papillary lesions to determine how likely these were to form cancers</w:t>
      </w:r>
      <w:r w:rsidR="00F81977"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"10.1177/106689690501300203", "ISSN" : "1066-8969", "author" : [ { "dropping-particle" : "", "family" : "Montironi", "given" : "R.", "non-dropping-particle" : "", "parse-names" : false, "suffix" : "" } ], "container-title" : "International Journal of Surgical Pathology", "id" : "ITEM-1", "issue" : "2", "issued" : { "date-parts" : [ [ "2005", "4", "1" ] ] }, "page" : "143-153", "title" : "The 2004 WHO Classification of Bladder Tumors: A Summary and Commentary", "type" : "article-journal", "volume" : "13" }, "uris" : [ "http://www.mendeley.com/documents/?uuid=0be5b207-2ec2-4b42-a7fe-7d62c9c7f042" ] } ], "mendeley" : { "formattedCitation" : "(Montironi 2005)", "plainTextFormattedCitation" : "(Montironi 2005)", "previouslyFormattedCitation" : "(Montironi 2005)" }, "properties" : { "noteIndex" : 0 }, "schema" : "https://github.com/citation-style-language/schema/raw/master/csl-citation.json" }</w:instrText>
      </w:r>
      <w:r w:rsidR="00F20EC0" w:rsidRPr="00DF0680">
        <w:rPr>
          <w:rFonts w:cs="Times New Roman"/>
        </w:rPr>
        <w:fldChar w:fldCharType="separate"/>
      </w:r>
      <w:r w:rsidR="00F81977" w:rsidRPr="00DF0680">
        <w:rPr>
          <w:rFonts w:cs="Times New Roman"/>
        </w:rPr>
        <w:t>(Montironi 2005)</w:t>
      </w:r>
      <w:r w:rsidR="00F20EC0" w:rsidRPr="00DF0680">
        <w:rPr>
          <w:rFonts w:cs="Times New Roman"/>
        </w:rPr>
        <w:fldChar w:fldCharType="end"/>
      </w:r>
      <w:r w:rsidRPr="00DF0680">
        <w:rPr>
          <w:rFonts w:cs="Times New Roman"/>
        </w:rPr>
        <w:t xml:space="preserve">. </w:t>
      </w:r>
      <w:r w:rsidR="00EE4453" w:rsidRPr="00DF0680">
        <w:rPr>
          <w:rFonts w:cs="Times New Roman"/>
        </w:rPr>
        <w:t xml:space="preserve">This grading system takes into account the architecture and the cytology of the lesion to distinguish between four grades: Urothelial papilloma, papillary neoplasm of low malignant potential, low-grade papillary carcinoma and high-grade carcinoma. The lesion is marked higher on this grading scale as the characteristics become more distant from the norm, including the organisation of cells becoming more disordered, the nuclear size becoming enlarged and more varied,  and mitoses becoming frequent </w:t>
      </w:r>
      <w:r w:rsidR="00F20EC0" w:rsidRPr="00DF0680">
        <w:rPr>
          <w:rFonts w:cs="Times New Roman"/>
        </w:rPr>
        <w:fldChar w:fldCharType="begin" w:fldLock="1"/>
      </w:r>
      <w:r w:rsidR="00332613" w:rsidRPr="00DF0680">
        <w:rPr>
          <w:rFonts w:cs="Times New Roman"/>
        </w:rPr>
        <w:instrText>ADDIN CSL_CITATION { "citationItems" : [ { "id" : "ITEM-1", "itemData" : { "DOI" : "10.1177/106689690501300203", "ISSN" : "1066-8969", "author" : [ { "dropping-particle" : "", "family" : "Montironi", "given" : "R.", "non-dropping-particle" : "", "parse-names" : false, "suffix" : "" } ], "container-title" : "International Journal of Surgical Pathology", "id" : "ITEM-1", "issue" : "2", "issued" : { "date-parts" : [ [ "2005", "4", "1" ] ] }, "page" : "143-153", "title" : "The 2004 WHO Classification of Bladder Tumors: A Summary and Commentary", "type" : "article-journal", "volume" : "13" }, "uris" : [ "http://www.mendeley.com/documents/?uuid=0be5b207-2ec2-4b42-a7fe-7d62c9c7f042" ] } ], "mendeley" : { "formattedCitation" : "(Montironi 2005)", "plainTextFormattedCitation" : "(Montironi 2005)", "previouslyFormattedCitation" : "(Montironi 2005)"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(Montironi 2005)</w:t>
      </w:r>
      <w:r w:rsidR="00F20EC0" w:rsidRPr="00DF0680">
        <w:rPr>
          <w:rFonts w:cs="Times New Roman"/>
        </w:rPr>
        <w:fldChar w:fldCharType="end"/>
      </w:r>
      <w:r w:rsidR="00EE4453" w:rsidRPr="00DF0680">
        <w:rPr>
          <w:rFonts w:cs="Times New Roman"/>
        </w:rPr>
        <w:t xml:space="preserve">. </w:t>
      </w:r>
    </w:p>
    <w:p w:rsidR="00D43A4E" w:rsidRPr="00DF0680" w:rsidRDefault="00D05C3F" w:rsidP="00A025CF">
      <w:pPr>
        <w:rPr>
          <w:rFonts w:cs="Times New Roman"/>
        </w:rPr>
      </w:pPr>
      <w:r w:rsidRPr="00DF0680">
        <w:rPr>
          <w:rFonts w:cs="Times New Roman"/>
        </w:rPr>
        <w:t xml:space="preserve">Treatment of bladder cancer is a combination of chemotherapy, radiotherapy and surgery, depending on the grade and stage of the tumour </w:t>
      </w:r>
      <w:r w:rsidR="00F20EC0" w:rsidRPr="00DF0680">
        <w:rPr>
          <w:rFonts w:cs="Times New Roman"/>
        </w:rPr>
        <w:fldChar w:fldCharType="begin" w:fldLock="1"/>
      </w:r>
      <w:r w:rsidR="00332613" w:rsidRPr="00DF0680">
        <w:rPr>
          <w:rFonts w:cs="Times New Roman"/>
        </w:rPr>
        <w:instrText>ADDIN CSL_CITATION { "citationItems" : [ { "id" : "ITEM-1", "itemData" : { "DOI" : "10.1016/j.eururo.2011.03.023", "ISSN" : "1873-7560", "PMID" : "21454009", "abstract" : "CONTEXT: New data regarding treatment of muscle-invasive and metastatic bladder cancer (MiM-BC) has emerged and led to an update of the European Association of Urology (EAU) guidelines for MiM-BC.\n\nOBJECTIVE: To review the new EAU guidelines for MiM-BC with a specific focus on treatment.\n\nEVIDENCE ACQUISITION: New literature published since the last update of the EAU guidelines in 2008 was obtained from Medline, the Cochrane Database of Systematic Reviews, and reference lists in publications and review articles and comprehensively screened by a group of urologists, oncologists, and a radiologist appointed by the EAU Guidelines Office. Previous recommendations based on the older literature on this subject were also taken into account. Levels of evidence (LEs) and grades of recommendations (GRs) were added based on a system modified from the Oxford Centre for Evidence-based Medicine Levels of Evidence.\n\nEVIDENCE SYNTHESIS: Current data demonstrate that neoadjuvant chemotherapy in conjunction with radical cystectomy (RC) is recommended in certain constellations of MiM-BC. RC remains the basic treatment of choice in localised invasive disease for both sexes. An attempt has been made to define the extent of surgery under standard conditions in both sexes. An orthotopic bladder substitute should be offered to both male and female patients lacking any contraindications, such as no tumour at the level of urethral dissection. In contrast to neoadjuvant chemotherapy, current advice recommends the use of adjuvant chemotherapy only within clinical trials. Multimodality bladder-preserving treatment in localised disease is currently regarded only as an alternative in selected, well-informed, and compliant patients for whom cystectomy is not considered for medical or personal reasons. In metastatic disease, the first-line treatment for patients fit enough to sustain cisplatin remains cisplatin-containing combination chemotherapy. With the advent of vinflunine, second-line chemotherapy has become available.\n\nCONCLUSIONS: In the treatment of localised invasive bladder cancer (BCa), the standard treatment remains radical surgical removal of the bladder within standard limits, including as-yet-unspecified regional lymph nodes. However, the addition of neoadjuvant chemotherapy must be considered for certain specific patient groups. A new drug for second-line chemotherapy (vinflunine) in metastatic disease has been approved and is recommended.", "author" : [ { "dropping-particle" : "", "family" : "Stenzl", "given" : "Arnulf", "non-dropping-particle" : "", "parse-names" : false, "suffix" : "" }, { "dropping-particle" : "", "family" : "Cowan", "given" : "Nigel C", "non-dropping-particle" : "", "parse-names" : false, "suffix" : "" }, { "dropping-particle" : "", "family" : "Santis", "given" : "Maria", "non-dropping-particle" : "De", "parse-names" : false, "suffix" : "" }, { "dropping-particle" : "", "family" : "Kuczyk", "given" : "Markus a", "non-dropping-particle" : "", "parse-names" : false, "suffix" : "" }, { "dropping-particle" : "", "family" : "Merseburger", "given" : "Axel S", "non-dropping-particle" : "", "parse-names" : false, "suffix" : "" }, { "dropping-particle" : "", "family" : "Ribal", "given" : "Maria Jos\u00e9", "non-dropping-particle" : "", "parse-names" : false, "suffix" : "" }, { "dropping-particle" : "", "family" : "Sherif", "given" : "Amir", "non-dropping-particle" : "", "parse-names" : false, "suffix" : "" }, { "dropping-particle" : "", "family" : "Witjes", "given" : "J Alfred", "non-dropping-particle" : "", "parse-names" : false, "suffix" : "" } ], "container-title" : "European Urology", "id" : "ITEM-1", "issue" : "6", "issued" : { "date-parts" : [ [ "2011", "6" ] ] }, "page" : "1009-18", "title" : "Treatment of muscle-invasive and metastatic bladder cancer: update of the EAU guidelines.", "type" : "article-journal", "volume" : "59" }, "uris" : [ "http://www.mendeley.com/documents/?uuid=dc056aed-9590-43f1-afde-c9c5fecc4f4d" ] } ], "mendeley" : { "formattedCitation" : "(Stenzl et al. 2011)", "plainTextFormattedCitation" : "(Stenzl et al. 2011)", "previouslyFormattedCitation" : "(Stenzl et al. 2011)"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(Stenzl et al. 2011)</w:t>
      </w:r>
      <w:r w:rsidR="00F20EC0" w:rsidRPr="00DF0680">
        <w:rPr>
          <w:rFonts w:cs="Times New Roman"/>
        </w:rPr>
        <w:fldChar w:fldCharType="end"/>
      </w:r>
      <w:r w:rsidRPr="00DF0680">
        <w:rPr>
          <w:rFonts w:cs="Times New Roman"/>
        </w:rPr>
        <w:t xml:space="preserve">. </w:t>
      </w:r>
      <w:r w:rsidR="00793D58" w:rsidRPr="00DF0680">
        <w:rPr>
          <w:rFonts w:cs="Times New Roman"/>
          <w:color w:val="auto"/>
        </w:rPr>
        <w:t>Chemotherapy alone is not recommended for localised, muscle invasive bladder cancer (T≥1 N0 M0). The recommendations</w:t>
      </w:r>
      <w:r w:rsidR="00467782" w:rsidRPr="00DF0680">
        <w:rPr>
          <w:rFonts w:cs="Times New Roman"/>
          <w:color w:val="auto"/>
        </w:rPr>
        <w:t xml:space="preserve"> for this involve neoadjuvant cisplatin-containing combination chemotherapy before surgery. The currently recommended</w:t>
      </w:r>
      <w:r w:rsidR="00793D58" w:rsidRPr="00DF0680">
        <w:rPr>
          <w:rFonts w:cs="Times New Roman"/>
          <w:color w:val="auto"/>
        </w:rPr>
        <w:t xml:space="preserve"> surgical technique involves complete removal of the bladder, also known as radical cystectomy (RC). </w:t>
      </w:r>
      <w:r w:rsidR="00E822B4" w:rsidRPr="00DF0680">
        <w:rPr>
          <w:rFonts w:cs="Times New Roman"/>
          <w:color w:val="auto"/>
        </w:rPr>
        <w:t>Bladder-sparing treatments are available, which involve h</w:t>
      </w:r>
      <w:r w:rsidR="0026524C" w:rsidRPr="00DF0680">
        <w:rPr>
          <w:rFonts w:cs="Times New Roman"/>
          <w:color w:val="auto"/>
        </w:rPr>
        <w:t>igh doses of radiotherapy, but approximately</w:t>
      </w:r>
      <w:r w:rsidR="00E822B4" w:rsidRPr="00DF0680">
        <w:rPr>
          <w:rFonts w:cs="Times New Roman"/>
          <w:color w:val="auto"/>
        </w:rPr>
        <w:t xml:space="preserve"> 5% of patients suffer from late gastrointestinal or genitourinary morbidity</w:t>
      </w:r>
      <w:r w:rsidR="00F80D0E" w:rsidRPr="00DF0680">
        <w:rPr>
          <w:rFonts w:cs="Times New Roman"/>
          <w:color w:val="auto"/>
        </w:rPr>
        <w:t xml:space="preserv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"10.1016/j.eururo.2011.03.023", "ISSN" : "1873-7560", "PMID" : "21454009", "abstract" : "CONTEXT: New data regarding treatment of muscle-invasive and metastatic bladder cancer (MiM-BC) has emerged and led to an update of the European Association of Urology (EAU) guidelines for MiM-BC.\n\nOBJECTIVE: To review the new EAU guidelines for MiM-BC with a specific focus on treatment.\n\nEVIDENCE ACQUISITION: New literature published since the last update of the EAU guidelines in 2008 was obtained from Medline, the Cochrane Database of Systematic Reviews, and reference lists in publications and review articles and comprehensively screened by a group of urologists, oncologists, and a radiologist appointed by the EAU Guidelines Office. Previous recommendations based on the older literature on this subject were also taken into account. Levels of evidence (LEs) and grades of recommendations (GRs) were added based on a system modified from the Oxford Centre for Evidence-based Medicine Levels of Evidence.\n\nEVIDENCE SYNTHESIS: Current data demonstrate that neoadjuvant chemotherapy in conjunction with radical cystectomy (RC) is recommended in certain constellations of MiM-BC. RC remains the basic treatment of choice in localised invasive disease for both sexes. An attempt has been made to define the extent of surgery under standard conditions in both sexes. An orthotopic bladder substitute should be offered to both male and female patients lacking any contraindications, such as no tumour at the level of urethral dissection. In contrast to neoadjuvant chemotherapy, current advice recommends the use of adjuvant chemotherapy only within clinical trials. Multimodality bladder-preserving treatment in localised disease is currently regarded only as an alternative in selected, well-informed, and compliant patients for whom cystectomy is not considered for medical or personal reasons. In metastatic disease, the first-line treatment for patients fit enough to sustain cisplatin remains cisplatin-containing combination chemotherapy. With the advent of vinflunine, second-line chemotherapy has become available.\n\nCONCLUSIONS: In the treatment of localised invasive bladder cancer (BCa), the standard treatment remains radical surgical removal of the bladder within standard limits, including as-yet-unspecified regional lymph nodes. However, the addition of neoadjuvant chemotherapy must be considered for certain specific patient groups. A new drug for second-line chemotherapy (vinflunine) in metastatic disease has been approved and is recommended.", "author" : [ { "dropping-particle" : "", "family" : "Stenzl", "given" : "Arnulf", "non-dropping-particle" : "", "parse-names" : false, "suffix" : "" }, { "dropping-particle" : "", "family" : "Cowan", "given" : "Nigel C", "non-dropping-particle" : "", "parse-names" : false, "suffix" : "" }, { "dropping-particle" : "", "family" : "Santis", "given" : "Maria", "non-dropping-particle" : "De", "parse-names" : false, "suffix" : "" }, { "dropping-particle" : "", "family" : "Kuczyk", "given" : "Markus a", "non-dropping-particle" : "", "parse-names" : false, "suffix" : "" }, { "dropping-particle" : "", "family" : "Merseburger", "given" : "Axel S", "non-dropping-particle" : "", "parse-names" : false, "suffix" : "" }, { "dropping-particle" : "", "family" : "Ribal", "given" : "Maria Jos\u00e9", "non-dropping-particle" : "", "parse-names" : false, "suffix" : "" }, { "dropping-particle" : "", "family" : "Sherif", "given" : "Amir", "non-dropping-particle" : "", "parse-names" : false, "suffix" : "" }, { "dropping-particle" : "", "family" : "Witjes", "given" : "J Alfred", "non-dropping-particle" : "", "parse-names" : false, "suffix" : "" } ], "container-title" : "European Urology", "id" : "ITEM-1", "issue" : "6", "issued" : { "date-parts" : [ [ "2011", "6" ] ] }, "page" : "1009-18", "title" : "Treatment of muscle-invasive and metastatic bladder cancer: update of the EAU guidelines.", "type" : "article-journal", "volume" : "59" }, "uris" : [ "http://www.mendeley.com/documents/?uuid=dc056aed-9590-43f1-afde-c9c5fecc4f4d" ] } ], "mendeley" : { "formattedCitation" : "(Stenzl et al. 2011)", "plainTextFormattedCitation" : "(Stenzl et al. 2011)", "previouslyFormattedCitation" : "(Stenzl et al. 2011)"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(Stenzl et al. 2011)</w:t>
      </w:r>
      <w:r w:rsidR="00F20EC0" w:rsidRPr="00DF0680">
        <w:rPr>
          <w:rFonts w:cs="Times New Roman"/>
          <w:color w:val="auto"/>
        </w:rPr>
        <w:fldChar w:fldCharType="end"/>
      </w:r>
      <w:r w:rsidR="00E822B4" w:rsidRPr="00DF0680">
        <w:rPr>
          <w:rFonts w:cs="Times New Roman"/>
          <w:color w:val="auto"/>
        </w:rPr>
        <w:t>.</w:t>
      </w:r>
      <w:r w:rsidR="00F80D0E" w:rsidRPr="00DF0680">
        <w:rPr>
          <w:rFonts w:cs="Times New Roman"/>
          <w:color w:val="auto"/>
        </w:rPr>
        <w:t xml:space="preserve"> Patients deemed “fit” with metastatic bladder cancers are treated with two lines of chemotherapy. The first</w:t>
      </w:r>
      <w:r w:rsidR="007F3004" w:rsidRPr="00DF0680">
        <w:rPr>
          <w:rFonts w:cs="Times New Roman"/>
          <w:color w:val="auto"/>
        </w:rPr>
        <w:t xml:space="preserve"> and most often used</w:t>
      </w:r>
      <w:r w:rsidR="00F80D0E" w:rsidRPr="00DF0680">
        <w:rPr>
          <w:rFonts w:cs="Times New Roman"/>
          <w:color w:val="auto"/>
        </w:rPr>
        <w:t xml:space="preserve"> is cisplatin based and the second is vinflunine based. Up to 50% of patients are </w:t>
      </w:r>
      <w:r w:rsidR="007F3004" w:rsidRPr="00DF0680">
        <w:rPr>
          <w:rFonts w:cs="Times New Roman"/>
          <w:color w:val="auto"/>
        </w:rPr>
        <w:t>unable to go through this chemotherapy</w:t>
      </w:r>
      <w:r w:rsidR="00153027" w:rsidRPr="00DF0680">
        <w:rPr>
          <w:rFonts w:cs="Times New Roman"/>
          <w:color w:val="auto"/>
        </w:rPr>
        <w:t xml:space="preserve">, </w:t>
      </w:r>
      <w:r w:rsidR="00F80D0E" w:rsidRPr="00DF0680">
        <w:rPr>
          <w:rFonts w:cs="Times New Roman"/>
          <w:color w:val="auto"/>
        </w:rPr>
        <w:t>classified as “unfit” for cisplatin</w:t>
      </w:r>
      <w:r w:rsidR="00153027" w:rsidRPr="00DF0680">
        <w:rPr>
          <w:rFonts w:cs="Times New Roman"/>
          <w:color w:val="auto"/>
        </w:rPr>
        <w:t>,</w:t>
      </w:r>
      <w:r w:rsidR="00F80D0E" w:rsidRPr="00DF0680">
        <w:rPr>
          <w:rFonts w:cs="Times New Roman"/>
          <w:color w:val="auto"/>
        </w:rPr>
        <w:t xml:space="preserve"> due to poor renal function</w:t>
      </w:r>
      <w:r w:rsidR="00CF16C3" w:rsidRPr="00DF0680">
        <w:rPr>
          <w:rFonts w:cs="Times New Roman"/>
          <w:color w:val="auto"/>
        </w:rPr>
        <w:t>. Metastatic bone disease (MND) is reported in 30-40% of patients with urothelial carcinomas and is treated with bisphosphonates, such as zoledronic acid, which inhibit bone absorption</w:t>
      </w:r>
      <w:r w:rsidR="00B54E71" w:rsidRPr="00DF0680">
        <w:rPr>
          <w:rFonts w:cs="Times New Roman"/>
          <w:color w:val="auto"/>
        </w:rPr>
        <w:t xml:space="preserv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"10.1016/j.eururo.2011.03.023", "ISSN" : "1873-7560", "PMID" : "21454009", "abstract" : "CONTEXT: New data regarding treatment of muscle-invasive and metastatic bladder cancer (MiM-BC) has emerged and led to an update of the European Association of Urology (EAU) guidelines for MiM-BC.\n\nOBJECTIVE: To review the new EAU guidelines for MiM-BC with a specific focus on treatment.\n\nEVIDENCE ACQUISITION: New literature published since the last update of the EAU guidelines in 2008 was obtained from Medline, the Cochrane Database of Systematic Reviews, and reference lists in publications and review articles and comprehensively screened by a group of urologists, oncologists, and a radiologist appointed by the EAU Guidelines Office. Previous recommendations based on the older literature on this subject were also taken into account. Levels of evidence (LEs) and grades of recommendations (GRs) were added based on a system modified from the Oxford Centre for Evidence-based Medicine Levels of Evidence.\n\nEVIDENCE SYNTHESIS: Current data demonstrate that neoadjuvant chemotherapy in conjunction with radical cystectomy (RC) is recommended in certain constellations of MiM-BC. RC remains the basic treatment of choice in localised invasive disease for both sexes. An attempt has been made to define the extent of surgery under standard conditions in both sexes. An orthotopic bladder substitute should be offered to both male and female patients lacking any contraindications, such as no tumour at the level of urethral dissection. In contrast to neoadjuvant chemotherapy, current advice recommends the use of adjuvant chemotherapy only within clinical trials. Multimodality bladder-preserving treatment in localised disease is currently regarded only as an alternative in selected, well-informed, and compliant patients for whom cystectomy is not considered for medical or personal reasons. In metastatic disease, the first-line treatment for patients fit enough to sustain cisplatin remains cisplatin-containing combination chemotherapy. With the advent of vinflunine, second-line chemotherapy has become available.\n\nCONCLUSIONS: In the treatment of localised invasive bladder cancer (BCa), the standard treatment remains radical surgical removal of the bladder within standard limits, including as-yet-unspecified regional lymph nodes. However, the addition of neoadjuvant chemotherapy must be considered for certain specific patient groups. A new drug for second-line chemotherapy (vinflunine) in metastatic disease has been approved and is recommended.", "author" : [ { "dropping-particle" : "", "family" : "Stenzl", "given" : "Arnulf", "non-dropping-particle" : "", "parse-names" : false, "suffix" : "" }, { "dropping-particle" : "", "family" : "Cowan", "given" : "Nigel C", "non-dropping-particle" : "", "parse-names" : false, "suffix" : "" }, { "dropping-particle" : "", "family" : "Santis", "given" : "Maria", "non-dropping-particle" : "De", "parse-names" : false, "suffix" : "" }, { "dropping-particle" : "", "family" : "Kuczyk", "given" : "Markus a", "non-dropping-particle" : "", "parse-names" : false, "suffix" : "" }, { "dropping-particle" : "", "family" : "Merseburger", "given" : "Axel S", "non-dropping-particle" : "", "parse-names" : false, "suffix" : "" }, { "dropping-particle" : "", "family" : "Ribal", "given" : "Maria Jos\u00e9", "non-dropping-particle" : "", "parse-names" : false, "suffix" : "" }, { "dropping-particle" : "", "family" : "Sherif", "given" : "Amir", "non-dropping-particle" : "", "parse-names" : false, "suffix" : "" }, { "dropping-particle" : "", "family" : "Witjes", "given" : "J Alfred", "non-dropping-particle" : "", "parse-names" : false, "suffix" : "" } ], "container-title" : "European Urology", "id" : "ITEM-1", "issue" : "6", "issued" : { "date-parts" : [ [ "2011", "6" ] ] }, "page" : "1009-18", "title" : "Treatment of muscle-invasive and metastatic bladder cancer: update of the EAU guidelines.", "type" : "article-journal", "volume" : "59" }, "uris" : [ "http://www.mendeley.com/documents/?uuid=dc056aed-9590-43f1-afde-c9c5fecc4f4d" ] } ], "mendeley" : { "formattedCitation" : "(Stenzl et al. 2011)", "plainTextFormattedCitation" : "(Stenzl et al. 2011)", "previouslyFormattedCitation" : "(Stenzl et al. 2011)"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(Stenzl et al. 2011)</w:t>
      </w:r>
      <w:r w:rsidR="00F20EC0" w:rsidRPr="00DF0680">
        <w:rPr>
          <w:rFonts w:cs="Times New Roman"/>
          <w:color w:val="auto"/>
        </w:rPr>
        <w:fldChar w:fldCharType="end"/>
      </w:r>
      <w:r w:rsidR="00CF16C3" w:rsidRPr="00DF0680">
        <w:rPr>
          <w:rFonts w:cs="Times New Roman"/>
          <w:color w:val="auto"/>
        </w:rPr>
        <w:t xml:space="preserve">. </w:t>
      </w:r>
    </w:p>
    <w:p w:rsidR="00A867FD" w:rsidRPr="00DF0680" w:rsidRDefault="00153027" w:rsidP="00A025CF">
      <w:pPr>
        <w:rPr>
          <w:rFonts w:cs="Times New Roman"/>
        </w:rPr>
      </w:pPr>
      <w:r w:rsidRPr="00DF0680">
        <w:rPr>
          <w:rFonts w:cs="Times New Roman"/>
        </w:rPr>
        <w:lastRenderedPageBreak/>
        <w:t>C</w:t>
      </w:r>
      <w:r w:rsidR="00D05C3F" w:rsidRPr="00DF0680">
        <w:rPr>
          <w:rFonts w:cs="Times New Roman"/>
        </w:rPr>
        <w:t>ombination therapy</w:t>
      </w:r>
      <w:r w:rsidRPr="00DF0680">
        <w:rPr>
          <w:rFonts w:cs="Times New Roman"/>
        </w:rPr>
        <w:t xml:space="preserve"> is commonly used</w:t>
      </w:r>
      <w:r w:rsidR="00D05C3F" w:rsidRPr="00DF0680">
        <w:rPr>
          <w:rFonts w:cs="Times New Roman"/>
        </w:rPr>
        <w:t xml:space="preserve"> in the clinic, as often, treatment with two or more chemotherapeutic agents is more effective than when given individually. Patients with bladde</w:t>
      </w:r>
      <w:r w:rsidR="009C69B1" w:rsidRPr="00DF0680">
        <w:rPr>
          <w:rFonts w:cs="Times New Roman"/>
        </w:rPr>
        <w:t>r cancer are treated with both g</w:t>
      </w:r>
      <w:r w:rsidR="00D05C3F" w:rsidRPr="00DF0680">
        <w:rPr>
          <w:rFonts w:cs="Times New Roman"/>
        </w:rPr>
        <w:t xml:space="preserve">emcitabine and cisplatin, after work was done showing it has a similar survival advantage compared with the methotrexate, vinblastine, doxorubicin and cisplatin (MVAC) treatment, but a better safety profile and tolerability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"von der", "family" : "Maase", "given" : "H", "non-dropping-particle" : "", "parse-names" : false, "suffix" : "" }, { "dropping-particle" : "", "family" : "Hansen", "given" : "SW", "non-dropping-particle" : "", "parse-names" : false, "suffix" : "" } ], "container-title" : "Journal of Clinical Oncology", "id" : "ITEM-1", "issue" : "17", "issued" : { "date-parts" : [ [ "2000" ] ] }, "page" : "3068-3077", "title" : "Gemcitabine and cisplatin versus methotrexate, vinblastine, doxorubicin, and cisplatin in advanced or metastatic bladder cancer: results of a large, randomized, multinational, multicenter, phase III Study", "type" : "article-journal", "volume" : "17" }, "uris" : [ "http://www.mendeley.com/documents/?uuid=16106fd5-e392-4839-aa65-6ea9ca149e5e" ] } ], "mendeley" : { "formattedCitation" : "(Maase &amp; Hansen 2000)", "plainTextFormattedCitation" : "(Maase &amp; Hansen 2000)", "previouslyFormattedCitation" : "(Maase &amp; Hansen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(Maase &amp; Hansen 2000)</w:t>
      </w:r>
      <w:r w:rsidR="00F20EC0" w:rsidRPr="00DF0680">
        <w:rPr>
          <w:rFonts w:cs="Times New Roman"/>
        </w:rPr>
        <w:fldChar w:fldCharType="end"/>
      </w:r>
      <w:r w:rsidR="00D05C3F" w:rsidRPr="00DF0680">
        <w:rPr>
          <w:rFonts w:cs="Times New Roman"/>
        </w:rPr>
        <w:t xml:space="preserve">. Cisplatin is a platinum based compound that works by causing inter and intra-strand cross-links with the DNA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"Eastman", "given" : "Alan", "non-dropping-particle" : "", "parse-names" : false, "suffix" : "" } ], "container-title" : "Pharmacology &amp; Therapeutics", "id" : "ITEM-1", "issue" : "2", "issued" : { "date-parts" : [ [ "1987" ] ] }, "page" : "155-166", "title" : "The formation, isolation and characterization of DNA adducts produced by anticancer platinum complexes", "type" : "article-journal", "volume" : "34" }, "uris" : [ "http://www.mendeley.com/documents/?uuid=b348b722-8284-4356-b5b5-4e534b9194b8" ] } ], "mendeley" : { "formattedCitation" : "(Eastman 1987)", "plainTextFormattedCitation" : "(Eastman 1987)", "previouslyFormattedCitation" : "(Eastman 1987)"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(Eastman 1987)</w:t>
      </w:r>
      <w:r w:rsidR="00F20EC0" w:rsidRPr="00DF0680">
        <w:rPr>
          <w:rFonts w:cs="Times New Roman"/>
        </w:rPr>
        <w:fldChar w:fldCharType="end"/>
      </w:r>
      <w:r w:rsidR="00D05C3F" w:rsidRPr="00DF0680">
        <w:rPr>
          <w:rFonts w:cs="Times New Roman"/>
        </w:rPr>
        <w:t xml:space="preserve">, whereas gemcitabine works as both an antimetabolite, incorporating itself into DNA in place of cytidine, and </w:t>
      </w:r>
      <w:r w:rsidR="007225C2" w:rsidRPr="00DF0680">
        <w:rPr>
          <w:rFonts w:cs="Times New Roman"/>
        </w:rPr>
        <w:t xml:space="preserve">as a </w:t>
      </w:r>
      <w:r w:rsidR="00D05C3F" w:rsidRPr="00DF0680">
        <w:rPr>
          <w:rFonts w:cs="Times New Roman"/>
        </w:rPr>
        <w:t>ribonuc</w:t>
      </w:r>
      <w:r w:rsidR="00E52DD8" w:rsidRPr="00DF0680">
        <w:rPr>
          <w:rFonts w:cs="Times New Roman"/>
        </w:rPr>
        <w:t>l</w:t>
      </w:r>
      <w:r w:rsidR="00D05C3F" w:rsidRPr="00DF0680">
        <w:rPr>
          <w:rFonts w:cs="Times New Roman"/>
        </w:rPr>
        <w:t xml:space="preserve">eotide reductase inhibitor </w:t>
      </w:r>
      <w:r w:rsidR="00F20EC0" w:rsidRPr="00DF0680">
        <w:rPr>
          <w:rFonts w:cs="Times New Roman"/>
        </w:rPr>
        <w:fldChar w:fldCharType="begin" w:fldLock="1"/>
      </w:r>
      <w:r w:rsidR="00332613" w:rsidRPr="00DF0680">
        <w:rPr>
          <w:rFonts w:cs="Times New Roman"/>
        </w:rPr>
        <w:instrText>ADDIN CSL_CITATION { "citationItems" : [ { "id" : "ITEM-1", "itemData" : { "ISSN" : "0007-0920", "PMID" : "9717987", "abstract" : "Gemcitabine (GEMZAR) is a novel nucleoside analogue with activity in a range of preclinical models both in vitro and in vivo. It is highly schedule dependent, with weekly x3 every 4 weeks being the recommended schedule for phase II/III studies. Early phase II trials identified activity against non-small-cell lung cancer and pancreatic cancers, tumour types for which gemcitabine has a licence for treatment in many countries. However, the preclinical models indicated that gemcitabine may be active against many other human solid tumours. In phase II studies, activity has been identified against breast cancer, both as a single agent and in combination. In bladder cancer, impressive single-agent activity of gemcitabine has also been seen, as well as in combination with cisplatin, initially in MVAC and platinum failures but more recently as first-line therapy both as a single agent and combined with cisplatin. Anti-tumour activity has also been seen in patients with ovarian cancer, head and neck cancer, small-cell lung cancer and cervical cancer, with minimal activity in renal carcinoma, prostate and colon cancer. In view of the excellent side-effect profile and the potential for gemcitabine to inhibit DNA repair after exposure to DNA-damaging agents, further developments of gemcitabine will include its use in combination chemotherapy and combined modality schedules.", "author" : [ { "dropping-particle" : "", "family" : "Carmichael", "given" : "J", "non-dropping-particle" : "", "parse-names" : false, "suffix" : "" } ], "container-title" : "British Journal of Cancer", "id" : "ITEM-1", "issue" : "Suppl 3", "issued" : { "date-parts" : [ [ "1998", "1" ] ] }, "page" : "21-5", "title" : "The role of gemcitabine in the treatment of other tumours.", "type" : "article-journal", "volume" : "78" }, "uris" : [ "http://www.mendeley.com/documents/?uuid=207e71c2-977d-4fc2-ac9e-d103f78fe73b" ] }, { "id" : "ITEM-2", "itemData" : { "author" : [ { "dropping-particle" : "", "family" : "Huang", "given" : "Peng", "non-dropping-particle" : "", "parse-names" : false, "suffix" : "" }, { "dropping-particle" : "", "family" : "Chubb", "given" : "Sherri", "non-dropping-particle" : "", "parse-names" : false, "suffix" : "" }, { "dropping-particle" : "", "family" : "Hertel", "given" : "LW", "non-dropping-particle" : "", "parse-names" : false, "suffix" : "" }, { "dropping-particle" : "", "family" : "Grindey", "given" : "GB", "non-dropping-particle" : "", "parse-names" : false, "suffix" : "" }, { "dropping-particle" : "", "family" : "Plunkett", "given" : "William", "non-dropping-particle" : "", "parse-names" : false, "suffix" : "" } ], "container-title" : "Cancer Research", "id" : "ITEM-2", "issued" : { "date-parts" : [ [ "1991" ] ] }, "page" : "6110-6117", "title" : "Action of 2\u2032, 2\u2032-difluorodeoxycytidine on DNA synthesis", "type" : "article-journal" }, "uris" : [ "http://www.mendeley.com/documents/?uuid=ca9c2d5b-eea3-4049-990e-bcfa7ceed1a0" ] } ], "mendeley" : { "formattedCitation" : "(Carmichael 1998; Huang et al. 1991)", "plainTextFormattedCitation" : "(Carmichael 1998; Huang et al. 1991)", "previouslyFormattedCitation" : "(Carmichael 1998; Huang et al. 1991)"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(Carmichael 1998; Huang et al. 1991)</w:t>
      </w:r>
      <w:r w:rsidR="00F20EC0" w:rsidRPr="00DF0680">
        <w:rPr>
          <w:rFonts w:cs="Times New Roman"/>
        </w:rPr>
        <w:fldChar w:fldCharType="end"/>
      </w:r>
      <w:r w:rsidR="00D05C3F" w:rsidRPr="00DF0680">
        <w:rPr>
          <w:rFonts w:cs="Times New Roman"/>
        </w:rPr>
        <w:t>.</w:t>
      </w:r>
    </w:p>
    <w:p w:rsidR="00865FFB" w:rsidRPr="00DF0680" w:rsidRDefault="00473A74" w:rsidP="00A025CF">
      <w:pPr>
        <w:rPr>
          <w:rFonts w:cs="Times New Roman"/>
        </w:rPr>
      </w:pPr>
      <w:r w:rsidRPr="00DF0680">
        <w:rPr>
          <w:rFonts w:cs="Times New Roman"/>
        </w:rPr>
        <w:t xml:space="preserve">Bladder cancers have been shown to </w:t>
      </w:r>
      <w:r w:rsidR="00E64279" w:rsidRPr="00DF0680">
        <w:rPr>
          <w:rFonts w:cs="Times New Roman"/>
        </w:rPr>
        <w:t xml:space="preserve">be genetically unstable. They </w:t>
      </w:r>
      <w:r w:rsidRPr="00DF0680">
        <w:rPr>
          <w:rFonts w:cs="Times New Roman"/>
        </w:rPr>
        <w:t xml:space="preserve">acquire instability at microsatellite regions of DNA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"Gonzalez-Zulueta", "given" : "M", "non-dropping-particle" : "", "parse-names" : false, "suffix" : "" }, { "dropping-particle" : "", "family" : "Ruppert", "given" : "JM", "non-dropping-particle" : "", "parse-names" : false, "suffix" : "" }, { "dropping-particle" : "", "family" : "Tokino", "given" : "Kaori", "non-dropping-particle" : "", "parse-names" : false, "suffix" : "" } ], "container-title" : "Cancer Research", "id" : "ITEM-1", "issue" : "23", "issued" : { "date-parts" : [ [ "1993" ] ] }, "page" : "5620-5623", "title" : "Microsatellite instability in bladder cancer", "type" : "article-journal", "volume" : "53" }, "uris" : [ "http://www.mendeley.com/documents/?uuid=8c0e37d5-3700-406a-a1dc-3136ec60765b" ] }, { "id" : "ITEM-2", "itemData" : { "author" : [ { "dropping-particle" : "", "family" : "Arzimanoglou", "given" : "II", "non-dropping-particle" : "", "parse-names" : false, "suffix" : "" }, { "dropping-particle" : "", "family" : "Gilbert", "given" : "Fred", "non-dropping-particle" : "", "parse-names" : false, "suffix" : "" }, { "dropping-particle" : "", "family" : "Barber", "given" : "HRK", "non-dropping-particle" : "", "parse-names" : false, "suffix" : "" } ], "container-title" : "Cancer", "id" : "ITEM-2", "issue" : "10", "issued" : { "date-parts" : [ [ "1998" ] ] }, "page" : "1808-1820", "title" : "Microsatellite instability in human solid tumors", "type" : "article-journal", "volume" : "82" }, "uris" : [ "http://www.mendeley.com/documents/?uuid=dd1adb18-8f98-4e24-a021-f39d0ee7c447" ] }, { "id" : "ITEM-3", "itemData" : { "DOI" : "10.1046/j.1464-410X.2004.04548.x", "author" : [ { "dropping-particle" : "", "family" : "Catto", "given" : "JWF", "non-dropping-particle" : "", "parse-names" : false, "suffix" : "" }, { "dropping-particle" : "", "family" : "Meuth", "given" : "M", "non-dropping-particle" : "", "parse-names" : false, "suffix" : "" }, { "dropping-particle" : "", "family" : "Hamdy", "given" : "FC", "non-dropping-particle" : "", "parse-names" : false, "suffix" : "" } ], "container-title" : "BJU International", "id" : "ITEM-3", "issue" : "1", "issued" : { "date-parts" : [ [ "2004" ] ] }, "page" : "19-24", "title" : "Genetic instability and transitional cell carcinoma of the bladder", "type" : "article-journal", "volume" : "93" }, "uris" : [ "http://www.mendeley.com/documents/?uuid=c1b6cef1-a515-4a39-9204-0bf114480be6" ] } ], "mendeley" : { "formattedCitation" : "(Gonzalez-Zulueta et al. 1993; Arzimanoglou et al. 1998; Catto et al. 2004)", "plainTextFormattedCitation" : "(Gonzalez-Zulueta et al. 1993; Arzimanoglou et al. 1998; Catto et al. 2004)", "previouslyFormattedCitation" : "(Gonzalez-Zulueta et al. 1993; Arzimanoglou et al. 1998; Catto et al. 2004)"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(Gonzalez-Zulueta et al. 1993; Arzimanoglou et al. 1998; Catto et al. 2004)</w:t>
      </w:r>
      <w:r w:rsidR="00F20EC0" w:rsidRPr="00DF0680">
        <w:rPr>
          <w:rFonts w:cs="Times New Roman"/>
        </w:rPr>
        <w:fldChar w:fldCharType="end"/>
      </w:r>
      <w:r w:rsidR="00E64279" w:rsidRPr="00DF0680">
        <w:rPr>
          <w:rFonts w:cs="Times New Roman"/>
        </w:rPr>
        <w:t>, and</w:t>
      </w:r>
      <w:r w:rsidRPr="00DF0680">
        <w:rPr>
          <w:rFonts w:cs="Times New Roman"/>
        </w:rPr>
        <w:t xml:space="preserve"> </w:t>
      </w:r>
      <w:r w:rsidR="00E64279" w:rsidRPr="00DF0680">
        <w:rPr>
          <w:rFonts w:cs="Times New Roman"/>
        </w:rPr>
        <w:t>w</w:t>
      </w:r>
      <w:r w:rsidRPr="00DF0680">
        <w:rPr>
          <w:rFonts w:cs="Times New Roman"/>
        </w:rPr>
        <w:t xml:space="preserve">ork has been done showing that detecting microsatellite </w:t>
      </w:r>
      <w:r w:rsidR="00E64279" w:rsidRPr="00DF0680">
        <w:rPr>
          <w:rFonts w:cs="Times New Roman"/>
        </w:rPr>
        <w:t>changes in ur</w:t>
      </w:r>
      <w:r w:rsidR="0026524C" w:rsidRPr="00DF0680">
        <w:rPr>
          <w:rFonts w:cs="Times New Roman"/>
        </w:rPr>
        <w:t>ine samples is a more effective</w:t>
      </w:r>
      <w:r w:rsidR="00E64279" w:rsidRPr="00DF0680">
        <w:rPr>
          <w:rFonts w:cs="Times New Roman"/>
        </w:rPr>
        <w:t xml:space="preserve"> and</w:t>
      </w:r>
      <w:r w:rsidR="0026524C" w:rsidRPr="00DF0680">
        <w:rPr>
          <w:rFonts w:cs="Times New Roman"/>
        </w:rPr>
        <w:t>,</w:t>
      </w:r>
      <w:r w:rsidR="00E64279" w:rsidRPr="00DF0680">
        <w:rPr>
          <w:rFonts w:cs="Times New Roman"/>
        </w:rPr>
        <w:t xml:space="preserve"> in principle</w:t>
      </w:r>
      <w:r w:rsidR="0026524C" w:rsidRPr="00DF0680">
        <w:rPr>
          <w:rFonts w:cs="Times New Roman"/>
        </w:rPr>
        <w:t>,</w:t>
      </w:r>
      <w:r w:rsidR="00E64279" w:rsidRPr="00DF0680">
        <w:rPr>
          <w:rFonts w:cs="Times New Roman"/>
        </w:rPr>
        <w:t xml:space="preserve"> a cheaper method of detecting bladder cancer than cytology </w:t>
      </w:r>
      <w:r w:rsidR="00F20EC0" w:rsidRPr="00DF0680">
        <w:rPr>
          <w:rFonts w:cs="Times New Roman"/>
        </w:rPr>
        <w:fldChar w:fldCharType="begin" w:fldLock="1"/>
      </w:r>
      <w:r w:rsidR="00E64279" w:rsidRPr="00DF0680">
        <w:rPr>
          <w:rFonts w:cs="Times New Roman"/>
        </w:rPr>
        <w:instrText>ADDIN CSL_CITATION { "citationItems" : [ { "id" : "ITEM-1", "itemData" : { "author" : [ { "dropping-particle" : "", "family" : "Mao", "given" : "Li", "non-dropping-particle" : "", "parse-names" : false, "suffix" : "" }, { "dropping-particle" : "", "family" : "Schoenberg", "given" : "MP", "non-dropping-particle" : "", "parse-names" : false, "suffix" : "" }, { "dropping-particle" : "", "family" : "Scicchitano", "given" : "Marshall", "non-dropping-particle" : "", "parse-names" : false, "suffix" : "" } ], "container-title" : "Science", "id" : "ITEM-1", "issue" : "5249", "issued" : { "date-parts" : [ [ "1996" ] ] }, "page" : "659-662", "title" : "Molecular detection of primary bladder cancer by microsatellite analysis", "type" : "article-journal", "volume" : "271" }, "uris" : [ "http://www.mendeley.com/documents/?uuid=d71f6ea6-0668-464f-9de9-bda1f73bdf7a" ] } ], "mendeley" : { "formattedCitation" : "(Mao et al. 1996)", "plainTextFormattedCitation" : "(Mao et al. 1996)", "previouslyFormattedCitation" : "(Mao et al. 1996)" }, "properties" : { "noteIndex" : 0 }, "schema" : "https://github.com/citation-style-language/schema/raw/master/csl-citation.json" }</w:instrText>
      </w:r>
      <w:r w:rsidR="00F20EC0" w:rsidRPr="00DF0680">
        <w:rPr>
          <w:rFonts w:cs="Times New Roman"/>
        </w:rPr>
        <w:fldChar w:fldCharType="separate"/>
      </w:r>
      <w:r w:rsidR="00E64279" w:rsidRPr="00DF0680">
        <w:rPr>
          <w:rFonts w:cs="Times New Roman"/>
        </w:rPr>
        <w:t>(Mao et al. 1996)</w:t>
      </w:r>
      <w:r w:rsidR="00F20EC0" w:rsidRPr="00DF0680">
        <w:rPr>
          <w:rFonts w:cs="Times New Roman"/>
        </w:rPr>
        <w:fldChar w:fldCharType="end"/>
      </w:r>
      <w:r w:rsidR="00E64279" w:rsidRPr="00DF0680">
        <w:rPr>
          <w:rFonts w:cs="Times New Roman"/>
        </w:rPr>
        <w:t xml:space="preserve">. Chromosomal instability also occurs in bladder cancer, thought to be driven by centrosome hyperamplification </w:t>
      </w:r>
      <w:r w:rsidR="00F20EC0" w:rsidRPr="00DF0680">
        <w:rPr>
          <w:rFonts w:cs="Times New Roman"/>
        </w:rPr>
        <w:fldChar w:fldCharType="begin" w:fldLock="1"/>
      </w:r>
      <w:r w:rsidR="00332613" w:rsidRPr="00DF0680">
        <w:rPr>
          <w:rFonts w:cs="Times New Roman"/>
        </w:rPr>
        <w:instrText>ADDIN CSL_CITATION { "citationItems" : [ { "id" : "ITEM-1", "itemData" : { "DOI" : "10.1016/S0302-2838(03)00056-3", "ISSN" : "03022838", "author" : [ { "dropping-particle" : "", "family" : "Kawamura", "given" : "K.", "non-dropping-particle" : "", "parse-names" : false, "suffix" : "" }, { "dropping-particle" : "", "family" : "Moriyama", "given" : "M.", "non-dropping-particle" : "", "parse-names" : false, "suffix" : "" }, { "dropping-particle" : "", "family" : "Shiba", "given" : "N.", "non-dropping-particle" : "", "parse-names" : false, "suffix" : "" }, { "dropping-particle" : "", "family" : "Ozaki", "given" : "M.", "non-dropping-particle" : "", "parse-names" : false, "suffix" : "" }, { "dropping-particle" : "", "family" : "Tanaka", "given" : "T.", "non-dropping-particle" : "", "parse-names" : false, "suffix" : "" }, { "dropping-particle" : "", "family" : "Nojima", "given" : "T.", "non-dropping-particle" : "", "parse-names" : false, "suffix" : "" }, { "dropping-particle" : "", "family" : "Fujikawa-Yamamoto", "given" : "K.", "non-dropping-particle" : "", "parse-names" : false, "suffix" : "" }, { "dropping-particle" : "", "family" : "Ikeda", "given" : "R.", "non-dropping-particle" : "", "parse-names" : false, "suffix" : "" }, { "dropping-particle" : "", "family" : "Suzuki", "given" : "K.", "non-dropping-particle" : "", "parse-names" : false, "suffix" : "" } ], "container-title" : "European Urology", "id" : "ITEM-1", "issue" : "5", "issued" : { "date-parts" : [ [ "2003", "5" ] ] }, "page" : "505-515", "title" : "Centrosome Hyperamplification and Chromosomal Instability in Bladder Cancer", "type" : "article-journal", "volume" : "43" }, "uris" : [ "http://www.mendeley.com/documents/?uuid=ef9a8650-45eb-416e-ad74-7c22d466858c" ] } ], "mendeley" : { "formattedCitation" : "(Kawamura et al. 2003)", "plainTextFormattedCitation" : "(Kawamura et al. 2003)", "previouslyFormattedCitation" : "(Kawamura et al. 2003)" }, "properties" : { "noteIndex" : 0 }, "schema" : "https://github.com/citation-style-language/schema/raw/master/csl-citation.json" }</w:instrText>
      </w:r>
      <w:r w:rsidR="00F20EC0" w:rsidRPr="00DF0680">
        <w:rPr>
          <w:rFonts w:cs="Times New Roman"/>
        </w:rPr>
        <w:fldChar w:fldCharType="separate"/>
      </w:r>
      <w:r w:rsidR="00E64279" w:rsidRPr="00DF0680">
        <w:rPr>
          <w:rFonts w:cs="Times New Roman"/>
        </w:rPr>
        <w:t>(Kawamura et al. 2003)</w:t>
      </w:r>
      <w:r w:rsidR="00F20EC0" w:rsidRPr="00DF0680">
        <w:rPr>
          <w:rFonts w:cs="Times New Roman"/>
        </w:rPr>
        <w:fldChar w:fldCharType="end"/>
      </w:r>
      <w:r w:rsidR="00E64279" w:rsidRPr="00DF0680">
        <w:rPr>
          <w:rFonts w:cs="Times New Roman"/>
        </w:rPr>
        <w:t xml:space="preserve">. </w:t>
      </w:r>
      <w:r w:rsidR="00D24B52" w:rsidRPr="00DF0680">
        <w:rPr>
          <w:rFonts w:cs="Times New Roman"/>
        </w:rPr>
        <w:t xml:space="preserve">This study showed that the grade of centrosome hyperamplification was directionally proportional to the histological grade. </w:t>
      </w:r>
    </w:p>
    <w:p w:rsidR="00B03AE3" w:rsidRPr="00DF0680" w:rsidRDefault="00865FFB" w:rsidP="00865FFB">
      <w:pPr>
        <w:spacing w:line="276" w:lineRule="auto"/>
        <w:jc w:val="left"/>
        <w:rPr>
          <w:rFonts w:cs="Times New Roman"/>
        </w:rPr>
      </w:pPr>
      <w:r w:rsidRPr="00DF0680">
        <w:rPr>
          <w:rFonts w:cs="Times New Roman"/>
        </w:rPr>
        <w:br w:type="page"/>
      </w:r>
    </w:p>
    <w:p w:rsidR="00B03AE3" w:rsidRPr="00DF0680" w:rsidRDefault="00B03AE3" w:rsidP="00A025CF">
      <w:pPr>
        <w:rPr>
          <w:rFonts w:cs="Times New Roman"/>
        </w:rPr>
      </w:pPr>
    </w:p>
    <w:p w:rsidR="00865FFB" w:rsidRPr="00DF0680" w:rsidRDefault="00865FFB" w:rsidP="00A025CF">
      <w:pPr>
        <w:rPr>
          <w:rFonts w:cs="Times New Roman"/>
        </w:rPr>
      </w:pPr>
    </w:p>
    <w:p w:rsidR="00494AEA" w:rsidRPr="00DF0680" w:rsidRDefault="00B03AE3" w:rsidP="00494AEA">
      <w:pPr>
        <w:keepNext/>
        <w:rPr>
          <w:rFonts w:cs="Times New Roman"/>
        </w:rPr>
      </w:pPr>
      <w:r w:rsidRPr="00DF0680">
        <w:rPr>
          <w:rFonts w:cs="Times New Roman"/>
        </w:rPr>
        <w:drawing>
          <wp:inline distT="0" distB="0" distL="0" distR="0">
            <wp:extent cx="5400040" cy="312759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400040" cy="3127590"/>
                    </a:xfrm>
                    <a:prstGeom prst="rect">
                      <a:avLst/>
                    </a:prstGeom>
                    <a:noFill/>
                    <a:ln w="9525">
                      <a:noFill/>
                      <a:miter lim="800000"/>
                      <a:headEnd/>
                      <a:tailEnd/>
                    </a:ln>
                  </pic:spPr>
                </pic:pic>
              </a:graphicData>
            </a:graphic>
          </wp:inline>
        </w:drawing>
      </w:r>
    </w:p>
    <w:p w:rsidR="008048FD" w:rsidRPr="00DF0680" w:rsidRDefault="008048FD" w:rsidP="00D94477">
      <w:pPr>
        <w:pStyle w:val="Caption"/>
      </w:pPr>
    </w:p>
    <w:p w:rsidR="00B03AE3" w:rsidRPr="00DF0680" w:rsidRDefault="00494AEA" w:rsidP="00D94477">
      <w:pPr>
        <w:pStyle w:val="Caption"/>
      </w:pPr>
      <w:bookmarkStart w:id="18" w:name="_Ref416515046"/>
      <w:bookmarkStart w:id="19" w:name="_Toc409449299"/>
      <w:bookmarkStart w:id="20" w:name="_Toc417813883"/>
      <w:r w:rsidRPr="00DF0680">
        <w:t xml:space="preserve">Figure </w:t>
      </w:r>
      <w:fldSimple w:instr=" STYLEREF 1 \s ">
        <w:r w:rsidR="006119E3">
          <w:rPr>
            <w:noProof/>
          </w:rPr>
          <w:t>1</w:t>
        </w:r>
      </w:fldSimple>
      <w:r w:rsidR="006119E3">
        <w:t>.</w:t>
      </w:r>
      <w:fldSimple w:instr=" SEQ Figure \* ARABIC \s 1 ">
        <w:r w:rsidR="006119E3">
          <w:rPr>
            <w:noProof/>
          </w:rPr>
          <w:t>1</w:t>
        </w:r>
      </w:fldSimple>
      <w:bookmarkStart w:id="21" w:name="_Toc409187266"/>
      <w:bookmarkEnd w:id="18"/>
      <w:r w:rsidR="004443B4" w:rsidRPr="00DF0680">
        <w:rPr>
          <w:sz w:val="40"/>
        </w:rPr>
        <w:t xml:space="preserve"> </w:t>
      </w:r>
      <w:r w:rsidR="008048FD" w:rsidRPr="00DF0680">
        <w:rPr>
          <w:sz w:val="40"/>
        </w:rPr>
        <w:t xml:space="preserve">– </w:t>
      </w:r>
      <w:r w:rsidR="00B03AE3" w:rsidRPr="00DF0680">
        <w:t>The stages of bladder cancer</w:t>
      </w:r>
      <w:bookmarkEnd w:id="19"/>
      <w:bookmarkEnd w:id="20"/>
      <w:bookmarkEnd w:id="21"/>
    </w:p>
    <w:p w:rsidR="00865FFB" w:rsidRPr="00DF0680" w:rsidRDefault="00B03AE3" w:rsidP="00BB31CC">
      <w:pPr>
        <w:spacing w:line="276" w:lineRule="auto"/>
        <w:rPr>
          <w:rFonts w:cs="Times New Roman"/>
        </w:rPr>
      </w:pPr>
      <w:r w:rsidRPr="00DF0680">
        <w:rPr>
          <w:rFonts w:cs="Times New Roman"/>
        </w:rPr>
        <w:t>CIS (Carcinoma in situ) is a group of abnormal cells at the innermost layer of the bladder lining. Ta is the bladder cancer stage at which the cells have grown into a tumour but is still isolated to the bladder lining. A T1 stage cancer is a tumour that has invaded the connective tissue. T2 is</w:t>
      </w:r>
      <w:r w:rsidR="004443B4" w:rsidRPr="00DF0680">
        <w:rPr>
          <w:rFonts w:cs="Times New Roman"/>
        </w:rPr>
        <w:t xml:space="preserve"> the stage at which the tumour </w:t>
      </w:r>
      <w:r w:rsidRPr="00DF0680">
        <w:rPr>
          <w:rFonts w:cs="Times New Roman"/>
        </w:rPr>
        <w:t>has grown into the muscle. T3 is the stage at which the tumour has grown into the f</w:t>
      </w:r>
      <w:r w:rsidR="004443B4" w:rsidRPr="00DF0680">
        <w:rPr>
          <w:rFonts w:cs="Times New Roman"/>
        </w:rPr>
        <w:t xml:space="preserve">at layer and a T4 stage tumour </w:t>
      </w:r>
      <w:r w:rsidRPr="00DF0680">
        <w:rPr>
          <w:rFonts w:cs="Times New Roman"/>
        </w:rPr>
        <w:t xml:space="preserve">is when the cancer has metastasised to other organs. </w:t>
      </w:r>
    </w:p>
    <w:p w:rsidR="00865FFB" w:rsidRPr="00DF0680" w:rsidRDefault="00865FFB">
      <w:pPr>
        <w:spacing w:line="276" w:lineRule="auto"/>
        <w:jc w:val="left"/>
        <w:rPr>
          <w:rFonts w:cs="Times New Roman"/>
        </w:rPr>
      </w:pPr>
      <w:r w:rsidRPr="00DF0680">
        <w:rPr>
          <w:rFonts w:cs="Times New Roman"/>
        </w:rPr>
        <w:br w:type="page"/>
      </w:r>
    </w:p>
    <w:p w:rsidR="00F21481" w:rsidRPr="00DF0680" w:rsidRDefault="003463CD" w:rsidP="00E664FC">
      <w:pPr>
        <w:pStyle w:val="Heading3"/>
      </w:pPr>
      <w:bookmarkStart w:id="22" w:name="_Toc417204074"/>
      <w:bookmarkStart w:id="23" w:name="_Toc417674311"/>
      <w:r w:rsidRPr="00DF0680">
        <w:lastRenderedPageBreak/>
        <w:t>Cancer and genome instability</w:t>
      </w:r>
      <w:bookmarkEnd w:id="22"/>
      <w:bookmarkEnd w:id="23"/>
    </w:p>
    <w:p w:rsidR="000B6020" w:rsidRPr="00DF0680" w:rsidRDefault="006E0BC5" w:rsidP="000B72A6">
      <w:pPr>
        <w:spacing w:after="0"/>
        <w:rPr>
          <w:rFonts w:cs="Times New Roman"/>
        </w:rPr>
      </w:pPr>
      <w:r w:rsidRPr="00DF0680">
        <w:rPr>
          <w:rFonts w:cs="Times New Roman"/>
        </w:rPr>
        <w:t>T</w:t>
      </w:r>
      <w:r w:rsidR="00484400" w:rsidRPr="00DF0680">
        <w:rPr>
          <w:rFonts w:cs="Times New Roman"/>
        </w:rPr>
        <w:t>he theory that genome instability and mutations</w:t>
      </w:r>
      <w:r w:rsidR="00A2079E" w:rsidRPr="00DF0680">
        <w:rPr>
          <w:rFonts w:cs="Times New Roman"/>
        </w:rPr>
        <w:t xml:space="preserve"> can</w:t>
      </w:r>
      <w:r w:rsidR="00484400" w:rsidRPr="00DF0680">
        <w:rPr>
          <w:rFonts w:cs="Times New Roman"/>
        </w:rPr>
        <w:t xml:space="preserve"> lead to cancer was originally d</w:t>
      </w:r>
      <w:r w:rsidR="000B6020" w:rsidRPr="00DF0680">
        <w:rPr>
          <w:rFonts w:cs="Times New Roman"/>
        </w:rPr>
        <w:t>escribed</w:t>
      </w:r>
      <w:r w:rsidR="00484400" w:rsidRPr="00DF0680">
        <w:rPr>
          <w:rFonts w:cs="Times New Roman"/>
        </w:rPr>
        <w:t xml:space="preserve"> </w:t>
      </w:r>
      <w:r w:rsidR="000C04C8" w:rsidRPr="00DF0680">
        <w:rPr>
          <w:rFonts w:cs="Times New Roman"/>
          <w:color w:val="auto"/>
        </w:rPr>
        <w:t>over 100</w:t>
      </w:r>
      <w:r w:rsidR="000B6020" w:rsidRPr="00DF0680">
        <w:rPr>
          <w:rFonts w:cs="Times New Roman"/>
          <w:color w:val="FF0000"/>
        </w:rPr>
        <w:t xml:space="preserve"> </w:t>
      </w:r>
      <w:r w:rsidR="00484400" w:rsidRPr="00DF0680">
        <w:rPr>
          <w:rFonts w:cs="Times New Roman"/>
        </w:rPr>
        <w:t>years ago</w:t>
      </w:r>
      <w:r w:rsidR="000B6020"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"Bignold", "given" : "Leon P", "non-dropping-particle" : "", "parse-names" : false, "suffix" : "" }, { "dropping-particle" : "", "family" : "Coghlan", "given" : "B L D", "non-dropping-particle" : "", "parse-names" : false, "suffix" : "" }, { "dropping-particle" : "", "family" : "Jersmann", "given" : "H P A", "non-dropping-particle" : "", "parse-names" : false, "suffix" : "" } ], "container-title" : "Experientia Supplementum", "id" : "ITEM-1", "issue" : "96", "issued" : { "date-parts" : [ [ "2006" ] ] }, "page" : "1-24", "title" : "Cancer morphology, carcinogenesis and genetic instability: a background", "type" : "article-journal" }, "uris" : [ "http://www.mendeley.com/documents/?uuid=20a17d93-c0ae-4ac0-ae66-9fc7b986753e" ] }, { "id" : "ITEM-2", "itemData" : { "author" : [ { "dropping-particle" : "", "family" : "Hansemann", "given" : "DP", "non-dropping-particle" : "von", "parse-names" : false, "suffix" : "" } ], "container-title" : "Virchow\u2019s Arch", "id" : "ITEM-2", "issue" : "119", "issued" : { "date-parts" : [ [ "1890" ] ] }, "page" : "299-326", "title" : "On the asymmetrical division of cells in epithelial carcinomata and their biological importance.", "type" : "article-journal" }, "uris" : [ "http://www.mendeley.com/documents/?uuid=23fb099c-c262-4ed6-b5be-b1fedd10977b" ] } ], "mendeley" : { "formattedCitation" : "(Bignold et al. 2006; von Hansemann 1890)", "plainTextFormattedCitation" : "(Bignold et al. 2006; von Hansemann 1890)", "previouslyFormattedCitation" : "(Bignold et al. 2006; von Hansemann 1890)" }, "properties" : { "noteIndex" : 0 }, "schema" : "https://github.com/citation-style-language/schema/raw/master/csl-citation.json" }</w:instrText>
      </w:r>
      <w:r w:rsidR="00F20EC0" w:rsidRPr="00DF0680">
        <w:rPr>
          <w:rFonts w:cs="Times New Roman"/>
        </w:rPr>
        <w:fldChar w:fldCharType="separate"/>
      </w:r>
      <w:r w:rsidR="00EB2E9A" w:rsidRPr="00DF0680">
        <w:rPr>
          <w:rFonts w:cs="Times New Roman"/>
        </w:rPr>
        <w:t>(Bignold et al. 2006; von Hansemann 1890)</w:t>
      </w:r>
      <w:r w:rsidR="00F20EC0" w:rsidRPr="00DF0680">
        <w:rPr>
          <w:rFonts w:cs="Times New Roman"/>
        </w:rPr>
        <w:fldChar w:fldCharType="end"/>
      </w:r>
      <w:r w:rsidR="00484400" w:rsidRPr="00DF0680">
        <w:rPr>
          <w:rFonts w:cs="Times New Roman"/>
          <w:color w:val="auto"/>
        </w:rPr>
        <w:t>.</w:t>
      </w:r>
      <w:r w:rsidR="00484400" w:rsidRPr="00DF0680">
        <w:rPr>
          <w:rFonts w:cs="Times New Roman"/>
        </w:rPr>
        <w:t xml:space="preserve"> </w:t>
      </w:r>
      <w:r w:rsidR="000B6020" w:rsidRPr="00DF0680">
        <w:rPr>
          <w:rFonts w:cs="Times New Roman"/>
        </w:rPr>
        <w:t>DNA is constantly being damaged and stability is maintained by a complex network of pathways. Thus, it is not surprising that d</w:t>
      </w:r>
      <w:r w:rsidR="007E40B7" w:rsidRPr="00DF0680">
        <w:rPr>
          <w:rFonts w:cs="Times New Roman"/>
        </w:rPr>
        <w:t xml:space="preserve">efects in DNA repair genes cause increased genetic instability and </w:t>
      </w:r>
      <w:r w:rsidR="0026524C" w:rsidRPr="00DF0680">
        <w:rPr>
          <w:rFonts w:cs="Times New Roman"/>
        </w:rPr>
        <w:t xml:space="preserve">a </w:t>
      </w:r>
      <w:r w:rsidR="007E40B7" w:rsidRPr="00DF0680">
        <w:rPr>
          <w:rFonts w:cs="Times New Roman"/>
        </w:rPr>
        <w:t xml:space="preserve">predisposition to cancers </w:t>
      </w:r>
      <w:r w:rsidR="00F20EC0" w:rsidRPr="00DF0680">
        <w:rPr>
          <w:rFonts w:cs="Times New Roman"/>
        </w:rPr>
        <w:fldChar w:fldCharType="begin" w:fldLock="1"/>
      </w:r>
      <w:r w:rsidR="00332613" w:rsidRPr="00DF0680">
        <w:rPr>
          <w:rFonts w:cs="Times New Roman"/>
        </w:rPr>
        <w:instrText>ADDIN CSL_CITATION { "citationItems" : [ { "id" : "ITEM-1", "itemData" : { "DOI" : "10.1016/0092-8674(95)90319-4", "ISSN" : "00928674", "author" : [ { "dropping-particle" : "", "family" : "Wind", "given" : "Niels", "non-dropping-particle" : "de", "parse-names" : false, "suffix" : "" }, { "dropping-particle" : "", "family" : "Dekker", "given" : "Marleen", "non-dropping-particle" : "", "parse-names" : false, "suffix" : "" }, { "dropping-particle" : "", "family" : "Berns", "given" : "Anton", "non-dropping-particle" : "", "parse-names" : false, "suffix" : "" }, { "dropping-particle" : "", "family" : "Radman", "given" : "Miroslav", "non-dropping-particle" : "", "parse-names" : false, "suffix" : "" }, { "dropping-particle" : "", "family" : "Riele", "given" : "Hein", "non-dropping-particle" : "te", "parse-names" : false, "suffix" : "" } ], "container-title" : "Cell", "id" : "ITEM-1", "issue" : "2", "issued" : { "date-parts" : [ [ "1995", "7" ] ] }, "page" : "321-330", "title" : "Inactivation of the mouse Msh2 gene results in mismatch repair deficiency, methylation tolerance, hyperrecombination, and predisposition to cancer", "type" : "article-journal", "volume" : "82" }, "uris" : [ "http://www.mendeley.com/documents/?uuid=ccffe596-7703-4578-8eeb-bf4336f338fc" ] }, { "id" : "ITEM-2", "itemData" : { "DOI" : "10.1016/S0092-8674(00)80433-X", "ISSN" : "00928674", "author" : [ { "dropping-particle" : "", "family" : "Edelmann", "given" : "Winfried", "non-dropping-particle" : "", "parse-names" : false, "suffix" : "" }, { "dropping-particle" : "", "family" : "Yang", "given" : "Kan", "non-dropping-particle" : "", "parse-names" : false, "suffix" : "" }, { "dropping-particle" : "", "family" : "Umar", "given" : "Asad", "non-dropping-particle" : "", "parse-names" : false, "suffix" : "" }, { "dropping-particle" : "", "family" : "Heyer", "given" : "Joerg", "non-dropping-particle" : "", "parse-names" : false, "suffix" : "" }, { "dropping-particle" : "", "family" : "Lau", "given" : "Kirkland", "non-dropping-particle" : "", "parse-names" : false, "suffix" : "" }, { "dropping-particle" : "", "family" : "Fan", "given" : "Kunhua", "non-dropping-particle" : "", "parse-names" : false, "suffix" : "" }, { "dropping-particle" : "", "family" : "Liedtke", "given" : "Wolfgang", "non-dropping-particle" : "", "parse-names" : false, "suffix" : "" }, { "dropping-particle" : "", "family" : "Cohen", "given" : "Paula E", "non-dropping-particle" : "", "parse-names" : false, "suffix" : "" }, { "dropping-particle" : "", "family" : "Kane", "given" : "Michael F", "non-dropping-particle" : "", "parse-names" : false, "suffix" : "" }, { "dropping-particle" : "", "family" : "Lipford", "given" : "James R", "non-dropping-particle" : "", "parse-names" : false, "suffix" : "" }, { "dropping-particle" : "", "family" : "Yu", "given" : "Nianjun", "non-dropping-particle" : "", "parse-names" : false, "suffix" : "" }, { "dropping-particle" : "", "family" : "Crouse", "given" : "Gray F", "non-dropping-particle" : "", "parse-names" : false, "suffix" : "" }, { "dropping-particle" : "", "family" : "Pollard", "given" : "Jeffrey W", "non-dropping-particle" : "", "parse-names" : false, "suffix" : "" }, { "dropping-particle" : "", "family" : "Kunkel", "given" : "Thomas", "non-dropping-particle" : "", "parse-names" : false, "suffix" : "" }, { "dropping-particle" : "", "family" : "Lipkin", "given" : "Martin", "non-dropping-particle" : "", "parse-names" : false, "suffix" : "" }, { "dropping-particle" : "", "family" : "Kolodner", "given" : "Richard", "non-dropping-particle" : "", "parse-names" : false, "suffix" : "" }, { "dropping-particle" : "", "family" : "Kucherlapati", "given" : "Raju", "non-dropping-particle" : "", "parse-names" : false, "suffix" : "" } ], "container-title" : "Cell", "id" : "ITEM-2", "issue" : "4", "issued" : { "date-parts" : [ [ "1997", "11" ] ] }, "page" : "467-477", "title" : "Mutation in the Mismatch Repair Gene Msh6 Causes Cancer Susceptibility", "type" : "article-journal", "volume" : "91" }, "uris" : [ "http://www.mendeley.com/documents/?uuid=4587bdc7-a504-45e3-95b2-85515debce10" ] }, { "id" : "ITEM-3", "itemData" : { "author" : [ { "dropping-particle" : "", "family" : "Connor", "given" : "F", "non-dropping-particle" : "", "parse-names" : false, "suffix" : "" }, { "dropping-particle" : "", "family" : "Bertwistle", "given" : "D", "non-dropping-particle" : "", "parse-names" : false, "suffix" : "" }, { "dropping-particle" : "", "family" : "Mee", "given" : "PJ", "non-dropping-particle" : "", "parse-names" : false, "suffix" : "" }, { "dropping-particle" : "", "family" : "Ross", "given" : "GM", "non-dropping-particle" : "", "parse-names" : false, "suffix" : "" } ], "container-title" : "Nature Genetics", "id" : "ITEM-3", "issue" : "4", "issued" : { "date-parts" : [ [ "1997" ] ] }, "page" : "423-30", "title" : "Tumorigenesis and a DNA repair defect in mice with a truncating Brca2 mutation", "type" : "article-journal", "volume" : "17" }, "uris" : [ "http://www.mendeley.com/documents/?uuid=aba76d52-9cf0-4e7f-ac6e-413941a9afcb" ] } ], "mendeley" : { "formattedCitation" : "(de Wind et al. 1995; Edelmann et al. 1997; Connor et al. 1997)", "plainTextFormattedCitation" : "(de Wind et al. 1995; Edelmann et al. 1997; Connor et al. 1997)", "previouslyFormattedCitation" : "(de Wind et al. 1995; Edelmann et al. 1997; Connor et al. 1997)"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(de Wind et al. 1995; Edelmann et al. 1997; Connor et al. 1997)</w:t>
      </w:r>
      <w:r w:rsidR="00F20EC0" w:rsidRPr="00DF0680">
        <w:rPr>
          <w:rFonts w:cs="Times New Roman"/>
        </w:rPr>
        <w:fldChar w:fldCharType="end"/>
      </w:r>
      <w:r w:rsidR="007E40B7" w:rsidRPr="00DF0680">
        <w:rPr>
          <w:rFonts w:cs="Times New Roman"/>
        </w:rPr>
        <w:t>. In support of this theory, t</w:t>
      </w:r>
      <w:r w:rsidR="00FA65CB" w:rsidRPr="00DF0680">
        <w:rPr>
          <w:rFonts w:cs="Times New Roman"/>
        </w:rPr>
        <w:t xml:space="preserve">here are several </w:t>
      </w:r>
      <w:r w:rsidR="00FA65CB" w:rsidRPr="00DF0680">
        <w:rPr>
          <w:rFonts w:cs="Times New Roman"/>
          <w:color w:val="auto"/>
        </w:rPr>
        <w:t>examples</w:t>
      </w:r>
      <w:r w:rsidR="00FA65CB" w:rsidRPr="00DF0680">
        <w:rPr>
          <w:rFonts w:cs="Times New Roman"/>
        </w:rPr>
        <w:t xml:space="preserve"> of inherited diseases that have symptoms of increased susceptibility to cancer alongside defective DNA damage repair</w:t>
      </w:r>
      <w:r w:rsidR="007E40B7" w:rsidRPr="00DF0680">
        <w:rPr>
          <w:rFonts w:cs="Times New Roman"/>
        </w:rPr>
        <w:t xml:space="preserve"> and increased genome instability including those associated with the RecQ helicase family, discussed later</w:t>
      </w:r>
      <w:r w:rsidR="00FA65CB" w:rsidRPr="00DF0680">
        <w:rPr>
          <w:rFonts w:cs="Times New Roman"/>
        </w:rPr>
        <w:t>. Many of the breakthroughs in DNA damage repair research have come through studying these human diseases and pinning down these symptoms to specific proteins and genes, eventually leading to the mapping of entire DNA damage repair pathways.</w:t>
      </w:r>
      <w:r w:rsidR="004A104D" w:rsidRPr="00DF0680">
        <w:rPr>
          <w:rFonts w:cs="Times New Roman"/>
        </w:rPr>
        <w:t xml:space="preserve"> One example is the human disease xeroderma pigmentosum</w:t>
      </w:r>
      <w:r w:rsidR="00525765" w:rsidRPr="00DF0680">
        <w:rPr>
          <w:rFonts w:cs="Times New Roman"/>
        </w:rPr>
        <w:t xml:space="preserve"> (XP)</w:t>
      </w:r>
      <w:r w:rsidR="004A104D" w:rsidRPr="00DF0680">
        <w:rPr>
          <w:rFonts w:cs="Times New Roman"/>
        </w:rPr>
        <w:t xml:space="preserve">. Identified as an autosomal recessive disease with </w:t>
      </w:r>
      <w:r w:rsidR="00525765" w:rsidRPr="00DF0680">
        <w:rPr>
          <w:rFonts w:cs="Times New Roman"/>
        </w:rPr>
        <w:t xml:space="preserve">symptoms of sensitivity to UV light and a high incidence of skin cancers, cells from patients were unable to recover from DNA damage induced by UV light </w:t>
      </w:r>
      <w:r w:rsidR="00F20EC0" w:rsidRPr="00DF0680">
        <w:rPr>
          <w:rFonts w:cs="Times New Roman"/>
        </w:rPr>
        <w:fldChar w:fldCharType="begin" w:fldLock="1"/>
      </w:r>
      <w:r w:rsidR="00DA6E78" w:rsidRPr="00DF0680">
        <w:rPr>
          <w:rFonts w:cs="Times New Roman"/>
        </w:rPr>
        <w:instrText>ADDIN CSL_CITATION { "citationItems" : [ { "id" : "ITEM-1", "itemData" : { "ISSN" : "0027-8424", "PMID" : "5257133", "abstract" : "Homozygous xeroderma pigmentosum fibroblasts cannot repair damage to DNA bases, but can repair damage that involves chain breaks. In xeroderma pigmentosum, therefore, there is a defect in an early step in repair at which base damage is recognized and the polynucleotide chain broken enzymatically (by an endonuclease). Heterozygous fibroblasts repair base damage to normal extents. Carcinogenesis in xeroderma pigmentosum, and perhaps in some normal individuals, may be the result of somatic mutations caused by unrepaired damage.", "author" : [ { "dropping-particle" : "", "family" : "Cleaver", "given" : "J E", "non-dropping-particle" : "", "parse-names" : false, "suffix" : "" } ], "container-title" : "Proceedings of the National Academy of Sciences", "id" : "ITEM-1", "issue" : "2", "issued" : { "date-parts" : [ [ "1969", "6" ] ] }, "page" : "428-35", "title" : "Xeroderma pigmentosum: a human disease in which an initial stage of DNA repair is defective.", "type" : "article-journal", "volume" : "63" }, "uris" : [ "http://www.mendeley.com/documents/?uuid=7ca93936-e156-40b1-b36b-84a12fa70591" ] }, { "id" : "ITEM-2", "itemData" : { "author" : [ { "dropping-particle" : "", "family" : "Setlow", "given" : "RB", "non-dropping-particle" : "", "parse-names" : false, "suffix" : "" }, { "dropping-particle" : "", "family" : "Regan", "given" : "JD", "non-dropping-particle" : "", "parse-names" : false, "suffix" : "" } ], "container-title" : "Proceedings of the National Academy of Sciences", "id" : "ITEM-2", "issue" : "3", "issued" : { "date-parts" : [ [ "1969" ] ] }, "page" : "1035-41", "title" : "Evidence that xeroderma pigmentosum cells do not perform the first step in the repair of ultraviolet damage to their DNA", "type" : "article-journal", "volume" : "64" }, "uris" : [ "http://www.mendeley.com/documents/?uuid=8d00d217-f0d7-4dd7-9157-f4bfb69ec9e2" ] } ], "mendeley" : { "formattedCitation" : "(Cleaver 1969; Setlow &amp; Regan 1969)", "plainTextFormattedCitation" : "(Cleaver 1969; Setlow &amp; Regan 1969)", "previouslyFormattedCitation" : "(Cleaver 1969; Setlow &amp; Regan 1969)" }, "properties" : { "noteIndex" : 0 }, "schema" : "https://github.com/citation-style-language/schema/raw/master/csl-citation.json" }</w:instrText>
      </w:r>
      <w:r w:rsidR="00F20EC0" w:rsidRPr="00DF0680">
        <w:rPr>
          <w:rFonts w:cs="Times New Roman"/>
        </w:rPr>
        <w:fldChar w:fldCharType="separate"/>
      </w:r>
      <w:r w:rsidR="00525765" w:rsidRPr="00DF0680">
        <w:rPr>
          <w:rFonts w:cs="Times New Roman"/>
        </w:rPr>
        <w:t>(Cleaver 1969; Setlow &amp; Regan 1969)</w:t>
      </w:r>
      <w:r w:rsidR="00F20EC0" w:rsidRPr="00DF0680">
        <w:rPr>
          <w:rFonts w:cs="Times New Roman"/>
        </w:rPr>
        <w:fldChar w:fldCharType="end"/>
      </w:r>
      <w:r w:rsidR="00525765" w:rsidRPr="00DF0680">
        <w:rPr>
          <w:rFonts w:cs="Times New Roman"/>
        </w:rPr>
        <w:t>.</w:t>
      </w:r>
      <w:r w:rsidR="004A104D" w:rsidRPr="00DF0680">
        <w:rPr>
          <w:rFonts w:cs="Times New Roman"/>
        </w:rPr>
        <w:t xml:space="preserve"> </w:t>
      </w:r>
      <w:r w:rsidR="00FA65CB" w:rsidRPr="00DF0680">
        <w:rPr>
          <w:rFonts w:cs="Times New Roman"/>
        </w:rPr>
        <w:t xml:space="preserve"> </w:t>
      </w:r>
      <w:r w:rsidR="00525765" w:rsidRPr="00DF0680">
        <w:rPr>
          <w:rFonts w:cs="Times New Roman"/>
        </w:rPr>
        <w:t xml:space="preserve">Cells from multiple XP patients were complemented for their DNA repair defect and put into complementation groups </w:t>
      </w:r>
      <w:r w:rsidR="00F20EC0" w:rsidRPr="00DF0680">
        <w:rPr>
          <w:rFonts w:cs="Times New Roman"/>
        </w:rPr>
        <w:fldChar w:fldCharType="begin" w:fldLock="1"/>
      </w:r>
      <w:r w:rsidR="00D26932" w:rsidRPr="00DF0680">
        <w:rPr>
          <w:rFonts w:cs="Times New Roman"/>
        </w:rPr>
        <w:instrText>ADDIN CSL_CITATION { "citationItems" : [ { "id" : "ITEM-1", "itemData" : { "author" : [ { "dropping-particle" : "", "family" : "Wood", "given" : "RD", "non-dropping-particle" : "", "parse-names" : false, "suffix" : "" }, { "dropping-particle" : "", "family" : "Robins", "given" : "P", "non-dropping-particle" : "", "parse-names" : false, "suffix" : "" }, { "dropping-particle" : "", "family" : "Lindahl", "given" : "T", "non-dropping-particle" : "", "parse-names" : false, "suffix" : "" } ], "container-title" : "Cell", "id" : "ITEM-1", "issue" : "1", "issued" : { "date-parts" : [ [ "1988" ] ] }, "page" : "97-106", "title" : "Complementation of the xeroderma pigmentosum DNA repair defect in cell-free extracts", "type" : "article-journal", "volume" : "53" }, "uris" : [ "http://www.mendeley.com/documents/?uuid=3b1bcd0d-d75e-470c-9148-1c9a66e21423" ] }, { "id" : "ITEM-2", "itemData" : { "DOI" : "Doi 10.1073/Pnas.72.1.59", "ISBN" : "0027-8424 (Print)\\n0027-8424 (Linking)", "ISSN" : "0027-8424", "PMID" : "164028", "abstract" : "Fibroblast strains from 12 patients with xeroderma pigmentosum had lower than normal rates of DNA repair, as determined by autoradiographic studies of ultraviolet-induced unscheduled nuclear DNA synthesis. The nuclei in binuclear cells, obtained by fusing fibroblasts from certain pairs of these strains, had a greater rate of DNA repair than the nuclei of either strain's unfused mononuclear cells. These results indicate that complementary corrections of the strains' repair defects had occurred in the fused cells. Four complementation groups were found, indicating that at least four mutations caused decreased DNA repair among these 12 strains. The unfused mononuclear cells of each group had a characteristic rate of repair that differed from the rates of the other groups.", "author" : [ { "dropping-particle" : "", "family" : "Kraemer", "given" : "K H", "non-dropping-particle" : "", "parse-names" : false, "suffix" : "" }, { "dropping-particle" : "", "family" : "Coon", "given" : "H G", "non-dropping-particle" : "", "parse-names" : false, "suffix" : "" }, { "dropping-particle" : "", "family" : "Petinga", "given" : "R a", "non-dropping-particle" : "", "parse-names" : false, "suffix" : "" }, { "dropping-particle" : "", "family" : "Barrett", "given" : "S F", "non-dropping-particle" : "", "parse-names" : false, "suffix" : "" }, { "dropping-particle" : "", "family" : "Rahe", "given" : "a E", "non-dropping-particle" : "", "parse-names" : false, "suffix" : "" }, { "dropping-particle" : "", "family" : "Robbins", "given" : "J H", "non-dropping-particle" : "", "parse-names" : false, "suffix" : "" } ], "container-title" : "Proceedings of the National Academy of Sciences of the United States of America", "id" : "ITEM-2", "issue" : "1", "issued" : { "date-parts" : [ [ "1975" ] ] }, "page" : "59-63", "title" : "Genetic heterogeneity in xeroderma pigmentosum: complementation groups and their relationship to DNA repair rates.", "type" : "article-journal", "volume" : "72" }, "uris" : [ "http://www.mendeley.com/documents/?uuid=23aca282-0a94-43e9-bc36-1debdf00653e" ] } ], "mendeley" : { "formattedCitation" : "(Wood et al. 1988; Kraemer et al. 1975)", "plainTextFormattedCitation" : "(Wood et al. 1988; Kraemer et al. 1975)", "previouslyFormattedCitation" : "(Wood et al. 1988; Kraemer et al. 1975)" }, "properties" : { "noteIndex" : 0 }, "schema" : "https://github.com/citation-style-language/schema/raw/master/csl-citation.json" }</w:instrText>
      </w:r>
      <w:r w:rsidR="00F20EC0" w:rsidRPr="00DF0680">
        <w:rPr>
          <w:rFonts w:cs="Times New Roman"/>
        </w:rPr>
        <w:fldChar w:fldCharType="separate"/>
      </w:r>
      <w:r w:rsidR="00480037" w:rsidRPr="00DF0680">
        <w:rPr>
          <w:rFonts w:cs="Times New Roman"/>
        </w:rPr>
        <w:t>(Wood et al. 1988; Kraemer et al. 1975)</w:t>
      </w:r>
      <w:r w:rsidR="00F20EC0" w:rsidRPr="00DF0680">
        <w:rPr>
          <w:rFonts w:cs="Times New Roman"/>
        </w:rPr>
        <w:fldChar w:fldCharType="end"/>
      </w:r>
      <w:r w:rsidR="00525765" w:rsidRPr="00DF0680">
        <w:rPr>
          <w:rFonts w:cs="Times New Roman"/>
        </w:rPr>
        <w:t xml:space="preserve">.  </w:t>
      </w:r>
      <w:r w:rsidR="00A76EEA" w:rsidRPr="00DF0680">
        <w:rPr>
          <w:rFonts w:cs="Times New Roman"/>
        </w:rPr>
        <w:t>These groups eventually led to the discovery of the proteins involved in the nucleotide excision repair pathway.</w:t>
      </w:r>
      <w:r w:rsidR="00A2079E" w:rsidRPr="00DF0680">
        <w:rPr>
          <w:rFonts w:cs="Times New Roman"/>
        </w:rPr>
        <w:t xml:space="preserve"> </w:t>
      </w:r>
      <w:r w:rsidR="00EC7584" w:rsidRPr="00DF0680">
        <w:rPr>
          <w:rFonts w:cs="Times New Roman"/>
        </w:rPr>
        <w:t xml:space="preserve">In addition, there are examples of sporadic cancers with rare disease mutations or epigenetic modifications in the same pathway, so studying these diseases can lead to increased understanding of cancer. </w:t>
      </w:r>
      <w:r w:rsidR="00E91CCB" w:rsidRPr="00DF0680">
        <w:rPr>
          <w:rFonts w:cs="Times New Roman"/>
        </w:rPr>
        <w:t xml:space="preserve">For example, </w:t>
      </w:r>
      <w:r w:rsidR="00EC7584" w:rsidRPr="00DF0680">
        <w:rPr>
          <w:rFonts w:cs="Times New Roman"/>
        </w:rPr>
        <w:t>mutations in FANCA</w:t>
      </w:r>
      <w:r w:rsidR="00E91CCB" w:rsidRPr="00DF0680">
        <w:rPr>
          <w:rFonts w:cs="Times New Roman"/>
        </w:rPr>
        <w:t xml:space="preserve"> </w:t>
      </w:r>
      <w:r w:rsidR="00EC7584" w:rsidRPr="00DF0680">
        <w:rPr>
          <w:rFonts w:cs="Times New Roman"/>
        </w:rPr>
        <w:t>have been shown to account for ~65% of cases of</w:t>
      </w:r>
      <w:r w:rsidR="00653C1B" w:rsidRPr="00DF0680">
        <w:rPr>
          <w:rFonts w:cs="Times New Roman"/>
        </w:rPr>
        <w:t xml:space="preserve"> the genetic disease Fanconi </w:t>
      </w:r>
      <w:r w:rsidR="00DE2C0F" w:rsidRPr="00DF0680">
        <w:rPr>
          <w:rFonts w:cs="Times New Roman"/>
        </w:rPr>
        <w:t>anaemia</w:t>
      </w:r>
      <w:r w:rsidR="00EC7584"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"Gschwend", "given" : "Michele", "non-dropping-particle" : "", "parse-names" : false, "suffix" : "" }, { "dropping-particle" : "", "family" : "Levran", "given" : "Orna", "non-dropping-particle" : "", "parse-names" : false, "suffix" : "" }, { "dropping-particle" : "", "family" : "Kruglyak", "given" : "Leonid", "non-dropping-particle" : "", "parse-names" : false, "suffix" : "" }, { "dropping-particle" : "", "family" : "Ranade", "given" : "Koustubh", "non-dropping-particle" : "", "parse-names" : false, "suffix" : "" }, { "dropping-particle" : "", "family" : "Verlander", "given" : "Peter C", "non-dropping-particle" : "", "parse-names" : false, "suffix" : "" }, { "dropping-particle" : "", "family" : "Shen", "given" : "Susan", "non-dropping-particle" : "", "parse-names" : false, "suffix" : "" }, { "dropping-particle" : "", "family" : "Faure", "given" : "Sabine", "non-dropping-particle" : "", "parse-names" : false, "suffix" : "" }, { "dropping-particle" : "", "family" : "Weissenbach", "given" : "Jean", "non-dropping-particle" : "", "parse-names" : false, "suffix" : "" }, { "dropping-particle" : "", "family" : "Altay", "given" : "Cigdem", "non-dropping-particle" : "", "parse-names" : false, "suffix" : "" }, { "dropping-particle" : "", "family" : "Lander", "given" : "Eric S", "non-dropping-particle" : "", "parse-names" : false, "suffix" : "" }, { "dropping-particle" : "", "family" : "Auerbach", "given" : "Arleen D", "non-dropping-particle" : "", "parse-names" : false, "suffix" : "" }, { "dropping-particle" : "", "family" : "Botstein", "given" : "David", "non-dropping-particle" : "", "parse-names" : false, "suffix" : "" } ], "container-title" : "American Journal of Human Genetics", "id" : "ITEM-1", "issue" : "2", "issued" : { "date-parts" : [ [ "1996" ] ] }, "page" : "377-384", "title" : "A Locus for Fanconi Anemia Mapping 16q Determined by Homozygosity", "type" : "article-journal", "volume" : "59" }, "uris" : [ "http://www.mendeley.com/documents/?uuid=e31affe6-ee4b-496b-b359-df009c4ba70c" ] } ], "mendeley" : { "formattedCitation" : "(Gschwend et al. 1996)", "plainTextFormattedCitation" : "(Gschwend et al. 1996)", "previouslyFormattedCitation" : "(Gschwend et al. 1996)" }, "properties" : { "noteIndex" : 0 }, "schema" : "https://github.com/citation-style-language/schema/raw/master/csl-citation.json" }</w:instrText>
      </w:r>
      <w:r w:rsidR="00F20EC0" w:rsidRPr="00DF0680">
        <w:rPr>
          <w:rFonts w:cs="Times New Roman"/>
        </w:rPr>
        <w:fldChar w:fldCharType="separate"/>
      </w:r>
      <w:r w:rsidR="00EC7584" w:rsidRPr="00DF0680">
        <w:rPr>
          <w:rFonts w:cs="Times New Roman"/>
        </w:rPr>
        <w:t>(Gschwend et al. 1996)</w:t>
      </w:r>
      <w:r w:rsidR="00F20EC0" w:rsidRPr="00DF0680">
        <w:rPr>
          <w:rFonts w:cs="Times New Roman"/>
        </w:rPr>
        <w:fldChar w:fldCharType="end"/>
      </w:r>
      <w:r w:rsidR="00653C1B" w:rsidRPr="00DF0680">
        <w:rPr>
          <w:rFonts w:cs="Times New Roman"/>
        </w:rPr>
        <w:t>.</w:t>
      </w:r>
      <w:r w:rsidR="00E91CCB" w:rsidRPr="00DF0680">
        <w:rPr>
          <w:rFonts w:cs="Times New Roman"/>
        </w:rPr>
        <w:t xml:space="preserve"> </w:t>
      </w:r>
      <w:r w:rsidR="00653C1B" w:rsidRPr="00DF0680">
        <w:rPr>
          <w:rFonts w:cs="Times New Roman"/>
        </w:rPr>
        <w:t xml:space="preserve">The disease is associated with genetic instability, growth retardation and cancer predisposition but is extremely rare with a worldwide prevalence of 1-5 per million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"Joenje", "given" : "Hans", "non-dropping-particle" : "", "parse-names" : false, "suffix" : "" }, { "dropping-particle" : "", "family" : "Patel", "given" : "KJ", "non-dropping-particle" : "", "parse-names" : false, "suffix" : "" } ], "container-title" : "Nature Reviews. Genetics", "id" : "ITEM-1", "issue" : "6", "issued" : { "date-parts" : [ [ "2001" ] ] }, "page" : "446-457", "title" : "The emerging genetic and molecular basis of Fanconi anaemia", "type" : "article-journal", "volume" : "2" }, "uris" : [ "http://www.mendeley.com/documents/?uuid=c4d44104-03e8-4848-b0a1-516f13018a81" ] } ], "mendeley" : { "formattedCitation" : "(Joenje &amp; Patel 2001)", "plainTextFormattedCitation" : "(Joenje &amp; Patel 2001)", "previouslyFormattedCitation" : "(Joenje &amp; Patel 2001)" }, "properties" : { "noteIndex" : 0 }, "schema" : "https://github.com/citation-style-language/schema/raw/master/csl-citation.json" }</w:instrText>
      </w:r>
      <w:r w:rsidR="00F20EC0" w:rsidRPr="00DF0680">
        <w:rPr>
          <w:rFonts w:cs="Times New Roman"/>
        </w:rPr>
        <w:fldChar w:fldCharType="separate"/>
      </w:r>
      <w:r w:rsidR="00653C1B" w:rsidRPr="00DF0680">
        <w:rPr>
          <w:rFonts w:cs="Times New Roman"/>
        </w:rPr>
        <w:t>(Joenje &amp; Patel 2001)</w:t>
      </w:r>
      <w:r w:rsidR="00F20EC0" w:rsidRPr="00DF0680">
        <w:rPr>
          <w:rFonts w:cs="Times New Roman"/>
        </w:rPr>
        <w:fldChar w:fldCharType="end"/>
      </w:r>
      <w:r w:rsidR="00653C1B" w:rsidRPr="00DF0680">
        <w:rPr>
          <w:rFonts w:cs="Times New Roman"/>
        </w:rPr>
        <w:t xml:space="preserve">. The </w:t>
      </w:r>
      <w:r w:rsidR="00EC7584" w:rsidRPr="00DF0680">
        <w:rPr>
          <w:rFonts w:cs="Times New Roman"/>
        </w:rPr>
        <w:t xml:space="preserve">FANCA </w:t>
      </w:r>
      <w:r w:rsidR="00653C1B" w:rsidRPr="00DF0680">
        <w:rPr>
          <w:rFonts w:cs="Times New Roman"/>
        </w:rPr>
        <w:t xml:space="preserve">gene however, is mutated in approximately </w:t>
      </w:r>
      <w:r w:rsidR="00EC7584" w:rsidRPr="00DF0680">
        <w:rPr>
          <w:rFonts w:cs="Times New Roman"/>
        </w:rPr>
        <w:t>3.92</w:t>
      </w:r>
      <w:r w:rsidR="00653C1B" w:rsidRPr="00DF0680">
        <w:rPr>
          <w:rFonts w:cs="Times New Roman"/>
        </w:rPr>
        <w:t xml:space="preserve">% of sporadic </w:t>
      </w:r>
      <w:r w:rsidR="00EC7584" w:rsidRPr="00DF0680">
        <w:rPr>
          <w:rFonts w:cs="Times New Roman"/>
        </w:rPr>
        <w:t xml:space="preserve">bladder </w:t>
      </w:r>
      <w:r w:rsidR="00653C1B" w:rsidRPr="00DF0680">
        <w:rPr>
          <w:rFonts w:cs="Times New Roman"/>
        </w:rPr>
        <w:t xml:space="preserve">cancers </w:t>
      </w:r>
      <w:r w:rsidR="00A76EEA" w:rsidRPr="00DF0680">
        <w:rPr>
          <w:rFonts w:cs="Times New Roman"/>
        </w:rPr>
        <w:t>(cancer.sanger.ac.uk)</w:t>
      </w:r>
      <w:r w:rsidR="00F20EC0" w:rsidRPr="00DF0680">
        <w:rPr>
          <w:rFonts w:cs="Times New Roman"/>
        </w:rPr>
        <w:fldChar w:fldCharType="begin" w:fldLock="1"/>
      </w:r>
      <w:r w:rsidR="00332613" w:rsidRPr="00DF0680">
        <w:rPr>
          <w:rFonts w:cs="Times New Roman"/>
        </w:rPr>
        <w:instrText>ADDIN CSL_CITATION { "citationItems" : [ { "id" : "ITEM-1", "itemData" : { "DOI" : "10.1093/nar/gku1075", "ISSN" : "1362-4962", "PMID" : "25355519", "abstract" : "COSMIC, the Catalogue Of Somatic Mutations In Cancer (http://cancer.sanger.ac.uk) is the world's largest and most comprehensive resource for exploring the impact of somatic mutations in human cancer. Our latest release (v70; Aug 2014) describes 2 002 811 coding point mutations in over one million tumor samples and across most human genes. To emphasize depth of knowledge on known cancer genes, mutation information is curated manually from the scientific literature, allowing very precise definitions of disease types and patient details. Combination of almost 20 000 published studies gives substantial resolution of how mutations and phenotypes relate in human cancer, providing insights into the stratification of mutations and biomarkers across cancer patient populations. Conversely, our curation of cancer genomes (over 12 000) emphasizes knowledge breadth, driving discovery of unrecognized cancer-driving hotspots and molecular targets. Our high-resolution curation approach is globally unique, giving substantial insight into molecular biomarkers in human oncology. In addition, COSMIC also details more than six million noncoding mutations, 10 534 gene fusions, 61 299 genome rearrangements, 695 504 abnormal copy number segments and 60 119 787 abnormal expression variants. All these types of somatic mutation are annotated to both the human genome and each affected coding gene, then correlated across disease and mutation types.", "author" : [ { "dropping-particle" : "", "family" : "Forbes", "given" : "Simon a", "non-dropping-particle" : "", "parse-names" : false, "suffix" : "" }, { "dropping-particle" : "", "family" : "Beare", "given" : "David", "non-dropping-particle" : "", "parse-names" : false, "suffix" : "" }, { "dropping-particle" : "", "family" : "Gunasekaran", "given" : "Prasad", "non-dropping-particle" : "", "parse-names" : false, "suffix" : "" }, { "dropping-particle" : "", "family" : "Leung", "given" : "Kenric", "non-dropping-particle" : "", "parse-names" : false, "suffix" : "" }, { "dropping-particle" : "", "family" : "Bindal", "given" : "Nidhi", "non-dropping-particle" : "", "parse-names" : false, "suffix" : "" }, { "dropping-particle" : "", "family" : "Boutselakis", "given" : "Harry", "non-dropping-particle" : "", "parse-names" : false, "suffix" : "" }, { "dropping-particle" : "", "family" : "Ding", "given" : "Minjie", "non-dropping-particle" : "", "parse-names" : false, "suffix" : "" }, { "dropping-particle" : "", "family" : "Bamford", "given" : "Sally", "non-dropping-particle" : "", "parse-names" : false, "suffix" : "" }, { "dropping-particle" : "", "family" : "Cole", "given" : "Charlotte", "non-dropping-particle" : "", "parse-names" : false, "suffix" : "" }, { "dropping-particle" : "", "family" : "Ward", "given" : "Sari", "non-dropping-particle" : "", "parse-names" : false, "suffix" : "" }, { "dropping-particle" : "", "family" : "Kok", "given" : "Chai Yin", "non-dropping-particle" : "", "parse-names" : false, "suffix" : "" }, { "dropping-particle" : "", "family" : "Jia", "given" : "Mingming", "non-dropping-particle" : "", "parse-names" : false, "suffix" : "" }, { "dropping-particle" : "", "family" : "De", "given" : "Tisham", "non-dropping-particle" : "", "parse-names" : false, "suffix" : "" }, { "dropping-particle" : "", "family" : "Teague", "given" : "Jon W", "non-dropping-particle" : "", "parse-names" : false, "suffix" : "" }, { "dropping-particle" : "", "family" : "Stratton", "given" : "Michael R", "non-dropping-particle" : "", "parse-names" : false, "suffix" : "" }, { "dropping-particle" : "", "family" : "McDermott", "given" : "Ultan", "non-dropping-particle" : "", "parse-names" : false, "suffix" : "" }, { "dropping-particle" : "", "family" : "Campbell", "given" : "Peter J", "non-dropping-particle" : "", "parse-names" : false, "suffix" : "" } ], "container-title" : "Nucleic Acids Research", "id" : "ITEM-1", "issued" : { "date-parts" : [ [ "2014", "10", "29" ] ] }, "page" : "D805-11", "title" : "COSMIC: exploring the world's knowledge of somatic mutations in human cancer.", "type" : "article-journal", "volume" : "43" }, "uris" : [ "http://www.mendeley.com/documents/?uuid=72e4c938-f207-4965-806c-f4b64307eaba" ] } ], "mendeley" : { "formattedCitation" : "(Forbes et al. 2014)", "plainTextFormattedCitation" : "(Forbes et al. 2014)", "previouslyFormattedCitation" : "(Forbes et al. 2014)" }, "properties" : { "noteIndex" : 0 }, "schema" : "https://github.com/citation-style-language/schema/raw/master/csl-citation.json" }</w:instrText>
      </w:r>
      <w:r w:rsidR="00F20EC0" w:rsidRPr="00DF0680">
        <w:rPr>
          <w:rFonts w:cs="Times New Roman"/>
        </w:rPr>
        <w:fldChar w:fldCharType="separate"/>
      </w:r>
      <w:r w:rsidR="00A76EEA" w:rsidRPr="00DF0680">
        <w:rPr>
          <w:rFonts w:cs="Times New Roman"/>
        </w:rPr>
        <w:t>(Forbes et al. 2014)</w:t>
      </w:r>
      <w:r w:rsidR="00F20EC0" w:rsidRPr="00DF0680">
        <w:rPr>
          <w:rFonts w:cs="Times New Roman"/>
        </w:rPr>
        <w:fldChar w:fldCharType="end"/>
      </w:r>
      <w:r w:rsidR="00653C1B" w:rsidRPr="00DF0680">
        <w:rPr>
          <w:rFonts w:cs="Times New Roman"/>
        </w:rPr>
        <w:t xml:space="preserve">. </w:t>
      </w:r>
    </w:p>
    <w:p w:rsidR="00A2079E" w:rsidRPr="00DF0680" w:rsidRDefault="00797FB4" w:rsidP="00A025CF">
      <w:pPr>
        <w:rPr>
          <w:rFonts w:cs="Times New Roman"/>
        </w:rPr>
      </w:pPr>
      <w:r w:rsidRPr="00DF0680">
        <w:rPr>
          <w:rFonts w:cs="Times New Roman"/>
        </w:rPr>
        <w:t xml:space="preserve">Each individual </w:t>
      </w:r>
      <w:r w:rsidR="000B6020" w:rsidRPr="00DF0680">
        <w:rPr>
          <w:rFonts w:cs="Times New Roman"/>
        </w:rPr>
        <w:t xml:space="preserve">DNA repair </w:t>
      </w:r>
      <w:r w:rsidRPr="00DF0680">
        <w:rPr>
          <w:rFonts w:cs="Times New Roman"/>
        </w:rPr>
        <w:t>pathway is responsible for removing or repairing different types of DNA damage, whether it is exogenous, or endogenous</w:t>
      </w:r>
      <w:r w:rsidR="006A580C" w:rsidRPr="00DF0680">
        <w:rPr>
          <w:rFonts w:cs="Times New Roman"/>
        </w:rPr>
        <w:t>.</w:t>
      </w:r>
      <w:r w:rsidR="000B6020" w:rsidRPr="00DF0680">
        <w:rPr>
          <w:rFonts w:cs="Times New Roman"/>
        </w:rPr>
        <w:t xml:space="preserve"> Damage and key repair pathways are described below. </w:t>
      </w:r>
    </w:p>
    <w:p w:rsidR="0034667E" w:rsidRPr="00DF0680" w:rsidRDefault="0034667E" w:rsidP="00A025CF">
      <w:pPr>
        <w:rPr>
          <w:rFonts w:cs="Times New Roman"/>
        </w:rPr>
      </w:pPr>
    </w:p>
    <w:p w:rsidR="00A61655" w:rsidRPr="00DF0680" w:rsidRDefault="00CE6110" w:rsidP="00E664FC">
      <w:pPr>
        <w:pStyle w:val="Heading2"/>
      </w:pPr>
      <w:bookmarkStart w:id="24" w:name="_Toc417204075"/>
      <w:bookmarkStart w:id="25" w:name="_Toc417204708"/>
      <w:bookmarkStart w:id="26" w:name="_Toc417204768"/>
      <w:bookmarkStart w:id="27" w:name="_Toc417674312"/>
      <w:r w:rsidRPr="00DF0680">
        <w:lastRenderedPageBreak/>
        <w:t>DNA d</w:t>
      </w:r>
      <w:r w:rsidR="00A2079E" w:rsidRPr="00DF0680">
        <w:t>amage</w:t>
      </w:r>
      <w:bookmarkEnd w:id="24"/>
      <w:bookmarkEnd w:id="25"/>
      <w:bookmarkEnd w:id="26"/>
      <w:bookmarkEnd w:id="27"/>
    </w:p>
    <w:p w:rsidR="0094028D" w:rsidRPr="00DF0680" w:rsidRDefault="009E7672" w:rsidP="00CD2397">
      <w:pPr>
        <w:spacing w:after="0"/>
        <w:rPr>
          <w:rFonts w:cs="Times New Roman"/>
        </w:rPr>
      </w:pPr>
      <w:r w:rsidRPr="00DF0680">
        <w:rPr>
          <w:rFonts w:cs="Times New Roman"/>
        </w:rPr>
        <w:t>Here, DNA damage causes and consequences to replication will be discussed.</w:t>
      </w:r>
    </w:p>
    <w:p w:rsidR="003463CD" w:rsidRPr="00DF0680" w:rsidRDefault="00CE6110" w:rsidP="00E664FC">
      <w:pPr>
        <w:pStyle w:val="Heading3"/>
      </w:pPr>
      <w:bookmarkStart w:id="28" w:name="_Toc417204076"/>
      <w:bookmarkStart w:id="29" w:name="_Toc417674313"/>
      <w:r w:rsidRPr="00DF0680">
        <w:t>Endogenous DNA d</w:t>
      </w:r>
      <w:r w:rsidR="003463CD" w:rsidRPr="00DF0680">
        <w:t>amage</w:t>
      </w:r>
      <w:bookmarkEnd w:id="28"/>
      <w:bookmarkEnd w:id="29"/>
    </w:p>
    <w:p w:rsidR="00FA65CB" w:rsidRPr="00DF0680" w:rsidRDefault="00A2079E" w:rsidP="00CF0513">
      <w:pPr>
        <w:spacing w:after="0"/>
        <w:rPr>
          <w:rFonts w:cs="Times New Roman"/>
        </w:rPr>
      </w:pPr>
      <w:r w:rsidRPr="00DF0680">
        <w:rPr>
          <w:rFonts w:cs="Times New Roman"/>
        </w:rPr>
        <w:t>Endogenous damage comes from within body, inside cells, where DNA can</w:t>
      </w:r>
      <w:r w:rsidR="000C3A9E" w:rsidRPr="00DF0680">
        <w:rPr>
          <w:rFonts w:cs="Times New Roman"/>
        </w:rPr>
        <w:t xml:space="preserve"> be</w:t>
      </w:r>
      <w:r w:rsidRPr="00DF0680">
        <w:rPr>
          <w:rFonts w:cs="Times New Roman"/>
        </w:rPr>
        <w:t xml:space="preserve"> </w:t>
      </w:r>
      <w:r w:rsidR="000C3A9E" w:rsidRPr="00DF0680">
        <w:rPr>
          <w:rFonts w:cs="Times New Roman"/>
        </w:rPr>
        <w:t>spontaneously damaged through hydrolysis, bases can be deaminated or</w:t>
      </w:r>
      <w:r w:rsidRPr="00DF0680">
        <w:rPr>
          <w:rFonts w:cs="Times New Roman"/>
        </w:rPr>
        <w:t xml:space="preserve"> oxidised</w:t>
      </w:r>
      <w:r w:rsidR="000C3A9E" w:rsidRPr="00DF0680">
        <w:rPr>
          <w:rFonts w:cs="Times New Roman"/>
        </w:rPr>
        <w:t xml:space="preserve"> and</w:t>
      </w:r>
      <w:r w:rsidR="00B75798" w:rsidRPr="00DF0680">
        <w:rPr>
          <w:rFonts w:cs="Times New Roman"/>
        </w:rPr>
        <w:t xml:space="preserve"> bases can be mis-matched through replication error</w:t>
      </w:r>
      <w:r w:rsidRPr="00DF0680">
        <w:rPr>
          <w:rFonts w:cs="Times New Roman"/>
        </w:rPr>
        <w:t xml:space="preserve"> </w:t>
      </w:r>
      <w:r w:rsidR="00F20EC0" w:rsidRPr="00DF0680">
        <w:rPr>
          <w:rFonts w:cs="Times New Roman"/>
        </w:rPr>
        <w:fldChar w:fldCharType="begin" w:fldLock="1"/>
      </w:r>
      <w:r w:rsidR="00DA6E78" w:rsidRPr="00DF0680">
        <w:rPr>
          <w:rFonts w:cs="Times New Roman"/>
        </w:rPr>
        <w:instrText>ADDIN CSL_CITATION { "citationItems" : [ { "id" : "ITEM-1", "itemData" : { "DOI" : "10.1038/362709a0", "ISBN" : "0028-0836 (Print)\\n0028-0836 (Linking)", "ISSN" : "0028-0836", "PMID" : "8469282", "abstract" : "Although DNA is the carrier of genetic information, it has limited chemical stability. Hydrolysis, oxidation and nonenzymatic methylation of DNA occur at significant rates in vivo, and are counteracted by specific DNA repair processes. The spontaneous decay of DNA is likely to be a major factor in mutagenesis, carcinogenesis and ageing, and also sets limits for the recovery of DNA fragments from fossils.", "author" : [ { "dropping-particle" : "", "family" : "Lindahl", "given" : "T", "non-dropping-particle" : "", "parse-names" : false, "suffix" : "" } ], "container-title" : "Nature", "id" : "ITEM-1", "issue" : "6422", "issued" : { "date-parts" : [ [ "1993" ] ] }, "page" : "709-715", "title" : "Instability and decay of the primary structure of DNA.", "type" : "article-journal", "volume" : "362" }, "uris" : [ "http://www.mendeley.com/documents/?uuid=64b03654-d0aa-4152-90b8-3779fb7662d1" ] } ], "mendeley" : { "formattedCitation" : "(Lindahl 1993)", "plainTextFormattedCitation" : "(Lindahl 1993)", "previouslyFormattedCitation" : "(Lindahl 1993)"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(Lindahl 1993)</w:t>
      </w:r>
      <w:r w:rsidR="00F20EC0" w:rsidRPr="00DF0680">
        <w:rPr>
          <w:rFonts w:cs="Times New Roman"/>
        </w:rPr>
        <w:fldChar w:fldCharType="end"/>
      </w:r>
      <w:r w:rsidR="00C24150" w:rsidRPr="00DF0680">
        <w:rPr>
          <w:rFonts w:cs="Times New Roman"/>
        </w:rPr>
        <w:t xml:space="preserve">. </w:t>
      </w:r>
    </w:p>
    <w:p w:rsidR="00640D09" w:rsidRPr="00DF0680" w:rsidRDefault="0075419D" w:rsidP="00A025CF">
      <w:pPr>
        <w:rPr>
          <w:rFonts w:cs="Times New Roman"/>
        </w:rPr>
      </w:pPr>
      <w:r w:rsidRPr="00DF0680">
        <w:rPr>
          <w:rFonts w:cs="Times New Roman"/>
        </w:rPr>
        <w:t>Cell proliferation</w:t>
      </w:r>
      <w:r w:rsidR="003C2395" w:rsidRPr="00DF0680">
        <w:rPr>
          <w:rFonts w:cs="Times New Roman"/>
        </w:rPr>
        <w:t xml:space="preserve"> requires DNA replication and although the r</w:t>
      </w:r>
      <w:r w:rsidR="00951D39" w:rsidRPr="00DF0680">
        <w:rPr>
          <w:rFonts w:cs="Times New Roman"/>
        </w:rPr>
        <w:t>eplisome is highly evolved, it is not 100% accurate</w:t>
      </w:r>
      <w:r w:rsidR="000C3A9E" w:rsidRPr="00DF0680">
        <w:rPr>
          <w:rFonts w:cs="Times New Roman"/>
        </w:rPr>
        <w:t>, leading to mismatched base pairs in DNA and potential transitions and transversions if these are not repaired</w:t>
      </w:r>
      <w:r w:rsidR="003C2395" w:rsidRPr="00DF0680">
        <w:rPr>
          <w:rFonts w:cs="Times New Roman"/>
        </w:rPr>
        <w:t xml:space="preserve">. </w:t>
      </w:r>
      <w:r w:rsidR="00DD11BB" w:rsidRPr="00DF0680">
        <w:rPr>
          <w:rFonts w:cs="Times New Roman"/>
          <w:color w:val="auto"/>
        </w:rPr>
        <w:t xml:space="preserve">DNA </w:t>
      </w:r>
      <w:r w:rsidR="000C6BD5" w:rsidRPr="00DF0680">
        <w:rPr>
          <w:rFonts w:cs="Times New Roman"/>
          <w:color w:val="auto"/>
        </w:rPr>
        <w:t xml:space="preserve">replication </w:t>
      </w:r>
      <w:r w:rsidR="00A018D1" w:rsidRPr="00DF0680">
        <w:rPr>
          <w:rFonts w:cs="Times New Roman"/>
          <w:color w:val="auto"/>
        </w:rPr>
        <w:t>starts with</w:t>
      </w:r>
      <w:r w:rsidR="00DD11BB" w:rsidRPr="00DF0680">
        <w:rPr>
          <w:rFonts w:cs="Times New Roman"/>
          <w:color w:val="auto"/>
        </w:rPr>
        <w:t xml:space="preserve"> the</w:t>
      </w:r>
      <w:r w:rsidR="00D0689C" w:rsidRPr="00DF0680">
        <w:rPr>
          <w:rFonts w:cs="Times New Roman"/>
          <w:color w:val="auto"/>
        </w:rPr>
        <w:t xml:space="preserve"> pre-initiation complex which includes </w:t>
      </w:r>
      <w:r w:rsidR="00DD11BB" w:rsidRPr="00DF0680">
        <w:rPr>
          <w:rFonts w:cs="Times New Roman"/>
          <w:color w:val="auto"/>
        </w:rPr>
        <w:t>ORC, MCM</w:t>
      </w:r>
      <w:r w:rsidR="00D0689C" w:rsidRPr="00DF0680">
        <w:rPr>
          <w:rFonts w:cs="Times New Roman"/>
          <w:color w:val="auto"/>
        </w:rPr>
        <w:t xml:space="preserve">, </w:t>
      </w:r>
      <w:r w:rsidR="00DD11BB" w:rsidRPr="00DF0680">
        <w:rPr>
          <w:rFonts w:cs="Times New Roman"/>
          <w:color w:val="auto"/>
        </w:rPr>
        <w:t xml:space="preserve">and Cdc6 proteins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"10.1101/gad.1369805", "ISSN" : "0890-9369", "PMID" : "16322558", "abstract" : "Origins of replication are expected to recruit initiation proteins like origin recognition complex (ORC) and Cdc6 in eukaryotes and provide a platform for unwinding DNA. Here we test whether localization of initiation proteins onto DNA is sufficient for origin function. Different components of the ORC complex and Cdc6 stimulated prereplicative complex (pre-RC) formation and replication initiation when fused to the GAL4 DNA-binding domain and recruited to plasmid DNA containing a tandem array of GAL4-binding sites. Replication occurred once per cell cycle and was inhibited by Geminin, indicating that the plasmid was properly licensed during the cell cycle. The GAL4 fusion protein recruits other polypeptides of the ORC-Cdc6 complex, and nascent strand abundance was highest near the GAL4-binding sites. Therefore, the artificial origin recapitulates many of the regulatory features of physiological origins and is valuable for studies on replication initiation in mammalian cells. We demonstrated the utility of this system by showing the functional importance of the ATPase domains of human Cdc6 and Orc1 and the dispensability of the N-terminal segments of Orc1 and Orc2 in this assay. Artificial recruitment of a eukaryotic cellular replication initiation factor to a DNA sequence can create a functional origin of replication, providing a robust genetic assay for these factors and a novel approach to generating episomal vectors for gene therapy.", "author" : [ { "dropping-particle" : "", "family" : "Takeda", "given" : "David Y", "non-dropping-particle" : "", "parse-names" : false, "suffix" : "" }, { "dropping-particle" : "", "family" : "Shibata", "given" : "Yoshiyuki", "non-dropping-particle" : "", "parse-names" : false, "suffix" : "" }, { "dropping-particle" : "", "family" : "Parvin", "given" : "Jeffrey D", "non-dropping-particle" : "", "parse-names" : false, "suffix" : "" }, { "dropping-particle" : "", "family" : "Dutta", "given" : "Anindya", "non-dropping-particle" : "", "parse-names" : false, "suffix" : "" } ], "container-title" : "Genes &amp; Development", "id" : "ITEM-1", "issue" : "23", "issued" : { "date-parts" : [ [ "2005", "12", "1" ] ] }, "page" : "2827-36", "title" : "Recruitment of ORC or CDC6 to DNA is sufficient to create an artificial origin of replication in mammalian cells.", "type" : "article-journal", "volume" : "19" }, "uris" : [ "http://www.mendeley.com/documents/?uuid=28a3029c-98ba-4e11-8b61-e0f1f158fedf" ] }, { "id" : "ITEM-2", "itemData" : { "DOI" : "10.1074/jbc.M510758200", "ISSN" : "0021-9258", "PMID" : "16537544", "abstract" : "We used protein extracts from proliferating human HeLa cells to support plasmid DNA replication in vitro. An extract with soluble nuclear proteins contains the major replicative chain elongation functions, whereas a high salt extract from isolated nuclei contains the proteins for initiation. Among the initiator proteins active in vitro are the origin recognition complex (ORC) and Mcm proteins. Recombinant Orc1 protein stimulates in vitro replication presumably in place of endogenous Orc1 that is known to be present in suboptimal amounts in HeLa cell nuclei. Partially purified endogenous ORC, but not recombinant ORC, is able to rescue immunodepleted nuclear extracts. Plasmid replication in the in vitro replication system is slow and of limited efficiency but robust enough to serve as a basis to investigate the formation of functional pre-replication complexes under biochemically defined conditions.", "author" : [ { "dropping-particle" : "", "family" : "Baltin", "given" : "Jens", "non-dropping-particle" : "", "parse-names" : false, "suffix" : "" }, { "dropping-particle" : "", "family" : "Leist", "given" : "Sandra", "non-dropping-particle" : "", "parse-names" : false, "suffix" : "" }, { "dropping-particle" : "", "family" : "Odronitz", "given" : "Florian", "non-dropping-particle" : "", "parse-names" : false, "suffix" : "" }, { "dropping-particle" : "", "family" : "Wollscheid", "given" : "Hans-Peter", "non-dropping-particle" : "", "parse-names" : false, "suffix" : "" }, { "dropping-particle" : "", "family" : "Baack", "given" : "Martina", "non-dropping-particle" : "", "parse-names" : false, "suffix" : "" }, { "dropping-particle" : "", "family" : "Kapitza", "given" : "Thomas", "non-dropping-particle" : "", "parse-names" : false, "suffix" : "" }, { "dropping-particle" : "", "family" : "Schaarschmidt", "given" : "Daniel", "non-dropping-particle" : "", "parse-names" : false, "suffix" : "" }, { "dropping-particle" : "", "family" : "Knippers", "given" : "Rolf", "non-dropping-particle" : "", "parse-names" : false, "suffix" : "" } ], "container-title" : "The Journal of Biological Chemistry", "id" : "ITEM-2", "issue" : "18", "issued" : { "date-parts" : [ [ "2006", "5", "5" ] ] }, "page" : "12428-35", "title" : "DNA replication in protein extracts from human cells requires ORC and Mcm proteins.", "type" : "article-journal", "volume" : "281" }, "uris" : [ "http://www.mendeley.com/documents/?uuid=dd34b74d-e45a-4b5b-8895-ca37702742a9" ] }, { "id" : "ITEM-3", "itemData" : { "DOI" : "10.1016/j.molcel.2008.07.001", "ISSN" : "1097-4164", "PMID" : "18657502", "abstract" : "Prereplication complexes (pre-RCs) define potential origins of DNA replication and allow the recruitment of the replicative DNA helicase MCM2-7. Here, we characterize MCM9, a member of the MCM2-8 family. We demonstrate that MCM9 binds to chromatin in an ORC-dependent manner and is required for the recruitment of the MCM2-7 helicase onto chromatin. Its depletion leads to a block in pre-RC assembly, as well as DNA replication inhibition. We show that MCM9 forms a stable complex with the licensing factor Cdt1, preventing an excess of geminin on chromatin during the licensing reaction. Our data suggest that MCM9 is an essential activating linker between Cdt1 and the MCM2-7 complex, required for loading the MCM2-7 helicase onto DNA replication origins. Thus, Cdt1, with its two opposing regulatory binding factors MCM9 and geminin, appears to be a major platform on the pre-RC to integrate cell-cycle signals.", "author" : [ { "dropping-particle" : "", "family" : "Lutzmann", "given" : "Malik", "non-dropping-particle" : "", "parse-names" : false, "suffix" : "" }, { "dropping-particle" : "", "family" : "M\u00e9chali", "given" : "Marcel", "non-dropping-particle" : "", "parse-names" : false, "suffix" : "" } ], "container-title" : "Molecular Cell", "id" : "ITEM-3", "issue" : "2", "issued" : { "date-parts" : [ [ "2008", "7", "25" ] ] }, "page" : "190-200", "title" : "MCM9 binds Cdt1 and is required for the assembly of prereplication complexes.", "type" : "article-journal", "volume" : "31" }, "uris" : [ "http://www.mendeley.com/documents/?uuid=c6fbc31e-ce4a-42c3-a25f-0524ddf89465" ] } ], "mendeley" : { "formattedCitation" : "(Takeda et al. 2005; Baltin et al. 2006; Lutzmann &amp; M\u00e9chali 2008)", "plainTextFormattedCitation" : "(Takeda et al. 2005; Baltin et al. 2006; Lutzmann &amp; M\u00e9chali 2008)", "previouslyFormattedCitation" : "(Takeda et al. 2005; Baltin et al. 2006; Lutzmann &amp; M\u00e9chali 2008)" }, "properties" : { "noteIndex" : 0 }, "schema" : "https://github.com/citation-style-language/schema/raw/master/csl-citation.json" }</w:instrText>
      </w:r>
      <w:r w:rsidR="00F20EC0" w:rsidRPr="00DF0680">
        <w:rPr>
          <w:rFonts w:cs="Times New Roman"/>
          <w:color w:val="auto"/>
        </w:rPr>
        <w:fldChar w:fldCharType="separate"/>
      </w:r>
      <w:r w:rsidR="00D0689C" w:rsidRPr="00DF0680">
        <w:rPr>
          <w:rFonts w:cs="Times New Roman"/>
          <w:color w:val="auto"/>
        </w:rPr>
        <w:t>(Takeda et al. 2005; Baltin et al. 2006; Lutzmann &amp; Méchali 2008)</w:t>
      </w:r>
      <w:r w:rsidR="00F20EC0" w:rsidRPr="00DF0680">
        <w:rPr>
          <w:rFonts w:cs="Times New Roman"/>
          <w:color w:val="auto"/>
        </w:rPr>
        <w:fldChar w:fldCharType="end"/>
      </w:r>
      <w:r w:rsidR="00D0689C" w:rsidRPr="00DF0680">
        <w:rPr>
          <w:rFonts w:cs="Times New Roman"/>
          <w:color w:val="auto"/>
        </w:rPr>
        <w:t xml:space="preserve">. </w:t>
      </w:r>
      <w:r w:rsidR="009C3B3B" w:rsidRPr="00DF0680">
        <w:rPr>
          <w:rFonts w:cs="Times New Roman"/>
          <w:color w:val="auto"/>
        </w:rPr>
        <w:t xml:space="preserve">ORC </w:t>
      </w:r>
      <w:r w:rsidR="00825CD1" w:rsidRPr="00DF0680">
        <w:rPr>
          <w:rFonts w:cs="Times New Roman"/>
          <w:color w:val="auto"/>
        </w:rPr>
        <w:t xml:space="preserve">proteins </w:t>
      </w:r>
      <w:r w:rsidR="009C3B3B" w:rsidRPr="00DF0680">
        <w:rPr>
          <w:rFonts w:cs="Times New Roman"/>
          <w:color w:val="auto"/>
        </w:rPr>
        <w:t>binds to the origin o</w:t>
      </w:r>
      <w:r w:rsidR="00A018D1" w:rsidRPr="00DF0680">
        <w:rPr>
          <w:rFonts w:cs="Times New Roman"/>
          <w:color w:val="auto"/>
        </w:rPr>
        <w:t>f DNA replication and associate</w:t>
      </w:r>
      <w:r w:rsidR="009C3B3B" w:rsidRPr="00DF0680">
        <w:rPr>
          <w:rFonts w:cs="Times New Roman"/>
          <w:color w:val="auto"/>
        </w:rPr>
        <w:t xml:space="preserve"> with Cdc6</w:t>
      </w:r>
      <w:r w:rsidR="00A018D1" w:rsidRPr="00DF0680">
        <w:rPr>
          <w:rFonts w:cs="Times New Roman"/>
          <w:color w:val="auto"/>
        </w:rPr>
        <w:t>. Cdc6</w:t>
      </w:r>
      <w:r w:rsidR="00825CD1" w:rsidRPr="00DF0680">
        <w:rPr>
          <w:rFonts w:cs="Times New Roman"/>
          <w:color w:val="auto"/>
        </w:rPr>
        <w:t xml:space="preserve"> is essential for mammalian replication initiation and is thought to regulate the loading of the MCM proteins onto replication origins</w:t>
      </w:r>
      <w:r w:rsidR="009C3B3B" w:rsidRPr="00DF0680">
        <w:rPr>
          <w:rFonts w:cs="Times New Roman"/>
          <w:color w:val="auto"/>
        </w:rPr>
        <w:t xml:space="preserv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"author" : [ { "dropping-particle" : "", "family" : "Saha", "given" : "Partha", "non-dropping-particle" : "", "parse-names" : false, "suffix" : "" }, { "dropping-particle" : "", "family" : "Chen", "given" : "Junjie", "non-dropping-particle" : "", "parse-names" : false, "suffix" : "" }, { "dropping-particle" : "", "family" : "Thome", "given" : "KC", "non-dropping-particle" : "", "parse-names" : false, "suffix" : "" } ], "container-title" : "Molecular and Cellular Biology", "id" : "ITEM-1", "issue" : "5", "issued" : { "date-parts" : [ [ "1998" ] ] }, "page" : "2758-2767", "title" : "Human CDC6/Cdc18 associates with Orc1 and cyclin-cdk and is selectively eliminated from the nucleus at the onset of S phase", "type" : "article-journal", "volume" : "18" }, "uris" : [ "http://www.mendeley.com/documents/?uuid=c8030b8c-2e53-4b0f-945b-5579cabf50ea" ] }, { "id" : "ITEM-2", "itemData" : { "DOI" : "10.1016/S0092-8674(00)80526-7", "ISSN" : "00928674", "author" : [ { "dropping-particle" : "", "family" : "Tanaka", "given" : "Tomoyuki", "non-dropping-particle" : "", "parse-names" : false, "suffix" : "" }, { "dropping-particle" : "", "family" : "Knapp", "given" : "Dunja", "non-dropping-particle" : "", "parse-names" : false, "suffix" : "" }, { "dropping-particle" : "", "family" : "Nasmyth", "given" : "Kim", "non-dropping-particle" : "", "parse-names" : false, "suffix" : "" } ], "container-title" : "Cell", "id" : "ITEM-2", "issue" : "4", "issued" : { "date-parts" : [ [ "1997", "8" ] ] }, "page" : "649-660", "title" : "Loading of an Mcm Protein onto DNA Replication Origins Is Regulated by Cdc6p and CDKs", "type" : "article-journal", "volume" : "90" }, "uris" : [ "http://www.mendeley.com/documents/?uuid=2c2b074b-e700-4970-9168-c16fec89eff0" ] }, { "id" : "ITEM-3", "itemData" : { "author" : [ { "dropping-particle" : "", "family" : "Yan", "given" : "Z", "non-dropping-particle" : "", "parse-names" : false, "suffix" : "" }, { "dropping-particle" : "", "family" : "DeGregori", "given" : "J", "non-dropping-particle" : "", "parse-names" : false, "suffix" : "" } ], "container-title" : "Proceedings of the National Academy of Sciences", "id" : "ITEM-3", "issue" : "7", "issued" : { "date-parts" : [ [ "1998" ] ] }, "page" : "3603-3608", "title" : "Cdc6 is regulated by E2F and is essential for DNA replication in mammalian cells", "type" : "article-journal", "volume" : "95" }, "uris" : [ "http://www.mendeley.com/documents/?uuid=3d798014-e218-491e-9bfb-d1e0a519be25" ] }, { "id" : "ITEM-4", "itemData" : { "DOI" : "10.1016/j.molcel.2005.11.023", "ISSN" : "1097-2765", "PMID" : "16387651", "abstract" : "Loading of the Mcm2-7 DNA replicative helicase onto origin-proximal DNA is a critical and tightly regulated event during the initiation of eukaryotic DNA replication. The resulting protein-DNA assembly is called the prereplicative complex (pre-RC), and its formation requires the origin recognition complex (ORC), Cdc6, Cdt1, and ATP. ATP hydrolysis by ORC is required for multiple rounds of Mcm2-7 loading. Here, we investigate the role of ATP hydrolysis by Cdc6 during pre-RC assembly. We find that Cdc6 is an ORC- and origin DNA-dependent ATPase that functions at a step preceding ATP hydrolysis by ORC. Inhibiting Cdc6 ATP hydrolysis stabilizes Cdt1 on origin DNA and prevents Mcm2-7 loading. In contrast, the initial association of Mcm2-7 with the other pre-RC components does not require ATP hydrolysis by Cdc6. Importantly, these coordinated yet distinct functions of ORC and Cdc6 ensure the correct temporal and spatial regulation of pre-RC formation.", "author" : [ { "dropping-particle" : "", "family" : "Randell", "given" : "John C W", "non-dropping-particle" : "", "parse-names" : false, "suffix" : "" }, { "dropping-particle" : "", "family" : "Bowers", "given" : "Jayson L", "non-dropping-particle" : "", "parse-names" : false, "suffix" : "" }, { "dropping-particle" : "", "family" : "Rodr\u00edguez", "given" : "Heather K", "non-dropping-particle" : "", "parse-names" : false, "suffix" : "" }, { "dropping-particle" : "", "family" : "Bell", "given" : "Stephen P", "non-dropping-particle" : "", "parse-names" : false, "suffix" : "" } ], "container-title" : "Molecular Cell", "id" : "ITEM-4", "issue" : "1", "issued" : { "date-parts" : [ [ "2006", "1", "6" ] ] }, "page" : "29-39", "title" : "Sequential ATP hydrolysis by Cdc6 and ORC directs loading of the Mcm2-7 helicase.", "type" : "article-journal", "volume" : "21" }, "uris" : [ "http://www.mendeley.com/documents/?uuid=929cbead-bbdd-4b4e-897f-d89fc7bd6151" ] } ], "mendeley" : { "formattedCitation" : "(Saha et al. 1998; Tanaka et al. 1997; Yan &amp; DeGregori 1998; Randell et al. 2006)", "plainTextFormattedCitation" : "(Saha et al. 1998; Tanaka et al. 1997; Yan &amp; DeGregori 1998; Randell et al. 2006)", "previouslyFormattedCitation" : "(Saha et al. 1998; Tanaka et al. 1997; Yan &amp; DeGregori 1998; Randell et al. 2006)" }, "properties" : { "noteIndex" : 0 }, "schema" : "https://github.com/citation-style-language/schema/raw/master/csl-citation.json" }</w:instrText>
      </w:r>
      <w:r w:rsidR="00F20EC0" w:rsidRPr="00DF0680">
        <w:rPr>
          <w:rFonts w:cs="Times New Roman"/>
          <w:color w:val="auto"/>
        </w:rPr>
        <w:fldChar w:fldCharType="separate"/>
      </w:r>
      <w:r w:rsidR="00440E27" w:rsidRPr="00DF0680">
        <w:rPr>
          <w:rFonts w:cs="Times New Roman"/>
          <w:color w:val="auto"/>
        </w:rPr>
        <w:t>(Saha et al. 1998; Tanaka et al. 1997; Yan &amp; DeGregori 1998; Randell et al. 2006)</w:t>
      </w:r>
      <w:r w:rsidR="00F20EC0" w:rsidRPr="00DF0680">
        <w:rPr>
          <w:rFonts w:cs="Times New Roman"/>
          <w:color w:val="auto"/>
        </w:rPr>
        <w:fldChar w:fldCharType="end"/>
      </w:r>
      <w:r w:rsidR="00825CD1" w:rsidRPr="00DF0680">
        <w:rPr>
          <w:rFonts w:cs="Times New Roman"/>
          <w:color w:val="auto"/>
        </w:rPr>
        <w:t xml:space="preserve">. </w:t>
      </w:r>
      <w:r w:rsidR="005076C9" w:rsidRPr="00DF0680">
        <w:rPr>
          <w:rFonts w:cs="Times New Roman"/>
          <w:color w:val="auto"/>
        </w:rPr>
        <w:t xml:space="preserve">MCM proteins have helicase activity and are thought to initiate replication at origins by DNA unwinding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"10.1074/jbc.272.39.24508", "ISSN" : "0021-9258", "author" : [ { "dropping-particle" : "", "family" : "Ishimi", "given" : "Y.", "non-dropping-particle" : "", "parse-names" : false, "suffix" : "" } ], "container-title" : "Journal of Biological Chemistry", "id" : "ITEM-1", "issue" : "39", "issued" : { "date-parts" : [ [ "1997", "9", "26" ] ] }, "page" : "24508-24513", "title" : "A DNA Helicase Activity Is Associated with an MCM4, -6, and -7 Protein Complex", "type" : "article-journal", "volume" : "272" }, "uris" : [ "http://www.mendeley.com/documents/?uuid=225ea716-fb96-4603-b1aa-5a0bdaf5d7eb" ] }, { "id" : "ITEM-2", "itemData" : { "DOI" : "10.1073/pnas.0803978105", "ISSN" : "1091-6490", "PMID" : "18579778", "abstract" : "The six main minichromosome maintenance proteins (Mcm2-7), which presumably constitute the core of the replicative DNA helicase, are present in chromatin in large excess relative to the number of active replication forks. To evaluate the relevance of this apparent surplus of Mcm2-7 complexes in human cells, their levels were down-regulated by using RNA interference. Interestingly, cells continued to proliferate for several days after the acute (&gt;90%) reduction of Mcm2-7 concentration. However, they became hypersensitive to DNA replication stress, accumulated DNA lesions, and eventually activated a checkpoint response that prevented mitotic division. When this checkpoint was abrogated by the addition of caffeine, cells quickly lost viability, and their karyotypes revealed striking chromosomal aberrations. Single-molecule analyses revealed that cells with a reduced concentration of Mcm2-7 complexes display normal fork progression but have lost the potential to activate \"dormant\" origins that serve a backup function during DNA replication. Our data show that the chromatin-bound \"excess\" Mcm2-7 complexes play an important role in maintaining genomic integrity under conditions of replicative stress.", "author" : [ { "dropping-particle" : "", "family" : "Ibarra", "given" : "Arkaitz", "non-dropping-particle" : "", "parse-names" : false, "suffix" : "" }, { "dropping-particle" : "", "family" : "Schwob", "given" : "Etienne", "non-dropping-particle" : "", "parse-names" : false, "suffix" : "" }, { "dropping-particle" : "", "family" : "M\u00e9ndez", "given" : "Juan", "non-dropping-particle" : "", "parse-names" : false, "suffix" : "" } ], "container-title" : "Proceedings of the National Academy of Sciences", "id" : "ITEM-2", "issue" : "26", "issued" : { "date-parts" : [ [ "2008", "7", "1" ] ] }, "page" : "8956-61", "title" : "Excess MCM proteins protect human cells from replicative stress by licensing backup origins of replication.", "type" : "article-journal", "volume" : "105" }, "uris" : [ "http://www.mendeley.com/documents/?uuid=5790b858-2de3-4578-9106-86bfd850c84b" ] }, { "id" : "ITEM-3", "itemData" : { "DOI" : "10.1016/j.cell.2009.10.015", "ISSN" : "1097-4172", "PMID" : "19896182", "abstract" : "The licensing of eukaryotic DNA replication origins, which ensures once-per-cell-cycle replication, involves the loading of six related minichromosome maintenance proteins (Mcm2-7) into prereplicative complexes (pre-RCs). Mcm2-7 forms the core of the replicative DNA helicase, which is inactive in the pre-RC. The loading of Mcm2-7 onto DNA requires the origin recognition complex (ORC), Cdc6, and Cdt1, and depends on ATP. We have reconstituted Mcm2-7 loading with purified budding yeast proteins. Using biochemical approaches and electron microscopy, we show that single heptamers of Cdt1*Mcm2-7 are loaded cooperatively and result in association of stable, head-to-head Mcm2-7 double hexamers connected via their N-terminal rings. DNA runs through a central channel in the double hexamer, and, once loaded, Mcm2-7 can slide passively along double-stranded DNA. Our work has significant implications for understanding how eukaryotic DNA replication origins are chosen and licensed, how replisomes assemble during initiation, and how unwinding occurs during DNA replication.", "author" : [ { "dropping-particle" : "", "family" : "Remus", "given" : "Dirk", "non-dropping-particle" : "", "parse-names" : false, "suffix" : "" }, { "dropping-particle" : "", "family" : "Beuron", "given" : "Fabienne", "non-dropping-particle" : "", "parse-names" : false, "suffix" : "" }, { "dropping-particle" : "", "family" : "Tolun", "given" : "G\u00f6khan", "non-dropping-particle" : "", "parse-names" : false, "suffix" : "" }, { "dropping-particle" : "", "family" : "Griffith", "given" : "Jack D", "non-dropping-particle" : "", "parse-names" : false, "suffix" : "" }, { "dropping-particle" : "", "family" : "Morris", "given" : "Edward P", "non-dropping-particle" : "", "parse-names" : false, "suffix" : "" }, { "dropping-particle" : "", "family" : "Diffley", "given" : "John F X", "non-dropping-particle" : "", "parse-names" : false, "suffix" : "" } ], "container-title" : "Cell", "id" : "ITEM-3", "issue" : "4", "issued" : { "date-parts" : [ [ "2009", "11", "13" ] ] }, "page" : "719-30", "title" : "Concerted loading of Mcm2-7 double hexamers around DNA during DNA replication origin licensing.", "type" : "article-journal", "volume" : "139" }, "uris" : [ "http://www.mendeley.com/documents/?uuid=5344fc91-adb5-4d7a-ab8b-8c6e4a001f9c" ] } ], "mendeley" : { "formattedCitation" : "(Ishimi 1997; Ibarra et al. 2008; Remus et al. 2009)", "plainTextFormattedCitation" : "(Ishimi 1997; Ibarra et al. 2008; Remus et al. 2009)", "previouslyFormattedCitation" : "(Ishimi 1997; Ibarra et al. 2008; Remus et al. 2009)" }, "properties" : { "noteIndex" : 0 }, "schema" : "https://github.com/citation-style-language/schema/raw/master/csl-citation.json" }</w:instrText>
      </w:r>
      <w:r w:rsidR="00F20EC0" w:rsidRPr="00DF0680">
        <w:rPr>
          <w:rFonts w:cs="Times New Roman"/>
          <w:color w:val="auto"/>
        </w:rPr>
        <w:fldChar w:fldCharType="separate"/>
      </w:r>
      <w:r w:rsidR="00440E27" w:rsidRPr="00DF0680">
        <w:rPr>
          <w:rFonts w:cs="Times New Roman"/>
          <w:color w:val="auto"/>
        </w:rPr>
        <w:t>(Ishimi 1997; Ibarra et al. 2008; Remus et al. 2009)</w:t>
      </w:r>
      <w:r w:rsidR="00F20EC0" w:rsidRPr="00DF0680">
        <w:rPr>
          <w:rFonts w:cs="Times New Roman"/>
          <w:color w:val="auto"/>
        </w:rPr>
        <w:fldChar w:fldCharType="end"/>
      </w:r>
      <w:r w:rsidR="005076C9" w:rsidRPr="00DF0680">
        <w:rPr>
          <w:rFonts w:cs="Times New Roman"/>
          <w:color w:val="auto"/>
        </w:rPr>
        <w:t xml:space="preserve">. </w:t>
      </w:r>
      <w:r w:rsidR="00A018D1" w:rsidRPr="00DF0680">
        <w:rPr>
          <w:rFonts w:cs="Times New Roman"/>
          <w:color w:val="auto"/>
        </w:rPr>
        <w:t xml:space="preserve">Polymerases are then loaded onto the chromatin to start DNA replication in a bidirectional manner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"10.1016/j.molcel.2004.09.017", "ISSN" : "1097-2765", "PMID" : "15494305", "abstract" : "Mcm10 is a conserved eukaryotic DNA replication factor whose function has remained elusive. We report here that Mcm10 binding to replication origins in budding yeast is cell cycle regulated and dependent on the putative helicase, Mcm2-7. Mcm10 is also an essential component of the replication fork. A fraction of Mcm10 binds to DNA, as shown by histone association assays that allow for the study of chromatin binding in vivo. However, Mcm10 is also required to maintain steady-state levels of DNA polymerase-alpha (polalpha). In temperature-sensitive mcm10-td mutants, depletion of Mcm10 during S phase results in degradation of the catalytic subunit of polalpha, without affecting other fork components such as Cdc45. We propose that Mcm10 stabilizes polalpha and recruits the complex to replication origins. During elongation, Mcm10 is required for the presence of polalpha at replication forks and may coordinate DNA synthesis with DNA unwinding by the Mcm2-7 complex.", "author" : [ { "dropping-particle" : "", "family" : "Ricke", "given" : "Robin M", "non-dropping-particle" : "", "parse-names" : false, "suffix" : "" }, { "dropping-particle" : "", "family" : "Bielinsky", "given" : "Anja-Katrin", "non-dropping-particle" : "", "parse-names" : false, "suffix" : "" } ], "container-title" : "Molecular Cell", "id" : "ITEM-1", "issue" : "2", "issued" : { "date-parts" : [ [ "2004", "10", "22" ] ] }, "page" : "173-85", "title" : "Mcm10 regulates the stability and chromatin association of DNA polymerase-alpha.", "type" : "article-journal", "volume" : "16" }, "uris" : [ "http://www.mendeley.com/documents/?uuid=f53defa1-cc61-4126-b13f-fed30a855470" ] }, { "id" : "ITEM-2", "itemData" : { "DOI" : "10.1101/gad.1585607", "ISSN" : "0890-9369", "PMID" : "17761813", "abstract" : "The MCM2-7 helicase complex is loaded on DNA replication origins during the G1 phase of the cell cycle to license the origins for replication in S phase. How the initiator primase-polymerase complex, DNA polymerase alpha (pol alpha), is brought to the origins is still unclear. We show that And-1/Ctf4 (Chromosome transmission fidelity 4) interacts with Mcm10, which associates with MCM2-7, and with the p180 subunit of DNA pol alpha. And-1 is essential for DNA synthesis and the stability of p180 in mammalian cells. In Xenopus egg extracts And-1 is loaded on the chromatin after Mcm10, concurrently with DNA pol alpha, and is required for efficient DNA synthesis. Mcm10 is required for chromatin loading of And-1 and an antibody that disrupts the Mcm10-And-1 interaction interferes with the loading of And-1 and of pol alpha, inhibiting DNA synthesis. And-1/Ctf4 is therefore a new replication initiation factor that brings together the MCM2-7 helicase and the DNA pol alpha-primase complex, analogous to the linker between helicase and primase or helicase and polymerase that is seen in the bacterial replication machinery. The discovery also adds to the connection between replication initiation and sister chromatid cohesion.", "author" : [ { "dropping-particle" : "", "family" : "Zhu", "given" : "Wenge", "non-dropping-particle" : "", "parse-names" : false, "suffix" : "" }, { "dropping-particle" : "", "family" : "Ukomadu", "given" : "Chinweike", "non-dropping-particle" : "", "parse-names" : false, "suffix" : "" }, { "dropping-particle" : "", "family" : "Jha", "given" : "Sudhakar", "non-dropping-particle" : "", "parse-names" : false, "suffix" : "" }, { "dropping-particle" : "", "family" : "Senga", "given" : "Takeshi", "non-dropping-particle" : "", "parse-names" : false, "suffix" : "" }, { "dropping-particle" : "", "family" : "Dhar", "given" : "Suman K", "non-dropping-particle" : "", "parse-names" : false, "suffix" : "" }, { "dropping-particle" : "", "family" : "Wohlschlegel", "given" : "James a", "non-dropping-particle" : "", "parse-names" : false, "suffix" : "" }, { "dropping-particle" : "", "family" : "Nutt", "given" : "Leta K", "non-dropping-particle" : "", "parse-names" : false, "suffix" : "" }, { "dropping-particle" : "", "family" : "Kornbluth", "given" : "Sally", "non-dropping-particle" : "", "parse-names" : false, "suffix" : "" }, { "dropping-particle" : "", "family" : "Dutta", "given" : "Anindya", "non-dropping-particle" : "", "parse-names" : false, "suffix" : "" } ], "container-title" : "Genes &amp; Development", "id" : "ITEM-2", "issue" : "18", "issued" : { "date-parts" : [ [ "2007", "9", "15" ] ] }, "page" : "2288-99", "title" : "Mcm10 and And-1/CTF4 recruit DNA polymerase alpha to chromatin for initiation of DNA replication.", "type" : "article-journal", "volume" : "21" }, "uris" : [ "http://www.mendeley.com/documents/?uuid=78bf6cd2-e830-410e-8362-fecdd109ba10" ] } ], "mendeley" : { "formattedCitation" : "(Ricke &amp; Bielinsky 2004; Zhu et al. 2007)", "plainTextFormattedCitation" : "(Ricke &amp; Bielinsky 2004; Zhu et al. 2007)", "previouslyFormattedCitation" : "(Ricke &amp; Bielinsky 2004; Zhu et al. 2007)" }, "properties" : { "noteIndex" : 0 }, "schema" : "https://github.com/citation-style-language/schema/raw/master/csl-citation.json" }</w:instrText>
      </w:r>
      <w:r w:rsidR="00F20EC0" w:rsidRPr="00DF0680">
        <w:rPr>
          <w:rFonts w:cs="Times New Roman"/>
          <w:color w:val="auto"/>
        </w:rPr>
        <w:fldChar w:fldCharType="separate"/>
      </w:r>
      <w:r w:rsidR="00A018D1" w:rsidRPr="00DF0680">
        <w:rPr>
          <w:rFonts w:cs="Times New Roman"/>
          <w:color w:val="auto"/>
        </w:rPr>
        <w:t>(Ricke &amp; Bielinsky 2004; Zhu et al. 2007)</w:t>
      </w:r>
      <w:r w:rsidR="00F20EC0" w:rsidRPr="00DF0680">
        <w:rPr>
          <w:rFonts w:cs="Times New Roman"/>
          <w:color w:val="auto"/>
        </w:rPr>
        <w:fldChar w:fldCharType="end"/>
      </w:r>
      <w:r w:rsidR="00A018D1" w:rsidRPr="00DF0680">
        <w:rPr>
          <w:rFonts w:cs="Times New Roman"/>
          <w:color w:val="auto"/>
        </w:rPr>
        <w:t>.</w:t>
      </w:r>
    </w:p>
    <w:p w:rsidR="003C2395" w:rsidRPr="00DF0680" w:rsidRDefault="003C2395" w:rsidP="00A025CF">
      <w:pPr>
        <w:rPr>
          <w:rFonts w:cs="Times New Roman"/>
          <w:szCs w:val="20"/>
        </w:rPr>
      </w:pPr>
      <w:r w:rsidRPr="00DF0680">
        <w:rPr>
          <w:rFonts w:cs="Times New Roman"/>
        </w:rPr>
        <w:t xml:space="preserve">Eukaryotes have many different DNA polymerases and each has a different base substitution error rate – the number of incorrect bases inserted per base pair. </w:t>
      </w:r>
      <w:r w:rsidR="00B45DAC" w:rsidRPr="00DF0680">
        <w:rPr>
          <w:rFonts w:cs="Times New Roman"/>
        </w:rPr>
        <w:t>DNA polymerase ε, responsible for replication on the leading strand, and DNA polymerase δ, responsible for replication on the lagging strand, have independently been shown to have error rates of approximately 4.4 x 10</w:t>
      </w:r>
      <w:r w:rsidR="00B45DAC" w:rsidRPr="00DF0680">
        <w:rPr>
          <w:rFonts w:cs="Times New Roman"/>
          <w:vertAlign w:val="superscript"/>
        </w:rPr>
        <w:t>-5</w:t>
      </w:r>
      <w:r w:rsidR="007272E3" w:rsidRPr="00DF0680">
        <w:rPr>
          <w:rFonts w:cs="Times New Roman"/>
        </w:rPr>
        <w:t>, dependent on their exonuclease proofreading activities</w:t>
      </w:r>
      <w:r w:rsidR="00B45DAC" w:rsidRPr="00DF0680">
        <w:rPr>
          <w:rFonts w:cs="Times New Roman"/>
          <w:vertAlign w:val="superscript"/>
        </w:rPr>
        <w:t xml:space="preserve"> </w:t>
      </w:r>
      <w:r w:rsidR="00F20EC0" w:rsidRPr="00DF0680">
        <w:rPr>
          <w:rFonts w:cs="Times New Roman"/>
        </w:rPr>
        <w:fldChar w:fldCharType="begin" w:fldLock="1"/>
      </w:r>
      <w:r w:rsidR="00CD2397" w:rsidRPr="00DF0680">
        <w:rPr>
          <w:rFonts w:cs="Times New Roman"/>
        </w:rPr>
        <w:instrText>ADDIN CSL_CITATION { "citationItems" : [ { "id" : "ITEM-1", "itemData" : { "DOI" : "10.1093/nar/gkq1034", "ISBN" : "0305-1048", "ISSN" : "03051048", "PMID" : "21036870", "abstract" : "Bulk replicative DNA synthesis in eukaryotes is highly accurate and efficient, primarily because of two DNA polymerases (Pols): Pols \u03b4 and \u03b5. The high fidelity of these enzymes is due to their intrinsic base selectivity and proofreading exonuclease activity which, when coupled with post-replication mismatch repair, helps to maintain human mutation rates at less than one mutation per genome duplication. Conditions that reduce polymerase fidelity result in increased mutagenesis and can lead to cancer in mice. Whereas yeast Pol \u03b5 has been well characterized, human Pol \u03b5 remains poorly understood. Here, we present the first report on the fidelity of human Pol \u03b5. We find that human Pol \u03b5 carries out DNA synthesis with high fidelity, even in the absence of its 3'\u21925' exonucleolytic proofreading and is significantly more accurate than yeast Pol \u03b5. Though its spectrum of errors is similar to that of yeast Pol \u03b5, there are several notable exceptions. These include a preference of the human enzyme for T\u2192A over A\u2192T transversions. As compared with other replicative DNA polymerases, human Pol \u03b5 is particularly accurate when copying homonucleotide runs of 4-5 bases. The base pair substitution specificity and high fidelity for frameshift errors observed for human Pol \u03b5 are distinct from the errors made by human Pol \u03b4.", "author" : [ { "dropping-particle" : "", "family" : "Korona", "given" : "Dagmara A.", "non-dropping-particle" : "", "parse-names" : false, "suffix" : "" }, { "dropping-particle" : "", "family" : "Lecompte", "given" : "Kimberly G.", "non-dropping-particle" : "", "parse-names" : false, "suffix" : "" }, { "dropping-particle" : "", "family" : "Pursell", "given" : "Zachary F.", "non-dropping-particle" : "", "parse-names" : false, "suffix" : "" } ], "container-title" : "Nucleic Acids Research", "id" : "ITEM-1", "issue" : "5", "issued" : { "date-parts" : [ [ "2011" ] ] }, "page" : "1763-1773", "title" : "The high fidelity and unique error signature of human DNA polymerase epsilon", "type" : "article-journal", "volume" : "39" }, "uris" : [ "http://www.mendeley.com/documents/?uuid=dc3c6dfe-aafd-4beb-b3cc-f0066dec595b" ] }, { "id" : "ITEM-2", "itemData" : { "DOI" : "10.1016/j.biotechadv.2011.08.021.Secreted", "ISBN" : "2122633255", "ISSN" : "15378276", "PMID" : "1000000221", "author" : [ { "dropping-particle" : "", "family" : "Schmitt", "given" : "Michael W.", "non-dropping-particle" : "", "parse-names" : false, "suffix" : "" }, { "dropping-particle" : "", "family" : "Matsumoto", "given" : "Yoshihiro", "non-dropping-particle" : "", "parse-names" : false, "suffix" : "" }, { "dropping-particle" : "", "family" : "Loeb", "given" : "Lawrence A.", "non-dropping-particle" : "", "parse-names" : false, "suffix" : "" } ], "container-title" : "Biochimie", "id" : "ITEM-2", "issue" : "9", "issued" : { "date-parts" : [ [ "2009" ] ] }, "page" : "1163-72", "title" : "High fidelity and lesion bypass capability of human DNA polymerase delta", "type" : "article-journal", "volume" : "91" }, "uris" : [ "http://www.mendeley.com/documents/?uuid=b6c4a6b7-8f08-422b-906c-67677fc1d551" ] } ], "mendeley" : { "formattedCitation" : "(Korona et al. 2011; Schmitt et al. 2009)", "plainTextFormattedCitation" : "(Korona et al. 2011; Schmitt et al. 2009)", "previouslyFormattedCitation" : "(Korona et al. 2011; Schmitt et al. 2009)" }, "properties" : { "noteIndex" : 0 }, "schema" : "https://github.com/citation-style-language/schema/raw/master/csl-citation.json" }</w:instrText>
      </w:r>
      <w:r w:rsidR="00F20EC0" w:rsidRPr="00DF0680">
        <w:rPr>
          <w:rFonts w:cs="Times New Roman"/>
        </w:rPr>
        <w:fldChar w:fldCharType="separate"/>
      </w:r>
      <w:r w:rsidR="00B45DAC" w:rsidRPr="00DF0680">
        <w:rPr>
          <w:rFonts w:cs="Times New Roman"/>
        </w:rPr>
        <w:t>(Korona et al. 2011; Schmitt et al. 2009)</w:t>
      </w:r>
      <w:r w:rsidR="00F20EC0" w:rsidRPr="00DF0680">
        <w:rPr>
          <w:rFonts w:cs="Times New Roman"/>
        </w:rPr>
        <w:fldChar w:fldCharType="end"/>
      </w:r>
      <w:r w:rsidR="00B45DAC" w:rsidRPr="00DF0680">
        <w:rPr>
          <w:rFonts w:cs="Times New Roman"/>
        </w:rPr>
        <w:t xml:space="preserve">. </w:t>
      </w:r>
      <w:r w:rsidR="00D5104F" w:rsidRPr="00DF0680">
        <w:rPr>
          <w:rFonts w:cs="Times New Roman"/>
          <w:szCs w:val="20"/>
        </w:rPr>
        <w:t>However, there are repair pathways that can correct mis</w:t>
      </w:r>
      <w:r w:rsidR="00E52DD8" w:rsidRPr="00DF0680">
        <w:rPr>
          <w:rFonts w:cs="Times New Roman"/>
          <w:szCs w:val="20"/>
        </w:rPr>
        <w:t>-</w:t>
      </w:r>
      <w:r w:rsidR="00D5104F" w:rsidRPr="00DF0680">
        <w:rPr>
          <w:rFonts w:cs="Times New Roman"/>
          <w:szCs w:val="20"/>
        </w:rPr>
        <w:t xml:space="preserve">incorporated bases, if not already done so by proof-reading, such as </w:t>
      </w:r>
      <w:r w:rsidR="00951D39" w:rsidRPr="00DF0680">
        <w:rPr>
          <w:rFonts w:cs="Times New Roman"/>
          <w:szCs w:val="20"/>
        </w:rPr>
        <w:t>mismatch repair</w:t>
      </w:r>
      <w:r w:rsidR="00D5104F" w:rsidRPr="00DF0680">
        <w:rPr>
          <w:rFonts w:cs="Times New Roman"/>
          <w:szCs w:val="20"/>
        </w:rPr>
        <w:t xml:space="preserve"> (see </w:t>
      </w:r>
      <w:r w:rsidR="006D05FD" w:rsidRPr="00DF0680">
        <w:rPr>
          <w:rFonts w:cs="Times New Roman"/>
          <w:szCs w:val="20"/>
        </w:rPr>
        <w:t>1.3.5.3</w:t>
      </w:r>
      <w:r w:rsidR="00D5104F" w:rsidRPr="00DF0680">
        <w:rPr>
          <w:rFonts w:cs="Times New Roman"/>
          <w:szCs w:val="20"/>
        </w:rPr>
        <w:t>).</w:t>
      </w:r>
      <w:r w:rsidR="00836393" w:rsidRPr="00DF0680">
        <w:rPr>
          <w:rFonts w:cs="Times New Roman"/>
          <w:szCs w:val="20"/>
        </w:rPr>
        <w:t xml:space="preserve"> </w:t>
      </w:r>
    </w:p>
    <w:p w:rsidR="009C11ED" w:rsidRPr="00DF0680" w:rsidRDefault="009C11ED" w:rsidP="00A025CF">
      <w:pPr>
        <w:rPr>
          <w:rFonts w:cs="Times New Roman"/>
        </w:rPr>
      </w:pPr>
      <w:r w:rsidRPr="00DF0680">
        <w:rPr>
          <w:rFonts w:cs="Times New Roman"/>
        </w:rPr>
        <w:t>Another common form of endogenous damage is through deamination of the nitrogenous bases that make up DNA. This involves the removal of amine groups from cytosine</w:t>
      </w:r>
      <w:r w:rsidR="00C965A9" w:rsidRPr="00DF0680">
        <w:rPr>
          <w:rFonts w:cs="Times New Roman"/>
        </w:rPr>
        <w:t xml:space="preserve"> (to form uracil)</w:t>
      </w:r>
      <w:r w:rsidRPr="00DF0680">
        <w:rPr>
          <w:rFonts w:cs="Times New Roman"/>
        </w:rPr>
        <w:t xml:space="preserve">, guanine  and adenine </w:t>
      </w:r>
      <w:r w:rsidR="00F20EC0" w:rsidRPr="00DF0680">
        <w:rPr>
          <w:rFonts w:cs="Times New Roman"/>
        </w:rPr>
        <w:fldChar w:fldCharType="begin" w:fldLock="1"/>
      </w:r>
      <w:r w:rsidR="00DA6E78" w:rsidRPr="00DF0680">
        <w:rPr>
          <w:rFonts w:cs="Times New Roman"/>
        </w:rPr>
        <w:instrText>ADDIN CSL_CITATION { "citationItems" : [ { "id" : "ITEM-1", "itemData" : { "DOI" : "10.1038/287560a0", "ISBN" : "0028-0836 (Print)\\n0028-0836 (Linking)", "ISSN" : "0028-0836", "PMID" : "6999365", "abstract" : "Spontaneous deamination converts cytosine to uracil, which is excised from DNA by the enzyme uracil-DNA glycosylase, leading to error-free repair. 5-Methylcytosine residues are deaminated to thymine, which cannot be excised and repaired by this system. As a result, 5-methylcytosine residues are hotspots for spontaneous transitions, as demonstrated in the lacI gene of Escherichia coli. We show here that in bacteria which lack uracil-DNA glycosylase (Ung-) and cannot excise uracil residues from DNA, the rate of spontaneous transition at cytosine residues is raised to the hotspot rate at 5-methylcytosine residues. These studies provide direct evidence that the deamination of cytosine is a significant source of spontaneous mutations.", "author" : [ { "dropping-particle" : "", "family" : "Duncan", "given" : "B K", "non-dropping-particle" : "", "parse-names" : false, "suffix" : "" }, { "dropping-particle" : "", "family" : "Miller", "given" : "J H", "non-dropping-particle" : "", "parse-names" : false, "suffix" : "" } ], "container-title" : "Nature", "id" : "ITEM-1", "issue" : "5782", "issued" : { "date-parts" : [ [ "1980" ] ] }, "page" : "560-561", "title" : "Mutagenic deamination of cytosine residues in DNA.", "type" : "article-journal", "volume" : "287" }, "uris" : [ "http://www.mendeley.com/documents/?uuid=3c342574-0657-4565-90b7-4989c5e98b28" ] } ], "mendeley" : { "formattedCitation" : "(Duncan &amp; Miller 1980)", "plainTextFormattedCitation" : "(Duncan &amp; Miller 1980)", "previouslyFormattedCitation" : "(Duncan &amp; Miller 1980)"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(Duncan &amp; Miller 1980)</w:t>
      </w:r>
      <w:r w:rsidR="00F20EC0" w:rsidRPr="00DF0680">
        <w:rPr>
          <w:rFonts w:cs="Times New Roman"/>
        </w:rPr>
        <w:fldChar w:fldCharType="end"/>
      </w:r>
      <w:r w:rsidRPr="00DF0680">
        <w:rPr>
          <w:rFonts w:cs="Times New Roman"/>
        </w:rPr>
        <w:t xml:space="preserve">. These bases are highly electron rich, meaning they can react with many substrates. Products of deamination can </w:t>
      </w:r>
      <w:r w:rsidR="000C3A9E" w:rsidRPr="00DF0680">
        <w:rPr>
          <w:rFonts w:cs="Times New Roman"/>
        </w:rPr>
        <w:t xml:space="preserve">also </w:t>
      </w:r>
      <w:r w:rsidRPr="00DF0680">
        <w:rPr>
          <w:rFonts w:cs="Times New Roman"/>
        </w:rPr>
        <w:t>cause mis</w:t>
      </w:r>
      <w:r w:rsidR="00E52DD8" w:rsidRPr="00DF0680">
        <w:rPr>
          <w:rFonts w:cs="Times New Roman"/>
        </w:rPr>
        <w:t>-</w:t>
      </w:r>
      <w:r w:rsidRPr="00DF0680">
        <w:rPr>
          <w:rFonts w:cs="Times New Roman"/>
        </w:rPr>
        <w:t xml:space="preserve">pairing, leading to further mutations if not corrected before replication. </w:t>
      </w:r>
      <w:r w:rsidR="00BB368C" w:rsidRPr="00DF0680">
        <w:rPr>
          <w:rFonts w:cs="Times New Roman"/>
        </w:rPr>
        <w:t xml:space="preserve">Although deamination of 5-methylcytosine to thymine is mutagenic, </w:t>
      </w:r>
      <w:r w:rsidR="00BB368C" w:rsidRPr="00DF0680">
        <w:rPr>
          <w:rFonts w:cs="Times New Roman"/>
        </w:rPr>
        <w:lastRenderedPageBreak/>
        <w:t xml:space="preserve">deamination of cytosine to uracil is not usually mutagenic due to highly efficient uracil DNA glycosylase in base excision repair </w:t>
      </w:r>
      <w:r w:rsidR="00F20EC0" w:rsidRPr="00DF0680">
        <w:rPr>
          <w:rFonts w:cs="Times New Roman"/>
        </w:rPr>
        <w:fldChar w:fldCharType="begin" w:fldLock="1"/>
      </w:r>
      <w:r w:rsidR="00041F06" w:rsidRPr="00DF0680">
        <w:rPr>
          <w:rFonts w:cs="Times New Roman"/>
        </w:rPr>
        <w:instrText>ADDIN CSL_CITATION { "citationItems" : [ { "id" : "ITEM-1", "itemData" : { "DOI" : "10.1038/35099587", "ISSN" : "0028-0836", "abstract" : "In humans, uracil appears in DNA at the rate of several hundred bases per cell each day as a result of misincorporation of deoxyuridine (dU) or deamination of cytosine. Four enzymes that catalyse the hydrolysis of the glycosylic bond of dU in DNA to yield an apyridiminic site as the first step in base excision repair have been identified in the human genome(1). The most efficient and well characterized of these uracil-DNA glycosylases is UDG (also known as UNG and present in almost all known organisms)(2), which excises U from single- or double-stranded DNA and is associated with DNA replication forks(3). We used a hybrid quantum-mechanical/molecular-mechanical (QM/MM) approach(4) to determine the mechanism of catalysis by UDG. In contrast to the concerted associative mechanism proposed initially (5-10), we show here that the reaction proceeds in a stepwise dissociative manner(11,12). Cleavage of the glycosylic bond yields an intermediate comprising an oxocarbenium cation and a uracilate anion. Subsequent attack by a water molecule and transfer of a proton to D145 result in the products. Surprisingly, the primary contribution to lowering the activation energy comes from the substrate, rather than from the enzyme. This `autocatalysis' derives from the burial and positioning of four phosphate groups that stabilize the rate-determining transition state. The importance of these phosphates explains the residual activity observed for mutants that lack key residues(6-9). A corresponding catalytic mechanism could apply to the DNA glycosylases TDG and SMUG1, which belong to the same structural superfamily as UDG(13,14).", "author" : [ { "dropping-particle" : "", "family" : "Dinner", "given" : "A R", "non-dropping-particle" : "", "parse-names" : false, "suffix" : "" }, { "dropping-particle" : "", "family" : "Blackburn", "given" : "G M", "non-dropping-particle" : "", "parse-names" : false, "suffix" : "" }, { "dropping-particle" : "", "family" : "Karplus", "given" : "M", "non-dropping-particle" : "", "parse-names" : false, "suffix" : "" } ], "container-title" : "Nature", "id" : "ITEM-1", "issue" : "6857", "issued" : { "date-parts" : [ [ "2001", "10" ] ] }, "page" : "752-755", "publisher" : "MACMILLAN PUBLISHERS LTD", "publisher-place" : "PORTERS SOUTH, 4 CRINAN ST, LONDON N1 9XW, ENGLAND", "title" : "Uracil-DNA glycosylase acts by substrate autocatalysis", "type" : "article-journal", "volume" : "413" }, "uris" : [ "http://www.mendeley.com/documents/?uuid=6e47aa73-de21-4fd9-ac51-1c90cf6f522f" ] } ], "mendeley" : { "formattedCitation" : "(Dinner et al. 2001)", "plainTextFormattedCitation" : "(Dinner et al. 2001)", "previouslyFormattedCitation" : "(Dinner et al. 2001)" }, "properties" : { "noteIndex" : 0 }, "schema" : "https://github.com/citation-style-language/schema/raw/master/csl-citation.json" }</w:instrText>
      </w:r>
      <w:r w:rsidR="00F20EC0" w:rsidRPr="00DF0680">
        <w:rPr>
          <w:rFonts w:cs="Times New Roman"/>
        </w:rPr>
        <w:fldChar w:fldCharType="separate"/>
      </w:r>
      <w:r w:rsidR="00BB368C" w:rsidRPr="00DF0680">
        <w:rPr>
          <w:rFonts w:cs="Times New Roman"/>
        </w:rPr>
        <w:t>(Dinner et al. 2001)</w:t>
      </w:r>
      <w:r w:rsidR="00F20EC0" w:rsidRPr="00DF0680">
        <w:rPr>
          <w:rFonts w:cs="Times New Roman"/>
        </w:rPr>
        <w:fldChar w:fldCharType="end"/>
      </w:r>
      <w:r w:rsidR="00BB368C" w:rsidRPr="00DF0680">
        <w:rPr>
          <w:rFonts w:cs="Times New Roman"/>
        </w:rPr>
        <w:t xml:space="preserve">. </w:t>
      </w:r>
    </w:p>
    <w:p w:rsidR="0034667E" w:rsidRPr="00DF0680" w:rsidRDefault="00B954F2" w:rsidP="00A025CF">
      <w:pPr>
        <w:rPr>
          <w:rFonts w:cs="Times New Roman"/>
        </w:rPr>
      </w:pPr>
      <w:r w:rsidRPr="00DF0680">
        <w:rPr>
          <w:rFonts w:cs="Times New Roman"/>
        </w:rPr>
        <w:t>Oxide radicals, a by-product of normal metabolism, can react with DNA to bring about harmful lesions and induce DNA damage. Due to the highly reactive nature of radicals and the electron rich bases themselves, this is a highly energetic and dangerous reaction. As a group, these are known as “reactive oxygen species” (ROS) and are produced by electron leakage in the electron transport chain and made by cells of the immune system to facilitate pathogen elimination. By reacting with DNA bases, these ROS cause oxidative damage to DNA making by-products such as 8-hydroxy-2'-deoxyguanosine, thym</w:t>
      </w:r>
      <w:r w:rsidR="006D05FD" w:rsidRPr="00DF0680">
        <w:rPr>
          <w:rFonts w:cs="Times New Roman"/>
        </w:rPr>
        <w:t>ine glycol and thymidine glycol. S</w:t>
      </w:r>
      <w:r w:rsidR="00BE4854" w:rsidRPr="00DF0680">
        <w:rPr>
          <w:rFonts w:cs="Times New Roman"/>
        </w:rPr>
        <w:t xml:space="preserve">uch products </w:t>
      </w:r>
      <w:r w:rsidRPr="00DF0680">
        <w:rPr>
          <w:rFonts w:cs="Times New Roman"/>
        </w:rPr>
        <w:t xml:space="preserve">can be used to determine the levels of oxidative damage to DNA </w:t>
      </w:r>
      <w:r w:rsidR="00F20EC0" w:rsidRPr="00DF0680">
        <w:rPr>
          <w:rFonts w:cs="Times New Roman"/>
        </w:rPr>
        <w:fldChar w:fldCharType="begin">
          <w:fldData xml:space="preserve">PEVuZE5vdGU+PENpdGU+PEF1dGhvcj5DYXRoY2FydDwvQXV0aG9yPjxZZWFyPjE5ODQ8L1llYXI+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</w:fldData>
        </w:fldChar>
      </w:r>
      <w:r w:rsidRPr="00DF0680">
        <w:rPr>
          <w:rFonts w:cs="Times New Roman"/>
        </w:rPr>
        <w:instrText xml:space="preserve"> ADDIN EN.CITE </w:instrText>
      </w:r>
      <w:r w:rsidR="00F20EC0" w:rsidRPr="00DF0680">
        <w:rPr>
          <w:rFonts w:cs="Times New Roman"/>
        </w:rPr>
        <w:fldChar w:fldCharType="begin">
          <w:fldData xml:space="preserve">PEVuZE5vdGU+PENpdGU+PEF1dGhvcj5DYXRoY2FydDwvQXV0aG9yPjxZZWFyPjE5ODQ8L1llYXI+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</w:fldData>
        </w:fldChar>
      </w:r>
      <w:r w:rsidRPr="00DF0680">
        <w:rPr>
          <w:rFonts w:cs="Times New Roman"/>
        </w:rPr>
        <w:instrText xml:space="preserve"> ADDIN EN.CITE.DATA </w:instrText>
      </w:r>
      <w:r w:rsidR="00F20EC0" w:rsidRPr="00DF0680">
        <w:rPr>
          <w:rFonts w:cs="Times New Roman"/>
        </w:rPr>
      </w:r>
      <w:r w:rsidR="00F20EC0" w:rsidRPr="00DF0680">
        <w:rPr>
          <w:rFonts w:cs="Times New Roman"/>
        </w:rPr>
        <w:fldChar w:fldCharType="end"/>
      </w:r>
      <w:r w:rsidR="00F20EC0" w:rsidRPr="00DF0680">
        <w:rPr>
          <w:rFonts w:cs="Times New Roman"/>
        </w:rPr>
      </w:r>
      <w:r w:rsidR="00F20EC0" w:rsidRPr="00DF0680">
        <w:rPr>
          <w:rFonts w:cs="Times New Roman"/>
        </w:rPr>
        <w:fldChar w:fldCharType="separate"/>
      </w:r>
      <w:r w:rsidRPr="00DF0680">
        <w:rPr>
          <w:rFonts w:cs="Times New Roman"/>
        </w:rPr>
        <w:t>(</w:t>
      </w:r>
      <w:hyperlink w:anchor="_ENREF_15" w:tooltip="Cathcart, 1984 #4" w:history="1">
        <w:r w:rsidRPr="00DF0680">
          <w:rPr>
            <w:rFonts w:cs="Times New Roman"/>
          </w:rPr>
          <w:t>Cathcart, Schwiers et al. 1984</w:t>
        </w:r>
      </w:hyperlink>
      <w:r w:rsidRPr="00DF0680">
        <w:rPr>
          <w:rFonts w:cs="Times New Roman"/>
        </w:rPr>
        <w:t xml:space="preserve">; </w:t>
      </w:r>
      <w:hyperlink w:anchor="_ENREF_69" w:tooltip="Shigenaga, 1989 #5" w:history="1">
        <w:r w:rsidRPr="00DF0680">
          <w:rPr>
            <w:rFonts w:cs="Times New Roman"/>
          </w:rPr>
          <w:t>Shigenaga, Gimeno et al. 1989</w:t>
        </w:r>
      </w:hyperlink>
      <w:r w:rsidRPr="00DF0680">
        <w:rPr>
          <w:rFonts w:cs="Times New Roman"/>
        </w:rPr>
        <w:t>)</w:t>
      </w:r>
      <w:r w:rsidR="00F20EC0" w:rsidRPr="00DF0680">
        <w:rPr>
          <w:rFonts w:cs="Times New Roman"/>
        </w:rPr>
        <w:fldChar w:fldCharType="end"/>
      </w:r>
      <w:r w:rsidRPr="00DF0680">
        <w:rPr>
          <w:rFonts w:cs="Times New Roman"/>
        </w:rPr>
        <w:t xml:space="preserve">. This has allowed the discovery that levels of oxidative damage are linked to organism size and thus metabolic rate </w:t>
      </w:r>
      <w:r w:rsidR="00F20EC0" w:rsidRPr="00DF0680">
        <w:rPr>
          <w:rFonts w:cs="Times New Roman"/>
        </w:rPr>
        <w:fldChar w:fldCharType="begin"/>
      </w:r>
      <w:r w:rsidRPr="00DF0680">
        <w:rPr>
          <w:rFonts w:cs="Times New Roman"/>
        </w:rPr>
        <w:instrText xml:space="preserve"> ADDIN EN.CITE &lt;EndNote&gt;&lt;Cite&gt;&lt;Author&gt;Adelman&lt;/Author&gt;&lt;Year&gt;1988&lt;/Year&gt;&lt;RecNum&gt;6&lt;/RecNum&gt;&lt;DisplayText&gt;(Adelman, Saul et al. 1988)&lt;/DisplayText&gt;&lt;record&gt;&lt;rec-number&gt;6&lt;/rec-number&gt;&lt;foreign-keys&gt;&lt;key app="EN" db-id="wpf2eztvgsdv0meff22xfzwkp0vdffs2t55w"&gt;6&lt;/key&gt;&lt;/foreign-keys&gt;&lt;ref-type name="Journal Article"&gt;17&lt;/ref-type&gt;&lt;contributors&gt;&lt;authors&gt;&lt;author&gt;Adelman, R.&lt;/author&gt;&lt;author&gt;Saul, R.&lt;/author&gt;&lt;author&gt;Ames, B.&lt;/author&gt;&lt;/authors&gt;&lt;/contributors&gt;&lt;auth-address&gt;Department of Biochemistry, University of California, Berkeley 94720.&lt;/auth-address&gt;&lt;titles&gt;&lt;title&gt;Oxidative damage to DNA: relation to species metabolic rate and life span&lt;/title&gt;&lt;secondary-title&gt;Proceedings of the National Academy of Sciences of the United States of America&lt;/secondary-title&gt;&lt;/titles&gt;&lt;periodical&gt;&lt;full-title&gt;Proceedings of the National Academy of Sciences of the United States of America&lt;/full-title&gt;&lt;/periodical&gt;&lt;pages&gt;2706-2714&lt;/pages&gt;&lt;volume&gt;85&lt;/volume&gt;&lt;number&gt;8&lt;/number&gt;&lt;dates&gt;&lt;year&gt;1988&lt;/year&gt;&lt;/dates&gt;&lt;isbn&gt;0027-8424&lt;/isbn&gt;&lt;urls&gt;&lt;/urls&gt;&lt;remote-database-name&gt;Readcube&lt;/remote-database-name&gt;&lt;/record&gt;&lt;/Cite&gt;&lt;/EndNote&gt;</w:instrText>
      </w:r>
      <w:r w:rsidR="00F20EC0" w:rsidRPr="00DF0680">
        <w:rPr>
          <w:rFonts w:cs="Times New Roman"/>
        </w:rPr>
        <w:fldChar w:fldCharType="separate"/>
      </w:r>
      <w:r w:rsidRPr="00DF0680">
        <w:rPr>
          <w:rFonts w:cs="Times New Roman"/>
        </w:rPr>
        <w:t>(</w:t>
      </w:r>
      <w:hyperlink w:anchor="_ENREF_3" w:tooltip="Adelman, 1988 #6" w:history="1">
        <w:r w:rsidRPr="00DF0680">
          <w:rPr>
            <w:rFonts w:cs="Times New Roman"/>
          </w:rPr>
          <w:t>Adelman, Saul et al. 1988</w:t>
        </w:r>
      </w:hyperlink>
      <w:r w:rsidRPr="00DF0680">
        <w:rPr>
          <w:rFonts w:cs="Times New Roman"/>
        </w:rPr>
        <w:t>)</w:t>
      </w:r>
      <w:r w:rsidR="00F20EC0" w:rsidRPr="00DF0680">
        <w:rPr>
          <w:rFonts w:cs="Times New Roman"/>
        </w:rPr>
        <w:fldChar w:fldCharType="end"/>
      </w:r>
      <w:r w:rsidR="00BE4854" w:rsidRPr="00DF0680">
        <w:rPr>
          <w:rFonts w:cs="Times New Roman"/>
        </w:rPr>
        <w:t>. Oxidative</w:t>
      </w:r>
      <w:r w:rsidRPr="00DF0680">
        <w:rPr>
          <w:rFonts w:cs="Times New Roman"/>
        </w:rPr>
        <w:t xml:space="preserve"> lesions are dangerous because the altered base causes mis</w:t>
      </w:r>
      <w:r w:rsidR="00E52DD8" w:rsidRPr="00DF0680">
        <w:rPr>
          <w:rFonts w:cs="Times New Roman"/>
        </w:rPr>
        <w:t>-</w:t>
      </w:r>
      <w:r w:rsidRPr="00DF0680">
        <w:rPr>
          <w:rFonts w:cs="Times New Roman"/>
        </w:rPr>
        <w:t xml:space="preserve">pairing during replication. </w:t>
      </w:r>
      <w:r w:rsidR="00BE4854" w:rsidRPr="00DF0680">
        <w:rPr>
          <w:rFonts w:cs="Times New Roman"/>
        </w:rPr>
        <w:t xml:space="preserve">For example, </w:t>
      </w:r>
      <w:r w:rsidRPr="00DF0680">
        <w:rPr>
          <w:rFonts w:cs="Times New Roman"/>
        </w:rPr>
        <w:t>8-hydroxyguanine can lead to mutations in the form of base substitutions by mis</w:t>
      </w:r>
      <w:r w:rsidR="00E52DD8" w:rsidRPr="00DF0680">
        <w:rPr>
          <w:rFonts w:cs="Times New Roman"/>
        </w:rPr>
        <w:t>-</w:t>
      </w:r>
      <w:r w:rsidRPr="00DF0680">
        <w:rPr>
          <w:rFonts w:cs="Times New Roman"/>
        </w:rPr>
        <w:t xml:space="preserve">pairing with adenine, rather than the usual pairing with cytosine, causing G to T and A to C </w:t>
      </w:r>
      <w:r w:rsidR="00BE4854" w:rsidRPr="00DF0680">
        <w:rPr>
          <w:rFonts w:cs="Times New Roman"/>
        </w:rPr>
        <w:t>trans</w:t>
      </w:r>
      <w:r w:rsidR="00A5017A" w:rsidRPr="00DF0680">
        <w:rPr>
          <w:rFonts w:cs="Times New Roman"/>
        </w:rPr>
        <w:t>versi</w:t>
      </w:r>
      <w:r w:rsidR="00BE4854" w:rsidRPr="00DF0680">
        <w:rPr>
          <w:rFonts w:cs="Times New Roman"/>
        </w:rPr>
        <w:t>ons</w:t>
      </w:r>
      <w:r w:rsidRPr="00DF0680">
        <w:rPr>
          <w:rFonts w:cs="Times New Roman"/>
        </w:rPr>
        <w:t xml:space="preserve"> </w:t>
      </w:r>
      <w:r w:rsidR="00CE30FB" w:rsidRPr="00DF0680">
        <w:rPr>
          <w:rFonts w:cs="Times New Roman"/>
        </w:rPr>
        <w:t xml:space="preserve">upon replication </w:t>
      </w:r>
      <w:r w:rsidR="00F20EC0" w:rsidRPr="00DF0680">
        <w:rPr>
          <w:rFonts w:cs="Times New Roman"/>
        </w:rPr>
        <w:fldChar w:fldCharType="begin"/>
      </w:r>
      <w:r w:rsidRPr="00DF0680">
        <w:rPr>
          <w:rFonts w:cs="Times New Roman"/>
        </w:rPr>
        <w:instrText xml:space="preserve"> ADDIN EN.CITE &lt;EndNote&gt;&lt;Cite&gt;&lt;Author&gt;Cheng&lt;/Author&gt;&lt;Year&gt;1992&lt;/Year&gt;&lt;RecNum&gt;7&lt;/RecNum&gt;&lt;DisplayText&gt;(Cheng, Cahill et al. 1992)&lt;/DisplayText&gt;&lt;record&gt;&lt;rec-number&gt;7&lt;/rec-number&gt;&lt;foreign-keys&gt;&lt;key app="EN" db-id="wpf2eztvgsdv0meff22xfzwkp0vdffs2t55w"&gt;7&lt;/key&gt;&lt;/foreign-keys&gt;&lt;ref-type name="Journal Article"&gt;17&lt;/ref-type&gt;&lt;contributors&gt;&lt;authors&gt;&lt;author&gt;Cheng, K.&lt;/author&gt;&lt;author&gt;Cahill, D.&lt;/author&gt;&lt;author&gt;Kasai, H.&lt;/author&gt;&lt;author&gt;Nishimura, S.&lt;/author&gt;&lt;author&gt;Loeb, L.&lt;/author&gt;&lt;/authors&gt;&lt;/contributors&gt;&lt;auth-address&gt;Gottstein Memorial Cancer Research Laboratory, University of Washington, Seattle 98195.&lt;/auth-address&gt;&lt;titles&gt;&lt;title&gt;8-Hydroxyguanine, an abundant form of oxidative DNA damage, causes G----T and A----C substitutions&lt;/title&gt;&lt;secondary-title&gt;The Journal of biological chemistry&lt;/secondary-title&gt;&lt;/titles&gt;&lt;periodical&gt;&lt;full-title&gt;The Journal of biological chemistry&lt;/full-title&gt;&lt;/periodical&gt;&lt;pages&gt;166-238&lt;/pages&gt;&lt;volume&gt;267&lt;/volume&gt;&lt;number&gt;1&lt;/number&gt;&lt;dates&gt;&lt;year&gt;1992&lt;/year&gt;&lt;/dates&gt;&lt;isbn&gt;0021-9258&lt;/isbn&gt;&lt;urls&gt;&lt;/urls&gt;&lt;remote-database-name&gt;Readcube&lt;/remote-database-name&gt;&lt;/record&gt;&lt;/Cite&gt;&lt;/EndNote&gt;</w:instrText>
      </w:r>
      <w:r w:rsidR="00F20EC0" w:rsidRPr="00DF0680">
        <w:rPr>
          <w:rFonts w:cs="Times New Roman"/>
        </w:rPr>
        <w:fldChar w:fldCharType="separate"/>
      </w:r>
      <w:r w:rsidRPr="00DF0680">
        <w:rPr>
          <w:rFonts w:cs="Times New Roman"/>
        </w:rPr>
        <w:t>(</w:t>
      </w:r>
      <w:hyperlink w:anchor="_ENREF_17" w:tooltip="Cheng, 1992 #7" w:history="1">
        <w:r w:rsidRPr="00DF0680">
          <w:rPr>
            <w:rFonts w:cs="Times New Roman"/>
          </w:rPr>
          <w:t>Cheng, Cahill et al. 1992</w:t>
        </w:r>
      </w:hyperlink>
      <w:r w:rsidRPr="00DF0680">
        <w:rPr>
          <w:rFonts w:cs="Times New Roman"/>
        </w:rPr>
        <w:t>)</w:t>
      </w:r>
      <w:r w:rsidR="00F20EC0" w:rsidRPr="00DF0680">
        <w:rPr>
          <w:rFonts w:cs="Times New Roman"/>
        </w:rPr>
        <w:fldChar w:fldCharType="end"/>
      </w:r>
      <w:r w:rsidRPr="00DF0680">
        <w:rPr>
          <w:rFonts w:cs="Times New Roman"/>
        </w:rPr>
        <w:t xml:space="preserve">. </w:t>
      </w:r>
      <w:r w:rsidR="00DC7C68" w:rsidRPr="00DF0680">
        <w:rPr>
          <w:rFonts w:cs="Times New Roman"/>
        </w:rPr>
        <w:t xml:space="preserve">Oxidizing agents can also cause strand breaks in DNA, and if single strand breaks are reached by the replication machinery, it causes replication fork collapse and the formation of a double strand break </w:t>
      </w:r>
      <w:r w:rsidR="00F20EC0" w:rsidRPr="00DF0680">
        <w:rPr>
          <w:rFonts w:cs="Times New Roman"/>
        </w:rPr>
        <w:fldChar w:fldCharType="begin" w:fldLock="1"/>
      </w:r>
      <w:r w:rsidR="001112F6" w:rsidRPr="00DF0680">
        <w:rPr>
          <w:rFonts w:cs="Times New Roman"/>
        </w:rPr>
        <w:instrText>ADDIN CSL_CITATION { "citationItems" : [ { "id" : "ITEM-1", "itemData" : { "DOI" : "10.1073/pnas.131009198", "ISSN" : "0027-8424", "PMID" : "11459959", "abstract" : "Replication-dependent chromosomal breakage suggests that replication forks occasionally run into nicks in template DNA and collapse, generating double-strand ends. To model replication fork collapse in vivo, I constructed phage lambda chromosomes carrying the nicking site of M13 bacteriophage and infected with these substrates Escherichia coli cells, producing M13 nicking enzyme. I detected double-strand breaks at the nicking sites in lambda DNA purified from these cells. The double-strand breakage depends on (i) the presence of the nicking site; (ii) the production of the nicking enzyme; and (iii) replication of the nick-containing chromosome. Replication fork collapse at nicks in template DNA explains diverse phenomena, including eukaryotic cell killing by DNA topoisomerase inhibitors and inviability of recombination-deficient vertebrate cell lines.", "author" : [ { "dropping-particle" : "", "family" : "Kuzminov", "given" : "a", "non-dropping-particle" : "", "parse-names" : false, "suffix" : "" } ], "container-title" : "Proceedings of the National Academy of Sciences", "id" : "ITEM-1", "issue" : "15", "issued" : { "date-parts" : [ [ "2001", "7", "17" ] ] }, "page" : "8241-6", "title" : "Single-strand interruptions in replicating chromosomes cause double-strand breaks.", "type" : "article-journal", "volume" : "98" }, "uris" : [ "http://www.mendeley.com/documents/?uuid=f6f87f79-1a83-4f8f-af8a-044e40be4391" ] } ], "mendeley" : { "formattedCitation" : "(Kuzminov 2001)", "plainTextFormattedCitation" : "(Kuzminov 2001)", "previouslyFormattedCitation" : "(Kuzminov 2001)" }, "properties" : { "noteIndex" : 0 }, "schema" : "https://github.com/citation-style-language/schema/raw/master/csl-citation.json" }</w:instrText>
      </w:r>
      <w:r w:rsidR="00F20EC0" w:rsidRPr="00DF0680">
        <w:rPr>
          <w:rFonts w:cs="Times New Roman"/>
        </w:rPr>
        <w:fldChar w:fldCharType="separate"/>
      </w:r>
      <w:r w:rsidR="00DC7C68" w:rsidRPr="00DF0680">
        <w:rPr>
          <w:rFonts w:cs="Times New Roman"/>
        </w:rPr>
        <w:t>(Kuzminov 2001)</w:t>
      </w:r>
      <w:r w:rsidR="00F20EC0" w:rsidRPr="00DF0680">
        <w:rPr>
          <w:rFonts w:cs="Times New Roman"/>
        </w:rPr>
        <w:fldChar w:fldCharType="end"/>
      </w:r>
      <w:r w:rsidR="00DC7C68" w:rsidRPr="00DF0680">
        <w:rPr>
          <w:rFonts w:cs="Times New Roman"/>
        </w:rPr>
        <w:t xml:space="preserve">. </w:t>
      </w:r>
    </w:p>
    <w:p w:rsidR="003463CD" w:rsidRPr="00DF0680" w:rsidRDefault="00CE6110" w:rsidP="00E664FC">
      <w:pPr>
        <w:pStyle w:val="Heading3"/>
      </w:pPr>
      <w:bookmarkStart w:id="30" w:name="_Toc417204077"/>
      <w:bookmarkStart w:id="31" w:name="_Toc417674314"/>
      <w:r w:rsidRPr="00DF0680">
        <w:t>Exogenous DNA d</w:t>
      </w:r>
      <w:r w:rsidR="003463CD" w:rsidRPr="00DF0680">
        <w:t>amage</w:t>
      </w:r>
      <w:bookmarkEnd w:id="30"/>
      <w:bookmarkEnd w:id="31"/>
    </w:p>
    <w:p w:rsidR="00C274D5" w:rsidRPr="00DF0680" w:rsidRDefault="00240CB9" w:rsidP="00A025CF">
      <w:pPr>
        <w:rPr>
          <w:rFonts w:cs="Times New Roman"/>
        </w:rPr>
      </w:pPr>
      <w:r w:rsidRPr="00DF0680">
        <w:rPr>
          <w:rFonts w:cs="Times New Roman"/>
        </w:rPr>
        <w:t xml:space="preserve">Exogenous damage can </w:t>
      </w:r>
      <w:r w:rsidR="00C274D5" w:rsidRPr="00DF0680">
        <w:rPr>
          <w:rFonts w:cs="Times New Roman"/>
        </w:rPr>
        <w:t xml:space="preserve">damage DNA </w:t>
      </w:r>
      <w:r w:rsidR="009C4BCD" w:rsidRPr="00DF0680">
        <w:rPr>
          <w:rFonts w:cs="Times New Roman"/>
        </w:rPr>
        <w:t xml:space="preserve">bases or </w:t>
      </w:r>
      <w:r w:rsidRPr="00DF0680">
        <w:rPr>
          <w:rFonts w:cs="Times New Roman"/>
        </w:rPr>
        <w:t xml:space="preserve">the </w:t>
      </w:r>
      <w:r w:rsidR="009C4BCD" w:rsidRPr="00DF0680">
        <w:rPr>
          <w:rFonts w:cs="Times New Roman"/>
        </w:rPr>
        <w:t xml:space="preserve">sugar-phosphate backbone </w:t>
      </w:r>
      <w:r w:rsidRPr="00DF0680">
        <w:rPr>
          <w:rFonts w:cs="Times New Roman"/>
        </w:rPr>
        <w:t xml:space="preserve">either </w:t>
      </w:r>
      <w:r w:rsidR="00C274D5" w:rsidRPr="00DF0680">
        <w:rPr>
          <w:rFonts w:cs="Times New Roman"/>
        </w:rPr>
        <w:t xml:space="preserve">directly (e.g. energy from radiation being transferred directly to a DNA base) or indirectly (e.g. ionising radiation hydrolysing water </w:t>
      </w:r>
      <w:r w:rsidR="00F74D9F" w:rsidRPr="00DF0680">
        <w:rPr>
          <w:rFonts w:cs="Times New Roman"/>
        </w:rPr>
        <w:t xml:space="preserve">in the cytoplasm </w:t>
      </w:r>
      <w:r w:rsidR="00C274D5" w:rsidRPr="00DF0680">
        <w:rPr>
          <w:rFonts w:cs="Times New Roman"/>
        </w:rPr>
        <w:t xml:space="preserve">to hydroxyl radicals which </w:t>
      </w:r>
      <w:r w:rsidR="00F74D9F" w:rsidRPr="00DF0680">
        <w:rPr>
          <w:rFonts w:cs="Times New Roman"/>
        </w:rPr>
        <w:t xml:space="preserve">can </w:t>
      </w:r>
      <w:r w:rsidR="00C274D5" w:rsidRPr="00DF0680">
        <w:rPr>
          <w:rFonts w:cs="Times New Roman"/>
        </w:rPr>
        <w:t>then react with DNA)</w:t>
      </w:r>
      <w:r w:rsidR="00F74D9F"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"ISSN" : "0006-2960", "PMID" : "3902079", "abstract" : "A DNA glycosylase which catalyzes the release of thymine residues damaged by ring saturation, fragmentation, or ring contraction from double-stranded DNA has been used to characterize such base derivatives in gamma-irradiated DNA. It is shown by chromatographic analysis that irradiation of DNA in neutral solution generates the ring-saturated forms cis-thymine glycol, trans-thymine glycol, and a monohydroxydihydrothymine, probably 6-hydroxy-5,6-dihydrothymine. The latter compound is only observed after irradiation under hypoxic conditions. The ring-contracted thymine derivative 5-hydroxy-5-methylhydantoin is also formed, and it is the major lesion after irradiation of DNA under O2. Ring-fragmented products such as methyltartronylurea were only generated in small quantities. Isolation and analysis of the DNA from gamma-irradiated human cells also revealed the formation of ring-saturated thymine derivatives, but 5-hydroxy-5-methylhydantoin was not found in this case.", "author" : [ { "dropping-particle" : "", "family" : "Breimer", "given" : "L H", "non-dropping-particle" : "", "parse-names" : false, "suffix" : "" }, { "dropping-particle" : "", "family" : "Lindahl", "given" : "T", "non-dropping-particle" : "", "parse-names" : false, "suffix" : "" } ], "container-title" : "Biochemistry", "id" : "ITEM-1", "issue" : "15", "issued" : { "date-parts" : [ [ "1985", "7", "16" ] ] }, "page" : "4018-22", "title" : "Thymine lesions produced by ionizing radiation in double-stranded DNA.", "type" : "article-journal", "volume" : "24" }, "uris" : [ "http://www.mendeley.com/documents/?uuid=126ffe0e-7cf6-4eda-a3c3-ccf7be5c3d8b" ] }, { "id" : "ITEM-2", "itemData" : { "DOI" : "10.1023/B:CANC.0000031769.14728.bc", "ISSN" : "0167-7659", "PMID" : "15197331", "abstract" : "Exposure of eukaryotic cells to ionizing radiation (IR) results in the immediate formation of free radicals that last a matter of milliseconds. It has been assumed that the subsequent alterations in multiple intracellular processes following irradiation is due to the initial oxidative damage caused by these free radicals. However, it is becoming increasingly clear that intracellular metabolic oxidation/reduction (redox) reactions can be affected by this initial IR-induced free radical insult and may remain perturbed for minutes, hours, or days. It would seem logical that these cellular redox reactions might contribute to the activation of protective or damaging processes that could impact upon the damaging effects of IR. These processes include redox sensitive signaling pathways, transcription factor activation, gene expression, and metabolic activities that govern the formation of intracellular oxidants and reductants. The physiological manifestations of these radiation-induced alterations in redox sensitive processes have been suggested to contribute to adaptive responses, bystander effects, cell cycle perturbations, cytotoxicity, heat-induced radiosensitization, genomic instability, inflammation, and fibrosis. While a great deal is known about the molecular changes associated with the initial production of free radicals at the time of irradiation, the contribution of perturbations in redox sensitive metabolic processes to biological outcomes following exposure to IR is only recently becoming established. This review will focus on evidence supporting the concept that perturbations in intracellular metabolic oxidation/reduction reactions contribute to the biological effects of radiation exposure as well as new concepts emerging from the field of free radical biology that may be relevant to future studies in radiobiology.", "author" : [ { "dropping-particle" : "", "family" : "Spitz", "given" : "Douglas R", "non-dropping-particle" : "", "parse-names" : false, "suffix" : "" }, { "dropping-particle" : "", "family" : "Azzam", "given" : "Edouard I", "non-dropping-particle" : "", "parse-names" : false, "suffix" : "" }, { "dropping-particle" : "", "family" : "Li", "given" : "Jian Jian", "non-dropping-particle" : "", "parse-names" : false, "suffix" : "" }, { "dropping-particle" : "", "family" : "Gius", "given" : "David", "non-dropping-particle" : "", "parse-names" : false, "suffix" : "" } ], "container-title" : "Cancer Metastasis Reviews", "id" : "ITEM-2", "issue" : "3-4", "issued" : { "date-parts" : [ [ "2004" ] ] }, "page" : "311-22", "title" : "Metabolic oxidation/reduction reactions and cellular responses to ionizing radiation: a unifying concept in stress response biology.", "type" : "article-journal", "volume" : "23" }, "uris" : [ "http://www.mendeley.com/documents/?uuid=c24c206a-3b70-4213-bc69-84db2da14b07" ] } ], "mendeley" : { "formattedCitation" : "(Breimer &amp; Lindahl 1985; Spitz et al. 2004)", "plainTextFormattedCitation" : "(Breimer &amp; Lindahl 1985; Spitz et al. 2004)", "previouslyFormattedCitation" : "(Breimer &amp; Lindahl 1985; Spitz et al. 2004)"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(Breimer &amp; Lindahl 1985; Spitz et al. 2004)</w:t>
      </w:r>
      <w:r w:rsidR="00F20EC0" w:rsidRPr="00DF0680">
        <w:rPr>
          <w:rFonts w:cs="Times New Roman"/>
        </w:rPr>
        <w:fldChar w:fldCharType="end"/>
      </w:r>
      <w:r w:rsidR="00C274D5" w:rsidRPr="00DF0680">
        <w:rPr>
          <w:rFonts w:cs="Times New Roman"/>
        </w:rPr>
        <w:t>. External sources include radiation, chemicals and cytotoxic drugs.</w:t>
      </w:r>
    </w:p>
    <w:p w:rsidR="00C274D5" w:rsidRPr="00DF0680" w:rsidRDefault="001E4BCE" w:rsidP="00A025CF">
      <w:pPr>
        <w:rPr>
          <w:rFonts w:cs="Times New Roman"/>
        </w:rPr>
      </w:pPr>
      <w:r w:rsidRPr="00DF0680">
        <w:rPr>
          <w:rFonts w:cs="Times New Roman"/>
        </w:rPr>
        <w:t>An</w:t>
      </w:r>
      <w:r w:rsidR="00883AF7" w:rsidRPr="00DF0680">
        <w:rPr>
          <w:rFonts w:cs="Times New Roman"/>
        </w:rPr>
        <w:t>other</w:t>
      </w:r>
      <w:r w:rsidRPr="00DF0680">
        <w:rPr>
          <w:rFonts w:cs="Times New Roman"/>
        </w:rPr>
        <w:t xml:space="preserve"> important source of </w:t>
      </w:r>
      <w:r w:rsidR="00E52DD8" w:rsidRPr="00DF0680">
        <w:rPr>
          <w:rFonts w:cs="Times New Roman"/>
        </w:rPr>
        <w:t>exogenous</w:t>
      </w:r>
      <w:r w:rsidRPr="00DF0680">
        <w:rPr>
          <w:rFonts w:cs="Times New Roman"/>
        </w:rPr>
        <w:t xml:space="preserve"> damage is ultraviolet</w:t>
      </w:r>
      <w:r w:rsidR="00C274D5" w:rsidRPr="00DF0680">
        <w:rPr>
          <w:rFonts w:cs="Times New Roman"/>
        </w:rPr>
        <w:t xml:space="preserve"> light</w:t>
      </w:r>
      <w:r w:rsidRPr="00DF0680">
        <w:rPr>
          <w:rFonts w:cs="Times New Roman"/>
        </w:rPr>
        <w:t>. This</w:t>
      </w:r>
      <w:r w:rsidR="00C274D5" w:rsidRPr="00DF0680">
        <w:rPr>
          <w:rFonts w:cs="Times New Roman"/>
        </w:rPr>
        <w:t xml:space="preserve"> has a direct effect on DNA and can cause many lesions, </w:t>
      </w:r>
      <w:r w:rsidR="00464FE9" w:rsidRPr="00DF0680">
        <w:rPr>
          <w:rFonts w:cs="Times New Roman"/>
        </w:rPr>
        <w:t xml:space="preserve">such as </w:t>
      </w:r>
      <w:r w:rsidR="00C274D5" w:rsidRPr="00DF0680">
        <w:rPr>
          <w:rFonts w:cs="Times New Roman"/>
        </w:rPr>
        <w:t>pyrimidine dimers. By absorbing the energy from UV light, thymidine and / or cytosine can bind with an adjacent pyrimidine forming a covalent bond. These lesions (</w:t>
      </w:r>
      <w:r w:rsidR="00A5017A" w:rsidRPr="00DF0680">
        <w:rPr>
          <w:rFonts w:cs="Times New Roman"/>
        </w:rPr>
        <w:t>T=T, C=T and C=C</w:t>
      </w:r>
      <w:r w:rsidR="00C274D5" w:rsidRPr="00DF0680">
        <w:rPr>
          <w:rFonts w:cs="Times New Roman"/>
        </w:rPr>
        <w:t xml:space="preserve">) can cause the DNA to form a “kink” </w:t>
      </w:r>
      <w:r w:rsidR="00F20EC0" w:rsidRPr="00DF0680">
        <w:rPr>
          <w:rFonts w:cs="Times New Roman"/>
        </w:rPr>
        <w:fldChar w:fldCharType="begin"/>
      </w:r>
      <w:r w:rsidR="00C274D5" w:rsidRPr="00DF0680">
        <w:rPr>
          <w:rFonts w:cs="Times New Roman"/>
        </w:rPr>
        <w:instrText xml:space="preserve"> ADDIN EN.CITE &lt;EndNote&gt;&lt;Cite&gt;&lt;Author&gt;Pearlman&lt;/Author&gt;&lt;Year&gt;1985&lt;/Year&gt;&lt;RecNum&gt;8&lt;/RecNum&gt;&lt;DisplayText&gt;(Pearlman, Holbrook et al. 1985)&lt;/DisplayText&gt;&lt;record&gt;&lt;rec-number&gt;8&lt;/rec-number&gt;&lt;foreign-keys&gt;&lt;key app="EN" db-id="wpf2eztvgsdv0meff22xfzwkp0vdffs2t55w"&gt;8&lt;/key&gt;&lt;/foreign-keys&gt;&lt;ref-type name="Journal Article"&gt;17&lt;/ref-type&gt;&lt;contributors&gt;&lt;authors&gt;&lt;author&gt;Pearlman, D.&lt;/author&gt;&lt;author&gt;Holbrook, S.&lt;/author&gt;&lt;author&gt;Pirkle, D.&lt;/author&gt;&lt;author&gt;Kim, S.&lt;/author&gt;&lt;/authors&gt;&lt;/contributors&gt;&lt;titles&gt;&lt;title&gt;Molecular models for DNA damaged by photoreaction&lt;/title&gt;&lt;secondary-title&gt;Science (New York, N.Y.)&lt;/secondary-title&gt;&lt;/titles&gt;&lt;periodical&gt;&lt;full-title&gt;Science (New York, N.Y.)&lt;/full-title&gt;&lt;/periodical&gt;&lt;pages&gt;1304-1312&lt;/pages&gt;&lt;volume&gt;227&lt;/volume&gt;&lt;number&gt;4692&lt;/number&gt;&lt;dates&gt;&lt;year&gt;1985&lt;/year&gt;&lt;/dates&gt;&lt;isbn&gt;0036-8075&lt;/isbn&gt;&lt;urls&gt;&lt;related-urls&gt;&lt;url&gt;C:\Users\Karl\Documents\ReadCube Media\1985 Science (New Kim SH 1985.pdf&lt;/url&gt;&lt;/related-urls&gt;&lt;/urls&gt;&lt;remote-database-name&gt;Readcube&lt;/remote-database-name&gt;&lt;/record&gt;&lt;/Cite&gt;&lt;/EndNote&gt;</w:instrText>
      </w:r>
      <w:r w:rsidR="00F20EC0" w:rsidRPr="00DF0680">
        <w:rPr>
          <w:rFonts w:cs="Times New Roman"/>
        </w:rPr>
        <w:fldChar w:fldCharType="separate"/>
      </w:r>
      <w:r w:rsidR="00C274D5" w:rsidRPr="00DF0680">
        <w:rPr>
          <w:rFonts w:cs="Times New Roman"/>
        </w:rPr>
        <w:t>(</w:t>
      </w:r>
      <w:hyperlink w:anchor="_ENREF_61" w:tooltip="Pearlman, 1985 #8" w:history="1">
        <w:r w:rsidR="00C274D5" w:rsidRPr="00DF0680">
          <w:rPr>
            <w:rFonts w:cs="Times New Roman"/>
          </w:rPr>
          <w:t>Pearlman, Holbrook et al. 1985</w:t>
        </w:r>
      </w:hyperlink>
      <w:r w:rsidR="00C274D5" w:rsidRPr="00DF0680">
        <w:rPr>
          <w:rFonts w:cs="Times New Roman"/>
        </w:rPr>
        <w:t>)</w:t>
      </w:r>
      <w:r w:rsidR="00F20EC0" w:rsidRPr="00DF0680">
        <w:rPr>
          <w:rFonts w:cs="Times New Roman"/>
        </w:rPr>
        <w:fldChar w:fldCharType="end"/>
      </w:r>
      <w:r w:rsidR="00464FE9" w:rsidRPr="00DF0680">
        <w:rPr>
          <w:rFonts w:cs="Times New Roman"/>
        </w:rPr>
        <w:t>,</w:t>
      </w:r>
      <w:r w:rsidR="00C274D5" w:rsidRPr="00DF0680">
        <w:rPr>
          <w:rFonts w:cs="Times New Roman"/>
        </w:rPr>
        <w:t xml:space="preserve"> </w:t>
      </w:r>
      <w:r w:rsidR="00464FE9" w:rsidRPr="00DF0680">
        <w:rPr>
          <w:rFonts w:cs="Times New Roman"/>
        </w:rPr>
        <w:t xml:space="preserve">and </w:t>
      </w:r>
      <w:r w:rsidR="00C274D5" w:rsidRPr="00DF0680">
        <w:rPr>
          <w:rFonts w:cs="Times New Roman"/>
        </w:rPr>
        <w:t xml:space="preserve">inhibits replication of DNA </w:t>
      </w:r>
      <w:r w:rsidR="00F20EC0" w:rsidRPr="00DF0680">
        <w:rPr>
          <w:rFonts w:cs="Times New Roman"/>
        </w:rPr>
        <w:fldChar w:fldCharType="begin"/>
      </w:r>
      <w:r w:rsidR="00C274D5" w:rsidRPr="00DF0680">
        <w:rPr>
          <w:rFonts w:cs="Times New Roman"/>
        </w:rPr>
        <w:instrText xml:space="preserve"> ADDIN EN.CITE &lt;EndNote&gt;&lt;Cite&gt;&lt;Author&gt;Setlow&lt;/Author&gt;&lt;Year&gt;1966&lt;/Year&gt;&lt;RecNum&gt;9&lt;/RecNum&gt;&lt;DisplayText&gt;(Setlow and Carrier 1966)&lt;/DisplayText&gt;&lt;record&gt;&lt;rec-number&gt;9&lt;/rec-number&gt;&lt;foreign-keys&gt;&lt;key app="EN" db-id="wpf2eztvgsdv0meff22xfzwkp0vdffs2t55w"&gt;9&lt;/key&gt;&lt;/foreign-keys&gt;&lt;ref-type name="Journal Article"&gt;17&lt;/ref-type&gt;&lt;contributors&gt;&lt;authors&gt;&lt;author&gt;Setlow, R.&lt;/author&gt;&lt;author&gt;Carrier, W.&lt;/author&gt;&lt;/authors&gt;&lt;/contributors&gt;&lt;titles&gt;&lt;title&gt;Pyrimidine dimers in ultraviolet-irradiated DNA&amp;apos;s&lt;/title&gt;&lt;secondary-title&gt;Journal of Molecular Biology&lt;/secondary-title&gt;&lt;/titles&gt;&lt;periodical&gt;&lt;full-title&gt;Journal of Molecular Biology&lt;/full-title&gt;&lt;/periodical&gt;&lt;pages&gt;237-291&lt;/pages&gt;&lt;volume&gt;17&lt;/volume&gt;&lt;number&gt;1&lt;/number&gt;&lt;dates&gt;&lt;year&gt;1966&lt;/year&gt;&lt;/dates&gt;&lt;isbn&gt;0022-2836&lt;/isbn&gt;&lt;urls&gt;&lt;/urls&gt;&lt;remote-database-name&gt;Readcube&lt;/remote-database-name&gt;&lt;/record&gt;&lt;/Cite&gt;&lt;/EndNote&gt;</w:instrText>
      </w:r>
      <w:r w:rsidR="00F20EC0" w:rsidRPr="00DF0680">
        <w:rPr>
          <w:rFonts w:cs="Times New Roman"/>
        </w:rPr>
        <w:fldChar w:fldCharType="separate"/>
      </w:r>
      <w:r w:rsidR="00C274D5" w:rsidRPr="00DF0680">
        <w:rPr>
          <w:rFonts w:cs="Times New Roman"/>
        </w:rPr>
        <w:t>(</w:t>
      </w:r>
      <w:hyperlink w:anchor="_ENREF_67" w:tooltip="Setlow, 1966 #9" w:history="1">
        <w:r w:rsidR="00C274D5" w:rsidRPr="00DF0680">
          <w:rPr>
            <w:rFonts w:cs="Times New Roman"/>
          </w:rPr>
          <w:t>Setlow and Carrier 1966</w:t>
        </w:r>
      </w:hyperlink>
      <w:r w:rsidR="00C274D5" w:rsidRPr="00DF0680">
        <w:rPr>
          <w:rFonts w:cs="Times New Roman"/>
        </w:rPr>
        <w:t>)</w:t>
      </w:r>
      <w:r w:rsidR="00F20EC0" w:rsidRPr="00DF0680">
        <w:rPr>
          <w:rFonts w:cs="Times New Roman"/>
        </w:rPr>
        <w:fldChar w:fldCharType="end"/>
      </w:r>
      <w:r w:rsidR="00C274D5" w:rsidRPr="00DF0680">
        <w:rPr>
          <w:rFonts w:cs="Times New Roman"/>
        </w:rPr>
        <w:t xml:space="preserve">. </w:t>
      </w:r>
    </w:p>
    <w:p w:rsidR="00A025CF" w:rsidRPr="00DF0680" w:rsidRDefault="002F2594" w:rsidP="00A025CF">
      <w:pPr>
        <w:rPr>
          <w:rFonts w:cs="Times New Roman"/>
        </w:rPr>
      </w:pPr>
      <w:r w:rsidRPr="00DF0680">
        <w:rPr>
          <w:rFonts w:cs="Times New Roman"/>
        </w:rPr>
        <w:lastRenderedPageBreak/>
        <w:t>Other external sources of DNA damage can be manipulated for use in the treatment of cancer.</w:t>
      </w:r>
    </w:p>
    <w:p w:rsidR="00A025CF" w:rsidRPr="00DF0680" w:rsidRDefault="00A025CF" w:rsidP="00E664FC">
      <w:pPr>
        <w:pStyle w:val="Heading3"/>
      </w:pPr>
      <w:bookmarkStart w:id="32" w:name="_Toc417204078"/>
      <w:bookmarkStart w:id="33" w:name="_Toc417674315"/>
      <w:r w:rsidRPr="00DF0680">
        <w:t xml:space="preserve">DNA </w:t>
      </w:r>
      <w:r w:rsidR="00CE6110" w:rsidRPr="00DF0680">
        <w:t>d</w:t>
      </w:r>
      <w:r w:rsidRPr="00DF0680">
        <w:t>amage</w:t>
      </w:r>
      <w:r w:rsidR="005F5B5A" w:rsidRPr="00DF0680">
        <w:t xml:space="preserve">, </w:t>
      </w:r>
      <w:r w:rsidR="00CE6110" w:rsidRPr="00DF0680">
        <w:t>i</w:t>
      </w:r>
      <w:r w:rsidR="005F5B5A" w:rsidRPr="00DF0680">
        <w:t>oni</w:t>
      </w:r>
      <w:r w:rsidR="0061355C" w:rsidRPr="00DF0680">
        <w:t>s</w:t>
      </w:r>
      <w:r w:rsidR="005F5B5A" w:rsidRPr="00DF0680">
        <w:t xml:space="preserve">ing </w:t>
      </w:r>
      <w:r w:rsidR="00CE6110" w:rsidRPr="00DF0680">
        <w:t>r</w:t>
      </w:r>
      <w:r w:rsidR="005F5B5A" w:rsidRPr="00DF0680">
        <w:t>adiation</w:t>
      </w:r>
      <w:r w:rsidRPr="00DF0680">
        <w:t xml:space="preserve"> and </w:t>
      </w:r>
      <w:r w:rsidR="00CE6110" w:rsidRPr="00DF0680">
        <w:t>r</w:t>
      </w:r>
      <w:r w:rsidRPr="00DF0680">
        <w:t>adiotherapy</w:t>
      </w:r>
      <w:bookmarkEnd w:id="32"/>
      <w:bookmarkEnd w:id="33"/>
    </w:p>
    <w:p w:rsidR="00C274D5" w:rsidRPr="00DF0680" w:rsidRDefault="00D6591E" w:rsidP="006119E3">
      <w:r w:rsidRPr="00DF0680">
        <w:t>As mentioned above</w:t>
      </w:r>
      <w:r w:rsidR="00C274D5" w:rsidRPr="00DF0680">
        <w:t>, hydroxyl radicals can cause direct damage to DNA by reacting with the nucleophilic nitrogenous bases. Whilst this is a form of endogenous damage, hydroxyl radicals can also be formed from the hydrolytic fission caused by ionising radiation</w:t>
      </w:r>
      <w:r w:rsidR="006D05FD" w:rsidRPr="00DF0680">
        <w:t xml:space="preserve"> (IR)</w:t>
      </w:r>
      <w:r w:rsidR="00C274D5" w:rsidRPr="00DF0680">
        <w:t xml:space="preserve"> </w:t>
      </w:r>
      <w:r w:rsidR="00F20EC0" w:rsidRPr="00DF0680">
        <w:fldChar w:fldCharType="begin"/>
      </w:r>
      <w:r w:rsidR="00C274D5" w:rsidRPr="00DF0680">
        <w:instrText xml:space="preserve"> ADDIN EN.CITE &lt;EndNote&gt;&lt;Cite&gt;&lt;Author&gt;Halliwell&lt;/Author&gt;&lt;Year&gt;1991&lt;/Year&gt;&lt;RecNum&gt;10&lt;/RecNum&gt;&lt;DisplayText&gt;(Halliwell and Aruoma 1991)&lt;/DisplayText&gt;&lt;record&gt;&lt;rec-number&gt;10&lt;/rec-number&gt;&lt;foreign-keys&gt;&lt;key app="EN" db-id="wpf2eztvgsdv0meff22xfzwkp0vdffs2t55w"&gt;10&lt;/key&gt;&lt;/foreign-keys&gt;&lt;ref-type name="Journal Article"&gt;17&lt;/ref-type&gt;&lt;contributors&gt;&lt;authors&gt;&lt;author&gt;Halliwell, B.&lt;/author&gt;&lt;author&gt;Aruoma, O.&lt;/author&gt;&lt;/authors&gt;&lt;/contributors&gt;&lt;auth-address&gt;Division of Pulmonary Medicine, UC Davis Medical Center, Sacramento 95817.&lt;/auth-address&gt;&lt;titles&gt;&lt;title&gt;DNA damage by oxygen-derived species. Its mechanism and measurement in mammalian systems&lt;/title&gt;&lt;secondary-title&gt;FEBS letters&lt;/secondary-title&gt;&lt;/titles&gt;&lt;periodical&gt;&lt;full-title&gt;FEBS letters&lt;/full-title&gt;&lt;/periodical&gt;&lt;pages&gt;9-28&lt;/pages&gt;&lt;volume&gt;281&lt;/volume&gt;&lt;number&gt;1-2&lt;/number&gt;&lt;dates&gt;&lt;year&gt;1991&lt;/year&gt;&lt;/dates&gt;&lt;isbn&gt;0014-5793&lt;/isbn&gt;&lt;urls&gt;&lt;/urls&gt;&lt;remote-database-name&gt;Readcube&lt;/remote-database-name&gt;&lt;/record&gt;&lt;/Cite&gt;&lt;/EndNote&gt;</w:instrText>
      </w:r>
      <w:r w:rsidR="00F20EC0" w:rsidRPr="00DF0680">
        <w:fldChar w:fldCharType="separate"/>
      </w:r>
      <w:r w:rsidR="00C274D5" w:rsidRPr="00DF0680">
        <w:t>(</w:t>
      </w:r>
      <w:hyperlink w:anchor="_ENREF_32" w:tooltip="Halliwell, 1991 #10" w:history="1">
        <w:r w:rsidR="00C274D5" w:rsidRPr="00DF0680">
          <w:t>Halliwell and Aruoma 1991</w:t>
        </w:r>
      </w:hyperlink>
      <w:r w:rsidR="00C274D5" w:rsidRPr="00DF0680">
        <w:t>)</w:t>
      </w:r>
      <w:r w:rsidR="00F20EC0" w:rsidRPr="00DF0680">
        <w:fldChar w:fldCharType="end"/>
      </w:r>
      <w:r w:rsidR="00C274D5" w:rsidRPr="00DF0680">
        <w:t xml:space="preserve">. Reactive oxygen species can also cause DNA cleavage which can lead to single and double strand breaks (DSBs) </w:t>
      </w:r>
      <w:r w:rsidR="00F20EC0" w:rsidRPr="00DF0680">
        <w:fldChar w:fldCharType="begin"/>
      </w:r>
      <w:r w:rsidR="00C274D5" w:rsidRPr="00DF0680">
        <w:instrText xml:space="preserve"> ADDIN EN.CITE &lt;EndNote&gt;&lt;Cite&gt;&lt;Author&gt;Breen&lt;/Author&gt;&lt;Year&gt;1995&lt;/Year&gt;&lt;RecNum&gt;11&lt;/RecNum&gt;&lt;DisplayText&gt;(Breen and Murphy 1995)&lt;/DisplayText&gt;&lt;record&gt;&lt;rec-number&gt;11&lt;/rec-number&gt;&lt;foreign-keys&gt;&lt;key app="EN" db-id="wpf2eztvgsdv0meff22xfzwkp0vdffs2t55w"&gt;11&lt;/key&gt;&lt;/foreign-keys&gt;&lt;ref-type name="Journal Article"&gt;17&lt;/ref-type&gt;&lt;contributors&gt;&lt;authors&gt;&lt;author&gt;Breen, A.&lt;/author&gt;&lt;author&gt;Murphy, J.&lt;/author&gt;&lt;/authors&gt;&lt;/contributors&gt;&lt;auth-address&gt;University of Nottingham, Department of Chemistry, UK.&lt;/auth-address&gt;&lt;titles&gt;&lt;title&gt;Reactions of oxyl radicals with DNA&lt;/title&gt;&lt;secondary-title&gt;Free radical biology &amp;amp; medicine&lt;/secondary-title&gt;&lt;/titles&gt;&lt;periodical&gt;&lt;full-title&gt;Free radical biology &amp;amp; medicine&lt;/full-title&gt;&lt;/periodical&gt;&lt;pages&gt;1033-1110&lt;/pages&gt;&lt;volume&gt;18&lt;/volume&gt;&lt;number&gt;6&lt;/number&gt;&lt;dates&gt;&lt;year&gt;1995&lt;/year&gt;&lt;/dates&gt;&lt;isbn&gt;0891-5849&lt;/isbn&gt;&lt;urls&gt;&lt;/urls&gt;&lt;remote-database-name&gt;Readcube&lt;/remote-database-name&gt;&lt;/record&gt;&lt;/Cite&gt;&lt;/EndNote&gt;</w:instrText>
      </w:r>
      <w:r w:rsidR="00F20EC0" w:rsidRPr="00DF0680">
        <w:fldChar w:fldCharType="separate"/>
      </w:r>
      <w:r w:rsidR="00C274D5" w:rsidRPr="00DF0680">
        <w:t>(</w:t>
      </w:r>
      <w:hyperlink w:anchor="_ENREF_10" w:tooltip="Breen, 1995 #11" w:history="1">
        <w:r w:rsidR="00C274D5" w:rsidRPr="00DF0680">
          <w:t>Breen and Murphy 1995</w:t>
        </w:r>
      </w:hyperlink>
      <w:r w:rsidR="00C274D5" w:rsidRPr="00DF0680">
        <w:t>)</w:t>
      </w:r>
      <w:r w:rsidR="00F20EC0" w:rsidRPr="00DF0680">
        <w:fldChar w:fldCharType="end"/>
      </w:r>
      <w:r w:rsidR="00C274D5" w:rsidRPr="00DF0680">
        <w:t xml:space="preserve">. By causing this type of DNA damage, it has been shown that exposure to even low doses of ionising radiation (such as that received by </w:t>
      </w:r>
      <w:r w:rsidR="00464FE9" w:rsidRPr="00DF0680">
        <w:t>those working with radioactive material</w:t>
      </w:r>
      <w:r w:rsidR="00C274D5" w:rsidRPr="00DF0680">
        <w:t xml:space="preserve">), can increase the risk of cancer </w:t>
      </w:r>
      <w:r w:rsidR="00F20EC0" w:rsidRPr="00DF0680">
        <w:fldChar w:fldCharType="begin" w:fldLock="1"/>
      </w:r>
      <w:r w:rsidR="00332613" w:rsidRPr="00DF0680">
        <w:instrText>ADDIN CSL_CITATION { "citationItems" : [ { "id" : "ITEM-1", "itemData" : { "DOI" : "10.1136/bmj.38499.599861.E0", "ISSN" : "1756-1833", "PMID" : "15987704", "abstract" : "To provide direct estimates of risk of cancer after protracted low doses of ionising radiation and to strengthen the scientific basis of radiation protection standards for environmental, occupational, and medical diagnostic exposures.", "author" : [ { "dropping-particle" : "", "family" : "Cardis", "given" : "E", "non-dropping-particle" : "", "parse-names" : false, "suffix" : "" }, { "dropping-particle" : "", "family" : "Vrijheid", "given" : "M", "non-dropping-particle" : "", "parse-names" : false, "suffix" : "" }, { "dropping-particle" : "", "family" : "Blettner", "given" : "M", "non-dropping-particle" : "", "parse-names" : false, "suffix" : "" }, { "dropping-particle" : "", "family" : "Gilbert", "given" : "E", "non-dropping-particle" : "", "parse-names" : false, "suffix" : "" }, { "dropping-particle" : "", "family" : "Hakama", "given" : "M", "non-dropping-particle" : "", "parse-names" : false, "suffix" : "" }, { "dropping-particle" : "", "family" : "Hill", "given" : "C", "non-dropping-particle" : "", "parse-names" : false, "suffix" : "" }, { "dropping-particle" : "", "family" : "Howe", "given" : "G", "non-dropping-particle" : "", "parse-names" : false, "suffix" : "" }, { "dropping-particle" : "", "family" : "Kaldor", "given" : "J", "non-dropping-particle" : "", "parse-names" : false, "suffix" : "" }, { "dropping-particle" : "", "family" : "Muirhead", "given" : "C R", "non-dropping-particle" : "", "parse-names" : false, "suffix" : "" }, { "dropping-particle" : "", "family" : "Schubauer-Berigan", "given" : "M", "non-dropping-particle" : "", "parse-names" : false, "suffix" : "" }, { "dropping-particle" : "", "family" : "Yoshimura", "given" : "T", "non-dropping-particle" : "", "parse-names" : false, "suffix" : "" }, { "dropping-particle" : "", "family" : "Bermann", "given" : "F", "non-dropping-particle" : "", "parse-names" : false, "suffix" : "" }, { "dropping-particle" : "", "family" : "Cowper", "given" : "G", "non-dropping-particle" : "", "parse-names" : false, "suffix" : "" }, { "dropping-particle" : "", "family" : "Fix", "given" : "J", "non-dropping-particle" : "", "parse-names" : false, "suffix" : "" }, { "dropping-particle" : "", "family" : "Hacker", "given" : "C", "non-dropping-particle" : "", "parse-names" : false, "suffix" : "" }, { "dropping-particle" : "", "family" : "Heinmiller", "given" : "B", "non-dropping-particle" : "", "parse-names" : false, "suffix" : "" }, { "dropping-particle" : "", "family" : "Marshall", "given" : "M", "non-dropping-particle" : "", "parse-names" : false, "suffix" : "" }, { "dropping-particle" : "", "family" : "Thierry-Chef", "given" : "I", "non-dropping-particle" : "", "parse-names" : false, "suffix" : "" }, { "dropping-particle" : "", "family" : "Utterback", "given" : "D", "non-dropping-particle" : "", "parse-names" : false, "suffix" : "" }, { "dropping-particle" : "", "family" : "Ahn", "given" : "Y-O", "non-dropping-particle" : "", "parse-names" : false, "suffix" : "" }, { "dropping-particle" : "", "family" : "Amoros", "given" : "E", "non-dropping-particle" : "", "parse-names" : false, "suffix" : "" }, { "dropping-particle" : "", "family" : "Ashmore", "given" : "P", "non-dropping-particle" : "", "parse-names" : false, "suffix" : "" }, { "dropping-particle" : "", "family" : "Auvinen", "given" : "A", "non-dropping-particle" : "", "parse-names" : false, "suffix" : "" }, { "dropping-particle" : "", "family" : "Bae", "given" : "J-M", "non-dropping-particle" : "", "parse-names" : false, "suffix" : "" }, { "dropping-particle" : "", "family" : "Solano", "given" : "J Bernar", "non-dropping-particle" : "", "parse-names" : false, "suffix" : "" }, { "dropping-particle" : "", "family" : "Biau", "given" : "A", "non-dropping-particle" : "", "parse-names" : false, "suffix" : "" }, { "dropping-particle" : "", "family" : "Combalot", "given" : "E", "non-dropping-particle" : "", "parse-names" : false, "suffix" : "" }, { "dropping-particle" : "", "family" : "Deboodt", "given" : "P", "non-dropping-particle" : "", "parse-names" : false, "suffix" : "" }, { "dropping-particle" : "", "family" : "Diez Sacristan", "given" : "A", "non-dropping-particle" : "", "parse-names" : false, "suffix" : "" }, { "dropping-particle" : "", "family" : "Eklof", "given" : "M", "non-dropping-particle" : "", "parse-names" : false, "suffix" : "" }, { "dropping-particle" : "", "family" : "Engels", "given" : "H", "non-dropping-particle" : "", "parse-names" : false, "suffix" : "" }, { "dropping-particle" : "", "family" : "Engholm", "given" : "G", "non-dropping-particle" : "", "parse-names" : false, "suffix" : "" }, { "dropping-particle" : "", "family" : "Gulis", "given" : "G", "non-dropping-particle" : "", "parse-names" : false, "suffix" : "" }, { "dropping-particle" : "", "family" : "Habib", "given" : "R", "non-dropping-particle" : "", "parse-names" : false, "suffix" : "" }, { "dropping-particle" : "", "family" : "Holan", "given" : "K", "non-dropping-particle" : "", "parse-names" : false, "suffix" : "" }, { "dropping-particle" : "", "family" : "Hyvonen", "given" : "H", "non-dropping-particle" : "", "parse-names" : false, "suffix" : "" }, { "dropping-particle" : "", "family" : "Kerekes", "given" : "A", "non-dropping-particle" : "", "parse-names" : false, "suffix" : "" }, { "dropping-particle" : "", "family" : "Kurtinaitis", "given" : "J", "non-dropping-particle" : "", "parse-names" : false, "suffix" : "" }, { "dropping-particle" : "", "family" : "Malker", "given" : "H", "non-dropping-particle" : "", "parse-names" : false, "suffix" : "" }, { "dropping-particle" : "", "family" : "Martuzzi", "given" : "M", "non-dropping-particle" : "", "parse-names" : false, "suffix" : "" }, { "dropping-particle" : "", "family" : "Mastauskas", "given" : "A", "non-dropping-particle" : "", "parse-names" : false, "suffix" : "" }, { "dropping-particle" : "", "family" : "Monnet", "given" : "A", "non-dropping-particle" : "", "parse-names" : false, "suffix" : "" }, { "dropping-particle" : "", "family" : "Moser", "given" : "M", "non-dropping-particle" : "", "parse-names" : false, "suffix" : "" }, { "dropping-particle" : "", "family" : "Pearce", "given" : "M S", "non-dropping-particle" : "", "parse-names" : false, "suffix" : "" }, { "dropping-particle" : "", "family" : "Richardson", "given" : "D B", "non-dropping-particle" : "", "parse-names" : false, "suffix" : "" }, { "dropping-particle" : "", "family" : "Rodriguez-Artalejo", "given" : "F", "non-dropping-particle" : "", "parse-names" : false, "suffix" : "" }, { "dropping-particle" : "", "family" : "Rogel", "given" : "A", "non-dropping-particle" : "", "parse-names" : false, "suffix" : "" }, { "dropping-particle" : "", "family" : "Tardy", "given" : "H", "non-dropping-particle" : "", "parse-names" : false, "suffix" : "" }, { "dropping-particle" : "", "family" : "Telle-Lamberton", "given" : "M", "non-dropping-particle" : "", "parse-names" : false, "suffix" : "" }, { "dropping-particle" : "", "family" : "Turai", "given" : "I", "non-dropping-particle" : "", "parse-names" : false, "suffix" : "" }, { "dropping-particle" : "", "family" : "Usel", "given" : "M", "non-dropping-particle" : "", "parse-names" : false, "suffix" : "" }, { "dropping-particle" : "", "family" : "Veress", "given" : "K", "non-dropping-particle" : "", "parse-names" : false, "suffix" : "" } ], "container-title" : "British Medical Journal", "id" : "ITEM-1", "issue" : "7508", "issued" : { "date-parts" : [ [ "2005", "7", "9" ] ] }, "page" : "77", "title" : "Risk of cancer after low doses of ionising radiation: retrospective cohort study in 15 countries.", "type" : "article-journal", "volume" : "331" }, "uris" : [ "http://www.mendeley.com/documents/?uuid=62046be6-5a03-48c3-a0d2-7f02efbbabbf" ] } ], "mendeley" : { "formattedCitation" : "(Cardis et al. 2005)", "plainTextFormattedCitation" : "(Cardis et al. 2005)", "previouslyFormattedCitation" : "(Cardis et al. 2005)" }, "properties" : { "noteIndex" : 0 }, "schema" : "https://github.com/citation-style-language/schema/raw/master/csl-citation.json" }</w:instrText>
      </w:r>
      <w:r w:rsidR="00F20EC0" w:rsidRPr="00DF0680">
        <w:fldChar w:fldCharType="separate"/>
      </w:r>
      <w:r w:rsidR="00D26932" w:rsidRPr="00DF0680">
        <w:t>(Cardis et al. 2005)</w:t>
      </w:r>
      <w:r w:rsidR="00F20EC0" w:rsidRPr="00DF0680">
        <w:fldChar w:fldCharType="end"/>
      </w:r>
      <w:r w:rsidR="00D26932" w:rsidRPr="00DF0680">
        <w:t xml:space="preserve"> </w:t>
      </w:r>
      <w:r w:rsidR="00C274D5" w:rsidRPr="00DF0680">
        <w:t xml:space="preserve">. </w:t>
      </w:r>
    </w:p>
    <w:p w:rsidR="00651A19" w:rsidRPr="006119E3" w:rsidRDefault="00651A19" w:rsidP="006119E3">
      <w:pPr>
        <w:rPr>
          <w:b/>
          <w:bCs/>
          <w:color w:val="auto"/>
          <w:kern w:val="36"/>
          <w:szCs w:val="48"/>
        </w:rPr>
      </w:pPr>
      <w:r w:rsidRPr="00DF0680">
        <w:t xml:space="preserve">Although </w:t>
      </w:r>
      <w:r w:rsidR="0061355C" w:rsidRPr="00DF0680">
        <w:t xml:space="preserve">exposure to ionising radiation </w:t>
      </w:r>
      <w:r w:rsidRPr="00DF0680">
        <w:t>has been shown to increase cancer risk,</w:t>
      </w:r>
      <w:r w:rsidR="0061355C" w:rsidRPr="00DF0680">
        <w:t xml:space="preserve"> conversely,</w:t>
      </w:r>
      <w:r w:rsidRPr="00DF0680">
        <w:t xml:space="preserve"> it has also been exploited to kill cancer c</w:t>
      </w:r>
      <w:r w:rsidR="003463CD" w:rsidRPr="00DF0680">
        <w:t>ells, known as radiotherapy</w:t>
      </w:r>
      <w:r w:rsidRPr="00DF0680">
        <w:t xml:space="preserve">. </w:t>
      </w:r>
      <w:r w:rsidR="0061355C" w:rsidRPr="00DF0680">
        <w:t xml:space="preserve">Indeed, the most likely exposure to ionising radiation for most people is during radiotherapy. </w:t>
      </w:r>
      <w:r w:rsidRPr="00DF0680">
        <w:t xml:space="preserve">The cellular responses following a DSB are highlighted in </w:t>
      </w:r>
      <w:fldSimple w:instr=" REF _Ref420750137 \h  \* MERGEFORMAT ">
        <w:r w:rsidR="006119E3">
          <w:t xml:space="preserve">Figure </w:t>
        </w:r>
        <w:r w:rsidR="006119E3">
          <w:rPr>
            <w:noProof/>
          </w:rPr>
          <w:t>1.2</w:t>
        </w:r>
      </w:fldSimple>
      <w:r w:rsidR="006B2135" w:rsidRPr="00DF0680">
        <w:t xml:space="preserve"> </w:t>
      </w:r>
      <w:r w:rsidRPr="00DF0680">
        <w:t>and will be further described later on.</w:t>
      </w:r>
    </w:p>
    <w:p w:rsidR="003463CD" w:rsidRPr="00DF0680" w:rsidRDefault="003463CD" w:rsidP="00E664FC">
      <w:pPr>
        <w:pStyle w:val="Heading3"/>
      </w:pPr>
      <w:bookmarkStart w:id="34" w:name="_Toc417204079"/>
      <w:bookmarkStart w:id="35" w:name="_Toc417674316"/>
      <w:r w:rsidRPr="00DF0680">
        <w:t xml:space="preserve">DNA </w:t>
      </w:r>
      <w:r w:rsidR="00CE6110" w:rsidRPr="00DF0680">
        <w:t>d</w:t>
      </w:r>
      <w:r w:rsidRPr="00DF0680">
        <w:t>amage</w:t>
      </w:r>
      <w:r w:rsidR="00F20AEE" w:rsidRPr="00DF0680">
        <w:t xml:space="preserve">, </w:t>
      </w:r>
      <w:r w:rsidR="00CE6110" w:rsidRPr="00DF0680">
        <w:t>c</w:t>
      </w:r>
      <w:r w:rsidR="00F20AEE" w:rsidRPr="00DF0680">
        <w:t>hemicals</w:t>
      </w:r>
      <w:r w:rsidRPr="00DF0680">
        <w:t xml:space="preserve"> and </w:t>
      </w:r>
      <w:r w:rsidR="00CE6110" w:rsidRPr="00DF0680">
        <w:t>c</w:t>
      </w:r>
      <w:r w:rsidRPr="00DF0680">
        <w:t>hemotherapy</w:t>
      </w:r>
      <w:bookmarkEnd w:id="34"/>
      <w:bookmarkEnd w:id="35"/>
    </w:p>
    <w:p w:rsidR="00F865C9" w:rsidRPr="00DF0680" w:rsidRDefault="00F865C9" w:rsidP="00AE199E">
      <w:pPr>
        <w:spacing w:after="0"/>
        <w:rPr>
          <w:rFonts w:cs="Times New Roman"/>
        </w:rPr>
      </w:pPr>
      <w:r w:rsidRPr="00DF0680">
        <w:rPr>
          <w:rFonts w:cs="Times New Roman"/>
        </w:rPr>
        <w:t xml:space="preserve">Chemotherapy </w:t>
      </w:r>
      <w:r w:rsidR="00400F29" w:rsidRPr="00DF0680">
        <w:rPr>
          <w:rFonts w:cs="Times New Roman"/>
        </w:rPr>
        <w:t xml:space="preserve">is another way of exploiting the effect of damaging DNA to treat cancer but by </w:t>
      </w:r>
      <w:r w:rsidR="006D05FD" w:rsidRPr="00DF0680">
        <w:rPr>
          <w:rFonts w:cs="Times New Roman"/>
        </w:rPr>
        <w:t>using</w:t>
      </w:r>
      <w:r w:rsidR="00400F29" w:rsidRPr="00DF0680">
        <w:rPr>
          <w:rFonts w:cs="Times New Roman"/>
        </w:rPr>
        <w:t xml:space="preserve"> chemicals. </w:t>
      </w:r>
      <w:r w:rsidR="0084338F" w:rsidRPr="00DF0680">
        <w:rPr>
          <w:rFonts w:cs="Times New Roman"/>
        </w:rPr>
        <w:t>C</w:t>
      </w:r>
      <w:r w:rsidR="00792D1D" w:rsidRPr="00DF0680">
        <w:rPr>
          <w:rFonts w:cs="Times New Roman"/>
        </w:rPr>
        <w:t xml:space="preserve">ompounds </w:t>
      </w:r>
      <w:r w:rsidR="0084338F" w:rsidRPr="00DF0680">
        <w:rPr>
          <w:rFonts w:cs="Times New Roman"/>
        </w:rPr>
        <w:t>such as nitrogen mustard</w:t>
      </w:r>
      <w:r w:rsidR="00792D1D" w:rsidRPr="00DF0680">
        <w:rPr>
          <w:rFonts w:cs="Times New Roman"/>
        </w:rPr>
        <w:t xml:space="preserve"> gas</w:t>
      </w:r>
      <w:r w:rsidR="0084338F" w:rsidRPr="00DF0680">
        <w:rPr>
          <w:rFonts w:cs="Times New Roman"/>
        </w:rPr>
        <w:t xml:space="preserve">, asbestos and tobacco </w:t>
      </w:r>
      <w:r w:rsidR="00616319" w:rsidRPr="00DF0680">
        <w:rPr>
          <w:rFonts w:cs="Times New Roman"/>
        </w:rPr>
        <w:t>are all carcinogens that</w:t>
      </w:r>
      <w:r w:rsidR="00CA78A0" w:rsidRPr="00DF0680">
        <w:rPr>
          <w:rFonts w:cs="Times New Roman"/>
        </w:rPr>
        <w:t xml:space="preserve"> can</w:t>
      </w:r>
      <w:r w:rsidR="0084338F" w:rsidRPr="00DF0680">
        <w:rPr>
          <w:rFonts w:cs="Times New Roman"/>
        </w:rPr>
        <w:t xml:space="preserve"> cause DNA damage</w:t>
      </w:r>
      <w:r w:rsidR="002B5529" w:rsidRPr="00DF0680">
        <w:rPr>
          <w:rFonts w:cs="Times New Roman"/>
        </w:rPr>
        <w:t xml:space="preserve"> and are associated with increased cancer risk. However, like IR,</w:t>
      </w:r>
      <w:r w:rsidR="00B8528C" w:rsidRPr="00DF0680">
        <w:rPr>
          <w:rFonts w:cs="Times New Roman"/>
        </w:rPr>
        <w:t xml:space="preserve"> </w:t>
      </w:r>
      <w:r w:rsidR="002B5529" w:rsidRPr="00DF0680">
        <w:rPr>
          <w:rFonts w:cs="Times New Roman"/>
        </w:rPr>
        <w:t>s</w:t>
      </w:r>
      <w:r w:rsidR="00B8528C" w:rsidRPr="00DF0680">
        <w:rPr>
          <w:rFonts w:cs="Times New Roman"/>
        </w:rPr>
        <w:t>ome of</w:t>
      </w:r>
      <w:r w:rsidR="0084338F" w:rsidRPr="00DF0680">
        <w:rPr>
          <w:rFonts w:cs="Times New Roman"/>
        </w:rPr>
        <w:t xml:space="preserve"> these same mechanisms of damage are used in the clinic to treat different cancers. </w:t>
      </w:r>
      <w:r w:rsidR="00A97753" w:rsidRPr="00DF0680">
        <w:rPr>
          <w:rFonts w:cs="Times New Roman"/>
          <w:i/>
        </w:rPr>
        <w:t>N-</w:t>
      </w:r>
      <w:r w:rsidR="00A97753" w:rsidRPr="00DF0680">
        <w:rPr>
          <w:rFonts w:cs="Times New Roman"/>
        </w:rPr>
        <w:t xml:space="preserve">nitroso compounds (NOCs) are found in tobacco and cured meats and have been shown to add methyl groups to DNA bases. </w:t>
      </w:r>
      <w:r w:rsidR="00CA78A0" w:rsidRPr="00DF0680">
        <w:rPr>
          <w:rFonts w:cs="Times New Roman"/>
        </w:rPr>
        <w:t>Alkyla</w:t>
      </w:r>
      <w:r w:rsidR="00A97753" w:rsidRPr="00DF0680">
        <w:rPr>
          <w:rFonts w:cs="Times New Roman"/>
        </w:rPr>
        <w:t>ting agents are commonly used in</w:t>
      </w:r>
      <w:r w:rsidR="00CA78A0" w:rsidRPr="00DF0680">
        <w:rPr>
          <w:rFonts w:cs="Times New Roman"/>
        </w:rPr>
        <w:t xml:space="preserve"> chemotherapy</w:t>
      </w:r>
      <w:r w:rsidR="00A97753" w:rsidRPr="00DF0680">
        <w:rPr>
          <w:rFonts w:cs="Times New Roman"/>
        </w:rPr>
        <w:t xml:space="preserve">, </w:t>
      </w:r>
      <w:r w:rsidR="000B28DF" w:rsidRPr="00DF0680">
        <w:rPr>
          <w:rFonts w:cs="Times New Roman"/>
        </w:rPr>
        <w:t xml:space="preserve">such as methyl methanesulfonate (MMS). </w:t>
      </w:r>
      <w:r w:rsidR="00A97753" w:rsidRPr="00DF0680">
        <w:rPr>
          <w:rFonts w:cs="Times New Roman"/>
        </w:rPr>
        <w:t xml:space="preserve">Like NOCs, </w:t>
      </w:r>
      <w:r w:rsidR="000B28DF" w:rsidRPr="00DF0680">
        <w:rPr>
          <w:rFonts w:cs="Times New Roman"/>
        </w:rPr>
        <w:t>MMS adds methyl groups to DNA bases, mainly on N</w:t>
      </w:r>
      <w:r w:rsidR="000B28DF" w:rsidRPr="00DF0680">
        <w:rPr>
          <w:rFonts w:cs="Times New Roman"/>
          <w:vertAlign w:val="superscript"/>
        </w:rPr>
        <w:t>7</w:t>
      </w:r>
      <w:r w:rsidR="000B28DF" w:rsidRPr="00DF0680">
        <w:rPr>
          <w:rFonts w:cs="Times New Roman"/>
        </w:rPr>
        <w:t>-guanine and N</w:t>
      </w:r>
      <w:r w:rsidR="000B28DF" w:rsidRPr="00DF0680">
        <w:rPr>
          <w:rFonts w:cs="Times New Roman"/>
          <w:vertAlign w:val="superscript"/>
        </w:rPr>
        <w:t>3</w:t>
      </w:r>
      <w:r w:rsidR="000B28DF" w:rsidRPr="00DF0680">
        <w:rPr>
          <w:rFonts w:cs="Times New Roman"/>
        </w:rPr>
        <w:t>-adenine</w:t>
      </w:r>
      <w:r w:rsidR="00CA78A0" w:rsidRPr="00DF0680">
        <w:rPr>
          <w:rFonts w:cs="Times New Roman"/>
        </w:rPr>
        <w:t xml:space="preserve"> which can </w:t>
      </w:r>
      <w:r w:rsidR="00DE6666" w:rsidRPr="00DF0680">
        <w:rPr>
          <w:rFonts w:cs="Times New Roman"/>
        </w:rPr>
        <w:t>lead to mis-</w:t>
      </w:r>
      <w:r w:rsidR="00CA78A0" w:rsidRPr="00DF0680">
        <w:rPr>
          <w:rFonts w:cs="Times New Roman"/>
        </w:rPr>
        <w:t>pairing</w:t>
      </w:r>
      <w:r w:rsidR="00DE6666" w:rsidRPr="00DF0680">
        <w:rPr>
          <w:rFonts w:cs="Times New Roman"/>
        </w:rPr>
        <w:t xml:space="preserve"> upon replication </w:t>
      </w:r>
      <w:r w:rsidR="00F20EC0" w:rsidRPr="00DF0680">
        <w:rPr>
          <w:rFonts w:cs="Times New Roman"/>
        </w:rPr>
        <w:fldChar w:fldCharType="begin" w:fldLock="1"/>
      </w:r>
      <w:r w:rsidR="00332613" w:rsidRPr="00DF0680">
        <w:rPr>
          <w:rFonts w:cs="Times New Roman"/>
        </w:rPr>
        <w:instrText>ADDIN CSL_CITATION { "citationItems" : [ { "id" : "ITEM-1", "itemData" : { "ISSN" : "0006-3002", "PMID" : "3907708", "author" : [ { "dropping-particle" : "", "family" : "Saffhill", "given" : "R", "non-dropping-particle" : "", "parse-names" : false, "suffix" : "" }, { "dropping-particle" : "", "family" : "Margison", "given" : "G P", "non-dropping-particle" : "", "parse-names" : false, "suffix" : "" }, { "dropping-particle" : "", "family" : "O'Connor", "given" : "P J", "non-dropping-particle" : "", "parse-names" : false, "suffix" : "" } ], "container-title" : "Biochimica ee Biophysica Acta", "id" : "ITEM-1", "issue" : "2", "issued" : { "date-parts" : [ [ "1985", "12", "17" ] ] }, "page" : "111-45", "title" : "Mechanisms of carcinogenesis induced by alkylating agents.", "type" : "article-journal", "volume" : "823" }, "uris" : [ "http://www.mendeley.com/documents/?uuid=f81f18a2-0046-4794-974c-b814a988e8df" ] } ], "mendeley" : { "formattedCitation" : "(Saffhill et al. 1985)", "plainTextFormattedCitation" : "(Saffhill et al. 1985)", "previouslyFormattedCitation" : "(Saffhill et al. 1985)"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(Saffhill et al. 1985)</w:t>
      </w:r>
      <w:r w:rsidR="00F20EC0" w:rsidRPr="00DF0680">
        <w:rPr>
          <w:rFonts w:cs="Times New Roman"/>
        </w:rPr>
        <w:fldChar w:fldCharType="end"/>
      </w:r>
      <w:r w:rsidR="00DE6666"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"ISSN" : "0264-6021", "PMID" : "14097355", "author" : [ { "dropping-particle" : "", "family" : "Lawley", "given" : "P D", "non-dropping-particle" : "", "parse-names" : false, "suffix" : "" }, { "dropping-particle" : "", "family" : "Brookes", "given" : "P", "non-dropping-particle" : "", "parse-names" : false, "suffix" : "" } ], "container-title" : "The Biochemical Journal", "id" : "ITEM-1", "issued" : { "date-parts" : [ [ "1963", "10" ] ] }, "page" : "127-38", "title" : "Further Studies on the Alkylation of Nucleic Acids and Their Constituent Nucleotides.", "type" : "article-journal", "volume" : "89" }, "uris" : [ "http://www.mendeley.com/documents/?uuid=db1af441-8fd3-4d16-87c4-3c3b2b68a781" ] } ], "mendeley" : { "formattedCitation" : "(Lawley &amp; Brookes 1963)", "plainTextFormattedCitation" : "(Lawley &amp; Brookes 1963)", "previouslyFormattedCitation" : "(Lawley &amp; Brookes 1963)"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(Lawley &amp; Brookes 1963)</w:t>
      </w:r>
      <w:r w:rsidR="00F20EC0" w:rsidRPr="00DF0680">
        <w:rPr>
          <w:rFonts w:cs="Times New Roman"/>
        </w:rPr>
        <w:fldChar w:fldCharType="end"/>
      </w:r>
      <w:r w:rsidR="00CA78A0" w:rsidRPr="00DF0680">
        <w:rPr>
          <w:rFonts w:cs="Times New Roman"/>
        </w:rPr>
        <w:t xml:space="preserve">. </w:t>
      </w:r>
    </w:p>
    <w:p w:rsidR="008B36A9" w:rsidRPr="00DF0680" w:rsidRDefault="00D43A4E" w:rsidP="008B36A9">
      <w:pPr>
        <w:rPr>
          <w:rFonts w:cs="Times New Roman"/>
        </w:rPr>
      </w:pPr>
      <w:r w:rsidRPr="00DF0680">
        <w:rPr>
          <w:rFonts w:cs="Times New Roman"/>
        </w:rPr>
        <w:t xml:space="preserve">Drugs that cause replication stress are often used in chemotherapy. Gemcitabine, previously mentioned in bladder cancer treatment, is an example of a </w:t>
      </w:r>
      <w:r w:rsidR="006459B8" w:rsidRPr="00DF0680">
        <w:rPr>
          <w:rFonts w:cs="Times New Roman"/>
        </w:rPr>
        <w:t>chemotherapeutic</w:t>
      </w:r>
      <w:r w:rsidRPr="00DF0680">
        <w:rPr>
          <w:rFonts w:cs="Times New Roman"/>
        </w:rPr>
        <w:t xml:space="preserve"> that causes replication </w:t>
      </w:r>
      <w:r w:rsidR="000A4AC8" w:rsidRPr="00DF0680">
        <w:rPr>
          <w:rFonts w:cs="Times New Roman"/>
        </w:rPr>
        <w:t>stress</w:t>
      </w:r>
      <w:r w:rsidR="006459B8" w:rsidRPr="00DF0680">
        <w:rPr>
          <w:rFonts w:cs="Times New Roman"/>
        </w:rPr>
        <w:t xml:space="preserve">. </w:t>
      </w:r>
      <w:r w:rsidR="002B5529" w:rsidRPr="00DF0680">
        <w:rPr>
          <w:rFonts w:cs="Times New Roman"/>
        </w:rPr>
        <w:t>The following section will focus on various forms of replication stress.</w:t>
      </w:r>
    </w:p>
    <w:p w:rsidR="00A2079E" w:rsidRPr="00DF0680" w:rsidRDefault="00A2079E" w:rsidP="00E664FC">
      <w:pPr>
        <w:pStyle w:val="Heading3"/>
      </w:pPr>
      <w:bookmarkStart w:id="36" w:name="_Toc417204080"/>
      <w:bookmarkStart w:id="37" w:name="_Toc417674317"/>
      <w:r w:rsidRPr="00DF0680">
        <w:lastRenderedPageBreak/>
        <w:t>Replication stress</w:t>
      </w:r>
      <w:r w:rsidR="00AC62D1" w:rsidRPr="00DF0680">
        <w:t xml:space="preserve"> </w:t>
      </w:r>
      <w:r w:rsidR="00A514D1" w:rsidRPr="00DF0680">
        <w:t>and</w:t>
      </w:r>
      <w:r w:rsidR="00AC62D1" w:rsidRPr="00DF0680">
        <w:t xml:space="preserve"> replication</w:t>
      </w:r>
      <w:r w:rsidR="00AD7C9C" w:rsidRPr="00DF0680">
        <w:t xml:space="preserve"> fork collapse</w:t>
      </w:r>
      <w:bookmarkEnd w:id="36"/>
      <w:bookmarkEnd w:id="37"/>
    </w:p>
    <w:p w:rsidR="00F80457" w:rsidRPr="00DF0680" w:rsidRDefault="00A476A5" w:rsidP="00A025CF">
      <w:pPr>
        <w:rPr>
          <w:rFonts w:cs="Times New Roman"/>
        </w:rPr>
      </w:pPr>
      <w:r w:rsidRPr="00DF0680">
        <w:rPr>
          <w:rFonts w:cs="Times New Roman"/>
        </w:rPr>
        <w:t xml:space="preserve">Replication stress is another form of DNA damage. Although it does not </w:t>
      </w:r>
      <w:r w:rsidR="00F36519" w:rsidRPr="00DF0680">
        <w:rPr>
          <w:rFonts w:cs="Times New Roman"/>
        </w:rPr>
        <w:t xml:space="preserve">necessarily directly </w:t>
      </w:r>
      <w:r w:rsidRPr="00DF0680">
        <w:rPr>
          <w:rFonts w:cs="Times New Roman"/>
        </w:rPr>
        <w:t xml:space="preserve">alter DNA bases or cause DNA breaks, it is still a problem for the cell and must be dealt with. The replication fork can be slowed or stalled by </w:t>
      </w:r>
      <w:r w:rsidR="00F36519" w:rsidRPr="00DF0680">
        <w:rPr>
          <w:rFonts w:cs="Times New Roman"/>
        </w:rPr>
        <w:t>multiple causes: DNA damage lesions,</w:t>
      </w:r>
      <w:r w:rsidRPr="00DF0680">
        <w:rPr>
          <w:rFonts w:cs="Times New Roman"/>
        </w:rPr>
        <w:t xml:space="preserve"> a deoxynucleotide triphosphate (dNTP) pool imbalance</w:t>
      </w:r>
      <w:r w:rsidR="00F36519" w:rsidRPr="00DF0680">
        <w:rPr>
          <w:rFonts w:cs="Times New Roman"/>
        </w:rPr>
        <w:t>,</w:t>
      </w:r>
      <w:r w:rsidRPr="00DF0680">
        <w:rPr>
          <w:rFonts w:cs="Times New Roman"/>
        </w:rPr>
        <w:t xml:space="preserve"> seco</w:t>
      </w:r>
      <w:r w:rsidR="00F36519" w:rsidRPr="00DF0680">
        <w:rPr>
          <w:rFonts w:cs="Times New Roman"/>
        </w:rPr>
        <w:t>ndary structures within the DNA,</w:t>
      </w:r>
      <w:r w:rsidRPr="00DF0680">
        <w:rPr>
          <w:rFonts w:cs="Times New Roman"/>
        </w:rPr>
        <w:t xml:space="preserve"> a change in the synthesis of proteins required for replication</w:t>
      </w:r>
      <w:r w:rsidR="00F36519" w:rsidRPr="00DF0680">
        <w:rPr>
          <w:rFonts w:cs="Times New Roman"/>
        </w:rPr>
        <w:t>,</w:t>
      </w:r>
      <w:r w:rsidRPr="00DF0680">
        <w:rPr>
          <w:rFonts w:cs="Times New Roman"/>
        </w:rPr>
        <w:t xml:space="preserve"> decreased frequency of initiation at origins leading to bigger replicons</w:t>
      </w:r>
      <w:r w:rsidR="00F36519" w:rsidRPr="00DF0680">
        <w:rPr>
          <w:rFonts w:cs="Times New Roman"/>
        </w:rPr>
        <w:t>,</w:t>
      </w:r>
      <w:r w:rsidRPr="00DF0680">
        <w:rPr>
          <w:rFonts w:cs="Times New Roman"/>
        </w:rPr>
        <w:t xml:space="preserve"> hyper replication from origins being activated more than once per S phase</w:t>
      </w:r>
      <w:r w:rsidR="000A42A2" w:rsidRPr="00DF0680">
        <w:rPr>
          <w:rFonts w:cs="Times New Roman"/>
        </w:rPr>
        <w:t>,</w:t>
      </w:r>
      <w:r w:rsidRPr="00DF0680">
        <w:rPr>
          <w:rFonts w:cs="Times New Roman"/>
        </w:rPr>
        <w:t xml:space="preserve"> pr</w:t>
      </w:r>
      <w:r w:rsidR="00F36519" w:rsidRPr="00DF0680">
        <w:rPr>
          <w:rFonts w:cs="Times New Roman"/>
        </w:rPr>
        <w:t>oteins bound tightly to the DNA and</w:t>
      </w:r>
      <w:r w:rsidRPr="00DF0680">
        <w:rPr>
          <w:rFonts w:cs="Times New Roman"/>
        </w:rPr>
        <w:t xml:space="preserve"> transcription </w:t>
      </w:r>
      <w:r w:rsidR="00F20EC0" w:rsidRPr="00DF0680">
        <w:rPr>
          <w:rFonts w:cs="Times New Roman"/>
        </w:rPr>
        <w:fldChar w:fldCharType="begin" w:fldLock="1"/>
      </w:r>
      <w:r w:rsidR="00525765" w:rsidRPr="00DF0680">
        <w:rPr>
          <w:rFonts w:cs="Times New Roman"/>
        </w:rPr>
        <w:instrText>ADDIN CSL_CITATION { "citationItems" : [ { "id" : "ITEM-1", "itemData" : { "ISSN" : "0300-9084", "PMID" : "10717381", "abstract" : "Chromosome replication is not a uniform and continuous process. Replication forks can be slowed down or arrested by DNA secondary structures, specific protein-DNA complexes, specific DNA-RNA hybrids, or interactions between the replication and transcription machineries. Replication arrest has important implications for the topology of replication intermediates and can trigger homologous and illegitimate recombination. Thus, replication arrest may be a key factor in genome instability. Several examples of these phenomena are reviewed here.", "author" : [ { "dropping-particle" : "", "family" : "Hyrien", "given" : "O", "non-dropping-particle" : "", "parse-names" : false, "suffix" : "" } ], "container-title" : "Biochimie", "id" : "ITEM-1", "issue" : "1", "issued" : { "date-parts" : [ [ "2000", "1" ] ] }, "page" : "5-17", "title" : "Mechanisms and consequences of replication fork arrest.", "type" : "article-journal", "volume" : "82" }, "uris" : [ "http://www.mendeley.com/documents/?uuid=3ccfa8ce-4f3b-434c-b6d4-411a1df54989" ] } ], "mendeley" : { "formattedCitation" : "(Hyrien 2000)", "plainTextFormattedCitation" : "(Hyrien 2000)", "previouslyFormattedCitation" : "(Hyrien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(Hyrien 2000)</w:t>
      </w:r>
      <w:r w:rsidR="00F20EC0" w:rsidRPr="00DF0680">
        <w:rPr>
          <w:rFonts w:cs="Times New Roman"/>
        </w:rPr>
        <w:fldChar w:fldCharType="end"/>
      </w:r>
      <w:r w:rsidRPr="00DF0680">
        <w:rPr>
          <w:rFonts w:cs="Times New Roman"/>
        </w:rPr>
        <w:t xml:space="preserve">. </w:t>
      </w:r>
      <w:r w:rsidR="00F36519" w:rsidRPr="00DF0680">
        <w:rPr>
          <w:rFonts w:cs="Times New Roman"/>
        </w:rPr>
        <w:t>The replication stress used in this thesis has been induced with the drugs camptothecin, thymidine, hydroxyurea and 5,6-Dichloro-1-β-D-ribofuranosylbenzimidazole (DRB). The mechanisms behind these replication stressors are considered below.</w:t>
      </w:r>
    </w:p>
    <w:p w:rsidR="00F80457" w:rsidRPr="00DF0680" w:rsidRDefault="00A62829" w:rsidP="00A025CF">
      <w:pPr>
        <w:rPr>
          <w:rFonts w:cs="Times New Roman"/>
          <w:color w:val="FF0000"/>
        </w:rPr>
      </w:pPr>
      <w:r w:rsidRPr="00DF0680">
        <w:rPr>
          <w:rFonts w:cs="Times New Roman"/>
        </w:rPr>
        <w:t>Depleting the nucleotide pool of nucleotide</w:t>
      </w:r>
      <w:r w:rsidR="00363C38" w:rsidRPr="00DF0680">
        <w:rPr>
          <w:rFonts w:cs="Times New Roman"/>
        </w:rPr>
        <w:t>s</w:t>
      </w:r>
      <w:r w:rsidRPr="00DF0680">
        <w:rPr>
          <w:rFonts w:cs="Times New Roman"/>
        </w:rPr>
        <w:t xml:space="preserve"> </w:t>
      </w:r>
      <w:r w:rsidR="00357AAA" w:rsidRPr="00DF0680">
        <w:rPr>
          <w:rFonts w:cs="Times New Roman"/>
        </w:rPr>
        <w:t xml:space="preserve">causes replication stress by </w:t>
      </w:r>
      <w:r w:rsidR="00363C38" w:rsidRPr="00DF0680">
        <w:rPr>
          <w:rFonts w:cs="Times New Roman"/>
        </w:rPr>
        <w:t xml:space="preserve">reducing the availability of precursors required </w:t>
      </w:r>
      <w:r w:rsidR="00357AAA" w:rsidRPr="00DF0680">
        <w:rPr>
          <w:rFonts w:cs="Times New Roman"/>
        </w:rPr>
        <w:t xml:space="preserve">to replicate DNA. </w:t>
      </w:r>
      <w:r w:rsidR="000A42A2" w:rsidRPr="00DF0680">
        <w:rPr>
          <w:rFonts w:cs="Times New Roman"/>
        </w:rPr>
        <w:t>Drugs such as thymidine,</w:t>
      </w:r>
      <w:r w:rsidR="00A476A5" w:rsidRPr="00DF0680">
        <w:rPr>
          <w:rFonts w:cs="Times New Roman"/>
        </w:rPr>
        <w:t xml:space="preserve"> hydroxyurea </w:t>
      </w:r>
      <w:r w:rsidR="000A42A2" w:rsidRPr="00DF0680">
        <w:rPr>
          <w:rFonts w:cs="Times New Roman"/>
        </w:rPr>
        <w:t>and gemcitabine all</w:t>
      </w:r>
      <w:r w:rsidR="00A476A5" w:rsidRPr="00DF0680">
        <w:rPr>
          <w:rFonts w:cs="Times New Roman"/>
        </w:rPr>
        <w:t xml:space="preserve"> </w:t>
      </w:r>
      <w:r w:rsidR="00363C38" w:rsidRPr="00DF0680">
        <w:rPr>
          <w:rFonts w:cs="Times New Roman"/>
        </w:rPr>
        <w:t>alter</w:t>
      </w:r>
      <w:r w:rsidR="00A476A5" w:rsidRPr="00DF0680">
        <w:rPr>
          <w:rFonts w:cs="Times New Roman"/>
        </w:rPr>
        <w:t xml:space="preserve"> dNTP</w:t>
      </w:r>
      <w:r w:rsidR="00363C38" w:rsidRPr="00DF0680">
        <w:rPr>
          <w:rFonts w:cs="Times New Roman"/>
        </w:rPr>
        <w:t xml:space="preserve"> pools</w:t>
      </w:r>
      <w:r w:rsidRPr="00DF0680">
        <w:rPr>
          <w:rFonts w:cs="Times New Roman"/>
        </w:rPr>
        <w:t xml:space="preserve">. Thymidine reduces the available dCTP </w:t>
      </w:r>
      <w:r w:rsidR="00363C38" w:rsidRPr="00DF0680">
        <w:rPr>
          <w:rFonts w:cs="Times New Roman"/>
        </w:rPr>
        <w:t xml:space="preserve">via allosteric inhibition </w:t>
      </w:r>
      <w:r w:rsidR="00994F0F" w:rsidRPr="00DF0680">
        <w:rPr>
          <w:rFonts w:cs="Times New Roman"/>
        </w:rPr>
        <w:t>while</w:t>
      </w:r>
      <w:r w:rsidRPr="00DF0680">
        <w:rPr>
          <w:rFonts w:cs="Times New Roman"/>
        </w:rPr>
        <w:t xml:space="preserve"> hydroxyurea</w:t>
      </w:r>
      <w:r w:rsidR="000A42A2" w:rsidRPr="00DF0680">
        <w:rPr>
          <w:rFonts w:cs="Times New Roman"/>
        </w:rPr>
        <w:t xml:space="preserve"> and gemcitabine inhibit</w:t>
      </w:r>
      <w:r w:rsidRPr="00DF0680">
        <w:rPr>
          <w:rFonts w:cs="Times New Roman"/>
        </w:rPr>
        <w:t xml:space="preserve"> </w:t>
      </w:r>
      <w:r w:rsidR="00E52DD8" w:rsidRPr="00DF0680">
        <w:rPr>
          <w:rFonts w:cs="Times New Roman"/>
        </w:rPr>
        <w:t>ribonucleotide</w:t>
      </w:r>
      <w:r w:rsidRPr="00DF0680">
        <w:rPr>
          <w:rFonts w:cs="Times New Roman"/>
        </w:rPr>
        <w:t xml:space="preserve"> reductase</w:t>
      </w:r>
      <w:r w:rsidR="00363C38" w:rsidRPr="00DF0680">
        <w:rPr>
          <w:rFonts w:cs="Times New Roman"/>
        </w:rPr>
        <w:t xml:space="preserve">, reducing </w:t>
      </w:r>
      <w:r w:rsidR="00BC2356" w:rsidRPr="00DF0680">
        <w:rPr>
          <w:rFonts w:cs="Times New Roman"/>
        </w:rPr>
        <w:t xml:space="preserve">the </w:t>
      </w:r>
      <w:r w:rsidR="00363C38" w:rsidRPr="00DF0680">
        <w:rPr>
          <w:rFonts w:cs="Times New Roman"/>
        </w:rPr>
        <w:t>availability of all dNTPs,</w:t>
      </w:r>
      <w:r w:rsidR="003B59D1" w:rsidRPr="00DF0680">
        <w:rPr>
          <w:rFonts w:cs="Times New Roman"/>
        </w:rPr>
        <w:t xml:space="preserve"> </w:t>
      </w:r>
      <w:r w:rsidR="00BC2356" w:rsidRPr="00DF0680">
        <w:rPr>
          <w:rFonts w:cs="Times New Roman"/>
        </w:rPr>
        <w:t xml:space="preserve">causing the stalling of </w:t>
      </w:r>
      <w:r w:rsidR="003B59D1" w:rsidRPr="00DF0680">
        <w:rPr>
          <w:rFonts w:cs="Times New Roman"/>
        </w:rPr>
        <w:t xml:space="preserve">DNA </w:t>
      </w:r>
      <w:r w:rsidR="00F106C3" w:rsidRPr="00DF0680">
        <w:rPr>
          <w:rFonts w:cs="Times New Roman"/>
        </w:rPr>
        <w:t>synthesis</w:t>
      </w:r>
      <w:r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"Bjursell", "given" : "G", "non-dropping-particle" : "", "parse-names" : false, "suffix" : "" }, { "dropping-particle" : "", "family" : "Reichard", "given" : "P", "non-dropping-particle" : "", "parse-names" : false, "suffix" : "" } ], "container-title" : "Journal of Biological Chemistry", "id" : "ITEM-1", "issue" : "11", "issued" : { "date-parts" : [ [ "1973" ] ] }, "page" : "3904-3909", "title" : "Effects of thymidine on deoxyribonucleoside triphosphate pools and deoxyribonucleic acid synthesis in Chinese hamster ovary cells", "type" : "article-journal", "volume" : "218" }, "uris" : [ "http://www.mendeley.com/documents/?uuid=67ff2e3b-45c8-451d-ade4-f84e31ad3779" ] }, { "id" : "ITEM-2", "itemData" : { "ISSN" : "0021-9258", "PMID" : "3536919", "abstract" : "Hydroxyurea inactivates ribonucleotide reductase from mammalian cells and thereby depletes them of the deoxynucleoside triphosphates required for DNA replication. In cultures of exponentially growing 3T6 cells, with 60-70% of the cells in S-phase, 3 mM hydroxyurea rapidly stopped ribonucleotide reduction and DNA synthesis (incorporation of labeled thymidine). The pool of deoxyadenosine triphosphate (dATP) decreased in size primarily, but also the pools of the triphosphates of deoxyguanosine and deoxycytidine (dCTP) were depleted. Paradoxically, the pool of thymidine triphosphate increased. After addition of hydroxyurea this pool was fed by a net influx and phosphorylation of deoxyuridine from the medium and by deamination of intracellular dCTP. An influx of deoxycytidine from the medium contributed to the maintenance of intracellular dCTP. 10 min after addition of hydroxyurea, DNA synthesis appeared to be completely blocked even though the dATP pool was only moderately decreased. As possible explanations for this discrepancy, we discuss compartmentation of pools and/or vulnerability of newly formed DNA strands to nuclease action and pyrophosphorolysis.", "author" : [ { "dropping-particle" : "", "family" : "Bianchi", "given" : "V", "non-dropping-particle" : "", "parse-names" : false, "suffix" : "" }, { "dropping-particle" : "", "family" : "Pontis", "given" : "E", "non-dropping-particle" : "", "parse-names" : false, "suffix" : "" }, { "dropping-particle" : "", "family" : "Reichard", "given" : "P", "non-dropping-particle" : "", "parse-names" : false, "suffix" : "" } ], "container-title" : "The Journal of Biological Chemistry", "id" : "ITEM-2", "issue" : "34", "issued" : { "date-parts" : [ [ "1986", "12", "5" ] ] }, "page" : "16037-42", "title" : "Changes of deoxyribonucleoside triphosphate pools induced by hydroxyurea and their relation to DNA synthesis.", "type" : "article-journal", "volume" : "261" }, "uris" : [ "http://www.mendeley.com/documents/?uuid=c852ca94-f573-4e07-b1e6-1a29c25a4822" ] }, { "id" : "ITEM-3", "itemData" : { "author" : [ { "dropping-particle" : "", "family" : "Huang", "given" : "Peng", "non-dropping-particle" : "", "parse-names" : false, "suffix" : "" }, { "dropping-particle" : "", "family" : "Chubb", "given" : "Sherri", "non-dropping-particle" : "", "parse-names" : false, "suffix" : "" }, { "dropping-particle" : "", "family" : "Hertel", "given" : "LW", "non-dropping-particle" : "", "parse-names" : false, "suffix" : "" }, { "dropping-particle" : "", "family" : "Grindey", "given" : "GB", "non-dropping-particle" : "", "parse-names" : false, "suffix" : "" }, { "dropping-particle" : "", "family" : "Plunkett", "given" : "William", "non-dropping-particle" : "", "parse-names" : false, "suffix" : "" } ], "container-title" : "Cancer Research", "id" : "ITEM-3", "issued" : { "date-parts" : [ [ "1991" ] ] }, "page" : "6110-6117", "title" : "Action of 2\u2032, 2\u2032-difluorodeoxycytidine on DNA synthesis", "type" : "article-journal" }, "uris" : [ "http://www.mendeley.com/documents/?uuid=ca9c2d5b-eea3-4049-990e-bcfa7ceed1a0" ] } ], "mendeley" : { "formattedCitation" : "(Bjursell &amp; Reichard 1973; Bianchi et al. 1986; Huang et al. 1991)", "plainTextFormattedCitation" : "(Bjursell &amp; Reichard 1973; Bianchi et al. 1986; Huang et al. 1991)", "previouslyFormattedCitation" : "(Bjursell &amp; Reichard 1973; Bianchi et al. 1986; Huang et al. 1991)" }, "properties" : { "noteIndex" : 0 }, "schema" : "https://github.com/citation-style-language/schema/raw/master/csl-citation.json" }</w:instrText>
      </w:r>
      <w:r w:rsidR="00F20EC0" w:rsidRPr="00DF0680">
        <w:rPr>
          <w:rFonts w:cs="Times New Roman"/>
        </w:rPr>
        <w:fldChar w:fldCharType="separate"/>
      </w:r>
      <w:r w:rsidR="000B0610" w:rsidRPr="00DF0680">
        <w:rPr>
          <w:rFonts w:cs="Times New Roman"/>
        </w:rPr>
        <w:t>(Bjursell &amp; Reichard 1973; Bianchi et al. 1986; Huang et al. 1991)</w:t>
      </w:r>
      <w:r w:rsidR="00F20EC0" w:rsidRPr="00DF0680">
        <w:rPr>
          <w:rFonts w:cs="Times New Roman"/>
        </w:rPr>
        <w:fldChar w:fldCharType="end"/>
      </w:r>
      <w:r w:rsidR="00A476A5" w:rsidRPr="00DF0680">
        <w:rPr>
          <w:rFonts w:cs="Times New Roman"/>
        </w:rPr>
        <w:t xml:space="preserve">. </w:t>
      </w:r>
      <w:r w:rsidR="000A42A2" w:rsidRPr="00DF0680">
        <w:rPr>
          <w:rFonts w:cs="Times New Roman"/>
        </w:rPr>
        <w:t xml:space="preserve">Additionally, gemcitabine </w:t>
      </w:r>
      <w:r w:rsidR="000B0610" w:rsidRPr="00DF0680">
        <w:rPr>
          <w:rFonts w:cs="Times New Roman"/>
        </w:rPr>
        <w:t xml:space="preserve">can be incorporated into DNA, in place of dCTP, causing elongation termination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"Huang", "given" : "Peng", "non-dropping-particle" : "", "parse-names" : false, "suffix" : "" }, { "dropping-particle" : "", "family" : "Chubb", "given" : "Sherri", "non-dropping-particle" : "", "parse-names" : false, "suffix" : "" }, { "dropping-particle" : "", "family" : "Hertel", "given" : "LW", "non-dropping-particle" : "", "parse-names" : false, "suffix" : "" }, { "dropping-particle" : "", "family" : "Grindey", "given" : "GB", "non-dropping-particle" : "", "parse-names" : false, "suffix" : "" }, { "dropping-particle" : "", "family" : "Plunkett", "given" : "William", "non-dropping-particle" : "", "parse-names" : false, "suffix" : "" } ], "container-title" : "Cancer Research", "id" : "ITEM-1", "issued" : { "date-parts" : [ [ "1991" ] ] }, "page" : "6110-6117", "title" : "Action of 2\u2032, 2\u2032-difluorodeoxycytidine on DNA synthesis", "type" : "article-journal" }, "uris" : [ "http://www.mendeley.com/documents/?uuid=ca9c2d5b-eea3-4049-990e-bcfa7ceed1a0" ] } ], "mendeley" : { "formattedCitation" : "(Huang et al. 1991)", "plainTextFormattedCitation" : "(Huang et al. 1991)", "previouslyFormattedCitation" : "(Huang et al. 1991)" }, "properties" : { "noteIndex" : 0 }, "schema" : "https://github.com/citation-style-language/schema/raw/master/csl-citation.json" }</w:instrText>
      </w:r>
      <w:r w:rsidR="00F20EC0" w:rsidRPr="00DF0680">
        <w:rPr>
          <w:rFonts w:cs="Times New Roman"/>
        </w:rPr>
        <w:fldChar w:fldCharType="separate"/>
      </w:r>
      <w:r w:rsidR="000B0610" w:rsidRPr="00DF0680">
        <w:rPr>
          <w:rFonts w:cs="Times New Roman"/>
        </w:rPr>
        <w:t>(Huang et al. 1991)</w:t>
      </w:r>
      <w:r w:rsidR="00F20EC0" w:rsidRPr="00DF0680">
        <w:rPr>
          <w:rFonts w:cs="Times New Roman"/>
        </w:rPr>
        <w:fldChar w:fldCharType="end"/>
      </w:r>
      <w:r w:rsidR="000B0610" w:rsidRPr="00DF0680">
        <w:rPr>
          <w:rFonts w:cs="Times New Roman"/>
        </w:rPr>
        <w:t>.</w:t>
      </w:r>
    </w:p>
    <w:p w:rsidR="00ED778C" w:rsidRPr="00DF0680" w:rsidRDefault="00B17E84" w:rsidP="00A025CF">
      <w:pPr>
        <w:rPr>
          <w:rFonts w:cs="Times New Roman"/>
        </w:rPr>
      </w:pPr>
      <w:r w:rsidRPr="00DF0680">
        <w:rPr>
          <w:rFonts w:cs="Times New Roman"/>
        </w:rPr>
        <w:t>Certain s</w:t>
      </w:r>
      <w:r w:rsidR="00F80457" w:rsidRPr="00DF0680">
        <w:rPr>
          <w:rFonts w:cs="Times New Roman"/>
        </w:rPr>
        <w:t>tructures within the DNA can prove difficult to replicate through. DNA secondary structures that have been shown to affect replication and cause polymeras</w:t>
      </w:r>
      <w:r w:rsidR="00464FE9" w:rsidRPr="00DF0680">
        <w:rPr>
          <w:rFonts w:cs="Times New Roman"/>
        </w:rPr>
        <w:t xml:space="preserve">e stalling include G-quadruplex, </w:t>
      </w:r>
      <w:r w:rsidR="00F80457" w:rsidRPr="00DF0680">
        <w:rPr>
          <w:rFonts w:cs="Times New Roman"/>
        </w:rPr>
        <w:t>ha</w:t>
      </w:r>
      <w:r w:rsidR="00464FE9" w:rsidRPr="00DF0680">
        <w:rPr>
          <w:rFonts w:cs="Times New Roman"/>
        </w:rPr>
        <w:t>irpins and cruciforms</w:t>
      </w:r>
      <w:r w:rsidR="00F80457"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"10.1128/MMBR.00030-06", "ISSN" : "1092-2172", "PMID" : "17347517", "abstract" : "Accurate and complete replication of the genome in every cell division is a prerequisite of genomic stability. Thus, both prokaryotic and eukaryotic replication forks are extremely precise and robust molecular machines that have evolved to be up to the task. However, it has recently become clear that the replication fork is more of a hurdler than a runner: it must overcome various obstacles present on its way. Such obstacles can be called natural impediments to DNA replication, as opposed to external and genetic factors. Natural impediments to DNA replication are particular DNA binding proteins, unusual secondary structures in DNA, and transcription complexes that occasionally (in eukaryotes) or constantly (in prokaryotes) operate on replicating templates. This review describes the mechanisms and consequences of replication stalling at various natural impediments, with an emphasis on the role of replication stalling in genomic instability.", "author" : [ { "dropping-particle" : "V", "family" : "Mirkin", "given" : "Ekaterina", "non-dropping-particle" : "", "parse-names" : false, "suffix" : "" }, { "dropping-particle" : "", "family" : "Mirkin", "given" : "Sergei M", "non-dropping-particle" : "", "parse-names" : false, "suffix" : "" } ], "container-title" : "Microbiology and Molecular Biology Reviews", "id" : "ITEM-1", "issue" : "1", "issued" : { "date-parts" : [ [ "2007", "3" ] ] }, "page" : "13-35", "title" : "Replication fork stalling at natural impediments.", "type" : "article-journal", "volume" : "71" }, "uris" : [ "http://www.mendeley.com/documents/?uuid=3772d681-b7e3-45a3-8afd-25beb0454b8d" ] } ], "mendeley" : { "formattedCitation" : "(Mirkin &amp; Mirkin 2007)", "plainTextFormattedCitation" : "(Mirkin &amp; Mirkin 2007)", "previouslyFormattedCitation" : "(Mirkin &amp; Mirkin 2007)"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(Mirkin &amp; Mirkin 2007)</w:t>
      </w:r>
      <w:r w:rsidR="00F20EC0" w:rsidRPr="00DF0680">
        <w:rPr>
          <w:rFonts w:cs="Times New Roman"/>
        </w:rPr>
        <w:fldChar w:fldCharType="end"/>
      </w:r>
      <w:r w:rsidR="00F80457" w:rsidRPr="00DF0680">
        <w:rPr>
          <w:rFonts w:cs="Times New Roman"/>
        </w:rPr>
        <w:t>. Trinucleotide repeats have also been shown to cause DNA polymerase stalling, depe</w:t>
      </w:r>
      <w:r w:rsidRPr="00DF0680">
        <w:rPr>
          <w:rFonts w:cs="Times New Roman"/>
        </w:rPr>
        <w:t xml:space="preserve">ndent on their length, and </w:t>
      </w:r>
      <w:r w:rsidR="00F80457" w:rsidRPr="00DF0680">
        <w:rPr>
          <w:rFonts w:cs="Times New Roman"/>
        </w:rPr>
        <w:t xml:space="preserve">orientation relative to the origin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"Samadashwily", "given" : "GM", "non-dropping-particle" : "", "parse-names" : false, "suffix" : "" }, { "dropping-particle" : "", "family" : "Raca", "given" : "G", "non-dropping-particle" : "", "parse-names" : false, "suffix" : "" }, { "dropping-particle" : "", "family" : "Mirkin", "given" : "SM", "non-dropping-particle" : "", "parse-names" : false, "suffix" : "" } ], "container-title" : "Nature Genetics", "id" : "ITEM-1", "issue" : "3", "issued" : { "date-parts" : [ [ "1997" ] ] }, "page" : "298-304", "title" : "Trinucleotide repeats affect DNA replication in vivo", "type" : "article-journal", "volume" : "17" }, "uris" : [ "http://www.mendeley.com/documents/?uuid=61c23f82-cbca-4859-b78d-5a7f28f0ea09" ] } ], "mendeley" : { "formattedCitation" : "(Samadashwily et al. 1997)", "plainTextFormattedCitation" : "(Samadashwily et al. 1997)", "previouslyFormattedCitation" : "(Samadashwily et al. 1997)"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(Samadashwily et al. 1997)</w:t>
      </w:r>
      <w:r w:rsidR="00F20EC0" w:rsidRPr="00DF0680">
        <w:rPr>
          <w:rFonts w:cs="Times New Roman"/>
        </w:rPr>
        <w:fldChar w:fldCharType="end"/>
      </w:r>
      <w:r w:rsidR="00F80457" w:rsidRPr="00DF0680">
        <w:rPr>
          <w:rFonts w:cs="Times New Roman"/>
        </w:rPr>
        <w:t>.</w:t>
      </w:r>
      <w:r w:rsidR="006F1223" w:rsidRPr="00DF0680">
        <w:rPr>
          <w:rFonts w:cs="Times New Roman"/>
        </w:rPr>
        <w:t xml:space="preserve"> </w:t>
      </w:r>
      <w:r w:rsidRPr="00DF0680">
        <w:rPr>
          <w:rFonts w:cs="Times New Roman"/>
        </w:rPr>
        <w:t xml:space="preserve">Secondary structure of repeats can lead to polymerase slipping, resulting in alteration of the number of repeats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"Kang", "given" : "Seongman", "non-dropping-particle" : "", "parse-names" : false, "suffix" : "" }, { "dropping-particle" : "", "family" : "Ohshima", "given" : "Keiichi", "non-dropping-particle" : "", "parse-names" : false, "suffix" : "" }, { "dropping-particle" : "", "family" : "Jaworski", "given" : "Adam", "non-dropping-particle" : "", "parse-names" : false, "suffix" : "" }, { "dropping-particle" : "", "family" : "Wells", "given" : "RD", "non-dropping-particle" : "", "parse-names" : false, "suffix" : "" } ], "container-title" : "Journal of Molecular Biology", "id" : "ITEM-1", "issue" : "4", "issued" : { "date-parts" : [ [ "1996" ] ] }, "page" : "543-547", "title" : "CTG Triplet Repeats from the Myotonic Dystrophy Gene are Expanded in Escherichia coli Distal to the Replication Origin as a Single Large Event", "type" : "article-journal", "volume" : "258" }, "uris" : [ "http://www.mendeley.com/documents/?uuid=da786082-2526-4490-a533-54d4569e939c" ] }, { "id" : "ITEM-2", "itemData" : { "author" : [ { "dropping-particle" : "", "family" : "Kang", "given" : "S", "non-dropping-particle" : "", "parse-names" : false, "suffix" : "" }, { "dropping-particle" : "", "family" : "Jaworski", "given" : "A", "non-dropping-particle" : "", "parse-names" : false, "suffix" : "" }, { "dropping-particle" : "", "family" : "Ohshima", "given" : "K", "non-dropping-particle" : "", "parse-names" : false, "suffix" : "" }, { "dropping-particle" : "", "family" : "Wells", "given" : "RD", "non-dropping-particle" : "", "parse-names" : false, "suffix" : "" } ], "container-title" : "Nature Genetics", "id" : "ITEM-2", "issue" : "2", "issued" : { "date-parts" : [ [ "1995" ] ] }, "page" : "213-8", "title" : "Expansion and deletion of CTG repeats from human disease genes are determined by the direction of replication in E. coli", "type" : "article-journal", "volume" : "10" }, "uris" : [ "http://www.mendeley.com/documents/?uuid=ebe0302f-3663-4814-993e-e705f0e74c09" ] } ], "mendeley" : { "formattedCitation" : "(Kang et al. 1996; Kang et al. 1995)", "plainTextFormattedCitation" : "(Kang et al. 1996; Kang et al. 1995)", "previouslyFormattedCitation" : "(Kang et al. 1996; Kang et al. 1995)"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(Kang et al. 1996; Kang et al. 1995)</w:t>
      </w:r>
      <w:r w:rsidR="00F20EC0" w:rsidRPr="00DF0680">
        <w:rPr>
          <w:rFonts w:cs="Times New Roman"/>
        </w:rPr>
        <w:fldChar w:fldCharType="end"/>
      </w:r>
      <w:r w:rsidRPr="00DF0680">
        <w:rPr>
          <w:rFonts w:cs="Times New Roman"/>
        </w:rPr>
        <w:t>.</w:t>
      </w:r>
    </w:p>
    <w:p w:rsidR="000D1853" w:rsidRPr="00DF0680" w:rsidRDefault="00F74FD6" w:rsidP="00A025CF">
      <w:pPr>
        <w:rPr>
          <w:rFonts w:cs="Times New Roman"/>
          <w:szCs w:val="24"/>
        </w:rPr>
      </w:pPr>
      <w:r w:rsidRPr="00DF0680">
        <w:rPr>
          <w:rFonts w:cs="Times New Roman"/>
        </w:rPr>
        <w:t xml:space="preserve">Because the transcription machinery and replication machinery use the same DNA template, severe consequences </w:t>
      </w:r>
      <w:r w:rsidR="00F50791" w:rsidRPr="00DF0680">
        <w:rPr>
          <w:rFonts w:cs="Times New Roman"/>
        </w:rPr>
        <w:t xml:space="preserve">are predicted to </w:t>
      </w:r>
      <w:r w:rsidRPr="00DF0680">
        <w:rPr>
          <w:rFonts w:cs="Times New Roman"/>
        </w:rPr>
        <w:t>occur when they collide</w:t>
      </w:r>
      <w:r w:rsidR="00F50791" w:rsidRPr="00DF0680">
        <w:rPr>
          <w:rFonts w:cs="Times New Roman"/>
        </w:rPr>
        <w:t>, one of which is the prevention of replication, leading to replication fork collapse.</w:t>
      </w:r>
      <w:r w:rsidRPr="00DF0680">
        <w:rPr>
          <w:rFonts w:cs="Times New Roman"/>
        </w:rPr>
        <w:t xml:space="preserve"> </w:t>
      </w:r>
      <w:r w:rsidR="004D495E" w:rsidRPr="00DF0680">
        <w:rPr>
          <w:rFonts w:cs="Times New Roman"/>
          <w:i/>
        </w:rPr>
        <w:t>In vitro</w:t>
      </w:r>
      <w:r w:rsidR="00DC47B4" w:rsidRPr="00DF0680">
        <w:rPr>
          <w:rFonts w:cs="Times New Roman"/>
        </w:rPr>
        <w:t xml:space="preserve">, when </w:t>
      </w:r>
      <w:r w:rsidR="00DC47B4" w:rsidRPr="00DF0680">
        <w:rPr>
          <w:rFonts w:cs="Times New Roman"/>
          <w:i/>
        </w:rPr>
        <w:t>E. coli</w:t>
      </w:r>
      <w:r w:rsidR="00DC47B4" w:rsidRPr="00DF0680">
        <w:rPr>
          <w:rFonts w:cs="Times New Roman"/>
        </w:rPr>
        <w:t xml:space="preserve"> RNA polymerase transcription and bacteriophage T4 replication machineries collide head to head, the fork passes after a brief pause </w:t>
      </w:r>
      <w:r w:rsidR="00F20EC0" w:rsidRPr="00DF0680">
        <w:rPr>
          <w:rFonts w:cs="Times New Roman"/>
        </w:rPr>
        <w:fldChar w:fldCharType="begin" w:fldLock="1"/>
      </w:r>
      <w:r w:rsidR="00911F52" w:rsidRPr="00DF0680">
        <w:rPr>
          <w:rFonts w:cs="Times New Roman"/>
        </w:rPr>
        <w:instrText>ADDIN CSL_CITATION { "citationItems" : [ { "id" : "ITEM-1", "itemData" : { "author" : [ { "dropping-particle" : "", "family" : "Liu", "given" : "Bin", "non-dropping-particle" : "", "parse-names" : false, "suffix" : "" }, { "dropping-particle" : "", "family" : "Alberts", "given" : "BM", "non-dropping-particle" : "", "parse-names" : false, "suffix" : "" } ], "container-title" : "Science", "id" : "ITEM-1", "issue" : "5201", "issued" : { "date-parts" : [ [ "1995" ] ] }, "page" : "1131-1137", "title" : "Head-on collision between a DNA replication apparatus and RNA polymerase transcription complex", "type" : "article-journal", "volume" : "267" }, "uris" : [ "http://www.mendeley.com/documents/?uuid=d56d5c4c-8883-4207-8fde-25e4463d3698" ] } ], "mendeley" : { "formattedCitation" : "(Liu &amp; Alberts 1995)", "plainTextFormattedCitation" : "(Liu &amp; Alberts 1995)", "previouslyFormattedCitation" : "(Liu &amp; Alberts 1995)" }, "properties" : { "noteIndex" : 0 }, "schema" : "https://github.com/citation-style-language/schema/raw/master/csl-citation.json" }</w:instrText>
      </w:r>
      <w:r w:rsidR="00F20EC0" w:rsidRPr="00DF0680">
        <w:rPr>
          <w:rFonts w:cs="Times New Roman"/>
        </w:rPr>
        <w:fldChar w:fldCharType="separate"/>
      </w:r>
      <w:r w:rsidR="00DC47B4" w:rsidRPr="00DF0680">
        <w:rPr>
          <w:rFonts w:cs="Times New Roman"/>
        </w:rPr>
        <w:t>(Liu &amp; Alberts 1995)</w:t>
      </w:r>
      <w:r w:rsidR="00F20EC0" w:rsidRPr="00DF0680">
        <w:rPr>
          <w:rFonts w:cs="Times New Roman"/>
        </w:rPr>
        <w:fldChar w:fldCharType="end"/>
      </w:r>
      <w:r w:rsidR="00DC47B4" w:rsidRPr="00DF0680">
        <w:rPr>
          <w:rFonts w:cs="Times New Roman"/>
        </w:rPr>
        <w:t xml:space="preserve">. </w:t>
      </w:r>
      <w:r w:rsidR="00911F52" w:rsidRPr="00DF0680">
        <w:rPr>
          <w:rFonts w:cs="Times New Roman"/>
        </w:rPr>
        <w:t xml:space="preserve">In </w:t>
      </w:r>
      <w:r w:rsidR="00911F52" w:rsidRPr="00DF0680">
        <w:rPr>
          <w:rFonts w:cs="Times New Roman"/>
          <w:i/>
        </w:rPr>
        <w:t>S. cerevisiae,</w:t>
      </w:r>
      <w:r w:rsidR="00911F52" w:rsidRPr="00DF0680">
        <w:rPr>
          <w:rFonts w:cs="Times New Roman"/>
        </w:rPr>
        <w:t xml:space="preserve"> </w:t>
      </w:r>
      <w:r w:rsidR="00911F52" w:rsidRPr="00DF0680">
        <w:rPr>
          <w:rFonts w:cs="Times New Roman"/>
        </w:rPr>
        <w:lastRenderedPageBreak/>
        <w:t xml:space="preserve">replication intermediates seen formed at replication fork pause sites have shown to be dependent on transcription </w:t>
      </w:r>
      <w:r w:rsidR="00F20EC0" w:rsidRPr="00DF0680">
        <w:rPr>
          <w:rFonts w:cs="Times New Roman"/>
        </w:rPr>
        <w:fldChar w:fldCharType="begin" w:fldLock="1"/>
      </w:r>
      <w:r w:rsidR="001112F6" w:rsidRPr="00DF0680">
        <w:rPr>
          <w:rFonts w:cs="Times New Roman"/>
        </w:rPr>
        <w:instrText>ADDIN CSL_CITATION { "citationItems" : [ { "id" : "ITEM-1", "itemData" : { "ISSN" : "0036-8075", "PMID" : "8638128", "abstract" : "Replication fork pause (RFP) sites transiently arresting replication fork movement were mapped to transfer RNA (tRNA) genes of Saccharomyces cerevisiae in vivo. RFP sites are polar, stalling replication forks only when they oppose the direction of tRNA transcription. Mutant tRNA genes defective in assembly of transcription initiation complexes and a temperature-sensitive RNA polymerase III mutant (rpc160-41) defective in initiation of transcription do not stall replication forks, suggesting that transcription is required for RFP activity.", "author" : [ { "dropping-particle" : "", "family" : "Deshpande", "given" : "a M", "non-dropping-particle" : "", "parse-names" : false, "suffix" : "" }, { "dropping-particle" : "", "family" : "Newlon", "given" : "C S", "non-dropping-particle" : "", "parse-names" : false, "suffix" : "" } ], "container-title" : "Science", "id" : "ITEM-1", "issue" : "5264", "issued" : { "date-parts" : [ [ "1996", "5", "17" ] ] }, "page" : "1030-3", "title" : "DNA replication fork pause sites dependent on transcription.", "type" : "article-journal", "volume" : "272" }, "uris" : [ "http://www.mendeley.com/documents/?uuid=56586f58-c5ad-4975-8c9c-4089447c83df" ] } ], "mendeley" : { "formattedCitation" : "(Deshpande &amp; Newlon 1996)", "plainTextFormattedCitation" : "(Deshpande &amp; Newlon 1996)", "previouslyFormattedCitation" : "(Deshpande &amp; Newlon 1996)" }, "properties" : { "noteIndex" : 0 }, "schema" : "https://github.com/citation-style-language/schema/raw/master/csl-citation.json" }</w:instrText>
      </w:r>
      <w:r w:rsidR="00F20EC0" w:rsidRPr="00DF0680">
        <w:rPr>
          <w:rFonts w:cs="Times New Roman"/>
        </w:rPr>
        <w:fldChar w:fldCharType="separate"/>
      </w:r>
      <w:r w:rsidR="00911F52" w:rsidRPr="00DF0680">
        <w:rPr>
          <w:rFonts w:cs="Times New Roman"/>
        </w:rPr>
        <w:t>(Deshpande &amp; Newlon 1996)</w:t>
      </w:r>
      <w:r w:rsidR="00F20EC0" w:rsidRPr="00DF0680">
        <w:rPr>
          <w:rFonts w:cs="Times New Roman"/>
        </w:rPr>
        <w:fldChar w:fldCharType="end"/>
      </w:r>
      <w:r w:rsidR="00911F52" w:rsidRPr="00DF0680">
        <w:rPr>
          <w:rFonts w:cs="Times New Roman"/>
        </w:rPr>
        <w:t xml:space="preserve">. </w:t>
      </w:r>
      <w:r w:rsidR="004B38C4" w:rsidRPr="00DF0680">
        <w:rPr>
          <w:rFonts w:cs="Times New Roman"/>
        </w:rPr>
        <w:t>Although replication fork and transcription machinery collision</w:t>
      </w:r>
      <w:r w:rsidR="00DC47B4" w:rsidRPr="00DF0680">
        <w:rPr>
          <w:rFonts w:cs="Times New Roman"/>
        </w:rPr>
        <w:t>s</w:t>
      </w:r>
      <w:r w:rsidR="004B38C4" w:rsidRPr="00DF0680">
        <w:rPr>
          <w:rFonts w:cs="Times New Roman"/>
        </w:rPr>
        <w:t xml:space="preserve"> have not yet been shown to exist </w:t>
      </w:r>
      <w:r w:rsidR="004B38C4" w:rsidRPr="00DF0680">
        <w:rPr>
          <w:rFonts w:cs="Times New Roman"/>
          <w:i/>
        </w:rPr>
        <w:t>in vivo,</w:t>
      </w:r>
      <w:r w:rsidR="004B38C4" w:rsidRPr="00DF0680">
        <w:rPr>
          <w:rFonts w:cs="Times New Roman"/>
        </w:rPr>
        <w:t xml:space="preserve"> work has been done showing the formation of RNA:DNA hybrids known as R-loops in mutant cell lines. Inactivating the splicing factor ASF/SF2 or </w:t>
      </w:r>
      <w:r w:rsidR="006215BF" w:rsidRPr="00DF0680">
        <w:rPr>
          <w:rFonts w:cs="Times New Roman"/>
        </w:rPr>
        <w:t>the yeast THO complex</w:t>
      </w:r>
      <w:r w:rsidR="000D1853" w:rsidRPr="00DF0680">
        <w:rPr>
          <w:rFonts w:cs="Times New Roman"/>
        </w:rPr>
        <w:t xml:space="preserve"> </w:t>
      </w:r>
      <w:r w:rsidR="006215BF" w:rsidRPr="00DF0680">
        <w:rPr>
          <w:rFonts w:cs="Times New Roman"/>
        </w:rPr>
        <w:t>(</w:t>
      </w:r>
      <w:r w:rsidR="000D1853" w:rsidRPr="00DF0680">
        <w:rPr>
          <w:rFonts w:cs="Times New Roman"/>
        </w:rPr>
        <w:t xml:space="preserve">functioning in transcription and mRNA </w:t>
      </w:r>
      <w:r w:rsidR="006215BF" w:rsidRPr="00DF0680">
        <w:rPr>
          <w:rFonts w:cs="Times New Roman"/>
        </w:rPr>
        <w:t>metabolism)</w:t>
      </w:r>
      <w:r w:rsidR="000D1853" w:rsidRPr="00DF0680">
        <w:rPr>
          <w:rFonts w:cs="Times New Roman"/>
        </w:rPr>
        <w:t xml:space="preserve"> causes the formation of R-loops which cause transcription elongation impairment, hyper</w:t>
      </w:r>
      <w:r w:rsidR="00D650C1" w:rsidRPr="00DF0680">
        <w:rPr>
          <w:rFonts w:cs="Times New Roman"/>
        </w:rPr>
        <w:t>-</w:t>
      </w:r>
      <w:r w:rsidR="000D1853" w:rsidRPr="00DF0680">
        <w:rPr>
          <w:rFonts w:cs="Times New Roman"/>
        </w:rPr>
        <w:t>recombination, genomic instability, and impairment of replication fork progression</w:t>
      </w:r>
      <w:r w:rsidR="00D650C1"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"10.1101/gad.17010011", "ISSN" : "1549-5477", "PMID" : "21979917", "abstract" : "Transcriptional R loops are anomalous RNA:DNA hybrids that have been detected in organisms from bacteria to humans. These structures have been shown in eukaryotes to result in DNA damage and rearrangements; however, the mechanisms underlying these effects have remained largely unknown. To investigate this, we first show that R-loop formation induces chromosomal DNA rearrangements and recombination in Escherichia coli, just as it does in eukaryotes. More importantly, we then show that R-loop formation causes DNA replication fork stalling, and that this in fact underlies the effects of R loops on genomic stability. Strikingly, we found that attenuation of replication strongly suppresses R-loop-mediated DNA rearrangements in both E. coli and HeLa cells. Our findings thus provide a direct demonstration that R-loop formation impairs DNA replication and that this is responsible for the deleterious effects of R loops on genome stability from bacteria to humans.", "author" : [ { "dropping-particle" : "", "family" : "Gan", "given" : "Wenjian", "non-dropping-particle" : "", "parse-names" : false, "suffix" : "" }, { "dropping-particle" : "", "family" : "Guan", "given" : "Zhishuang", "non-dropping-particle" : "", "parse-names" : false, "suffix" : "" }, { "dropping-particle" : "", "family" : "Liu", "given" : "Jie", "non-dropping-particle" : "", "parse-names" : false, "suffix" : "" }, { "dropping-particle" : "", "family" : "Gui", "given" : "Ting", "non-dropping-particle" : "", "parse-names" : false, "suffix" : "" }, { "dropping-particle" : "", "family" : "Shen", "given" : "Keng", "non-dropping-particle" : "", "parse-names" : false, "suffix" : "" }, { "dropping-particle" : "", "family" : "Manley", "given" : "James L", "non-dropping-particle" : "", "parse-names" : false, "suffix" : "" }, { "dropping-particle" : "", "family" : "Li", "given" : "Xialu", "non-dropping-particle" : "", "parse-names" : false, "suffix" : "" } ], "container-title" : "Genes &amp; Development", "id" : "ITEM-1", "issue" : "19", "issued" : { "date-parts" : [ [ "2011", "10", "1" ] ] }, "page" : "2041-56", "title" : "R-loop-mediated genomic instability is caused by impairment of replication fork progression.", "type" : "article-journal", "volume" : "25" }, "uris" : [ "http://www.mendeley.com/documents/?uuid=68ce142e-1277-4648-ac7f-f7c04b3929ff" ] }, { "id" : "ITEM-2", "itemData" : { "DOI" : "10.1128/MCB.26.8.3327", "author" : [ { "dropping-particle" : "", "family" : "Wellinger", "given" : "RE", "non-dropping-particle" : "", "parse-names" : false, "suffix" : "" }, { "dropping-particle" : "", "family" : "Prado", "given" : "F\u00e9lix", "non-dropping-particle" : "", "parse-names" : false, "suffix" : "" }, { "dropping-particle" : "", "family" : "Aguilera", "given" : "Andr\u00e9s", "non-dropping-particle" : "", "parse-names" : false, "suffix" : "" } ], "container-title" : "Molecular and Cellular Biology", "id" : "ITEM-2", "issue" : "8", "issued" : { "date-parts" : [ [ "2006" ] ] }, "page" : "3327-34", "title" : "Replication fork progression is impaired by transcription in hyperrecombinant yeast cells lacking a functional THO complex", "type" : "article-journal", "volume" : "26" }, "uris" : [ "http://www.mendeley.com/documents/?uuid=df49f1d1-310b-4af6-9107-dd03cebc8e0a" ] }, { "id" : "ITEM-3", "itemData" : { "ISSN" : "1097-2765", "PMID" : "14527416", "abstract" : "Genetic instability, a phenomenon relevant for developmentally regulated processes, cancer, and inherited disorders, can be induced by transcription. However, the mechanisms of transcription-associated genetic instability are not yet understood. Analysis of S. cerevisiae mutants of THO/TREX, a conserved eukaryotic protein complex functioning at the interface of transcription and mRNA metabolism, has provided evidence that transcription elongation impairment can cause hyperrecombination. Here we show, using hpr1Delta mutants, that the nascent mRNA can diminish transcription elongation efficiency and promote recombination. If during transcription the nascent mRNA is self-cleaved by a hammerhead ribozyme, the transcription-defect and hyperrecombination phenotypes of hpr1Delta cells are suppressed. Abolishment of hyperrecombination by overexpression of RNase H1 and molecular detection of DNA:RNA hybrids indicate that these are formed cotranscriptionally in hpr1Delta cells. These data support a model to explain the connection between recombination, transcription, and mRNA metabolism and provide a new perspective to understanding transcription-associated recombination.", "author" : [ { "dropping-particle" : "", "family" : "Huertas", "given" : "Pablo", "non-dropping-particle" : "", "parse-names" : false, "suffix" : "" }, { "dropping-particle" : "", "family" : "Aguilera", "given" : "Andr\u00e9s", "non-dropping-particle" : "", "parse-names" : false, "suffix" : "" } ], "container-title" : "Molecular Cell", "id" : "ITEM-3", "issue" : "3", "issued" : { "date-parts" : [ [ "2003", "9" ] ] }, "page" : "711-21", "title" : "Cotranscriptionally formed DNA:RNA hybrids mediate transcription elongation impairment and transcription-associated recombination.", "type" : "article-journal", "volume" : "12" }, "uris" : [ "http://www.mendeley.com/documents/?uuid=37739cfc-e1c5-4c3d-941c-aac2661ee3f0" ] }, { "id" : "ITEM-4", "itemData" : { "DOI" : "10.1128/MCB.00816-07", "ISSN" : "1098-5549", "PMID" : "17967877", "abstract" : "Transcription can enhance recombination; this is a ubiquitous phenomenon from prokaryotes to higher eukaryotes. However, the mechanism of transcription-associated recombination in mammalian cells is poorly understood. Here we have developed a construct with a recombination substrate in which levels of recombination can be studied in the presence or absence of transcription. We observed a direct enhancement in recombination when transcription levels through the substrate were increased. This increase in homologous recombination following transcription is locus specific, since homologous recombination at the unrelated hprt gene is unaffected. In addition, we have shown that transcription-associated recombination involves both short-tract and long-tract gene conversions in mammalian cells, which are different from double-strand-break-induced recombination events caused by endonucleases. Transcription fails to enhance recombination in cells that are not in the S phase of the cell cycle. Furthermore, inhibition of transcription suppresses induction of recombination at stalled replication forks, suggesting that recombination may be involved in bypassing transcription during replication.", "author" : [ { "dropping-particle" : "", "family" : "Gottipati", "given" : "Ponnari", "non-dropping-particle" : "", "parse-names" : false, "suffix" : "" }, { "dropping-particle" : "", "family" : "Cassel", "given" : "Tobias N", "non-dropping-particle" : "", "parse-names" : false, "suffix" : "" }, { "dropping-particle" : "", "family" : "Savolainen", "given" : "Linda", "non-dropping-particle" : "", "parse-names" : false, "suffix" : "" }, { "dropping-particle" : "", "family" : "Helleday", "given" : "Thomas", "non-dropping-particle" : "", "parse-names" : false, "suffix" : "" } ], "container-title" : "Molecular and Cellular Biology", "id" : "ITEM-4", "issue" : "1", "issued" : { "date-parts" : [ [ "2008", "1" ] ] }, "note" : "From Duplicate 1 ( ", "page" : "154-64", "title" : "Transcription-associated recombination is dependent on replication in Mammalian cells.", "type" : "article-journal", "volume" : "28" }, "uris" : [ "http://www.mendeley.com/documents/?uuid=3eb8f872-bb33-41ec-952a-dbed48066b4d" ] }, { "id" : "ITEM-5", "itemData" : { "DOI" : "10.1016/j.cell.2005.06.008", "ISSN" : "0092-8674", "PMID" : "16096057", "abstract" : "SR proteins constitute a family of pre-mRNA splicing factors now thought to play several roles in mRNA metabolism in metazoan cells. Here we provide evidence that a prototypical SR protein, ASF/SF2, is unexpectedly required for maintenance of genomic stability. We first show that in vivo depletion of ASF/SF2 results in a hypermutation phenotype likely due to DNA rearrangements, reflected in the rapid appearance of DNA double-strand breaks and high-molecular-weight DNA fragments. Analysis of DNA from ASF/SF2-depleted cells revealed that the nontemplate strand of a transcribed gene was single stranded due to formation of an RNA:DNA hybrid, R loop structure. Stable overexpression of RNase H suppressed the DNA-fragmentation and hypermutation phenotypes. Indicative of a direct role, ASF/SF2 prevented R loop formation in a reconstituted in vitro transcription reaction. Our results support a model by which recruitment of ASF/SF2 to nascent transcripts by RNA polymerase II prevents formation of mutagenic R loop structures.", "author" : [ { "dropping-particle" : "", "family" : "Li", "given" : "Xialu", "non-dropping-particle" : "", "parse-names" : false, "suffix" : "" }, { "dropping-particle" : "", "family" : "Manley", "given" : "James L", "non-dropping-particle" : "", "parse-names" : false, "suffix" : "" } ], "container-title" : "Cell", "id" : "ITEM-5", "issue" : "3", "issued" : { "date-parts" : [ [ "2005", "8", "12" ] ] }, "page" : "365-78", "title" : "Inactivation of the SR protein splicing factor ASF/SF2 results in genomic instability.", "type" : "article-journal", "volume" : "122" }, "uris" : [ "http://www.mendeley.com/documents/?uuid=f75b5b69-2496-41f9-b5cf-9a3a45041b0c" ] } ], "mendeley" : { "formattedCitation" : "(Gan et al. 2011; Wellinger et al. 2006; Huertas &amp; Aguilera 2003; Gottipati et al. 2008; Li &amp; Manley 2005)", "plainTextFormattedCitation" : "(Gan et al. 2011; Wellinger et al. 2006; Huertas &amp; Aguilera 2003; Gottipati et al. 2008; Li &amp; Manley 2005)", "previouslyFormattedCitation" : "(Gan et al. 2011; Wellinger et al. 2006; Huertas &amp; Aguilera 2003; Gottipati et al. 2008; Li &amp; Manley 2005)" }, "properties" : { "noteIndex" : 0 }, "schema" : "https://github.com/citation-style-language/schema/raw/master/csl-citation.json" }</w:instrText>
      </w:r>
      <w:r w:rsidR="00F20EC0" w:rsidRPr="00DF0680">
        <w:rPr>
          <w:rFonts w:cs="Times New Roman"/>
        </w:rPr>
        <w:fldChar w:fldCharType="separate"/>
      </w:r>
      <w:r w:rsidR="00FD7B1A" w:rsidRPr="00DF0680">
        <w:rPr>
          <w:rFonts w:cs="Times New Roman"/>
        </w:rPr>
        <w:t>(Gan et al. 2011; Wellinger et al. 2006; Huertas &amp; Aguilera 2003; Gottipati et al. 2008; Li &amp; Manley 2005)</w:t>
      </w:r>
      <w:r w:rsidR="00F20EC0" w:rsidRPr="00DF0680">
        <w:rPr>
          <w:rFonts w:cs="Times New Roman"/>
        </w:rPr>
        <w:fldChar w:fldCharType="end"/>
      </w:r>
      <w:r w:rsidR="000D1853" w:rsidRPr="00DF0680">
        <w:rPr>
          <w:rFonts w:cs="Times New Roman"/>
        </w:rPr>
        <w:t xml:space="preserve">. </w:t>
      </w:r>
      <w:r w:rsidR="00590C69" w:rsidRPr="00DF0680">
        <w:rPr>
          <w:rFonts w:cs="Times New Roman"/>
        </w:rPr>
        <w:t xml:space="preserve">Similar phenotypes are seen in Top1-deficient mouse lymphoma cells. These cells accumulate chromosome breaks in S phase, show γ-H2AX at transcribed regions and have slower and more asymmetric replication forks. Cells showed no further increase in breaks when depleted of ASF/SF2, suggesting they function in the same pathway, and the increased asymmetry and chromosome breaks were rescued with RNaseH1 </w:t>
      </w:r>
      <w:r w:rsidR="00F20EC0" w:rsidRPr="00DF0680">
        <w:rPr>
          <w:rFonts w:cs="Times New Roman"/>
        </w:rPr>
        <w:fldChar w:fldCharType="begin" w:fldLock="1"/>
      </w:r>
      <w:r w:rsidR="00332613" w:rsidRPr="00DF0680">
        <w:rPr>
          <w:rFonts w:cs="Times New Roman"/>
        </w:rPr>
        <w:instrText>ADDIN CSL_CITATION { "citationItems" : [ { "id" : "ITEM-1", "itemData" : { "DOI" : "10.1038/ncb1984", "ISSN" : "1476-4679", "PMID" : "19838172", "abstract" : "Topoisomerase I (Top1) is a key enzyme in functioning at the interface between DNA replication, transcription and mRNA maturation. Here, we show that Top1 suppresses genomic instability in mammalian cells by preventing a conflict between transcription and DNA replication. Using DNA combing and ChIP (chromatin immunoprecipitation)-on-chip, we found that Top1-deficient cells accumulate stalled replication forks and chromosome breaks in S phase, and that breaks occur preferentially at gene-rich regions of the genome. Notably, these phenotypes were suppressed by preventing the formation of RNA-DNA hybrids (R-loops) during transcription. Moreover, these defects could be mimicked by depletion of the splicing factor ASF/SF2 (alternative splicing factor/splicing factor 2), which interacts functionally with Top1. Taken together, these data indicate that Top1 prevents replication fork collapse by suppressing the formation of R-loops in an ASF/SF2-dependent manner. We propose that interference between replication and transcription represents a major source of spontaneous replication stress, which could drive genomic instability during the early stages of tumorigenesis.", "author" : [ { "dropping-particle" : "", "family" : "Tuduri", "given" : "Sandie", "non-dropping-particle" : "", "parse-names" : false, "suffix" : "" }, { "dropping-particle" : "", "family" : "Crabb\u00e9", "given" : "Laure", "non-dropping-particle" : "", "parse-names" : false, "suffix" : "" }, { "dropping-particle" : "", "family" : "Conti", "given" : "Chiara", "non-dropping-particle" : "", "parse-names" : false, "suffix" : "" }, { "dropping-particle" : "", "family" : "Tourri\u00e8re", "given" : "H\u00e9l\u00e8ne", "non-dropping-particle" : "", "parse-names" : false, "suffix" : "" }, { "dropping-particle" : "", "family" : "Holtgreve-Grez", "given" : "Heidi", "non-dropping-particle" : "", "parse-names" : false, "suffix" : "" }, { "dropping-particle" : "", "family" : "Jauch", "given" : "Anna", "non-dropping-particle" : "", "parse-names" : false, "suffix" : "" }, { "dropping-particle" : "", "family" : "Pantesco", "given" : "V\u00e9ronique", "non-dropping-particle" : "", "parse-names" : false, "suffix" : "" }, { "dropping-particle" : "", "family" : "Vos", "given" : "John", "non-dropping-particle" : "De", "parse-names" : false, "suffix" : "" }, { "dropping-particle" : "", "family" : "Thomas", "given" : "Aubin", "non-dropping-particle" : "", "parse-names" : false, "suffix" : "" }, { "dropping-particle" : "", "family" : "Theillet", "given" : "Charles", "non-dropping-particle" : "", "parse-names" : false, "suffix" : "" }, { "dropping-particle" : "", "family" : "Pommier", "given" : "Yves", "non-dropping-particle" : "", "parse-names" : false, "suffix" : "" }, { "dropping-particle" : "", "family" : "Tazi", "given" : "Jamal", "non-dropping-particle" : "", "parse-names" : false, "suffix" : "" }, { "dropping-particle" : "", "family" : "Coquelle", "given" : "Arnaud", "non-dropping-particle" : "", "parse-names" : false, "suffix" : "" }, { "dropping-particle" : "", "family" : "Pasero", "given" : "Philippe", "non-dropping-particle" : "", "parse-names" : false, "suffix" : "" } ], "container-title" : "Nature Cell Biology", "id" : "ITEM-1", "issue" : "11", "issued" : { "date-parts" : [ [ "2009", "11" ] ] }, "page" : "1315-24", "publisher" : "Nature Publishing Group", "title" : "Topoisomerase I suppresses genomic instability by preventing interference between replication and transcription.", "type" : "article-journal", "volume" : "11" }, "uris" : [ "http://www.mendeley.com/documents/?uuid=9ae73ee5-6720-44a5-8de1-8c35ffff99e8" ] } ], "mendeley" : { "formattedCitation" : "(Tuduri et al. 2009)", "plainTextFormattedCitation" : "(Tuduri et al. 2009)", "previouslyFormattedCitation" : "(Tuduri et al. 2009)" }, "properties" : { "noteIndex" : 0 }, "schema" : "https://github.com/citation-style-language/schema/raw/master/csl-citation.json" }</w:instrText>
      </w:r>
      <w:r w:rsidR="00F20EC0" w:rsidRPr="00DF0680">
        <w:rPr>
          <w:rFonts w:cs="Times New Roman"/>
        </w:rPr>
        <w:fldChar w:fldCharType="separate"/>
      </w:r>
      <w:r w:rsidR="00590C69" w:rsidRPr="00DF0680">
        <w:rPr>
          <w:rFonts w:cs="Times New Roman"/>
        </w:rPr>
        <w:t>(Tuduri et al. 2009)</w:t>
      </w:r>
      <w:r w:rsidR="00F20EC0" w:rsidRPr="00DF0680">
        <w:rPr>
          <w:rFonts w:cs="Times New Roman"/>
        </w:rPr>
        <w:fldChar w:fldCharType="end"/>
      </w:r>
      <w:r w:rsidR="00AC62D1" w:rsidRPr="00DF0680">
        <w:rPr>
          <w:rFonts w:cs="Times New Roman"/>
        </w:rPr>
        <w:t>. This work implies Topoisomerase I has a function in preventing collisions between replication and transcription.</w:t>
      </w:r>
      <w:r w:rsidR="00E7222A" w:rsidRPr="00DF0680">
        <w:rPr>
          <w:rFonts w:cs="Times New Roman"/>
        </w:rPr>
        <w:t xml:space="preserve"> Dcr1, in </w:t>
      </w:r>
      <w:r w:rsidR="00ED778C" w:rsidRPr="00DF0680">
        <w:rPr>
          <w:rFonts w:cs="Times New Roman"/>
          <w:i/>
        </w:rPr>
        <w:t>S</w:t>
      </w:r>
      <w:r w:rsidR="00E7222A" w:rsidRPr="00DF0680">
        <w:rPr>
          <w:rFonts w:cs="Times New Roman"/>
          <w:i/>
        </w:rPr>
        <w:t>. pombe</w:t>
      </w:r>
      <w:r w:rsidR="00E7222A" w:rsidRPr="00DF0680">
        <w:rPr>
          <w:rFonts w:cs="Times New Roman"/>
        </w:rPr>
        <w:t xml:space="preserve">, has also been shown to have a role in maintaining genome stability by terminating transcription at sites of replication stress </w:t>
      </w:r>
      <w:r w:rsidR="00F20EC0" w:rsidRPr="00DF0680">
        <w:rPr>
          <w:rFonts w:cs="Times New Roman"/>
        </w:rPr>
        <w:fldChar w:fldCharType="begin" w:fldLock="1"/>
      </w:r>
      <w:r w:rsidR="00DA6E78" w:rsidRPr="00DF0680">
        <w:rPr>
          <w:rFonts w:cs="Times New Roman"/>
        </w:rPr>
        <w:instrText>ADDIN CSL_CITATION { "citationItems" : [ { "id" : "ITEM-1", "itemData" : { "DOI" : "10.1016/j.cell.2014.09.031", "ISSN" : "00928674", "author" : [ { "dropping-particle" : "", "family" : "Castel", "given" : "Stephane E.", "non-dropping-particle" : "", "parse-names" : false, "suffix" : "" }, { "dropping-particle" : "", "family" : "Ren", "given" : "Jie", "non-dropping-particle" : "", "parse-names" : false, "suffix" : "" }, { "dropping-particle" : "", "family" : "Bhattacharjee", "given" : "Sonali", "non-dropping-particle" : "", "parse-names" : false, "suffix" : "" }, { "dropping-particle" : "", "family" : "Chang", "given" : "An-Yun", "non-dropping-particle" : "", "parse-names" : false, "suffix" : "" }, { "dropping-particle" : "", "family" : "S\u00e1nchez", "given" : "Mar", "non-dropping-particle" : "", "parse-names" : false, "suffix" : "" }, { "dropping-particle" : "", "family" : "Valbuena", "given" : "Alberto", "non-dropping-particle" : "", "parse-names" : false, "suffix" : "" }, { "dropping-particle" : "", "family" : "Antequera", "given" : "Francisco", "non-dropping-particle" : "", "parse-names" : false, "suffix" : "" }, { "dropping-particle" : "", "family" : "Martienssen", "given" : "Robert A.", "non-dropping-particle" : "", "parse-names" : false, "suffix" : "" } ], "container-title" : "Cell", "id" : "ITEM-1", "issue" : "3", "issued" : { "date-parts" : [ [ "2014", "10" ] ] }, "page" : "572-83", "title" : "Dicer Promotes Transcription Termination at Sites of Replication Stress to Maintain Genome Stability", "type" : "article-journal", "volume" : "159" }, "uris" : [ "http://www.mendeley.com/documents/?uuid=d3303538-130c-4b6b-bf21-b39e60e67f7c" ] } ], "mendeley" : { "formattedCitation" : "(Castel et al. 2014)", "plainTextFormattedCitation" : "(Castel et al. 2014)", "previouslyFormattedCitation" : "(Castel et al. 2014)" }, "properties" : { "noteIndex" : 0 }, "schema" : "https://github.com/citation-style-language/schema/raw/master/csl-citation.json" }</w:instrText>
      </w:r>
      <w:r w:rsidR="00F20EC0" w:rsidRPr="00DF0680">
        <w:rPr>
          <w:rFonts w:cs="Times New Roman"/>
        </w:rPr>
        <w:fldChar w:fldCharType="separate"/>
      </w:r>
      <w:r w:rsidR="00E7222A" w:rsidRPr="00DF0680">
        <w:rPr>
          <w:rFonts w:cs="Times New Roman"/>
        </w:rPr>
        <w:t>(Castel et al. 2014)</w:t>
      </w:r>
      <w:r w:rsidR="00F20EC0" w:rsidRPr="00DF0680">
        <w:rPr>
          <w:rFonts w:cs="Times New Roman"/>
        </w:rPr>
        <w:fldChar w:fldCharType="end"/>
      </w:r>
      <w:r w:rsidR="00E7222A" w:rsidRPr="00DF0680">
        <w:rPr>
          <w:rFonts w:cs="Times New Roman"/>
        </w:rPr>
        <w:t>.</w:t>
      </w:r>
      <w:r w:rsidR="00FD7B1A" w:rsidRPr="00DF0680">
        <w:rPr>
          <w:rFonts w:cs="Times New Roman"/>
        </w:rPr>
        <w:t xml:space="preserve"> </w:t>
      </w:r>
      <w:r w:rsidR="00C452D7" w:rsidRPr="00DF0680">
        <w:rPr>
          <w:rFonts w:cs="Times New Roman"/>
        </w:rPr>
        <w:t>Increased number of c</w:t>
      </w:r>
      <w:r w:rsidR="00FD7B1A" w:rsidRPr="00DF0680">
        <w:rPr>
          <w:rFonts w:cs="Times New Roman"/>
        </w:rPr>
        <w:t>ollisions with transcription machinery</w:t>
      </w:r>
      <w:r w:rsidR="00C452D7" w:rsidRPr="00DF0680">
        <w:rPr>
          <w:rFonts w:cs="Times New Roman"/>
        </w:rPr>
        <w:t>, as a result of increased origin firing,</w:t>
      </w:r>
      <w:r w:rsidR="00FD7B1A" w:rsidRPr="00DF0680">
        <w:rPr>
          <w:rFonts w:cs="Times New Roman"/>
        </w:rPr>
        <w:t xml:space="preserve"> have been demonstrated to be a form of cyclin-E associated oncogene induced replication stress </w:t>
      </w:r>
      <w:r w:rsidR="00F20EC0" w:rsidRPr="00DF0680">
        <w:rPr>
          <w:rFonts w:cs="Times New Roman"/>
        </w:rPr>
        <w:fldChar w:fldCharType="begin" w:fldLock="1"/>
      </w:r>
      <w:r w:rsidR="00D25138" w:rsidRPr="00DF0680">
        <w:rPr>
          <w:rFonts w:cs="Times New Roman"/>
        </w:rPr>
        <w:instrText>ADDIN CSL_CITATION { "citationItems" : [ { "id" : "ITEM-1", "itemData" : { "DOI" : "10.1038/onc.2012.387", "ISSN" : "1476-5594", "PMID" : "22945645", "abstract" : "It has become increasingly clear that oncogenes not only provide aberrant growth signals to cells but also cause DNA damage at replication forks (replication stress), which activate the ataxia telangiectasia mutated (ATM)/p53-dependent tumor barrier. Here we studied underlying mechanisms of oncogene-induced replication stress in cells overexpressing the oncogene Cyclin E. Cyclin E overexpression is associated with increased firing of replication origins, impaired replication fork progression and DNA damage that activates RAD51-mediated recombination. By inhibiting replication initiation factors, we show that Cyclin E-induced replication slowing and DNA damage is a consequence of excessive origin firing. A significant amount of Cyclin E-induced replication slowing is due to interference between replication and transcription, which also underlies the activation of homologous recombination. Our data suggest that Cyclin E-induced replication stress is caused by deregulation of replication initiation and increased interference between replication and transcription, which results in impaired replication fork progression and DNA damage triggering the tumor barrier or cancer-promoting mutations.", "author" : [ { "dropping-particle" : "", "family" : "Jones", "given" : "R M", "non-dropping-particle" : "", "parse-names" : false, "suffix" : "" }, { "dropping-particle" : "", "family" : "Mortusewicz", "given" : "O", "non-dropping-particle" : "", "parse-names" : false, "suffix" : "" }, { "dropping-particle" : "", "family" : "Afzal", "given" : "I", "non-dropping-particle" : "", "parse-names" : false, "suffix" : "" }, { "dropping-particle" : "", "family" : "Lorvellec", "given" : "M", "non-dropping-particle" : "", "parse-names" : false, "suffix" : "" }, { "dropping-particle" : "", "family" : "Garc\u00eda", "given" : "P", "non-dropping-particle" : "", "parse-names" : false, "suffix" : "" }, { "dropping-particle" : "", "family" : "Helleday", "given" : "T", "non-dropping-particle" : "", "parse-names" : false, "suffix" : "" }, { "dropping-particle" : "", "family" : "Petermann", "given" : "E", "non-dropping-particle" : "", "parse-names" : false, "suffix" : "" } ], "container-title" : "Oncogene", "id" : "ITEM-1", "issue" : "32", "issued" : { "date-parts" : [ [ "2013", "8", "8" ] ] }, "page" : "3744-53", "title" : "Increased replication initiation and conflicts with transcription underlie Cyclin E-induced replication stress.", "type" : "article-journal", "volume" : "32" }, "uris" : [ "http://www.mendeley.com/documents/?uuid=cd645a42-40ed-440a-99d5-88b12d55fd65" ] } ], "mendeley" : { "formattedCitation" : "(Jones et al. 2013)", "plainTextFormattedCitation" : "(Jones et al. 2013)", "previouslyFormattedCitation" : "(Jones et al. 2013)" }, "properties" : { "noteIndex" : 0 }, "schema" : "https://github.com/citation-style-language/schema/raw/master/csl-citation.json" }</w:instrText>
      </w:r>
      <w:r w:rsidR="00F20EC0" w:rsidRPr="00DF0680">
        <w:rPr>
          <w:rFonts w:cs="Times New Roman"/>
        </w:rPr>
        <w:fldChar w:fldCharType="separate"/>
      </w:r>
      <w:r w:rsidR="00FD7B1A" w:rsidRPr="00DF0680">
        <w:rPr>
          <w:rFonts w:cs="Times New Roman"/>
        </w:rPr>
        <w:t>(Jones et al. 2013)</w:t>
      </w:r>
      <w:r w:rsidR="00F20EC0" w:rsidRPr="00DF0680">
        <w:rPr>
          <w:rFonts w:cs="Times New Roman"/>
        </w:rPr>
        <w:fldChar w:fldCharType="end"/>
      </w:r>
      <w:r w:rsidR="00FD7B1A" w:rsidRPr="00DF0680">
        <w:rPr>
          <w:rFonts w:cs="Times New Roman"/>
        </w:rPr>
        <w:t xml:space="preserve">. </w:t>
      </w:r>
      <w:r w:rsidR="00B17E84" w:rsidRPr="00DF0680">
        <w:rPr>
          <w:rFonts w:cs="Times New Roman"/>
        </w:rPr>
        <w:t xml:space="preserve">In experiments here, we have used </w:t>
      </w:r>
      <w:r w:rsidR="00AB4A1D" w:rsidRPr="00DF0680">
        <w:rPr>
          <w:rFonts w:cs="Times New Roman"/>
        </w:rPr>
        <w:t xml:space="preserve">the transcription elongation inhibitor </w:t>
      </w:r>
      <w:r w:rsidR="00B17E84" w:rsidRPr="00DF0680">
        <w:rPr>
          <w:rFonts w:cs="Times New Roman"/>
        </w:rPr>
        <w:t>DRB in order to induce replication stress</w:t>
      </w:r>
      <w:r w:rsidR="00AB4A1D" w:rsidRPr="00DF0680">
        <w:rPr>
          <w:rFonts w:cs="Times New Roman"/>
        </w:rPr>
        <w:t xml:space="preserve"> </w:t>
      </w:r>
      <w:r w:rsidR="00F20EC0" w:rsidRPr="00DF0680">
        <w:rPr>
          <w:rFonts w:cs="Times New Roman"/>
        </w:rPr>
        <w:fldChar w:fldCharType="begin" w:fldLock="1"/>
      </w:r>
      <w:r w:rsidR="0095794A" w:rsidRPr="00DF0680">
        <w:rPr>
          <w:rFonts w:cs="Times New Roman"/>
        </w:rPr>
        <w:instrText>ADDIN CSL_CITATION { "citationItems" : [ { "id" : "ITEM-1", "itemData" : { "ISSN" : "0092-8674", "PMID" : "10199401", "abstract" : "DRB is a classic inhibitor of transcription elongation by RNA polymerase II (pol II). Since DRB generally affects class II genes, factors involved in this process must play fundamental roles in pol II elongation. Recently, two elongation factors essential for DRB action were identified, namely DSIF and P-TEFb. Here we describe the identification and purification from HeLa nuclear extract of a third protein factor required for DRB-sensitive transcription. This factor, termed negative elongation factor (NELF), cooperates with DSIF and strongly represses pol II elongation. This repression is reversed by P-TEFb-dependent phosphorylation of the pol II C-terminal domain. NELF is composed of five polypeptides, the smallest of which is identical to RD, a putative RNA-binding protein of unknown function. This study reveals a molecular mechanism for DRB action and a regulatory network of positive and negative elongation factors.", "author" : [ { "dropping-particle" : "", "family" : "Yamaguchi", "given" : "Y", "non-dropping-particle" : "", "parse-names" : false, "suffix" : "" }, { "dropping-particle" : "", "family" : "Takagi", "given" : "T", "non-dropping-particle" : "", "parse-names" : false, "suffix" : "" }, { "dropping-particle" : "", "family" : "Wada", "given" : "T", "non-dropping-particle" : "", "parse-names" : false, "suffix" : "" }, { "dropping-particle" : "", "family" : "Yano", "given" : "K", "non-dropping-particle" : "", "parse-names" : false, "suffix" : "" }, { "dropping-particle" : "", "family" : "Furuya", "given" : "a", "non-dropping-particle" : "", "parse-names" : false, "suffix" : "" }, { "dropping-particle" : "", "family" : "Sugimoto", "given" : "S", "non-dropping-particle" : "", "parse-names" : false, "suffix" : "" }, { "dropping-particle" : "", "family" : "Hasegawa", "given" : "J", "non-dropping-particle" : "", "parse-names" : false, "suffix" : "" }, { "dropping-particle" : "", "family" : "Handa", "given" : "H", "non-dropping-particle" : "", "parse-names" : false, "suffix" : "" } ], "container-title" : "Cell", "id" : "ITEM-1", "issue" : "1", "issued" : { "date-parts" : [ [ "1999", "4", "2" ] ] }, "page" : "41-51", "title" : "NELF, a multisubunit complex containing RD, cooperates with DSIF to repress RNA polymerase II elongation.", "type" : "article-journal", "volume" : "97" }, "uris" : [ "http://www.mendeley.com/documents/?uuid=997095bf-7c50-4f90-8714-5d25420409a9" ] } ], "mendeley" : { "formattedCitation" : "(Yamaguchi et al. 1999)", "plainTextFormattedCitation" : "(Yamaguchi et al. 1999)", "previouslyFormattedCitation" : "(Yamaguchi et al. 1999)" }, "properties" : { "noteIndex" : 0 }, "schema" : "https://github.com/citation-style-language/schema/raw/master/csl-citation.json" }</w:instrText>
      </w:r>
      <w:r w:rsidR="00F20EC0" w:rsidRPr="00DF0680">
        <w:rPr>
          <w:rFonts w:cs="Times New Roman"/>
        </w:rPr>
        <w:fldChar w:fldCharType="separate"/>
      </w:r>
      <w:r w:rsidR="00AB4A1D" w:rsidRPr="00DF0680">
        <w:rPr>
          <w:rFonts w:cs="Times New Roman"/>
        </w:rPr>
        <w:t>(Yamaguchi et al. 1999)</w:t>
      </w:r>
      <w:r w:rsidR="00F20EC0" w:rsidRPr="00DF0680">
        <w:rPr>
          <w:rFonts w:cs="Times New Roman"/>
        </w:rPr>
        <w:fldChar w:fldCharType="end"/>
      </w:r>
      <w:r w:rsidR="00B17E84" w:rsidRPr="00DF0680">
        <w:rPr>
          <w:rFonts w:cs="Times New Roman"/>
        </w:rPr>
        <w:t>.</w:t>
      </w:r>
    </w:p>
    <w:p w:rsidR="0040001E" w:rsidRPr="00DF0680" w:rsidRDefault="00D83409" w:rsidP="00A025CF">
      <w:pPr>
        <w:rPr>
          <w:rFonts w:cs="Times New Roman"/>
        </w:rPr>
      </w:pPr>
      <w:r w:rsidRPr="00DF0680">
        <w:rPr>
          <w:rFonts w:cs="Times New Roman"/>
        </w:rPr>
        <w:t>W</w:t>
      </w:r>
      <w:r w:rsidR="00FC1D71" w:rsidRPr="00DF0680">
        <w:rPr>
          <w:rFonts w:cs="Times New Roman"/>
        </w:rPr>
        <w:t>hen a replisome encounters a</w:t>
      </w:r>
      <w:r w:rsidR="00B402A8" w:rsidRPr="00DF0680">
        <w:rPr>
          <w:rFonts w:cs="Times New Roman"/>
        </w:rPr>
        <w:t>ny of the above</w:t>
      </w:r>
      <w:r w:rsidR="00FC1D71" w:rsidRPr="00DF0680">
        <w:rPr>
          <w:rFonts w:cs="Times New Roman"/>
        </w:rPr>
        <w:t xml:space="preserve"> replication barrier</w:t>
      </w:r>
      <w:r w:rsidR="00B402A8" w:rsidRPr="00DF0680">
        <w:rPr>
          <w:rFonts w:cs="Times New Roman"/>
        </w:rPr>
        <w:t>s</w:t>
      </w:r>
      <w:r w:rsidR="00FC1D71" w:rsidRPr="00DF0680">
        <w:rPr>
          <w:rFonts w:cs="Times New Roman"/>
        </w:rPr>
        <w:t xml:space="preserve"> or pre-existing damage, the replication fork will </w:t>
      </w:r>
      <w:r w:rsidRPr="00DF0680">
        <w:rPr>
          <w:rFonts w:cs="Times New Roman"/>
        </w:rPr>
        <w:t xml:space="preserve">stall. If this </w:t>
      </w:r>
      <w:r w:rsidR="00B402A8" w:rsidRPr="00DF0680">
        <w:rPr>
          <w:rFonts w:cs="Times New Roman"/>
        </w:rPr>
        <w:t xml:space="preserve">stalled fork is not stabilised or restarted, it will collapse, </w:t>
      </w:r>
      <w:r w:rsidR="00360D34" w:rsidRPr="00DF0680">
        <w:rPr>
          <w:rFonts w:cs="Times New Roman"/>
        </w:rPr>
        <w:t>and produce</w:t>
      </w:r>
      <w:r w:rsidR="00B402A8" w:rsidRPr="00DF0680">
        <w:rPr>
          <w:rFonts w:cs="Times New Roman"/>
        </w:rPr>
        <w:t xml:space="preserve"> a double stra</w:t>
      </w:r>
      <w:r w:rsidR="00B32C2C" w:rsidRPr="00DF0680">
        <w:rPr>
          <w:rFonts w:cs="Times New Roman"/>
        </w:rPr>
        <w:t>nd break (DSB)</w:t>
      </w:r>
      <w:r w:rsidR="00B402A8" w:rsidRPr="00DF0680">
        <w:rPr>
          <w:rFonts w:cs="Times New Roman"/>
        </w:rPr>
        <w:t xml:space="preserve"> causing</w:t>
      </w:r>
      <w:r w:rsidR="00FC1D71" w:rsidRPr="00DF0680">
        <w:rPr>
          <w:rFonts w:cs="Times New Roman"/>
        </w:rPr>
        <w:t xml:space="preserve"> further DNA damage. </w:t>
      </w:r>
      <w:r w:rsidR="00360D34" w:rsidRPr="00DF0680">
        <w:rPr>
          <w:rFonts w:cs="Times New Roman"/>
        </w:rPr>
        <w:t>It has been shown that</w:t>
      </w:r>
      <w:r w:rsidR="00B32C2C" w:rsidRPr="00DF0680">
        <w:rPr>
          <w:rFonts w:cs="Times New Roman"/>
        </w:rPr>
        <w:t xml:space="preserve"> the</w:t>
      </w:r>
      <w:r w:rsidR="00360D34" w:rsidRPr="00DF0680">
        <w:rPr>
          <w:rFonts w:cs="Times New Roman"/>
        </w:rPr>
        <w:t xml:space="preserve"> Mus81-Eme1 complex cleaves the stalled replication fork, leaving a DSB break </w:t>
      </w:r>
      <w:r w:rsidR="00F20EC0" w:rsidRPr="00DF0680">
        <w:rPr>
          <w:rFonts w:cs="Times New Roman"/>
        </w:rPr>
        <w:fldChar w:fldCharType="begin" w:fldLock="1"/>
      </w:r>
      <w:r w:rsidR="00332613" w:rsidRPr="00DF0680">
        <w:rPr>
          <w:rFonts w:cs="Times New Roman"/>
        </w:rPr>
        <w:instrText>ADDIN CSL_CITATION { "citationItems" : [ { "id" : "ITEM-1", "itemData" : { "DOI" : "10.1074/jbc.M202120200", "ISBN" : "3275332759", "ISSN" : "0021-9258", "PMID" : "12084712", "abstract" : "The processing of stalled replication forks and the repair of collapsed replication forks are essential functions in all organisms. In fission yeast DNA junctions at stalled replication forks appear to be processed by either the Rqh1 DNA helicase or Mus81-Eme1 endonuclease. Accordingly, we show that the hypersensitivity to agents that cause replication fork stalling of mus81, eme1, and rqh1 mutants is suppressed by a Holliday junction resolvase (RusA), as is the synthetic lethality of a mus81(-) rqh1(-) double mutant. Recombinant Mus81-Eme1, purified from Escherichia coli, readily cleaves replication fork structures but cleaves synthetic Holliday junctions relatively poorly in vitro. From these data we propose that Mus81-Eme1 can process stalled replication forks before they have regressed to form a Holliday junction. We also implicate Mus81-Eme1 and Rqh1 in the repair of collapsed replication forks. Here Mus81-Eme1 and Rqh1 seem to function on different substrates because RusA can substitute for Mus81-Eme1 but not Rqh1.", "author" : [ { "dropping-particle" : "", "family" : "Doe", "given" : "Claudette L", "non-dropping-particle" : "", "parse-names" : false, "suffix" : "" }, { "dropping-particle" : "", "family" : "Ahn", "given" : "Jong Sook", "non-dropping-particle" : "", "parse-names" : false, "suffix" : "" }, { "dropping-particle" : "", "family" : "Dixon", "given" : "Julie", "non-dropping-particle" : "", "parse-names" : false, "suffix" : "" }, { "dropping-particle" : "", "family" : "Whitby", "given" : "Matthew C", "non-dropping-particle" : "", "parse-names" : false, "suffix" : "" } ], "container-title" : "The Journal of Biological Chemistry", "id" : "ITEM-1", "issue" : "36", "issued" : { "date-parts" : [ [ "2002", "9", "6" ] ] }, "page" : "32753-9", "title" : "Mus81-Eme1 and Rqh1 involvement in processing stalled and collapsed replication forks.", "type" : "article-journal", "volume" : "277" }, "uris" : [ "http://www.mendeley.com/documents/?uuid=60c06564-5df3-4252-b25d-6132046daff8" ] }, { "id" : "ITEM-2", "itemData" : { "DOI" : "10.1074/jbc.M302882200", "ISBN" : "4420726938", "ISSN" : "0021-9258", "PMID" : "12721304", "abstract" : "The faithful and complete replication of DNA is necessary for the maintenance of genome stability. It is known, however, that replication forks stall at lesions in the DNA template and need to be processed so that replication restart can occur. In fission yeast, the Mus81-Eme1 endonuclease complex (Mus81-Mms4 in Saccharomyces cerevisiae) has been implicated in the processing of aberrant replication intermediates. In this report, we identify the human homolog of the Schizosaccharomyces pombe EME1 gene and have purified the human Mus81-Eme1 heterodimer. We show that Mus81-Eme1 is an endonuclease that exhibits a high specificity for synthetic replication fork structures and 3'-flaps in vitro. The nuclease cleaves Holliday junctions inefficiently ( approximately 75-fold less than flap or fork structures), although cleavage can be increased 6-fold by the presence of homologous sequences previously shown to permit base pair \"breathing.\" We conclude that human Mus81-Eme1 is a flap/fork endonuclease that is likely to play a role in the processing of stalled replication fork intermediates.", "author" : [ { "dropping-particle" : "", "family" : "Ciccia", "given" : "Alberto", "non-dropping-particle" : "", "parse-names" : false, "suffix" : "" }, { "dropping-particle" : "", "family" : "Constantinou", "given" : "Angelos", "non-dropping-particle" : "", "parse-names" : false, "suffix" : "" }, { "dropping-particle" : "", "family" : "West", "given" : "Stephen C", "non-dropping-particle" : "", "parse-names" : false, "suffix" : "" } ], "container-title" : "The Journal of Biological Chemistry", "id" : "ITEM-2", "issue" : "27", "issued" : { "date-parts" : [ [ "2003", "7", "4" ] ] }, "page" : "25172-8", "title" : "Identification and characterization of the human mus81-eme1 endonuclease.", "type" : "article-journal", "volume" : "278" }, "uris" : [ "http://www.mendeley.com/documents/?uuid=a63b9cf8-69c3-4e5b-8b42-cfff635c847e" ] } ], "mendeley" : { "formattedCitation" : "(Doe et al. 2002; Ciccia et al. 2003)", "plainTextFormattedCitation" : "(Doe et al. 2002; Ciccia et al. 2003)", "previouslyFormattedCitation" : "(Doe et al. 2002; Ciccia et al. 2003)" }, "properties" : { "noteIndex" : 0 }, "schema" : "https://github.com/citation-style-language/schema/raw/master/csl-citation.json" }</w:instrText>
      </w:r>
      <w:r w:rsidR="00F20EC0" w:rsidRPr="00DF0680">
        <w:rPr>
          <w:rFonts w:cs="Times New Roman"/>
        </w:rPr>
        <w:fldChar w:fldCharType="separate"/>
      </w:r>
      <w:r w:rsidR="0095794A" w:rsidRPr="00DF0680">
        <w:rPr>
          <w:rFonts w:cs="Times New Roman"/>
        </w:rPr>
        <w:t>(Doe et al. 2002; Ciccia et al. 2003)</w:t>
      </w:r>
      <w:r w:rsidR="00F20EC0" w:rsidRPr="00DF0680">
        <w:rPr>
          <w:rFonts w:cs="Times New Roman"/>
        </w:rPr>
        <w:fldChar w:fldCharType="end"/>
      </w:r>
      <w:r w:rsidR="00360D34" w:rsidRPr="00DF0680">
        <w:rPr>
          <w:rFonts w:cs="Times New Roman"/>
        </w:rPr>
        <w:t xml:space="preserve">. </w:t>
      </w:r>
      <w:r w:rsidR="00120C57" w:rsidRPr="00DF0680">
        <w:rPr>
          <w:rFonts w:cs="Times New Roman"/>
        </w:rPr>
        <w:t xml:space="preserve">Alternatively, if a replisome reaches a single strand break, such as the topoisomerase-linked strand breaks induced by camptothecin </w:t>
      </w:r>
      <w:r w:rsidR="00F20EC0" w:rsidRPr="00DF0680">
        <w:rPr>
          <w:rFonts w:cs="Times New Roman"/>
        </w:rPr>
        <w:fldChar w:fldCharType="begin" w:fldLock="1"/>
      </w:r>
      <w:r w:rsidR="00332613" w:rsidRPr="00DF0680">
        <w:rPr>
          <w:rFonts w:cs="Times New Roman"/>
        </w:rPr>
        <w:instrText>ADDIN CSL_CITATION { "citationItems" : [ { "id" : "ITEM-1", "itemData" : { "ISSN" : "0270-7306", "PMID" : "2850477", "abstract" : "The structure of replicating simian virus 40 minichromosomes, extracted from camptothecin-treated infected cells, was investigated by biochemical and electron microscopic methods. We found that camptothecin frequently induced breaks at replication forks close to the replicative growth points. Replication branches were disrupted at about equal frequencies at the leading and the lagging strand sides of the fork. Since camptothecin is known to be a specific inhibitor of type I DNA topoisomerase, we suggest that this enzyme is acting very near the replication forks. This conclusion was supported by experiments with aphidicolin, a drug that blocks replicative fork movement, but did not prevent the camptothecin-induced breakage of replication forks. The drug teniposide, an inhibitor of type II DNA topoisomerase, had only minor effects on the structure of these replicative intermediates.", "author" : [ { "dropping-particle" : "", "family" : "Avemann", "given" : "K", "non-dropping-particle" : "", "parse-names" : false, "suffix" : "" }, { "dropping-particle" : "", "family" : "Knippers", "given" : "R", "non-dropping-particle" : "", "parse-names" : false, "suffix" : "" }, { "dropping-particle" : "", "family" : "Koller", "given" : "T", "non-dropping-particle" : "", "parse-names" : false, "suffix" : "" }, { "dropping-particle" : "", "family" : "Sogo", "given" : "J M", "non-dropping-particle" : "", "parse-names" : false, "suffix" : "" } ], "container-title" : "Molecular and Cellular Biology", "id" : "ITEM-1", "issue" : "8", "issued" : { "date-parts" : [ [ "1988", "8" ] ] }, "page" : "3026-34", "title" : "Camptothecin, a specific inhibitor of type I DNA topoisomerase, induces DNA breakage at replication forks.", "type" : "article-journal", "volume" : "8" }, "uris" : [ "http://www.mendeley.com/documents/?uuid=a5b959ce-91f2-461b-a480-75fee5ca861f" ] } ], "mendeley" : { "formattedCitation" : "(Avemann et al. 1988)", "plainTextFormattedCitation" : "(Avemann et al. 1988)", "previouslyFormattedCitation" : "(Avemann et al. 1988)"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(Avemann et al. 1988)</w:t>
      </w:r>
      <w:r w:rsidR="00F20EC0" w:rsidRPr="00DF0680">
        <w:rPr>
          <w:rFonts w:cs="Times New Roman"/>
        </w:rPr>
        <w:fldChar w:fldCharType="end"/>
      </w:r>
      <w:r w:rsidR="00120C57" w:rsidRPr="00DF0680">
        <w:rPr>
          <w:rFonts w:cs="Times New Roman"/>
        </w:rPr>
        <w:t>, the replication for</w:t>
      </w:r>
      <w:r w:rsidR="003F5EBE" w:rsidRPr="00DF0680">
        <w:rPr>
          <w:rFonts w:cs="Times New Roman"/>
        </w:rPr>
        <w:t>k</w:t>
      </w:r>
      <w:r w:rsidR="00120C57" w:rsidRPr="00DF0680">
        <w:rPr>
          <w:rFonts w:cs="Times New Roman"/>
        </w:rPr>
        <w:t xml:space="preserve"> collapses and a double strand  break is formed </w:t>
      </w:r>
      <w:r w:rsidR="00F20EC0" w:rsidRPr="00DF0680">
        <w:rPr>
          <w:rFonts w:cs="Times New Roman"/>
        </w:rPr>
        <w:fldChar w:fldCharType="begin" w:fldLock="1"/>
      </w:r>
      <w:r w:rsidR="00332613" w:rsidRPr="00DF0680">
        <w:rPr>
          <w:rFonts w:cs="Times New Roman"/>
        </w:rPr>
        <w:instrText>ADDIN CSL_CITATION { "citationItems" : [ { "id" : "ITEM-1", "itemData" : { "ISSN" : "0305-1048", "PMID" : "1905803", "abstract" : "Camptothecin is a specific topoisomerase I poison and is highly cytotoxic to eukaryotic cells. In the present study, we show, using a pulse field gel electrophoresis assay, that camptothecin induces DNA double strand breaks (DSBs) specifically in newly replicated DNA. Camptothecin induces these replication associated DNA DSBs in a dose-dependent manner. At levels of the drug which are toxic to the cell, these breaks are long-lived, and still measurable 24 hr after treatment. Both camptothecin induced DSBs and cytotoxicity are prevented by co-exposure with aphidicolin--a result which indicates that ongoing DNA synthesis is required for the production of DNA DSBs and cell killing. It has been proposed that camptothecin toxicity involves an interaction between the replication machinery and a drug-mediated topoisomerase I-DNA cleavable complex. The present work indicates, for the first time in mammalian cellular DNA, that one possible outcome of this interaction is a replication-associated DSB, a lesion which is likely to be highly cytotoxic.", "author" : [ { "dropping-particle" : "", "family" : "Ryan", "given" : "a J", "non-dropping-particle" : "", "parse-names" : false, "suffix" : "" }, { "dropping-particle" : "", "family" : "Squires", "given" : "S", "non-dropping-particle" : "", "parse-names" : false, "suffix" : "" }, { "dropping-particle" : "", "family" : "Strutt", "given" : "H L", "non-dropping-particle" : "", "parse-names" : false, "suffix" : "" }, { "dropping-particle" : "", "family" : "Johnson", "given" : "R T", "non-dropping-particle" : "", "parse-names" : false, "suffix" : "" } ], "container-title" : "Nucleic Acids Research", "id" : "ITEM-1", "issue" : "12", "issued" : { "date-parts" : [ [ "1991", "6", "25" ] ] }, "page" : "3295-300", "title" : "Camptothecin cytotoxicity in mammalian cells is associated with the induction of persistent double strand breaks in replicating DNA.", "type" : "article-journal", "volume" : "19" }, "uris" : [ "http://www.mendeley.com/documents/?uuid=dffb6d73-3014-4183-a80a-8a2eb9c0f18b" ] } ], "mendeley" : { "formattedCitation" : "(Ryan et al. 1991)", "plainTextFormattedCitation" : "(Ryan et al. 1991)", "previouslyFormattedCitation" : "(Ryan et al. 1991)"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(Ryan et al. 1991)</w:t>
      </w:r>
      <w:r w:rsidR="00F20EC0" w:rsidRPr="00DF0680">
        <w:rPr>
          <w:rFonts w:cs="Times New Roman"/>
        </w:rPr>
        <w:fldChar w:fldCharType="end"/>
      </w:r>
      <w:r w:rsidR="00120C57" w:rsidRPr="00DF0680">
        <w:rPr>
          <w:rFonts w:cs="Times New Roman"/>
        </w:rPr>
        <w:t>.</w:t>
      </w:r>
      <w:r w:rsidR="00AB4A1D" w:rsidRPr="00DF0680">
        <w:rPr>
          <w:rFonts w:cs="Times New Roman"/>
        </w:rPr>
        <w:t xml:space="preserve"> </w:t>
      </w:r>
      <w:r w:rsidR="00095260" w:rsidRPr="00DF0680">
        <w:rPr>
          <w:rFonts w:cs="Times New Roman"/>
        </w:rPr>
        <w:t xml:space="preserve">Topoisomerase I removes supercoiled DNA ahead of the replication fork </w:t>
      </w:r>
      <w:r w:rsidR="00E07A5D" w:rsidRPr="00DF0680">
        <w:rPr>
          <w:rFonts w:cs="Times New Roman"/>
        </w:rPr>
        <w:t xml:space="preserve">by introducing a single strand break </w:t>
      </w:r>
      <w:r w:rsidR="00F20EC0" w:rsidRPr="00DF0680">
        <w:rPr>
          <w:rFonts w:cs="Times New Roman"/>
        </w:rPr>
        <w:fldChar w:fldCharType="begin" w:fldLock="1"/>
      </w:r>
      <w:r w:rsidR="00332613" w:rsidRPr="00DF0680">
        <w:rPr>
          <w:rFonts w:cs="Times New Roman"/>
        </w:rPr>
        <w:instrText>ADDIN CSL_CITATION { "citationItems" : [ { "id" : "ITEM-1", "itemData" : { "DOI" : "10.1038/nrm831", "ISSN" : "1471-0072", "PMID" : "12042765", "abstract" : "DNA topoisomerases are the magicians of the DNA world by allowing DNA strands or double helices to pass through each other, they can solve all of the topological problems of DNA in replication, transcription and other cellular transactions. Extensive biochemical and structural studies over the past three decades have provided molecular models of how the various subfamilies of DNA topoisomerase manipulate DNA. In this review, the cellular roles of these enzymes are examined from a molecular point of view.", "author" : [ { "dropping-particle" : "", "family" : "Wang", "given" : "James C", "non-dropping-particle" : "", "parse-names" : false, "suffix" : "" } ], "container-title" : "Nature Reviews. Molecular Cell Biology", "id" : "ITEM-1", "issue" : "6", "issued" : { "date-parts" : [ [ "2002", "6" ] ] }, "page" : "430-40", "title" : "Cellular roles of DNA topoisomerases: a molecular perspective.", "type" : "article-journal", "volume" : "3" }, "uris" : [ "http://www.mendeley.com/documents/?uuid=baa99e31-8586-443d-9df0-0e64c23c3e94" ] } ], "mendeley" : { "formattedCitation" : "(Wang 2002)", "plainTextFormattedCitation" : "(Wang 2002)", "previouslyFormattedCitation" : "(Wang 2002)" }, "properties" : { "noteIndex" : 0 }, "schema" : "https://github.com/citation-style-language/schema/raw/master/csl-citation.json" }</w:instrText>
      </w:r>
      <w:r w:rsidR="00F20EC0" w:rsidRPr="00DF0680">
        <w:rPr>
          <w:rFonts w:cs="Times New Roman"/>
        </w:rPr>
        <w:fldChar w:fldCharType="separate"/>
      </w:r>
      <w:r w:rsidR="00E07A5D" w:rsidRPr="00DF0680">
        <w:rPr>
          <w:rFonts w:cs="Times New Roman"/>
        </w:rPr>
        <w:t>(Wang 2002)</w:t>
      </w:r>
      <w:r w:rsidR="00F20EC0" w:rsidRPr="00DF0680">
        <w:rPr>
          <w:rFonts w:cs="Times New Roman"/>
        </w:rPr>
        <w:fldChar w:fldCharType="end"/>
      </w:r>
      <w:r w:rsidR="00E07A5D" w:rsidRPr="00DF0680">
        <w:rPr>
          <w:rFonts w:cs="Times New Roman"/>
        </w:rPr>
        <w:t xml:space="preserve">. Camptothecin traps the topoisomerase when it is bound to this single strand break and prevents re-ligation of the DNA </w:t>
      </w:r>
      <w:r w:rsidR="00F20EC0" w:rsidRPr="00DF0680">
        <w:rPr>
          <w:rFonts w:cs="Times New Roman"/>
        </w:rPr>
        <w:fldChar w:fldCharType="begin" w:fldLock="1"/>
      </w:r>
      <w:r w:rsidR="00332613" w:rsidRPr="00DF0680">
        <w:rPr>
          <w:rFonts w:cs="Times New Roman"/>
        </w:rPr>
        <w:instrText>ADDIN CSL_CITATION { "citationItems" : [ { "id" : "ITEM-1", "itemData" : { "ISSN" : "0021-9258", "PMID" : "2997227", "abstract" : "Camptothecin, a cytotoxic drug, is a strong inhibitor of nucleic acid synthesis in mammalian cells and a potent inducer of strand breaks in chromosomal DNA. Neither the equilibrium dialysis nor the unwinding measurement indicates any interaction between camptothecin and purified DNA. However, camptothecin induces extensive single strand DNA breaks in reactions containing purified mammalian DNA topoisomerase I. DNA breakage in vitro is immediate and reversible. Analyses of camptothecin-induced DNA breaks show that topoisomerase I is covalently linked to the 3' end of the broken DNA. In addition, camptothecin inhibits the catalytic activity of mammalian DNA topoisomerase I. We propose that camptothecin blocks the rejoining step of the breakage-reunion reaction of mammalian DNA topoisomerase I. This blockage results in the accumulation of a cleavable complex which resembles the transient intermediate proposed for eukaryotic DNA topoisomerase I. The inhibition of nucleic acid synthesis and the induction of DNA strand breaks observed in vivo may be related to the formation of this drug-induced cleavable complex.", "author" : [ { "dropping-particle" : "", "family" : "Hsiang", "given" : "Y H", "non-dropping-particle" : "", "parse-names" : false, "suffix" : "" }, { "dropping-particle" : "", "family" : "Hertzberg", "given" : "R", "non-dropping-particle" : "", "parse-names" : false, "suffix" : "" }, { "dropping-particle" : "", "family" : "Hecht", "given" : "S", "non-dropping-particle" : "", "parse-names" : false, "suffix" : "" }, { "dropping-particle" : "", "family" : "Liu", "given" : "L F", "non-dropping-particle" : "", "parse-names" : false, "suffix" : "" } ], "container-title" : "The Journal of Biological Chemistry", "id" : "ITEM-1", "issue" : "27", "issued" : { "date-parts" : [ [ "1985", "11", "25" ] ] }, "page" : "14873-8", "title" : "Camptothecin induces protein-linked DNA breaks via mammalian DNA topoisomerase I.", "type" : "article-journal", "volume" : "260" }, "uris" : [ "http://www.mendeley.com/documents/?uuid=87607cbb-9517-43d2-b6c8-20dae9785afa" ] }, { "id" : "ITEM-2", "itemData" : { "author" : [ { "dropping-particle" : "", "family" : "Hsiang", "given" : "YH", "non-dropping-particle" : "", "parse-names" : false, "suffix" : "" }, { "dropping-particle" : "", "family" : "Liu", "given" : "LF", "non-dropping-particle" : "", "parse-names" : false, "suffix" : "" } ], "container-title" : "Cancer Research", "id" : "ITEM-2", "issue" : "7", "issued" : { "date-parts" : [ [ "1988" ] ] }, "page" : "1722-1726", "title" : "Identification of mammalian DNA topoisomerase I as an intracellular target of the anticancer drug camptothecin", "type" : "article-journal", "volume" : "48" }, "uris" : [ "http://www.mendeley.com/documents/?uuid=ae5845bf-98b8-4827-b77b-30635a62fe57" ] } ], "mendeley" : { "formattedCitation" : "(Hsiang et al. 1985; Hsiang &amp; Liu 1988)", "plainTextFormattedCitation" : "(Hsiang et al. 1985; Hsiang &amp; Liu 1988)", "previouslyFormattedCitation" : "(Hsiang et al. 1985; Hsiang &amp; Liu 1988)" }, "properties" : { "noteIndex" : 0 }, "schema" : "https://github.com/citation-style-language/schema/raw/master/csl-citation.json" }</w:instrText>
      </w:r>
      <w:r w:rsidR="00F20EC0" w:rsidRPr="00DF0680">
        <w:rPr>
          <w:rFonts w:cs="Times New Roman"/>
        </w:rPr>
        <w:fldChar w:fldCharType="separate"/>
      </w:r>
      <w:r w:rsidR="00E07A5D" w:rsidRPr="00DF0680">
        <w:rPr>
          <w:rFonts w:cs="Times New Roman"/>
        </w:rPr>
        <w:t>(Hsiang et al. 1985; Hsiang &amp; Liu 1988)</w:t>
      </w:r>
      <w:r w:rsidR="00F20EC0" w:rsidRPr="00DF0680">
        <w:rPr>
          <w:rFonts w:cs="Times New Roman"/>
        </w:rPr>
        <w:fldChar w:fldCharType="end"/>
      </w:r>
      <w:r w:rsidR="00E07A5D" w:rsidRPr="00DF0680">
        <w:rPr>
          <w:rFonts w:cs="Times New Roman"/>
        </w:rPr>
        <w:t xml:space="preserve">. It is these </w:t>
      </w:r>
      <w:r w:rsidR="00E07A5D" w:rsidRPr="00DF0680">
        <w:rPr>
          <w:rFonts w:cs="Times New Roman"/>
        </w:rPr>
        <w:lastRenderedPageBreak/>
        <w:t>single-strand breaks that are converted to double-strand breaks if not repaired before replication.</w:t>
      </w:r>
    </w:p>
    <w:p w:rsidR="00A2079E" w:rsidRPr="00DF0680" w:rsidRDefault="009E6F88" w:rsidP="00A025CF">
      <w:pPr>
        <w:rPr>
          <w:rFonts w:cs="Times New Roman"/>
        </w:rPr>
      </w:pPr>
      <w:r w:rsidRPr="00DF0680">
        <w:rPr>
          <w:rFonts w:cs="Times New Roman"/>
        </w:rPr>
        <w:t>The</w:t>
      </w:r>
      <w:r w:rsidR="00134389" w:rsidRPr="00DF0680">
        <w:rPr>
          <w:rFonts w:cs="Times New Roman"/>
        </w:rPr>
        <w:t xml:space="preserve"> mechanisms that the cell has for</w:t>
      </w:r>
      <w:r w:rsidRPr="00DF0680">
        <w:rPr>
          <w:rFonts w:cs="Times New Roman"/>
        </w:rPr>
        <w:t xml:space="preserve"> dealing with repairing collapsed replication forks and restarting stalled forks will </w:t>
      </w:r>
      <w:r w:rsidR="00E07A5D" w:rsidRPr="00DF0680">
        <w:rPr>
          <w:rFonts w:cs="Times New Roman"/>
        </w:rPr>
        <w:t>be detailed in the next section.</w:t>
      </w:r>
      <w:r w:rsidR="006215BF" w:rsidRPr="00DF0680">
        <w:rPr>
          <w:rFonts w:cs="Times New Roman"/>
        </w:rPr>
        <w:t xml:space="preserve"> </w:t>
      </w:r>
      <w:r w:rsidR="00E07A5D" w:rsidRPr="00DF0680">
        <w:rPr>
          <w:rFonts w:cs="Times New Roman"/>
        </w:rPr>
        <w:t>T</w:t>
      </w:r>
      <w:r w:rsidR="006215BF" w:rsidRPr="00DF0680">
        <w:rPr>
          <w:rFonts w:cs="Times New Roman"/>
        </w:rPr>
        <w:t xml:space="preserve">he cell signalling pathways </w:t>
      </w:r>
      <w:r w:rsidR="00B32C2C" w:rsidRPr="00DF0680">
        <w:rPr>
          <w:rFonts w:cs="Times New Roman"/>
        </w:rPr>
        <w:t xml:space="preserve">involved </w:t>
      </w:r>
      <w:r w:rsidR="00DF0665" w:rsidRPr="00DF0680">
        <w:rPr>
          <w:rFonts w:cs="Times New Roman"/>
        </w:rPr>
        <w:t xml:space="preserve">in response to a stalled fork </w:t>
      </w:r>
      <w:r w:rsidR="006215BF" w:rsidRPr="00DF0680">
        <w:rPr>
          <w:rFonts w:cs="Times New Roman"/>
        </w:rPr>
        <w:t xml:space="preserve">are summarised in </w:t>
      </w:r>
      <w:r w:rsidR="00F20EC0" w:rsidRPr="00DF0680">
        <w:rPr>
          <w:rFonts w:cs="Times New Roman"/>
        </w:rPr>
        <w:fldChar w:fldCharType="begin"/>
      </w:r>
      <w:r w:rsidR="006B2135" w:rsidRPr="00DF0680">
        <w:rPr>
          <w:rFonts w:cs="Times New Roman"/>
        </w:rPr>
        <w:instrText xml:space="preserve"> REF _Ref416515088 \h </w:instrText>
      </w:r>
      <w:r w:rsidR="00F20EC0" w:rsidRPr="00DF0680">
        <w:rPr>
          <w:rFonts w:cs="Times New Roman"/>
        </w:rPr>
      </w:r>
      <w:r w:rsidR="00F20EC0" w:rsidRPr="00DF0680">
        <w:rPr>
          <w:rFonts w:cs="Times New Roman"/>
        </w:rPr>
        <w:fldChar w:fldCharType="separate"/>
      </w:r>
      <w:r w:rsidR="009801AF" w:rsidRPr="00DF0680">
        <w:t>Figure 1.3</w:t>
      </w:r>
      <w:r w:rsidR="00F20EC0" w:rsidRPr="00DF0680">
        <w:rPr>
          <w:rFonts w:cs="Times New Roman"/>
        </w:rPr>
        <w:fldChar w:fldCharType="end"/>
      </w:r>
      <w:r w:rsidR="006215BF" w:rsidRPr="00DF0680">
        <w:rPr>
          <w:rFonts w:cs="Times New Roman"/>
        </w:rPr>
        <w:t xml:space="preserve">. </w:t>
      </w:r>
    </w:p>
    <w:p w:rsidR="00A2079E" w:rsidRPr="00DF0680" w:rsidRDefault="00A2079E" w:rsidP="00E664FC">
      <w:pPr>
        <w:pStyle w:val="Heading2"/>
      </w:pPr>
      <w:bookmarkStart w:id="38" w:name="_Toc417204081"/>
      <w:bookmarkStart w:id="39" w:name="_Toc417204709"/>
      <w:bookmarkStart w:id="40" w:name="_Toc417204769"/>
      <w:bookmarkStart w:id="41" w:name="_Toc417674318"/>
      <w:r w:rsidRPr="00DF0680">
        <w:t xml:space="preserve">DNA </w:t>
      </w:r>
      <w:r w:rsidR="00CE6110" w:rsidRPr="00DF0680">
        <w:t>d</w:t>
      </w:r>
      <w:r w:rsidRPr="00DF0680">
        <w:t xml:space="preserve">amage </w:t>
      </w:r>
      <w:r w:rsidR="00CE6110" w:rsidRPr="00DF0680">
        <w:t>r</w:t>
      </w:r>
      <w:r w:rsidR="00F936F8" w:rsidRPr="00DF0680">
        <w:t>esponse</w:t>
      </w:r>
      <w:bookmarkEnd w:id="38"/>
      <w:bookmarkEnd w:id="39"/>
      <w:bookmarkEnd w:id="40"/>
      <w:bookmarkEnd w:id="41"/>
    </w:p>
    <w:p w:rsidR="008048FD" w:rsidRPr="00DF0680" w:rsidRDefault="0064210A" w:rsidP="0064210A">
      <w:pPr>
        <w:rPr>
          <w:rFonts w:cs="Times New Roman"/>
        </w:rPr>
      </w:pPr>
      <w:r w:rsidRPr="00DF0680">
        <w:rPr>
          <w:rFonts w:cs="Times New Roman"/>
        </w:rPr>
        <w:t xml:space="preserve">Due to the broad scope of different DNA damages that can be inflicted on the cell, a single DNA damage repair pathway would not be </w:t>
      </w:r>
      <w:r w:rsidR="00B1693D" w:rsidRPr="00DF0680">
        <w:rPr>
          <w:rFonts w:cs="Times New Roman"/>
        </w:rPr>
        <w:t>sufficient</w:t>
      </w:r>
      <w:r w:rsidRPr="00DF0680">
        <w:rPr>
          <w:rFonts w:cs="Times New Roman"/>
        </w:rPr>
        <w:t xml:space="preserve">. Different DNA lesions have varying sizes and shapes, and require different mechanisms of repair. Not only </w:t>
      </w:r>
      <w:r w:rsidR="00A514D1" w:rsidRPr="00DF0680">
        <w:rPr>
          <w:rFonts w:cs="Times New Roman"/>
        </w:rPr>
        <w:t>do</w:t>
      </w:r>
      <w:r w:rsidRPr="00DF0680">
        <w:rPr>
          <w:rFonts w:cs="Times New Roman"/>
        </w:rPr>
        <w:t xml:space="preserve"> these lesions need individual proteins to recognise the damage, but require several more different proteins and complexes to repair </w:t>
      </w:r>
      <w:r w:rsidR="00A514D1" w:rsidRPr="00DF0680">
        <w:rPr>
          <w:rFonts w:cs="Times New Roman"/>
        </w:rPr>
        <w:t>them</w:t>
      </w:r>
      <w:r w:rsidRPr="00DF0680">
        <w:rPr>
          <w:rFonts w:cs="Times New Roman"/>
        </w:rPr>
        <w:t xml:space="preserve">. Therefore, each of the lesions described above, </w:t>
      </w:r>
      <w:r w:rsidR="0005043E" w:rsidRPr="00DF0680">
        <w:rPr>
          <w:rFonts w:cs="Times New Roman"/>
        </w:rPr>
        <w:t>nicks,</w:t>
      </w:r>
      <w:r w:rsidRPr="00DF0680">
        <w:rPr>
          <w:rFonts w:cs="Times New Roman"/>
        </w:rPr>
        <w:t xml:space="preserve"> breaks, </w:t>
      </w:r>
      <w:r w:rsidR="0005043E" w:rsidRPr="00DF0680">
        <w:rPr>
          <w:rFonts w:cs="Times New Roman"/>
        </w:rPr>
        <w:t>altered bases</w:t>
      </w:r>
      <w:r w:rsidRPr="00DF0680">
        <w:rPr>
          <w:rFonts w:cs="Times New Roman"/>
        </w:rPr>
        <w:t>, and stalled forks all have their own DNA damage repair pathway</w:t>
      </w:r>
      <w:r w:rsidR="00A514D1" w:rsidRPr="00DF0680">
        <w:rPr>
          <w:rFonts w:cs="Times New Roman"/>
        </w:rPr>
        <w:t>s</w:t>
      </w:r>
      <w:r w:rsidRPr="00DF0680">
        <w:rPr>
          <w:rFonts w:cs="Times New Roman"/>
        </w:rPr>
        <w:t xml:space="preserve">. </w:t>
      </w:r>
      <w:r w:rsidR="0005043E" w:rsidRPr="00DF0680">
        <w:rPr>
          <w:rFonts w:cs="Times New Roman"/>
        </w:rPr>
        <w:t xml:space="preserve">There is often cross-talk between these pathways, and certain protein complexes are involved in many different pathways, but all follow the same principle: DNA damage is sensed by a sensor protein which then signals to transducers / mediators of the signal, which, in turn, recruit downstream effector proteins, which </w:t>
      </w:r>
      <w:r w:rsidR="00A514D1" w:rsidRPr="00DF0680">
        <w:rPr>
          <w:rFonts w:cs="Times New Roman"/>
        </w:rPr>
        <w:t>function to arrest the cell cycle, activate apoptosis or repair the DNA</w:t>
      </w:r>
      <w:r w:rsidR="0005043E"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"10.1016/j.molcel.2007.11.015", "ISSN" : "1097-2765", "PMID" : "18082599", "abstract" : "The DNA damage response (DDR), through the action of sensors, transducers, and effectors, orchestrates the appropriate repair of DNA damage and resolution of DNA replication problems, coordinating these processes with ongoing cellular physiology. In the past decade, we have witnessed an explosion in understanding of DNA damage sensing, signaling, and the complex interplay between protein phosphorylation and the ubiquitin pathway employed by the DDR network to execute the response to DNA damage. These findings have important implications for aging and cancer.", "author" : [ { "dropping-particle" : "", "family" : "Harper", "given" : "J Wade", "non-dropping-particle" : "", "parse-names" : false, "suffix" : "" }, { "dropping-particle" : "", "family" : "Elledge", "given" : "Stephen J", "non-dropping-particle" : "", "parse-names" : false, "suffix" : "" } ], "container-title" : "Molecular Cell", "id" : "ITEM-1", "issue" : "5", "issued" : { "date-parts" : [ [ "2007", "12", "14" ] ] }, "page" : "739-45", "title" : "The DNA damage response: ten years after.", "type" : "article-journal", "volume" : "28" }, "uris" : [ "http://www.mendeley.com/documents/?uuid=a068ffed-3dd8-4b88-a310-a8b0eda21af7" ] } ], "mendeley" : { "formattedCitation" : "(Harper &amp; Elledge 2007)", "plainTextFormattedCitation" : "(Harper &amp; Elledge 2007)", "previouslyFormattedCitation" : "(Harper &amp; Elledge 2007)"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(Harper &amp; Elledge 2007)</w:t>
      </w:r>
      <w:r w:rsidR="00F20EC0" w:rsidRPr="00DF0680">
        <w:rPr>
          <w:rFonts w:cs="Times New Roman"/>
        </w:rPr>
        <w:fldChar w:fldCharType="end"/>
      </w:r>
      <w:r w:rsidR="0005043E" w:rsidRPr="00DF0680">
        <w:rPr>
          <w:rFonts w:cs="Times New Roman"/>
        </w:rPr>
        <w:t xml:space="preserve">. </w:t>
      </w:r>
      <w:r w:rsidR="00F936F8" w:rsidRPr="00DF0680">
        <w:rPr>
          <w:rFonts w:cs="Times New Roman"/>
        </w:rPr>
        <w:t>But because the damage needs to be repaired before the cell divides, the DNA damage response can also influence the cell cycle through checkpoints wh</w:t>
      </w:r>
      <w:r w:rsidR="00A04B25" w:rsidRPr="00DF0680">
        <w:rPr>
          <w:rFonts w:cs="Times New Roman"/>
        </w:rPr>
        <w:t>ich can arrest the cell if they</w:t>
      </w:r>
      <w:r w:rsidR="00F936F8" w:rsidRPr="00DF0680">
        <w:rPr>
          <w:rFonts w:cs="Times New Roman"/>
        </w:rPr>
        <w:t xml:space="preserve"> are not met. This can lead to cell senescence and</w:t>
      </w:r>
      <w:r w:rsidR="00B1693D" w:rsidRPr="00DF0680">
        <w:rPr>
          <w:rFonts w:cs="Times New Roman"/>
        </w:rPr>
        <w:t xml:space="preserve"> / or</w:t>
      </w:r>
      <w:r w:rsidR="00F936F8" w:rsidRPr="00DF0680">
        <w:rPr>
          <w:rFonts w:cs="Times New Roman"/>
        </w:rPr>
        <w:t xml:space="preserve"> ultimately apoptosis i</w:t>
      </w:r>
      <w:r w:rsidR="006D7F88" w:rsidRPr="00DF0680">
        <w:rPr>
          <w:rFonts w:cs="Times New Roman"/>
        </w:rPr>
        <w:t>f</w:t>
      </w:r>
      <w:r w:rsidR="00F936F8" w:rsidRPr="00DF0680">
        <w:rPr>
          <w:rFonts w:cs="Times New Roman"/>
        </w:rPr>
        <w:t xml:space="preserve"> the DNA damage is left unrepaired. </w:t>
      </w:r>
      <w:r w:rsidR="0044456E" w:rsidRPr="00DF0680">
        <w:rPr>
          <w:rFonts w:cs="Times New Roman"/>
        </w:rPr>
        <w:t xml:space="preserve">The mechanisms that lead to these consequences </w:t>
      </w:r>
      <w:r w:rsidR="00A04B25" w:rsidRPr="00DF0680">
        <w:rPr>
          <w:rFonts w:cs="Times New Roman"/>
        </w:rPr>
        <w:t>are</w:t>
      </w:r>
      <w:r w:rsidR="0044456E" w:rsidRPr="00DF0680">
        <w:rPr>
          <w:rFonts w:cs="Times New Roman"/>
        </w:rPr>
        <w:t xml:space="preserve"> highlighted below.</w:t>
      </w:r>
    </w:p>
    <w:p w:rsidR="00373CF2" w:rsidRPr="00DF0680" w:rsidRDefault="00373CF2">
      <w:pPr>
        <w:spacing w:line="276" w:lineRule="auto"/>
        <w:jc w:val="left"/>
        <w:rPr>
          <w:rFonts w:cs="Times New Roman"/>
          <w:b/>
          <w:bCs/>
          <w:color w:val="auto"/>
          <w:kern w:val="36"/>
          <w:szCs w:val="48"/>
        </w:rPr>
      </w:pPr>
      <w:bookmarkStart w:id="42" w:name="_Ref416515069"/>
      <w:bookmarkStart w:id="43" w:name="_Toc409449300"/>
      <w:r w:rsidRPr="00DF0680">
        <w:rPr>
          <w:color w:val="auto"/>
        </w:rPr>
        <w:br w:type="page"/>
      </w:r>
    </w:p>
    <w:p w:rsidR="009801AF" w:rsidRPr="00DF0680" w:rsidRDefault="009801AF" w:rsidP="00373CF2"/>
    <w:p w:rsidR="009801AF" w:rsidRPr="00DF0680" w:rsidRDefault="009801AF" w:rsidP="00373CF2"/>
    <w:p w:rsidR="006119E3" w:rsidRDefault="00373CF2" w:rsidP="006119E3">
      <w:pPr>
        <w:keepNext/>
      </w:pPr>
      <w:r w:rsidRPr="00DF0680">
        <w:drawing>
          <wp:inline distT="0" distB="0" distL="0" distR="0">
            <wp:extent cx="5400040" cy="4722865"/>
            <wp:effectExtent l="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400040" cy="4722865"/>
                    </a:xfrm>
                    <a:prstGeom prst="rect">
                      <a:avLst/>
                    </a:prstGeom>
                    <a:noFill/>
                    <a:ln w="9525">
                      <a:noFill/>
                      <a:miter lim="800000"/>
                      <a:headEnd/>
                      <a:tailEnd/>
                    </a:ln>
                  </pic:spPr>
                </pic:pic>
              </a:graphicData>
            </a:graphic>
          </wp:inline>
        </w:drawing>
      </w:r>
      <w:bookmarkStart w:id="44" w:name="_Toc417813884"/>
      <w:bookmarkEnd w:id="42"/>
    </w:p>
    <w:p w:rsidR="006119E3" w:rsidRDefault="006119E3" w:rsidP="006119E3">
      <w:pPr>
        <w:pStyle w:val="Caption"/>
      </w:pPr>
      <w:bookmarkStart w:id="45" w:name="_Ref420750137"/>
      <w:r>
        <w:t xml:space="preserve">Figure </w:t>
      </w:r>
      <w:fldSimple w:instr=" STYLEREF 1 \s ">
        <w:r>
          <w:rPr>
            <w:noProof/>
          </w:rPr>
          <w:t>1</w:t>
        </w:r>
      </w:fldSimple>
      <w:r>
        <w:t>.</w:t>
      </w:r>
      <w:fldSimple w:instr=" SEQ Figure \* ARABIC \s 1 ">
        <w:r>
          <w:rPr>
            <w:noProof/>
          </w:rPr>
          <w:t>2</w:t>
        </w:r>
      </w:fldSimple>
      <w:bookmarkEnd w:id="45"/>
      <w:r>
        <w:t xml:space="preserve"> - </w:t>
      </w:r>
      <w:r w:rsidRPr="00DF0680">
        <w:t>Cellular response to a double-strand break</w:t>
      </w:r>
    </w:p>
    <w:p w:rsidR="00373CF2" w:rsidRPr="006119E3" w:rsidRDefault="008048FD" w:rsidP="006119E3">
      <w:pPr>
        <w:spacing w:line="276" w:lineRule="auto"/>
        <w:rPr>
          <w:rFonts w:cs="Times New Roman"/>
        </w:rPr>
      </w:pPr>
      <w:r w:rsidRPr="006119E3">
        <w:t xml:space="preserve"> </w:t>
      </w:r>
      <w:bookmarkEnd w:id="43"/>
      <w:bookmarkEnd w:id="44"/>
      <w:r w:rsidRPr="006119E3">
        <w:rPr>
          <w:rFonts w:cs="Times New Roman"/>
        </w:rPr>
        <w:t>If a double-strand break is recognised by the Ku70/80 complex, the break is repaired through non-homologous end joining. The DNA-PKcs can phosphorylate H2AX to recruit more DNA damage repair proteins. If the break is recognised by the MRN complex or PARP-1, ATM is activated. ATM phosphorylated and activates many other proteins. Like DNA-PKcs, it can phosphorylate H2AX. It can also activate c-Abl to inhibit repair by NHEJ. By activating BRCA1, downstream proteins RAD51 and RAD52 are activated to promote homologous recombination. ATM also phosphorylates p53 to promote apoptosis</w:t>
      </w:r>
      <w:r w:rsidR="00373CF2" w:rsidRPr="006119E3">
        <w:rPr>
          <w:rFonts w:cs="Times New Roman"/>
        </w:rPr>
        <w:t xml:space="preserve"> or senescence</w:t>
      </w:r>
      <w:r w:rsidRPr="006119E3">
        <w:rPr>
          <w:rFonts w:cs="Times New Roman"/>
        </w:rPr>
        <w:t>. CHK2 is phosphorylated by ATM, which can phosphorylate MDM and CDC25A to promote their degradation, thereby promoting cell cycle arrest</w:t>
      </w:r>
      <w:r w:rsidR="000469D1" w:rsidRPr="006119E3">
        <w:rPr>
          <w:rFonts w:cs="Times New Roman"/>
        </w:rPr>
        <w:t>, senescence</w:t>
      </w:r>
      <w:r w:rsidRPr="006119E3">
        <w:rPr>
          <w:rFonts w:cs="Times New Roman"/>
        </w:rPr>
        <w:t xml:space="preserve"> and apoptosis.</w:t>
      </w:r>
    </w:p>
    <w:p w:rsidR="00373CF2" w:rsidRPr="00DF0680" w:rsidRDefault="00373CF2">
      <w:pPr>
        <w:spacing w:line="276" w:lineRule="auto"/>
        <w:jc w:val="left"/>
        <w:rPr>
          <w:rFonts w:cs="Times New Roman"/>
        </w:rPr>
      </w:pPr>
      <w:r w:rsidRPr="00DF0680">
        <w:rPr>
          <w:rFonts w:cs="Times New Roman"/>
        </w:rPr>
        <w:br w:type="page"/>
      </w:r>
    </w:p>
    <w:p w:rsidR="009801AF" w:rsidRPr="00DF0680" w:rsidRDefault="009801AF" w:rsidP="00373CF2">
      <w:pPr>
        <w:spacing w:line="276" w:lineRule="auto"/>
        <w:rPr>
          <w:rFonts w:cs="Times New Roman"/>
        </w:rPr>
      </w:pPr>
    </w:p>
    <w:p w:rsidR="008048FD" w:rsidRPr="00DF0680" w:rsidRDefault="00373CF2" w:rsidP="00373CF2">
      <w:pPr>
        <w:spacing w:line="276" w:lineRule="auto"/>
        <w:rPr>
          <w:rFonts w:cs="Times New Roman"/>
        </w:rPr>
      </w:pPr>
      <w:r w:rsidRPr="00DF0680">
        <w:drawing>
          <wp:inline distT="0" distB="0" distL="0" distR="0">
            <wp:extent cx="5107940" cy="5518150"/>
            <wp:effectExtent l="0" t="0" r="0" b="0"/>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5107940" cy="5518150"/>
                    </a:xfrm>
                    <a:prstGeom prst="rect">
                      <a:avLst/>
                    </a:prstGeom>
                    <a:noFill/>
                    <a:ln w="9525">
                      <a:noFill/>
                      <a:miter lim="800000"/>
                      <a:headEnd/>
                      <a:tailEnd/>
                    </a:ln>
                  </pic:spPr>
                </pic:pic>
              </a:graphicData>
            </a:graphic>
          </wp:inline>
        </w:drawing>
      </w:r>
    </w:p>
    <w:p w:rsidR="00126529" w:rsidRPr="00DF0680" w:rsidRDefault="008048FD" w:rsidP="00D94477">
      <w:pPr>
        <w:pStyle w:val="Caption"/>
      </w:pPr>
      <w:bookmarkStart w:id="46" w:name="_Toc409449301"/>
      <w:bookmarkStart w:id="47" w:name="_Toc417813885"/>
      <w:bookmarkStart w:id="48" w:name="_Ref416515088"/>
      <w:r w:rsidRPr="00DF0680">
        <w:t xml:space="preserve">Figure </w:t>
      </w:r>
      <w:fldSimple w:instr=" STYLEREF 1 \s ">
        <w:r w:rsidR="006119E3">
          <w:rPr>
            <w:noProof/>
          </w:rPr>
          <w:t>1</w:t>
        </w:r>
      </w:fldSimple>
      <w:r w:rsidR="006119E3">
        <w:t>.</w:t>
      </w:r>
      <w:fldSimple w:instr=" SEQ Figure \* ARABIC \s 1 ">
        <w:r w:rsidR="006119E3">
          <w:rPr>
            <w:noProof/>
          </w:rPr>
          <w:t>3</w:t>
        </w:r>
      </w:fldSimple>
      <w:bookmarkEnd w:id="48"/>
      <w:r w:rsidRPr="00DF0680">
        <w:t xml:space="preserve"> – Cellular response to a stalled replication fork</w:t>
      </w:r>
      <w:bookmarkEnd w:id="46"/>
      <w:bookmarkEnd w:id="47"/>
    </w:p>
    <w:p w:rsidR="00373CF2" w:rsidRPr="00DF0680" w:rsidRDefault="008048FD" w:rsidP="008048FD">
      <w:pPr>
        <w:spacing w:line="276" w:lineRule="auto"/>
        <w:rPr>
          <w:rFonts w:cs="Times New Roman"/>
        </w:rPr>
      </w:pPr>
      <w:r w:rsidRPr="00DF0680">
        <w:rPr>
          <w:rFonts w:cs="Times New Roman"/>
        </w:rPr>
        <w:t xml:space="preserve">When the replicative helicase and polymerase become uncoupled, long stretches of single-strand </w:t>
      </w:r>
      <w:r w:rsidR="005006E3" w:rsidRPr="00DF0680">
        <w:rPr>
          <w:rFonts w:cs="Times New Roman"/>
        </w:rPr>
        <w:t xml:space="preserve">DNA </w:t>
      </w:r>
      <w:r w:rsidRPr="00DF0680">
        <w:rPr>
          <w:rFonts w:cs="Times New Roman"/>
        </w:rPr>
        <w:t xml:space="preserve">are formed and are </w:t>
      </w:r>
      <w:r w:rsidR="005006E3" w:rsidRPr="00DF0680">
        <w:rPr>
          <w:rFonts w:cs="Times New Roman"/>
        </w:rPr>
        <w:t>bound by RPA. RPA is recognised</w:t>
      </w:r>
      <w:r w:rsidRPr="00DF0680">
        <w:rPr>
          <w:rFonts w:cs="Times New Roman"/>
        </w:rPr>
        <w:t xml:space="preserve"> and bound by ATRIP which can activate ATR. ATRIP is also recruited by TopBP1 to stalled replication forks. TopBP1 is brought to replication forks by the 9-1-1 complex, Rad17-RFC and RPA. ATR can phosphory</w:t>
      </w:r>
      <w:r w:rsidR="005006E3" w:rsidRPr="00DF0680">
        <w:rPr>
          <w:rFonts w:cs="Times New Roman"/>
        </w:rPr>
        <w:t>late p53 to trigger apoptosis,</w:t>
      </w:r>
      <w:r w:rsidRPr="00DF0680">
        <w:rPr>
          <w:rFonts w:cs="Times New Roman"/>
        </w:rPr>
        <w:t xml:space="preserve"> senescence</w:t>
      </w:r>
      <w:r w:rsidR="005006E3" w:rsidRPr="00DF0680">
        <w:rPr>
          <w:rFonts w:cs="Times New Roman"/>
        </w:rPr>
        <w:t xml:space="preserve"> or cell cycle arrest</w:t>
      </w:r>
      <w:r w:rsidRPr="00DF0680">
        <w:rPr>
          <w:rFonts w:cs="Times New Roman"/>
        </w:rPr>
        <w:t>, and CHK1 to promote cell cycle arrest through CDC25A degradation. CHK1 also p</w:t>
      </w:r>
      <w:r w:rsidR="005006E3" w:rsidRPr="00DF0680">
        <w:rPr>
          <w:rFonts w:cs="Times New Roman"/>
        </w:rPr>
        <w:t>hosphorylates MDM to trigger it</w:t>
      </w:r>
      <w:r w:rsidRPr="00DF0680">
        <w:rPr>
          <w:rFonts w:cs="Times New Roman"/>
        </w:rPr>
        <w:t>s degradation, which then stabilises p53. Phosphorylation of BRCA1 by ATR promotes repair of the double-strand break via homologous recombination.</w:t>
      </w:r>
    </w:p>
    <w:p w:rsidR="00373CF2" w:rsidRPr="00DF0680" w:rsidRDefault="00373CF2">
      <w:pPr>
        <w:spacing w:line="276" w:lineRule="auto"/>
        <w:jc w:val="left"/>
        <w:rPr>
          <w:rFonts w:cs="Times New Roman"/>
        </w:rPr>
      </w:pPr>
      <w:r w:rsidRPr="00DF0680">
        <w:rPr>
          <w:rFonts w:cs="Times New Roman"/>
        </w:rPr>
        <w:br w:type="page"/>
      </w:r>
    </w:p>
    <w:p w:rsidR="001B5E20" w:rsidRPr="00DF0680" w:rsidRDefault="001B5E20" w:rsidP="00E664FC">
      <w:pPr>
        <w:pStyle w:val="Heading3"/>
      </w:pPr>
      <w:bookmarkStart w:id="49" w:name="_Toc417204082"/>
      <w:bookmarkStart w:id="50" w:name="_Toc417674319"/>
      <w:r w:rsidRPr="00DF0680">
        <w:lastRenderedPageBreak/>
        <w:t xml:space="preserve">DNA </w:t>
      </w:r>
      <w:r w:rsidR="00CE6110" w:rsidRPr="00DF0680">
        <w:t>d</w:t>
      </w:r>
      <w:r w:rsidRPr="00DF0680">
        <w:t xml:space="preserve">amage </w:t>
      </w:r>
      <w:r w:rsidR="00CE6110" w:rsidRPr="00DF0680">
        <w:t>r</w:t>
      </w:r>
      <w:r w:rsidRPr="00DF0680">
        <w:t>ecognition</w:t>
      </w:r>
      <w:r w:rsidR="00A514D1" w:rsidRPr="00DF0680">
        <w:t xml:space="preserve"> and </w:t>
      </w:r>
      <w:r w:rsidR="00CE6110" w:rsidRPr="00DF0680">
        <w:t>s</w:t>
      </w:r>
      <w:r w:rsidR="00A514D1" w:rsidRPr="00DF0680">
        <w:t>ignalling</w:t>
      </w:r>
      <w:bookmarkEnd w:id="49"/>
      <w:bookmarkEnd w:id="50"/>
    </w:p>
    <w:p w:rsidR="0064210A" w:rsidRPr="00DF0680" w:rsidRDefault="005C587A" w:rsidP="00E664FC">
      <w:pPr>
        <w:pStyle w:val="Heading4"/>
      </w:pPr>
      <w:bookmarkStart w:id="51" w:name="_Toc417204083"/>
      <w:bookmarkStart w:id="52" w:name="_Toc417674320"/>
      <w:r w:rsidRPr="00DF0680">
        <w:t>P</w:t>
      </w:r>
      <w:r w:rsidR="00D974B6" w:rsidRPr="00DF0680">
        <w:t xml:space="preserve">oly </w:t>
      </w:r>
      <w:r w:rsidRPr="00DF0680">
        <w:t>A</w:t>
      </w:r>
      <w:r w:rsidR="00D974B6" w:rsidRPr="00DF0680">
        <w:t>DP-</w:t>
      </w:r>
      <w:r w:rsidR="00CE6110" w:rsidRPr="00DF0680">
        <w:t>r</w:t>
      </w:r>
      <w:r w:rsidR="00D974B6" w:rsidRPr="00DF0680">
        <w:t>ibose</w:t>
      </w:r>
      <w:bookmarkEnd w:id="51"/>
      <w:bookmarkEnd w:id="52"/>
    </w:p>
    <w:p w:rsidR="00644A8C" w:rsidRPr="00DF0680" w:rsidRDefault="00F62555" w:rsidP="00644A8C">
      <w:pPr>
        <w:rPr>
          <w:rFonts w:cs="Times New Roman"/>
        </w:rPr>
      </w:pPr>
      <w:r w:rsidRPr="00DF0680">
        <w:rPr>
          <w:rFonts w:cs="Times New Roman"/>
        </w:rPr>
        <w:t>The activation</w:t>
      </w:r>
      <w:r w:rsidR="00631978" w:rsidRPr="00DF0680">
        <w:rPr>
          <w:rFonts w:cs="Times New Roman"/>
        </w:rPr>
        <w:t xml:space="preserve"> of poly(ADP-ribose) polymerases</w:t>
      </w:r>
      <w:r w:rsidRPr="00DF0680">
        <w:rPr>
          <w:rFonts w:cs="Times New Roman"/>
        </w:rPr>
        <w:t xml:space="preserve"> </w:t>
      </w:r>
      <w:r w:rsidR="00631978" w:rsidRPr="00DF0680">
        <w:rPr>
          <w:rFonts w:cs="Times New Roman"/>
        </w:rPr>
        <w:t>(PARPs</w:t>
      </w:r>
      <w:r w:rsidRPr="00DF0680">
        <w:rPr>
          <w:rFonts w:cs="Times New Roman"/>
        </w:rPr>
        <w:t xml:space="preserve">) is one of the earliest </w:t>
      </w:r>
      <w:r w:rsidR="0012716A" w:rsidRPr="00DF0680">
        <w:rPr>
          <w:rFonts w:cs="Times New Roman"/>
        </w:rPr>
        <w:t>events</w:t>
      </w:r>
      <w:r w:rsidRPr="00DF0680">
        <w:rPr>
          <w:rFonts w:cs="Times New Roman"/>
        </w:rPr>
        <w:t xml:space="preserve"> in the response to DNA da</w:t>
      </w:r>
      <w:r w:rsidR="000B203B" w:rsidRPr="00DF0680">
        <w:rPr>
          <w:rFonts w:cs="Times New Roman"/>
        </w:rPr>
        <w:t>mage. PARP1 is a protein 110</w:t>
      </w:r>
      <w:r w:rsidRPr="00DF0680">
        <w:rPr>
          <w:rFonts w:cs="Times New Roman"/>
        </w:rPr>
        <w:t xml:space="preserve"> kDa in size, localized in the nucleus</w:t>
      </w:r>
      <w:r w:rsidR="007B0CB2" w:rsidRPr="00DF0680">
        <w:rPr>
          <w:rFonts w:cs="Times New Roman"/>
        </w:rPr>
        <w:t>,</w:t>
      </w:r>
      <w:r w:rsidRPr="00DF0680">
        <w:rPr>
          <w:rFonts w:cs="Times New Roman"/>
        </w:rPr>
        <w:t xml:space="preserve"> that synthesizes</w:t>
      </w:r>
      <w:r w:rsidR="00631978" w:rsidRPr="00DF0680">
        <w:rPr>
          <w:rFonts w:cs="Times New Roman"/>
        </w:rPr>
        <w:t xml:space="preserve"> poly(</w:t>
      </w:r>
      <w:r w:rsidRPr="00DF0680">
        <w:rPr>
          <w:rFonts w:cs="Times New Roman"/>
        </w:rPr>
        <w:t>A</w:t>
      </w:r>
      <w:r w:rsidR="00631978" w:rsidRPr="00DF0680">
        <w:rPr>
          <w:rFonts w:cs="Times New Roman"/>
        </w:rPr>
        <w:t>DP-ribose) (PAR)</w:t>
      </w:r>
      <w:r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"Hayaishi", "given" : "Osamu", "non-dropping-particle" : "", "parse-names" : false, "suffix" : "" } ], "container-title" : "Annual Review of Biochemistry", "id" : "ITEM-1", "issued" : { "date-parts" : [ [ "1977" ] ] }, "page" : "95-116", "title" : "Poly ADP-ribose and ADP-ribosylation of proteins", "type" : "article-journal", "volume" : "46" }, "uris" : [ "http://www.mendeley.com/documents/?uuid=3001be8e-201a-4bd7-920c-e1c12066d152" ] } ], "mendeley" : { "formattedCitation" : "(Hayaishi 1977)", "plainTextFormattedCitation" : "(Hayaishi 1977)", "previouslyFormattedCitation" : "(Hayaishi 1977)" }, "properties" : { "noteIndex" : 0 }, "schema" : "https://github.com/citation-style-language/schema/raw/master/csl-citation.json" }</w:instrText>
      </w:r>
      <w:r w:rsidR="00F20EC0" w:rsidRPr="00DF0680">
        <w:rPr>
          <w:rFonts w:cs="Times New Roman"/>
        </w:rPr>
        <w:fldChar w:fldCharType="separate"/>
      </w:r>
      <w:r w:rsidR="00DA6E78" w:rsidRPr="00DF0680">
        <w:rPr>
          <w:rFonts w:cs="Times New Roman"/>
        </w:rPr>
        <w:t>(Hayaishi 1977)</w:t>
      </w:r>
      <w:r w:rsidR="00F20EC0" w:rsidRPr="00DF0680">
        <w:rPr>
          <w:rFonts w:cs="Times New Roman"/>
        </w:rPr>
        <w:fldChar w:fldCharType="end"/>
      </w:r>
      <w:r w:rsidR="00631978" w:rsidRPr="00DF0680">
        <w:rPr>
          <w:rFonts w:cs="Times New Roman"/>
        </w:rPr>
        <w:t>. PAR</w:t>
      </w:r>
      <w:r w:rsidR="00715A48" w:rsidRPr="00DF0680">
        <w:rPr>
          <w:rFonts w:cs="Times New Roman"/>
        </w:rPr>
        <w:t>ylation</w:t>
      </w:r>
      <w:r w:rsidR="00631978" w:rsidRPr="00DF0680">
        <w:rPr>
          <w:rFonts w:cs="Times New Roman"/>
        </w:rPr>
        <w:t xml:space="preserve"> </w:t>
      </w:r>
      <w:r w:rsidR="00715A48" w:rsidRPr="00DF0680">
        <w:rPr>
          <w:rFonts w:cs="Times New Roman"/>
        </w:rPr>
        <w:t>is a</w:t>
      </w:r>
      <w:r w:rsidR="00631978" w:rsidRPr="00DF0680">
        <w:rPr>
          <w:rFonts w:cs="Times New Roman"/>
        </w:rPr>
        <w:t xml:space="preserve"> </w:t>
      </w:r>
      <w:r w:rsidR="00715A48" w:rsidRPr="00DF0680">
        <w:rPr>
          <w:rFonts w:cs="Times New Roman"/>
        </w:rPr>
        <w:t>post-translational modification</w:t>
      </w:r>
      <w:r w:rsidR="00631978" w:rsidRPr="00DF0680">
        <w:rPr>
          <w:rFonts w:cs="Times New Roman"/>
        </w:rPr>
        <w:t xml:space="preserve"> </w:t>
      </w:r>
      <w:r w:rsidR="004B43E4" w:rsidRPr="00DF0680">
        <w:rPr>
          <w:rFonts w:cs="Times New Roman"/>
        </w:rPr>
        <w:t xml:space="preserve">comprised of two or more subunits of ADP-ribose. </w:t>
      </w:r>
      <w:r w:rsidR="0027742D" w:rsidRPr="00DF0680">
        <w:rPr>
          <w:rFonts w:cs="Times New Roman"/>
        </w:rPr>
        <w:t>PARP1 recognis</w:t>
      </w:r>
      <w:r w:rsidR="007B0CB2" w:rsidRPr="00DF0680">
        <w:rPr>
          <w:rFonts w:cs="Times New Roman"/>
        </w:rPr>
        <w:t xml:space="preserve">es single strand breaks in DNA generated by IR, ROS or altered bases, and </w:t>
      </w:r>
      <w:r w:rsidR="0027742D" w:rsidRPr="00DF0680">
        <w:rPr>
          <w:rFonts w:cs="Times New Roman"/>
        </w:rPr>
        <w:t>binds to them through its zinc finger domains</w:t>
      </w:r>
      <w:r w:rsidR="007B0CB2" w:rsidRPr="00DF0680">
        <w:rPr>
          <w:rFonts w:cs="Times New Roman"/>
        </w:rPr>
        <w:t>. PARP</w:t>
      </w:r>
      <w:r w:rsidR="0027742D" w:rsidRPr="00DF0680">
        <w:rPr>
          <w:rFonts w:cs="Times New Roman"/>
        </w:rPr>
        <w:t xml:space="preserve"> subsequently synthesizes PAR subunits onto itself, surrounding histones, and other acceptor proteins </w:t>
      </w:r>
      <w:r w:rsidR="00454ED0" w:rsidRPr="00DF0680">
        <w:rPr>
          <w:rFonts w:cs="Times New Roman"/>
        </w:rPr>
        <w:t xml:space="preserve">within seconds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"Ogata", "given" : "N", "non-dropping-particle" : "", "parse-names" : false, "suffix" : "" }, { "dropping-particle" : "", "family" : "Ueda", "given" : "K", "non-dropping-particle" : "", "parse-names" : false, "suffix" : "" }, { "dropping-particle" : "", "family" : "Kawaichi", "given" : "M", "non-dropping-particle" : "", "parse-names" : false, "suffix" : "" }, { "dropping-particle" : "", "family" : "Hayaishi", "given" : "O", "non-dropping-particle" : "", "parse-names" : false, "suffix" : "" } ], "container-title" : "Journal of Biological Chemistry", "id" : "ITEM-1", "issue" : "9", "issued" : { "date-parts" : [ [ "1981" ] ] }, "page" : "4135-7", "title" : "Poly (ADP-ribose) synthetase, a main acceptor of poly (ADP-ribose) in isolated nuclei.", "type" : "article-journal", "volume" : "256" }, "uris" : [ "http://www.mendeley.com/documents/?uuid=9b696e58-f69d-4433-a962-75f8051bc6ff" ] }, { "id" : "ITEM-2", "itemData" : { "author" : [ { "dropping-particle" : "", "family" : "Kameshita", "given" : "I", "non-dropping-particle" : "", "parse-names" : false, "suffix" : "" }, { "dropping-particle" : "", "family" : "Matsuda", "given" : "Z", "non-dropping-particle" : "", "parse-names" : false, "suffix" : "" } ], "container-title" : "Journal of Biological Chemistry", "id" : "ITEM-2", "issue" : "8", "issued" : { "date-parts" : [ [ "1984" ] ] }, "page" : "4770-6", "title" : "Poly(ADP-Ribose) synthetase. Separation and identification of three proteolytic fragments as the substrate-binding domain, the DNA-binding domain, and the automodification domain.", "type" : "article-journal", "volume" : "259" }, "uris" : [ "http://www.mendeley.com/documents/?uuid=c854ca29-3435-476e-8876-05c5da496ea7" ] }, { "id" : "ITEM-3", "itemData" : { "ISSN" : "0014-2956", "PMID" : "2981686", "abstract" : "The pattern of nucleosomal histones poly(ADP-ribosyl)ation is changed under conditions which affect the poly(ADP-ribosyl)ation state of the enzyme. At low NAD concentrations the enzyme can poly(ADP-ribosyl)ate histones H1 and H1, H2A, A2A, and H2B. However at NAD concentrations above 10 microM the enzyme preferentially poly(ADP-ribosyl)ates histone H1 to a hyper ADP-ribosylated form. Furthermore we have observed hyper ADP-ribosylation of histone H2B at NAD concentrations of 10 microM suggesting that histone H2B can undergo the same type of ADP-ribosylation pattern as histone H1. Also at higher NAD concentrations an elongation of the polymer attached to the enzyme and other nuclear proteins takes place.", "author" : [ { "dropping-particle" : "", "family" : "Huletsky", "given" : "a", "non-dropping-particle" : "", "parse-names" : false, "suffix" : "" }, { "dropping-particle" : "", "family" : "Niedergang", "given" : "C", "non-dropping-particle" : "", "parse-names" : false, "suffix" : "" }, { "dropping-particle" : "", "family" : "Fr\u00e9chette", "given" : "a", "non-dropping-particle" : "", "parse-names" : false, "suffix" : "" }, { "dropping-particle" : "", "family" : "Aubin", "given" : "R", "non-dropping-particle" : "", "parse-names" : false, "suffix" : "" }, { "dropping-particle" : "", "family" : "Gaudreau", "given" : "a", "non-dropping-particle" : "", "parse-names" : false, "suffix" : "" }, { "dropping-particle" : "", "family" : "Poirier", "given" : "G G", "non-dropping-particle" : "", "parse-names" : false, "suffix" : "" } ], "container-title" : "European Journal of Biochemistry", "id" : "ITEM-3", "issue" : "2", "issued" : { "date-parts" : [ [ "1985", "1", "15" ] ] }, "page" : "277-85", "title" : "Sequential ADP-ribosylation pattern of nucleosomal histones. ADP-ribosylation of nucleosomal histones.", "type" : "article-journal", "volume" : "146" }, "uris" : [ "http://www.mendeley.com/documents/?uuid=986f65f3-1bda-44ba-82e0-5acdc39afeb4" ] }, { "id" : "ITEM-4", "itemData" : { "author" : [ { "dropping-particle" : "", "family" : "Lindahl", "given" : "Tomas", "non-dropping-particle" : "", "parse-names" : false, "suffix" : "" }, { "dropping-particle" : "", "family" : "Satoh", "given" : "MS", "non-dropping-particle" : "", "parse-names" : false, "suffix" : "" }, { "dropping-particle" : "", "family" : "Poirier", "given" : "GG", "non-dropping-particle" : "", "parse-names" : false, "suffix" : "" }, { "dropping-particle" : "", "family" : "Klungland", "given" : "A", "non-dropping-particle" : "", "parse-names" : false, "suffix" : "" } ], "container-title" : "Trends in Biochemical Sciences", "id" : "ITEM-4", "issue" : "10", "issued" : { "date-parts" : [ [ "1995" ] ] }, "page" : "405-11", "title" : "Post-translational modification of poly (ADP-ribose) polymerase induced by DNA strand breaks", "type" : "article-journal", "volume" : "20" }, "uris" : [ "http://www.mendeley.com/documents/?uuid=357013b1-604a-4e0d-b805-c8711f7e73dd" ] }, { "id" : "ITEM-5", "itemData" : { "ISSN" : "0022-2836", "PMID" : "2511329", "abstract" : "Poly(ADP-ribose)polymerase is a chromatin-associated enzyme of eukaryotic cell nuclei that catalyses the covalent attachment of ADP-ribose units from NAD+ to various nuclear acceptor proteins. This post-translational modification has been postulated to influence several chromatin functions, particularly those where nicking and rejoining of DNA occur. Poly(ADP-ribosyl)ation reactions are strictly dependent upon the presence of interruptions on DNA. We have recently demonstrated that the DNA-binding domain of the protein containing two putative \"zinc-fingers\" binds DNA in a zinc-dependent manner. The basis for the recognition of the DNA strand breaks by this enzyme, and more precisely, its 29,000 Mr N-terminal part, which contains the metal binding sites, needed to be clarified. DNA probes harbouring a single strand interruption at a defined position were constructed from synthetic oligonucleotides. DNase I protection studies show that poly(ADP-ribose)polymerase specifically binds to a DNA single-strand break by its metal-binding domain depending upon the presence of Zn(II). These results support the idea that the enzyme participates to the maintenance of DNA integrity in eukaryotes.", "author" : [ { "dropping-particle" : "", "family" : "M\u00e9nissier-de Murcia", "given" : "J", "non-dropping-particle" : "", "parse-names" : false, "suffix" : "" }, { "dropping-particle" : "", "family" : "Molinete", "given" : "M", "non-dropping-particle" : "", "parse-names" : false, "suffix" : "" }, { "dropping-particle" : "", "family" : "Gradwohl", "given" : "G", "non-dropping-particle" : "", "parse-names" : false, "suffix" : "" }, { "dropping-particle" : "", "family" : "Simonin", "given" : "F", "non-dropping-particle" : "", "parse-names" : false, "suffix" : "" }, { "dropping-particle" : "", "family" : "Murcia", "given" : "G", "non-dropping-particle" : "de", "parse-names" : false, "suffix" : "" } ], "container-title" : "Journal of Molecular Biology", "id" : "ITEM-5", "issue" : "1", "issued" : { "date-parts" : [ [ "1989", "11", "5" ] ] }, "page" : "229-33", "title" : "Zinc-binding domain of poly(ADP-ribose)polymerase participates in the recognition of single strand breaks on DNA.", "type" : "article-journal", "volume" : "210" }, "uris" : [ "http://www.mendeley.com/documents/?uuid=dce739a4-d27d-4db4-8a4f-221fbe7d260a" ] } ], "mendeley" : { "formattedCitation" : "(Ogata et al. 1981; Kameshita &amp; Matsuda 1984; Huletsky et al. 1985; Lindahl et al. 1995; M\u00e9nissier-de Murcia et al. 1989)", "plainTextFormattedCitation" : "(Ogata et al. 1981; Kameshita &amp; Matsuda 1984; Huletsky et al. 1985; Lindahl et al. 1995; M\u00e9nissier-de Murcia et al. 1989)", "previouslyFormattedCitation" : "(Ogata et al. 1981; Kameshita &amp; Matsuda 1984; Huletsky et al. 1985; Lindahl et al. 1995; M\u00e9nissier-de Murcia et al. 1989)"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(Ogata et al. 1981; Kameshita &amp; Matsuda 1984; Huletsky et al. 1985; Lindahl et al. 1995; Ménissier-de Murcia et al. 1989)</w:t>
      </w:r>
      <w:r w:rsidR="00F20EC0" w:rsidRPr="00DF0680">
        <w:rPr>
          <w:rFonts w:cs="Times New Roman"/>
        </w:rPr>
        <w:fldChar w:fldCharType="end"/>
      </w:r>
      <w:r w:rsidR="0027742D" w:rsidRPr="00DF0680">
        <w:rPr>
          <w:rFonts w:cs="Times New Roman"/>
        </w:rPr>
        <w:t xml:space="preserve">. </w:t>
      </w:r>
      <w:r w:rsidR="00F91236" w:rsidRPr="00DF0680">
        <w:rPr>
          <w:rFonts w:cs="Times New Roman"/>
        </w:rPr>
        <w:t xml:space="preserve">These PAR chains are bound by a wide range of proteins involved in many different pathways such as DNA repair, replication, cell cycle and chromosome organization </w:t>
      </w:r>
      <w:r w:rsidR="00F20EC0" w:rsidRPr="00DF0680">
        <w:rPr>
          <w:rFonts w:cs="Times New Roman"/>
        </w:rPr>
        <w:fldChar w:fldCharType="begin" w:fldLock="1"/>
      </w:r>
      <w:r w:rsidR="00332613" w:rsidRPr="00DF0680">
        <w:rPr>
          <w:rFonts w:cs="Times New Roman"/>
        </w:rPr>
        <w:instrText>ADDIN CSL_CITATION { "citationItems" : [ { "id" : "ITEM-1", "itemData" : { "DOI" : "10.1093/nar/gkn771", "ISBN" : "1362-4962 (Electronic)", "ISSN" : "03051048", "PMID" : "18981049", "abstract" : "Poly(ADP-ribose) (pADPr) is a polymer assembled from the enzymatic polymerization of the ADP-ribosyl moiety of NAD by poly(ADP-ribose) polymerases (PARPs). The dynamic turnover of pADPr within the cell is essential for a number of cellular processes including progression through the cell cycle, DNA repair and the maintenance of genomic integrity, and apoptosis. In spite of the considerable advances in the knowledge of the physiological conditions modulated by poly(ADP-ribosyl)ation reactions, and notwithstanding the fact that pADPr can play a role of mediator in a wide spectrum of biological processes, few pADPr binding proteins have been identified so far. In this study, refined in silico prediction of pADPr binding proteins and large-scale mass spectrometry-based proteome analysis of pADPr binding proteins were used to establish a comprehensive repertoire of pADPr-associated proteins. Visualization and modeling of these pADPr-associated proteins in networks not only reflect the widespread involvement of poly(ADP-ribosyl)ation in several pathways but also identify protein targets that could shed new light on the regulatory functions of pADPr in normal physiological conditions as well as after exposure to genotoxic stimuli.", "author" : [ { "dropping-particle" : "", "family" : "Gagn\u00e9", "given" : "Jean Philippe", "non-dropping-particle" : "", "parse-names" : false, "suffix" : "" }, { "dropping-particle" : "", "family" : "Isabelle", "given" : "Maxim", "non-dropping-particle" : "", "parse-names" : false, "suffix" : "" }, { "dropping-particle" : "", "family" : "Lo", "given" : "Ken Sin", "non-dropping-particle" : "", "parse-names" : false, "suffix" : "" }, { "dropping-particle" : "", "family" : "Bourassa", "given" : "Sylvie", "non-dropping-particle" : "", "parse-names" : false, "suffix" : "" }, { "dropping-particle" : "", "family" : "Hendzel", "given" : "Michael J.", "non-dropping-particle" : "", "parse-names" : false, "suffix" : "" }, { "dropping-particle" : "", "family" : "Dawson", "given" : "Valina L.", "non-dropping-particle" : "", "parse-names" : false, "suffix" : "" }, { "dropping-particle" : "", "family" : "Dawson", "given" : "Ted M.", "non-dropping-particle" : "", "parse-names" : false, "suffix" : "" }, { "dropping-particle" : "", "family" : "Poirier", "given" : "Guy G.", "non-dropping-particle" : "", "parse-names" : false, "suffix" : "" } ], "container-title" : "Nucleic Acids Research", "id" : "ITEM-1", "issue" : "22", "issued" : { "date-parts" : [ [ "2008" ] ] }, "page" : "6959-6976", "title" : "Proteome-wide identification of poly(ADP-ribose) binding proteins and poly(ADP-ribose)-associated protein complexes", "type" : "article-journal", "volume" : "36" }, "uris" : [ "http://www.mendeley.com/documents/?uuid=793b5654-7ed1-4f35-8f0d-47c193f3420b" ] } ], "mendeley" : { "formattedCitation" : "(Gagn\u00e9 et al. 2008)", "plainTextFormattedCitation" : "(Gagn\u00e9 et al. 2008)", "previouslyFormattedCitation" : "(Gagn\u00e9 et al. 2008)"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(Gagné et al. 2008)</w:t>
      </w:r>
      <w:r w:rsidR="00F20EC0" w:rsidRPr="00DF0680">
        <w:rPr>
          <w:rFonts w:cs="Times New Roman"/>
        </w:rPr>
        <w:fldChar w:fldCharType="end"/>
      </w:r>
      <w:r w:rsidR="00F91236" w:rsidRPr="00DF0680">
        <w:rPr>
          <w:rFonts w:cs="Times New Roman"/>
        </w:rPr>
        <w:t xml:space="preserve">. </w:t>
      </w:r>
      <w:r w:rsidR="0012716A" w:rsidRPr="00DF0680">
        <w:rPr>
          <w:rFonts w:cs="Times New Roman"/>
        </w:rPr>
        <w:t xml:space="preserve">Repair pathways that have proteins with PAR-binding subunits include mismatch repair (MSH6), base excision repair (XRCC1, DNA ligase III and DNA polymerase ε) and other DNA damage recognising factors such as XPA and DNA-PK </w:t>
      </w:r>
      <w:r w:rsidR="00F20EC0" w:rsidRPr="00DF0680">
        <w:rPr>
          <w:rFonts w:cs="Times New Roman"/>
        </w:rPr>
        <w:fldChar w:fldCharType="begin" w:fldLock="1"/>
      </w:r>
      <w:r w:rsidR="00332613" w:rsidRPr="00DF0680">
        <w:rPr>
          <w:rFonts w:cs="Times New Roman"/>
        </w:rPr>
        <w:instrText>ADDIN CSL_CITATION { "citationItems" : [ { "id" : "ITEM-1", "itemData" : { "DOI" : "10.1074/jbc.M006520200", "ISBN" : "4116358762", "ISSN" : "0021-9258", "PMID" : "11016934", "abstract" : "Poly(ADP-ribose) is formed in possibly all multicellular organisms by a familiy of poly(ADP-ribose) polymerases (PARPs). PARP-1, the best understood and until recently the only known member of this family, is a DNA damage signal protein catalyzing its automodification with multiple, variably sized ADP-ribose polymers that may contain up to 200 residues and several branching points. Through these polymers, PARP-1 can interact noncovalently with other proteins and alter their functions. Here we report the discovery of a poly(ADP-ribose)-binding sequence motif in several important DNA damage checkpoint proteins. The 20-amino acid motif contains two conserved regions: (i) a cluster rich in basic amino acids and (ii) a pattern of hydrophobic amino acids interspersed with basic residues. Using a combination of alanine scanning, polymer blot analysis, and photoaffinity labeling, we have identified poly(ADP-ribose)-binding sites in the following proteins: p53, p21(CIP1/WAF1), xeroderma pigmentosum group A complementing protein, MSH6, DNA ligase III, XRCC1, DNA polymerase epsilon, DNA-PK(CS), Ku70, NF-kappaB, inducible nitric-oxide synthase, caspase-activated DNase, and telomerase. The poly(ADP-ribose)-binding motif was found to overlap with five important functional domains responsible for (i) protein-protein interactions, (ii) DNA binding, (iii) nuclear localization, (iv) nuclear export, and (v) protein degradation. Thus, PARPs may target specific signal network proteins via poly(ADP-ribose) and regulate their domain functions.", "author" : [ { "dropping-particle" : "", "family" : "Pleschke", "given" : "J M", "non-dropping-particle" : "", "parse-names" : false, "suffix" : "" }, { "dropping-particle" : "", "family" : "Kleczkowska", "given" : "H E", "non-dropping-particle" : "", "parse-names" : false, "suffix" : "" }, { "dropping-particle" : "", "family" : "Strohm", "given" : "M", "non-dropping-particle" : "", "parse-names" : false, "suffix" : "" }, { "dropping-particle" : "", "family" : "Althaus", "given" : "F R", "non-dropping-particle" : "", "parse-names" : false, "suffix" : "" } ], "container-title" : "The Journal of Biological Chemistry", "id" : "ITEM-1", "issue" : "52", "issued" : { "date-parts" : [ [ "2000", "12", "29" ] ] }, "page" : "40974-80", "title" : "Poly(ADP-ribose) binds to specific domains in DNA damage checkpoint proteins.", "type" : "article-journal", "volume" : "275" }, "uris" : [ "http://www.mendeley.com/documents/?uuid=ff36fbd7-ad97-4baf-9551-ee6f432aae93" ] }, { "id" : "ITEM-2", "itemData" : { "author" : [ { "dropping-particle" : "", "family" : "Masson", "given" : "Murielle", "non-dropping-particle" : "", "parse-names" : false, "suffix" : "" }, { "dropping-particle" : "", "family" : "Niedergang", "given" : "Claude", "non-dropping-particle" : "", "parse-names" : false, "suffix" : "" } ], "container-title" : "Molecular and Cellular Biology", "id" : "ITEM-2", "issue" : "6", "issued" : { "date-parts" : [ [ "1998" ] ] }, "page" : "3563-71", "title" : "XRCC1 is specifically associated with poly (ADP-ribose) polymerase and negatively regulates its activity following DNA damage", "type" : "article-journal", "volume" : "18" }, "uris" : [ "http://www.mendeley.com/documents/?uuid=70247132-660f-49a3-8357-bd2d3cfbe5e0" ] } ], "mendeley" : { "formattedCitation" : "(Pleschke et al. 2000; Masson &amp; Niedergang 1998)", "plainTextFormattedCitation" : "(Pleschke et al. 2000; Masson &amp; Niedergang 1998)", "previouslyFormattedCitation" : "(Pleschke et al. 2000; Masson &amp; Niedergang 1998)"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(Pleschke et al. 2000; Masson &amp; Niedergang 1998)</w:t>
      </w:r>
      <w:r w:rsidR="00F20EC0" w:rsidRPr="00DF0680">
        <w:rPr>
          <w:rFonts w:cs="Times New Roman"/>
        </w:rPr>
        <w:fldChar w:fldCharType="end"/>
      </w:r>
      <w:r w:rsidR="0012716A" w:rsidRPr="00DF0680">
        <w:rPr>
          <w:rFonts w:cs="Times New Roman"/>
        </w:rPr>
        <w:t>.</w:t>
      </w:r>
      <w:r w:rsidR="00454ED0" w:rsidRPr="00DF0680">
        <w:rPr>
          <w:rFonts w:cs="Times New Roman"/>
        </w:rPr>
        <w:t xml:space="preserve"> Poly(ADP-ribose) glycohydrolase (PARG) actively degrades these PAR chains, allowing the signal to be removed after a short time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"Hayaishi", "given" : "Osamu", "non-dropping-particle" : "", "parse-names" : false, "suffix" : "" } ], "container-title" : "Annual Review of Biochemistry", "id" : "ITEM-1", "issued" : { "date-parts" : [ [ "1977" ] ] }, "page" : "95-116", "title" : "Poly ADP-ribose and ADP-ribosylation of proteins", "type" : "article-journal", "volume" : "46" }, "uris" : [ "http://www.mendeley.com/documents/?uuid=3001be8e-201a-4bd7-920c-e1c12066d152" ] } ], "mendeley" : { "formattedCitation" : "(Hayaishi 1977)", "plainTextFormattedCitation" : "(Hayaishi 1977)", "previouslyFormattedCitation" : "(Hayaishi 1977)" }, "properties" : { "noteIndex" : 0 }, "schema" : "https://github.com/citation-style-language/schema/raw/master/csl-citation.json" }</w:instrText>
      </w:r>
      <w:r w:rsidR="00F20EC0" w:rsidRPr="00DF0680">
        <w:rPr>
          <w:rFonts w:cs="Times New Roman"/>
        </w:rPr>
        <w:fldChar w:fldCharType="separate"/>
      </w:r>
      <w:r w:rsidR="00DA6E78" w:rsidRPr="00DF0680">
        <w:rPr>
          <w:rFonts w:cs="Times New Roman"/>
        </w:rPr>
        <w:t>(Hayaishi 1977)</w:t>
      </w:r>
      <w:r w:rsidR="00F20EC0" w:rsidRPr="00DF0680">
        <w:rPr>
          <w:rFonts w:cs="Times New Roman"/>
        </w:rPr>
        <w:fldChar w:fldCharType="end"/>
      </w:r>
      <w:r w:rsidR="00454ED0" w:rsidRPr="00DF0680">
        <w:rPr>
          <w:rFonts w:cs="Times New Roman"/>
        </w:rPr>
        <w:t xml:space="preserve">. </w:t>
      </w:r>
    </w:p>
    <w:p w:rsidR="005C587A" w:rsidRPr="00DF0680" w:rsidRDefault="005C587A" w:rsidP="00E664FC">
      <w:pPr>
        <w:pStyle w:val="Heading4"/>
      </w:pPr>
      <w:bookmarkStart w:id="53" w:name="_Toc417204084"/>
      <w:bookmarkStart w:id="54" w:name="_Toc417674321"/>
      <w:r w:rsidRPr="00DF0680">
        <w:t xml:space="preserve">Recognition of </w:t>
      </w:r>
      <w:r w:rsidR="00CE6110" w:rsidRPr="00DF0680">
        <w:t>d</w:t>
      </w:r>
      <w:r w:rsidRPr="00DF0680">
        <w:t>ouble-</w:t>
      </w:r>
      <w:r w:rsidR="00CE6110" w:rsidRPr="00DF0680">
        <w:t>s</w:t>
      </w:r>
      <w:r w:rsidRPr="00DF0680">
        <w:t xml:space="preserve">trand </w:t>
      </w:r>
      <w:r w:rsidR="00CE6110" w:rsidRPr="00DF0680">
        <w:t>b</w:t>
      </w:r>
      <w:r w:rsidRPr="00DF0680">
        <w:t>reaks</w:t>
      </w:r>
      <w:bookmarkEnd w:id="53"/>
      <w:bookmarkEnd w:id="54"/>
    </w:p>
    <w:p w:rsidR="008B36A9" w:rsidRPr="00DF0680" w:rsidRDefault="00BD5EA4" w:rsidP="00FF1D91">
      <w:pPr>
        <w:rPr>
          <w:rFonts w:cs="Times New Roman"/>
        </w:rPr>
      </w:pPr>
      <w:r w:rsidRPr="00DF0680">
        <w:rPr>
          <w:rFonts w:cs="Times New Roman"/>
        </w:rPr>
        <w:t xml:space="preserve">There are many proteins that can recognise and bind double-strand breaks and depending on which binds, different repair pathways </w:t>
      </w:r>
      <w:r w:rsidR="00B1693D" w:rsidRPr="00DF0680">
        <w:rPr>
          <w:rFonts w:cs="Times New Roman"/>
        </w:rPr>
        <w:t>are triggered to</w:t>
      </w:r>
      <w:r w:rsidR="00A04B25" w:rsidRPr="00DF0680">
        <w:rPr>
          <w:rFonts w:cs="Times New Roman"/>
        </w:rPr>
        <w:t xml:space="preserve"> remove the damage</w:t>
      </w:r>
      <w:r w:rsidRPr="00DF0680">
        <w:rPr>
          <w:rFonts w:cs="Times New Roman"/>
        </w:rPr>
        <w:t xml:space="preserve">. </w:t>
      </w:r>
      <w:r w:rsidR="00AB3646" w:rsidRPr="00DF0680">
        <w:rPr>
          <w:rFonts w:cs="Times New Roman"/>
        </w:rPr>
        <w:t>As well as</w:t>
      </w:r>
      <w:r w:rsidR="00AD31F7" w:rsidRPr="00DF0680">
        <w:rPr>
          <w:rFonts w:cs="Times New Roman"/>
        </w:rPr>
        <w:t xml:space="preserve"> single-strand breaks, PARP1 has been shown to have a role</w:t>
      </w:r>
      <w:r w:rsidR="00AB3646" w:rsidRPr="00DF0680">
        <w:rPr>
          <w:rFonts w:cs="Times New Roman"/>
        </w:rPr>
        <w:t xml:space="preserve"> in the recognition of double-strand breaks</w:t>
      </w:r>
      <w:r w:rsidR="00AD31F7" w:rsidRPr="00DF0680">
        <w:rPr>
          <w:rFonts w:cs="Times New Roman"/>
        </w:rPr>
        <w:t>. PARP1 foci co</w:t>
      </w:r>
      <w:r w:rsidR="00AB3646" w:rsidRPr="00DF0680">
        <w:rPr>
          <w:rFonts w:cs="Times New Roman"/>
        </w:rPr>
        <w:t>-</w:t>
      </w:r>
      <w:r w:rsidR="00AD31F7" w:rsidRPr="00DF0680">
        <w:rPr>
          <w:rFonts w:cs="Times New Roman"/>
        </w:rPr>
        <w:t>localise with other DSB-flanking proteins at damage sites and PARP1 deficient cells are defective in recruitment of the</w:t>
      </w:r>
      <w:r w:rsidR="00360CE3" w:rsidRPr="00DF0680">
        <w:rPr>
          <w:rFonts w:cs="Times New Roman"/>
        </w:rPr>
        <w:t xml:space="preserve"> DNA damage proteins MRE11 and N</w:t>
      </w:r>
      <w:r w:rsidR="00AD31F7" w:rsidRPr="00DF0680">
        <w:rPr>
          <w:rFonts w:cs="Times New Roman"/>
        </w:rPr>
        <w:t xml:space="preserve">BS1 </w:t>
      </w:r>
      <w:r w:rsidR="00F20EC0" w:rsidRPr="00DF0680">
        <w:rPr>
          <w:rFonts w:cs="Times New Roman"/>
        </w:rPr>
        <w:fldChar w:fldCharType="begin" w:fldLock="1"/>
      </w:r>
      <w:r w:rsidR="00332613" w:rsidRPr="00DF0680">
        <w:rPr>
          <w:rFonts w:cs="Times New Roman"/>
        </w:rPr>
        <w:instrText>ADDIN CSL_CITATION { "citationItems" : [ { "id" : "ITEM-1", "itemData" : { "DOI" : "10.1074/jbc.M706734200", "ISSN" : "0021-9258", "PMID" : "18025084", "abstract" : "Poly(ADP-ribose) polymerase 1 (PARP1) is a nuclear enzyme that is rapidly activated by DNA strand breaks and signals the presence of DNA lesions by attaching ADP-ribose units to chromatin-associated proteins. The therapeutic applications of PARP inhibitors in potentiating the killing action of ionizing radiation have been well documented and are attracting increasing interest as a cancer treatment. However, the initial kinetics underlying the recognition of multiple DNA lesions by PARP1 and how inhibition of PARP potentiates the activity of DNA-damaging agents are unknown. Here we report the spatiotemporal dynamics of PARP1 recruitment to DNA damage induced by laser microirradiation in single living cells. We provide direct evidence that PARP1 is able to accumulate at a locally induced DNA double strand break. Most importantly, we observed that the rapid accumulation of MRE11 and NBS1 at sites of DNA damage requires PARP1. By determining the kinetics of protein assembly following DNA damage, our study reveals the cooperation between PARP1 and the double strand break sensors MRE11 and NBS1 in the close vicinity of a DNA lesion. This may explain the sensitivity of cancer cells to PARP inhibitors.", "author" : [ { "dropping-particle" : "", "family" : "Haince", "given" : "Jean-Fran\u00e7ois", "non-dropping-particle" : "", "parse-names" : false, "suffix" : "" }, { "dropping-particle" : "", "family" : "McDonald", "given" : "Darin", "non-dropping-particle" : "", "parse-names" : false, "suffix" : "" }, { "dropping-particle" : "", "family" : "Rodrigue", "given" : "Am\u00e9lie", "non-dropping-particle" : "", "parse-names" : false, "suffix" : "" }, { "dropping-particle" : "", "family" : "D\u00e9ry", "given" : "Ugo", "non-dropping-particle" : "", "parse-names" : false, "suffix" : "" }, { "dropping-particle" : "", "family" : "Masson", "given" : "Jean-Yves", "non-dropping-particle" : "", "parse-names" : false, "suffix" : "" }, { "dropping-particle" : "", "family" : "Hendzel", "given" : "Michael J", "non-dropping-particle" : "", "parse-names" : false, "suffix" : "" }, { "dropping-particle" : "", "family" : "Poirier", "given" : "Guy G", "non-dropping-particle" : "", "parse-names" : false, "suffix" : "" } ], "container-title" : "The Journal of Biological Chemistry", "id" : "ITEM-1", "issue" : "2", "issued" : { "date-parts" : [ [ "2008", "1", "11" ] ] }, "page" : "1197-208", "title" : "PARP1-dependent kinetics of recruitment of MRE11 and NBS1 proteins to multiple DNA damage sites.", "type" : "article-journal", "volume" : "283" }, "uris" : [ "http://www.mendeley.com/documents/?uuid=3fba80aa-4016-496e-a36f-e37ce91e3a72" ] } ], "mendeley" : { "formattedCitation" : "(Haince et al. 2008)", "plainTextFormattedCitation" : "(Haince et al. 2008)", "previouslyFormattedCitation" : "(Haince et al. 2008)"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(Haince et al. 2008)</w:t>
      </w:r>
      <w:r w:rsidR="00F20EC0" w:rsidRPr="00DF0680">
        <w:rPr>
          <w:rFonts w:cs="Times New Roman"/>
        </w:rPr>
        <w:fldChar w:fldCharType="end"/>
      </w:r>
      <w:r w:rsidR="00AD31F7" w:rsidRPr="00DF0680">
        <w:rPr>
          <w:rFonts w:cs="Times New Roman"/>
        </w:rPr>
        <w:t xml:space="preserve">.  </w:t>
      </w:r>
      <w:r w:rsidR="0083098E" w:rsidRPr="00DF0680">
        <w:rPr>
          <w:rFonts w:cs="Times New Roman"/>
        </w:rPr>
        <w:t xml:space="preserve">MRE11, part of the MRN complex, is responsible for repairing the DSB through homologous recombination, alternative non-homologous end joining, single-strand annealing, or synthesis-dependant strand annealing, all of which are covered below. </w:t>
      </w:r>
      <w:r w:rsidR="00E05377" w:rsidRPr="00DF0680">
        <w:rPr>
          <w:rFonts w:cs="Times New Roman"/>
        </w:rPr>
        <w:t>In competition with PARP1 and MRE11 for DSB binding i</w:t>
      </w:r>
      <w:r w:rsidR="00AB3646" w:rsidRPr="00DF0680">
        <w:rPr>
          <w:rFonts w:cs="Times New Roman"/>
        </w:rPr>
        <w:t>s</w:t>
      </w:r>
      <w:r w:rsidR="00E05377" w:rsidRPr="00DF0680">
        <w:rPr>
          <w:rFonts w:cs="Times New Roman"/>
        </w:rPr>
        <w:t xml:space="preserve"> the Ku protein. </w:t>
      </w:r>
      <w:r w:rsidR="00AB3646" w:rsidRPr="00DF0680">
        <w:rPr>
          <w:rFonts w:cs="Times New Roman"/>
        </w:rPr>
        <w:t xml:space="preserve">Ku binds double-stranded DNA ends and cells defective in Ku have increased amounts of homology directed repair such as homologous recombination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"Blier", "given" : "PR", "non-dropping-particle" : "", "parse-names" : false, "suffix" : "" }, { "dropping-particle" : "", "family" : "Griffith", "given" : "AJ", "non-dropping-particle" : "", "parse-names" : false, "suffix" : "" }, { "dropping-particle" : "", "family" : "Craft", "given" : "Joe", "non-dropping-particle" : "", "parse-names" : false, "suffix" : "" }, { "dropping-particle" : "", "family" : "Hardin", "given" : "JA", "non-dropping-particle" : "", "parse-names" : false, "suffix" : "" } ], "container-title" : "Journal of Biological Chemistry", "id" : "ITEM-1", "issue" : "10", "issued" : { "date-parts" : [ [ "1993" ] ] }, "page" : "7594-7601", "title" : "Binding of Ku protein to DNA. Measurement of affinity for ends and demonstration of binding to nicks.", "type" : "article-journal", "volume" : "268" }, "uris" : [ "http://www.mendeley.com/documents/?uuid=a46d60c8-6818-491f-a287-d2fcba7eadde" ] }, { "id" : "ITEM-2", "itemData" : { "DOI" : "10.1101/gad.946401.Sister-chromatid", "author" : [ { "dropping-particle" : "", "family" : "Pierce", "given" : "AJ", "non-dropping-particle" : "", "parse-names" : false, "suffix" : "" }, { "dropping-particle" : "", "family" : "Hu", "given" : "Peng", "non-dropping-particle" : "", "parse-names" : false, "suffix" : "" }, { "dropping-particle" : "", "family" : "Han", "given" : "Mingguang", "non-dropping-particle" : "", "parse-names" : false, "suffix" : "" } ], "container-title" : "Genes &amp; Development", "id" : "ITEM-2", "issue" : "24", "issued" : { "date-parts" : [ [ "2001" ] ] }, "page" : "3237-3242", "title" : "Ku DNA end-binding protein modulates homologous repair of double-strand breaks in mammalian cells", "type" : "article-journal", "volume" : "15" }, "uris" : [ "http://www.mendeley.com/documents/?uuid=a3f484d9-09c9-4804-86e7-518537779a38" ] } ], "mendeley" : { "formattedCitation" : "(Blier et al. 1993; Pierce et al. 2001)", "plainTextFormattedCitation" : "(Blier et al. 1993; Pierce et al. 2001)", "previouslyFormattedCitation" : "(Blier et al. 1993; Pierce et al. 2001)"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(Blier et al. 1993; Pierce et al. 2001)</w:t>
      </w:r>
      <w:r w:rsidR="00F20EC0" w:rsidRPr="00DF0680">
        <w:rPr>
          <w:rFonts w:cs="Times New Roman"/>
        </w:rPr>
        <w:fldChar w:fldCharType="end"/>
      </w:r>
      <w:r w:rsidR="00AB3646" w:rsidRPr="00DF0680">
        <w:rPr>
          <w:rFonts w:cs="Times New Roman"/>
        </w:rPr>
        <w:t xml:space="preserve">. Instead, Ku promotes non-homologous end joining, which will be described later. </w:t>
      </w:r>
    </w:p>
    <w:p w:rsidR="00EA5D65" w:rsidRPr="00DF0680" w:rsidRDefault="00EA5D65" w:rsidP="00E664FC">
      <w:pPr>
        <w:pStyle w:val="Heading4"/>
      </w:pPr>
      <w:bookmarkStart w:id="55" w:name="_Toc417204085"/>
      <w:bookmarkStart w:id="56" w:name="_Toc417674322"/>
      <w:r w:rsidRPr="00DF0680">
        <w:lastRenderedPageBreak/>
        <w:t xml:space="preserve">Recognition of </w:t>
      </w:r>
      <w:r w:rsidR="00CE6110" w:rsidRPr="00DF0680">
        <w:t>r</w:t>
      </w:r>
      <w:r w:rsidRPr="00DF0680">
        <w:t xml:space="preserve">eplication </w:t>
      </w:r>
      <w:r w:rsidR="00CE6110" w:rsidRPr="00DF0680">
        <w:t>s</w:t>
      </w:r>
      <w:r w:rsidRPr="00DF0680">
        <w:t>tress</w:t>
      </w:r>
      <w:r w:rsidR="001B5E20" w:rsidRPr="00DF0680">
        <w:t xml:space="preserve"> – R</w:t>
      </w:r>
      <w:r w:rsidR="00D974B6" w:rsidRPr="00DF0680">
        <w:t xml:space="preserve">eplication </w:t>
      </w:r>
      <w:r w:rsidR="001B5E20" w:rsidRPr="00DF0680">
        <w:t>P</w:t>
      </w:r>
      <w:r w:rsidR="00D974B6" w:rsidRPr="00DF0680">
        <w:t xml:space="preserve">rotein </w:t>
      </w:r>
      <w:r w:rsidR="001B5E20" w:rsidRPr="00DF0680">
        <w:t>A</w:t>
      </w:r>
      <w:bookmarkEnd w:id="55"/>
      <w:bookmarkEnd w:id="56"/>
    </w:p>
    <w:p w:rsidR="003121F5" w:rsidRPr="00DF0680" w:rsidRDefault="002860A5" w:rsidP="0004345E">
      <w:pPr>
        <w:rPr>
          <w:rFonts w:cs="Times New Roman"/>
        </w:rPr>
      </w:pPr>
      <w:r w:rsidRPr="00DF0680">
        <w:rPr>
          <w:rFonts w:cs="Times New Roman"/>
        </w:rPr>
        <w:t xml:space="preserve">Upon replication stress, the </w:t>
      </w:r>
      <w:r w:rsidR="009121B0" w:rsidRPr="00DF0680">
        <w:rPr>
          <w:rFonts w:cs="Times New Roman"/>
        </w:rPr>
        <w:t xml:space="preserve">DNA </w:t>
      </w:r>
      <w:r w:rsidRPr="00DF0680">
        <w:rPr>
          <w:rFonts w:cs="Times New Roman"/>
        </w:rPr>
        <w:t xml:space="preserve">polymerase is restricted in its movement due to a lesion or lack of available nucleotides. The MCM </w:t>
      </w:r>
      <w:r w:rsidR="00366550" w:rsidRPr="00DF0680">
        <w:rPr>
          <w:rFonts w:cs="Times New Roman"/>
        </w:rPr>
        <w:t>complex has</w:t>
      </w:r>
      <w:r w:rsidR="00D302E3" w:rsidRPr="00DF0680">
        <w:rPr>
          <w:rFonts w:cs="Times New Roman"/>
        </w:rPr>
        <w:t xml:space="preserve"> helicase</w:t>
      </w:r>
      <w:r w:rsidR="00366550" w:rsidRPr="00DF0680">
        <w:rPr>
          <w:rFonts w:cs="Times New Roman"/>
        </w:rPr>
        <w:t xml:space="preserve"> activity</w:t>
      </w:r>
      <w:r w:rsidR="00D302E3" w:rsidRPr="00DF0680">
        <w:rPr>
          <w:rFonts w:cs="Times New Roman"/>
        </w:rPr>
        <w:t xml:space="preserve"> </w:t>
      </w:r>
      <w:r w:rsidRPr="00DF0680">
        <w:rPr>
          <w:rFonts w:cs="Times New Roman"/>
        </w:rPr>
        <w:t>responsible for unwinding of the double-stran</w:t>
      </w:r>
      <w:r w:rsidR="00B83E1F" w:rsidRPr="00DF0680">
        <w:rPr>
          <w:rFonts w:cs="Times New Roman"/>
        </w:rPr>
        <w:t>ded DNA ahead of the polymerase</w:t>
      </w:r>
      <w:r w:rsidR="00D302E3"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"10.1038/sj.emboj.7600369", "ISSN" : "0261-4189", "PMID" : "15329670", "abstract" : "In vertebrates, MCM2-7 and Cdc45 are required for DNA replication initiation, but it is unknown whether they are also required for elongation, as in yeast. Moreover, although MCM2-7 is a prime candidate for the eukaryotic replicative DNA helicase, a demonstration that MCM2-7 unwinds DNA during replication is lacking. Here, we use Xenopus egg extracts to investigate the roles of MCM7 and Cdc45 in DNA replication. A fragment of the retinoblastoma protein, Rb(1-400), was used to neutralize MCM7, and antibodies were used to neutralize Cdc45. When added immediately after origin unwinding, or after significant DNA synthesis, both inhibitors blocked further DNA replication, indicating that MCM7 and Cdc45 are required throughout replication elongation in vertebrates. We next exploited the fact that inhibition of DNA polymerase by aphidicolin causes extensive chromosome unwinding, likely due to uncoupling of the replicative DNA helicase. Strikingly, Rb(1-400) and Cdc45 antibodies both abolished unwinding by the uncoupled helicase. These results provide new support for the model that MCM2-7 is the replicative DNA helicase, and they indicate that Cdc45 functions as a helicase co-factor.", "author" : [ { "dropping-particle" : "", "family" : "Pacek", "given" : "Marcin", "non-dropping-particle" : "", "parse-names" : false, "suffix" : "" }, { "dropping-particle" : "", "family" : "Walter", "given" : "Johannes C", "non-dropping-particle" : "", "parse-names" : false, "suffix" : "" } ], "container-title" : "The EMBO Journal", "id" : "ITEM-1", "issue" : "18", "issued" : { "date-parts" : [ [ "2004", "9", "15" ] ] }, "page" : "3667-76", "title" : "A requirement for MCM7 and Cdc45 in chromosome unwinding during eukaryotic DNA replication.", "type" : "article-journal", "volume" : "23" }, "uris" : [ "http://www.mendeley.com/documents/?uuid=e56d479a-6e28-4692-9960-2ffafd737e25" ] } ], "mendeley" : { "formattedCitation" : "(Pacek &amp; Walter 2004)", "plainTextFormattedCitation" : "(Pacek &amp; Walter 2004)", "previouslyFormattedCitation" : "(Pacek &amp; Walter 2004)"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(Pacek &amp; Walter 2004)</w:t>
      </w:r>
      <w:r w:rsidR="00F20EC0" w:rsidRPr="00DF0680">
        <w:rPr>
          <w:rFonts w:cs="Times New Roman"/>
        </w:rPr>
        <w:fldChar w:fldCharType="end"/>
      </w:r>
      <w:r w:rsidR="00B83E1F" w:rsidRPr="00DF0680">
        <w:rPr>
          <w:rFonts w:cs="Times New Roman"/>
        </w:rPr>
        <w:t xml:space="preserve">. As the polymerase is arrested on the single stranded, unwound DNA, the MCM helicase is not. This causes </w:t>
      </w:r>
      <w:r w:rsidR="00F16ACD" w:rsidRPr="00DF0680">
        <w:rPr>
          <w:rFonts w:cs="Times New Roman"/>
        </w:rPr>
        <w:t>an uncoupling of the two proteins, resulting in large areas of unprotected single stranded DNA between the polymerase and helicase</w:t>
      </w:r>
      <w:r w:rsidR="00D302E3"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"10.1038/sj.emboj.7600369", "ISSN" : "0261-4189", "PMID" : "15329670", "abstract" : "In vertebrates, MCM2-7 and Cdc45 are required for DNA replication initiation, but it is unknown whether they are also required for elongation, as in yeast. Moreover, although MCM2-7 is a prime candidate for the eukaryotic replicative DNA helicase, a demonstration that MCM2-7 unwinds DNA during replication is lacking. Here, we use Xenopus egg extracts to investigate the roles of MCM7 and Cdc45 in DNA replication. A fragment of the retinoblastoma protein, Rb(1-400), was used to neutralize MCM7, and antibodies were used to neutralize Cdc45. When added immediately after origin unwinding, or after significant DNA synthesis, both inhibitors blocked further DNA replication, indicating that MCM7 and Cdc45 are required throughout replication elongation in vertebrates. We next exploited the fact that inhibition of DNA polymerase by aphidicolin causes extensive chromosome unwinding, likely due to uncoupling of the replicative DNA helicase. Strikingly, Rb(1-400) and Cdc45 antibodies both abolished unwinding by the uncoupled helicase. These results provide new support for the model that MCM2-7 is the replicative DNA helicase, and they indicate that Cdc45 functions as a helicase co-factor.", "author" : [ { "dropping-particle" : "", "family" : "Pacek", "given" : "Marcin", "non-dropping-particle" : "", "parse-names" : false, "suffix" : "" }, { "dropping-particle" : "", "family" : "Walter", "given" : "Johannes C", "non-dropping-particle" : "", "parse-names" : false, "suffix" : "" } ], "container-title" : "The EMBO Journal", "id" : "ITEM-1", "issue" : "18", "issued" : { "date-parts" : [ [ "2004", "9", "15" ] ] }, "page" : "3667-76", "title" : "A requirement for MCM7 and Cdc45 in chromosome unwinding during eukaryotic DNA replication.", "type" : "article-journal", "volume" : "23" }, "uris" : [ "http://www.mendeley.com/documents/?uuid=e56d479a-6e28-4692-9960-2ffafd737e25" ] } ], "mendeley" : { "formattedCitation" : "(Pacek &amp; Walter 2004)", "plainTextFormattedCitation" : "(Pacek &amp; Walter 2004)", "previouslyFormattedCitation" : "(Pacek &amp; Walter 2004)"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(Pacek &amp; Walter 2004)</w:t>
      </w:r>
      <w:r w:rsidR="00F20EC0" w:rsidRPr="00DF0680">
        <w:rPr>
          <w:rFonts w:cs="Times New Roman"/>
        </w:rPr>
        <w:fldChar w:fldCharType="end"/>
      </w:r>
      <w:r w:rsidR="00F16ACD" w:rsidRPr="00DF0680">
        <w:rPr>
          <w:rFonts w:cs="Times New Roman"/>
        </w:rPr>
        <w:t xml:space="preserve">. </w:t>
      </w:r>
      <w:r w:rsidR="00D974B6" w:rsidRPr="00DF0680">
        <w:rPr>
          <w:rFonts w:cs="Times New Roman"/>
        </w:rPr>
        <w:t>Replication Protein A (R</w:t>
      </w:r>
      <w:r w:rsidRPr="00DF0680">
        <w:rPr>
          <w:rFonts w:cs="Times New Roman"/>
        </w:rPr>
        <w:t>PA</w:t>
      </w:r>
      <w:r w:rsidR="00D974B6" w:rsidRPr="00DF0680">
        <w:rPr>
          <w:rFonts w:cs="Times New Roman"/>
        </w:rPr>
        <w:t>)</w:t>
      </w:r>
      <w:r w:rsidRPr="00DF0680">
        <w:rPr>
          <w:rFonts w:cs="Times New Roman"/>
        </w:rPr>
        <w:t xml:space="preserve"> is a s</w:t>
      </w:r>
      <w:r w:rsidR="00265045" w:rsidRPr="00DF0680">
        <w:rPr>
          <w:rFonts w:cs="Times New Roman"/>
        </w:rPr>
        <w:t>ingle stranded binding protein ident</w:t>
      </w:r>
      <w:r w:rsidR="006D1933" w:rsidRPr="00DF0680">
        <w:rPr>
          <w:rFonts w:cs="Times New Roman"/>
        </w:rPr>
        <w:t xml:space="preserve">ified as being required for T-antigen mediated </w:t>
      </w:r>
      <w:r w:rsidR="00265045" w:rsidRPr="00DF0680">
        <w:rPr>
          <w:rFonts w:cs="Times New Roman"/>
        </w:rPr>
        <w:t xml:space="preserve">unwinding of DNA </w:t>
      </w:r>
      <w:r w:rsidR="009121B0" w:rsidRPr="00DF0680">
        <w:rPr>
          <w:rFonts w:cs="Times New Roman"/>
        </w:rPr>
        <w:t xml:space="preserve">from </w:t>
      </w:r>
      <w:r w:rsidR="006D1933" w:rsidRPr="00DF0680">
        <w:rPr>
          <w:rFonts w:cs="Times New Roman"/>
        </w:rPr>
        <w:t xml:space="preserve">the SV40 origin </w:t>
      </w:r>
      <w:r w:rsidR="00F20EC0" w:rsidRPr="00DF0680">
        <w:rPr>
          <w:rFonts w:cs="Times New Roman"/>
        </w:rPr>
        <w:fldChar w:fldCharType="begin" w:fldLock="1"/>
      </w:r>
      <w:r w:rsidR="001112F6" w:rsidRPr="00DF0680">
        <w:rPr>
          <w:rFonts w:cs="Times New Roman"/>
        </w:rPr>
        <w:instrText>ADDIN CSL_CITATION { "citationItems" : [ { "id" : "ITEM-1", "itemData" : { "ISSN" : "0027-8424", "PMID" : "2833742", "abstract" : "The replication of simian virus 40 (SV40) DNA is largely dependent upon cellular replication proteins. To define these proteins we have made use of a cell-free system that is capable of replicating plasmid DNA molecules containing the SV40 origin of replication. Systematic fractionation-reconstitution experiments indicate that there are a minimum of six cellular proteins that are required for efficient viral DNA replication in vitro. We report here the purification of one of these proteins, replication protein A (RP-A), to homogeneity. RP-A is a multisubunit protein that contains four tightly associated polypeptides of 70, 53, 32, and 14 kDa. Partial proteolysis experiments indicate that the 53-kDa polypeptide is closely related to the 70-kDa polypeptide, suggesting that it may be a proteolytic fragment of the larger subunit. RP-A is absolutely required for reconstitution of SV40 DNA replication in vitro. The purified protein binds to single-stranded DNA and is required for the large tumor (T)-antigen-mediated unwinding of DNA molecules containing the SV40 origin of DNA replication. These properties are consistent with the possibility that RP-A plays a central role in the generation of a single-stranded region at the origin prior to initiation of DNA synthesis. The protein may also function to facilitate unwinding of the parental DNA strands during the elongation phase of SV40 DNA replication.", "author" : [ { "dropping-particle" : "", "family" : "Wold", "given" : "M S", "non-dropping-particle" : "", "parse-names" : false, "suffix" : "" }, { "dropping-particle" : "", "family" : "Kelly", "given" : "T", "non-dropping-particle" : "", "parse-names" : false, "suffix" : "" } ], "container-title" : "Proceedings of the National Academy of Sciences", "id" : "ITEM-1", "issue" : "8", "issued" : { "date-parts" : [ [ "1988", "4" ] ] }, "page" : "2523-7", "title" : "Purification and characterization of replication protein A, a cellular protein required for in vitro replication of simian virus 40 DNA.", "type" : "article-journal", "volume" : "85" }, "uris" : [ "http://www.mendeley.com/documents/?uuid=b336930f-588a-40c4-bf71-68f9f3eb6ea7" ] } ], "mendeley" : { "formattedCitation" : "(Wold &amp; Kelly 1988)", "plainTextFormattedCitation" : "(Wold &amp; Kelly 1988)", "previouslyFormattedCitation" : "(Wold &amp; Kelly 1988)"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(Wold &amp; Kelly 1988)</w:t>
      </w:r>
      <w:r w:rsidR="00F20EC0" w:rsidRPr="00DF0680">
        <w:rPr>
          <w:rFonts w:cs="Times New Roman"/>
        </w:rPr>
        <w:fldChar w:fldCharType="end"/>
      </w:r>
      <w:r w:rsidR="006D1933" w:rsidRPr="00DF0680">
        <w:rPr>
          <w:rFonts w:cs="Times New Roman"/>
        </w:rPr>
        <w:t xml:space="preserve">. </w:t>
      </w:r>
      <w:r w:rsidR="003A276E" w:rsidRPr="00DF0680">
        <w:rPr>
          <w:rFonts w:cs="Times New Roman"/>
        </w:rPr>
        <w:t>RPA binds single-stranded DNA and the</w:t>
      </w:r>
      <w:r w:rsidR="006D1933" w:rsidRPr="00DF0680">
        <w:rPr>
          <w:rFonts w:cs="Times New Roman"/>
        </w:rPr>
        <w:t xml:space="preserve"> ssDNA-RPA complex provides a recruitment site for the signalling protein ATR and its interacting protein ATRIP to bind to DNA and phosphorylate downstream targets for the DNA damage response</w:t>
      </w:r>
      <w:r w:rsidR="00767EC9" w:rsidRPr="00DF0680">
        <w:rPr>
          <w:rFonts w:cs="Times New Roman"/>
        </w:rPr>
        <w:t xml:space="preserve"> </w:t>
      </w:r>
      <w:r w:rsidR="00F20EC0" w:rsidRPr="00DF0680">
        <w:rPr>
          <w:rFonts w:cs="Times New Roman"/>
        </w:rPr>
        <w:fldChar w:fldCharType="begin" w:fldLock="1"/>
      </w:r>
      <w:r w:rsidR="001112F6" w:rsidRPr="00DF0680">
        <w:rPr>
          <w:rFonts w:cs="Times New Roman"/>
        </w:rPr>
        <w:instrText>ADDIN CSL_CITATION { "citationItems" : [ { "id" : "ITEM-1", "itemData" : { "DOI" : "10.1126/science.1083430", "ISSN" : "1095-9203", "PMID" : "12791985", "abstract" : "The function of the ATR (ataxia-telangiectasia mutated- and Rad3-related)-ATRIP (ATR-interacting protein) protein kinase complex is crucial for the cellular response to replication stress and DNA damage. Here, we show that replication protein A (RPA), a protein complex that associates with single-stranded DNA (ssDNA), is required for the recruitment of ATR to sites of DNA damage and for ATR-mediated Chk1 activation in human cells. In vitro, RPA stimulates the binding of ATRIP to ssDNA. The binding of ATRIP to RPA-coated ssDNA enables the ATR-ATRIP complex to associate with DNA and stimulates phosphorylation of the Rad17 protein that is bound to DNA. Furthermore, Ddc2, the budding yeast homolog of ATRIP, is specifically recruited to double-strand DNA breaks in an RPA-dependent manner. A checkpoint-deficient mutant of RPA, rfa1-t11, is defective for recruiting Ddc2 to ssDNA both in vivo and in vitro. Our data suggest that RPA-coated ssDNA is the critical structure at sites of DNA damage that recruits the ATR-ATRIP complex and facilitates its recognition of substrates for phosphorylation and the initiation of checkpoint signaling.", "author" : [ { "dropping-particle" : "", "family" : "Zou", "given" : "Lee", "non-dropping-particle" : "", "parse-names" : false, "suffix" : "" }, { "dropping-particle" : "", "family" : "Elledge", "given" : "Stephen J", "non-dropping-particle" : "", "parse-names" : false, "suffix" : "" } ], "container-title" : "Science", "id" : "ITEM-1", "issue" : "5625", "issued" : { "date-parts" : [ [ "2003", "6", "6" ] ] }, "page" : "1542-8", "title" : "Sensing DNA damage through ATRIP recognition of RPA-ssDNA complexes.", "type" : "article-journal", "volume" : "300" }, "uris" : [ "http://www.mendeley.com/documents/?uuid=982a15d9-704a-497b-818a-9c04f0e80998" ] } ], "mendeley" : { "formattedCitation" : "(Zou &amp; Elledge 2003)", "plainTextFormattedCitation" : "(Zou &amp; Elledge 2003)", "previouslyFormattedCitation" : "(Zou &amp; Elledge 2003)"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(Zou &amp; Elledge 2003)</w:t>
      </w:r>
      <w:r w:rsidR="00F20EC0" w:rsidRPr="00DF0680">
        <w:rPr>
          <w:rFonts w:cs="Times New Roman"/>
        </w:rPr>
        <w:fldChar w:fldCharType="end"/>
      </w:r>
      <w:r w:rsidR="006D1933" w:rsidRPr="00DF0680">
        <w:rPr>
          <w:rFonts w:cs="Times New Roman"/>
        </w:rPr>
        <w:t xml:space="preserve">. </w:t>
      </w:r>
      <w:r w:rsidR="0004345E" w:rsidRPr="00DF0680">
        <w:rPr>
          <w:rFonts w:cs="Times New Roman"/>
        </w:rPr>
        <w:t xml:space="preserve">It was shown that uncoupling activates the DNA damage response, with more uncoupled replication complexes resulting in an amplification of Chk1 phosphorylation </w:t>
      </w:r>
      <w:r w:rsidR="00F20EC0" w:rsidRPr="00DF0680">
        <w:rPr>
          <w:rFonts w:cs="Times New Roman"/>
        </w:rPr>
        <w:fldChar w:fldCharType="begin" w:fldLock="1"/>
      </w:r>
      <w:r w:rsidR="00332613" w:rsidRPr="00DF0680">
        <w:rPr>
          <w:rFonts w:cs="Times New Roman"/>
        </w:rPr>
        <w:instrText>ADDIN CSL_CITATION { "citationItems" : [ { "id" : "ITEM-1", "itemData" : { "DOI" : "10.1101/gad.1301205", "ISSN" : "0890-9369", "PMID" : "15833913", "abstract" : "The ATR-dependent DNA damage response pathway can respond to a diverse group of lesions as well as inhibitors of DNA replication. Using the Xenopus egg extract system, we show that lesions induced by UV irradiation and cis-platinum cause the functional uncoupling of MCM helicase and DNA polymerase activities, an event previously shown for aphidicolin. Inhibition of uncoupling during elongation with inhibitors of MCM7 or Cdc45, a putative helicase cofactor, results in abrogation of Chk1 phosphorylation, indicating that uncoupling is necessary for activation of the checkpoint. However, uncoupling is not sufficient for checkpoint activation, and DNA synthesis by Polalpha is also required. Finally, using plasmids of varying size, we demonstrate that all of the unwound DNA generated at a stalled replication fork can contribute to the level of Chk1 phosphorylation, suggesting that uncoupling amplifies checkpoint signaling at each individual replication fork. Taken together, these observations indicate that functional uncoupling of MCM helicase and DNA polymerase activities occurs in response to multiple forms of DNA damage and that there is a general mechanism for generation of the checkpoint-activating signal following DNA damage.", "author" : [ { "dropping-particle" : "", "family" : "Byun", "given" : "Tony S", "non-dropping-particle" : "", "parse-names" : false, "suffix" : "" }, { "dropping-particle" : "", "family" : "Pacek", "given" : "Marcin", "non-dropping-particle" : "", "parse-names" : false, "suffix" : "" }, { "dropping-particle" : "", "family" : "Yee", "given" : "Muh-ching", "non-dropping-particle" : "", "parse-names" : false, "suffix" : "" }, { "dropping-particle" : "", "family" : "Walter", "given" : "Johannes C", "non-dropping-particle" : "", "parse-names" : false, "suffix" : "" }, { "dropping-particle" : "", "family" : "Cimprich", "given" : "Karlene a", "non-dropping-particle" : "", "parse-names" : false, "suffix" : "" } ], "container-title" : "Genes &amp; Development", "id" : "ITEM-1", "issue" : "9", "issued" : { "date-parts" : [ [ "2005", "5", "1" ] ] }, "page" : "1040-52", "title" : "Functional uncoupling of MCM helicase and DNA polymerase activities activates the ATR-dependent checkpoint.", "type" : "article-journal", "volume" : "19" }, "uris" : [ "http://www.mendeley.com/documents/?uuid=bab83903-cd8b-4e43-a849-d62a97ab156a" ] } ], "mendeley" : { "formattedCitation" : "(Byun et al. 2005)", "plainTextFormattedCitation" : "(Byun et al. 2005)", "previouslyFormattedCitation" : "(Byun et al. 2005)" }, "properties" : { "noteIndex" : 0 }, "schema" : "https://github.com/citation-style-language/schema/raw/master/csl-citation.json" }</w:instrText>
      </w:r>
      <w:r w:rsidR="00F20EC0" w:rsidRPr="00DF0680">
        <w:rPr>
          <w:rFonts w:cs="Times New Roman"/>
        </w:rPr>
        <w:fldChar w:fldCharType="separate"/>
      </w:r>
      <w:r w:rsidR="0004345E" w:rsidRPr="00DF0680">
        <w:rPr>
          <w:rFonts w:cs="Times New Roman"/>
        </w:rPr>
        <w:t>(Byun et al. 2005)</w:t>
      </w:r>
      <w:r w:rsidR="00F20EC0" w:rsidRPr="00DF0680">
        <w:rPr>
          <w:rFonts w:cs="Times New Roman"/>
        </w:rPr>
        <w:fldChar w:fldCharType="end"/>
      </w:r>
      <w:r w:rsidR="0004345E" w:rsidRPr="00DF0680">
        <w:rPr>
          <w:rFonts w:cs="Times New Roman"/>
        </w:rPr>
        <w:t xml:space="preserve">. </w:t>
      </w:r>
    </w:p>
    <w:p w:rsidR="001B5E20" w:rsidRPr="00DF0680" w:rsidRDefault="001B5E20" w:rsidP="00E664FC">
      <w:pPr>
        <w:pStyle w:val="Heading4"/>
      </w:pPr>
      <w:bookmarkStart w:id="57" w:name="_Toc417204086"/>
      <w:bookmarkStart w:id="58" w:name="_Toc417674323"/>
      <w:r w:rsidRPr="00DF0680">
        <w:t xml:space="preserve">Recognition of </w:t>
      </w:r>
      <w:r w:rsidR="00CE6110" w:rsidRPr="00DF0680">
        <w:t>r</w:t>
      </w:r>
      <w:r w:rsidRPr="00DF0680">
        <w:t xml:space="preserve">eplication </w:t>
      </w:r>
      <w:r w:rsidR="00CE6110" w:rsidRPr="00DF0680">
        <w:t>s</w:t>
      </w:r>
      <w:r w:rsidRPr="00DF0680">
        <w:t>tress – F</w:t>
      </w:r>
      <w:r w:rsidR="00D974B6" w:rsidRPr="00DF0680">
        <w:t xml:space="preserve">anconi </w:t>
      </w:r>
      <w:r w:rsidR="00CE6110" w:rsidRPr="00DF0680">
        <w:t>a</w:t>
      </w:r>
      <w:r w:rsidR="00E246DE" w:rsidRPr="00DF0680">
        <w:t>naemia</w:t>
      </w:r>
      <w:r w:rsidR="00CE6110" w:rsidRPr="00DF0680">
        <w:t xml:space="preserve"> p</w:t>
      </w:r>
      <w:r w:rsidR="00D974B6" w:rsidRPr="00DF0680">
        <w:t>athway</w:t>
      </w:r>
      <w:bookmarkEnd w:id="57"/>
      <w:bookmarkEnd w:id="58"/>
    </w:p>
    <w:p w:rsidR="00E1605E" w:rsidRPr="00DF0680" w:rsidRDefault="00FE1298" w:rsidP="00E268B2">
      <w:pPr>
        <w:rPr>
          <w:rFonts w:cs="Times New Roman"/>
        </w:rPr>
      </w:pPr>
      <w:r w:rsidRPr="00DF0680">
        <w:rPr>
          <w:rFonts w:cs="Times New Roman"/>
        </w:rPr>
        <w:t xml:space="preserve">Another form of replication stress is when there is a covalent bond between the two DNA strands such as the inter-strand cross-links formed by cisplatin and MMS. </w:t>
      </w:r>
      <w:r w:rsidR="00693833" w:rsidRPr="00DF0680">
        <w:rPr>
          <w:rFonts w:cs="Times New Roman"/>
        </w:rPr>
        <w:t xml:space="preserve">This lesion cannot be unwound by the replicative helicase and causes convergence of two replication forks, followed by stalling </w:t>
      </w:r>
      <w:r w:rsidR="00F20EC0" w:rsidRPr="00DF0680">
        <w:rPr>
          <w:rFonts w:cs="Times New Roman"/>
        </w:rPr>
        <w:fldChar w:fldCharType="begin" w:fldLock="1"/>
      </w:r>
      <w:r w:rsidR="00525765" w:rsidRPr="00DF0680">
        <w:rPr>
          <w:rFonts w:cs="Times New Roman"/>
        </w:rPr>
        <w:instrText>ADDIN CSL_CITATION { "citationItems" : [ { "id" : "ITEM-1", "itemData" : { "DOI" : "10.1016/j.cell.2008.08.030", "ISSN" : "1097-4172", "PMID" : "18805090", "abstract" : "DNA interstrand crosslinks (ICLs) are toxic DNA lesions whose repair occurs in the S phase of metazoans via an unknown mechanism. Here, we describe a cell-free system based on Xenopus egg extracts that supports ICL repair. During DNA replication of a plasmid containing a site-specific ICL, two replication forks converge on the crosslink. Subsequent lesion bypass involves advance of a nascent leading strand to within one nucleotide of the ICL, followed by incisions, translesion DNA synthesis, and extension of the nascent strand beyond the lesion. Immunodepletion experiments suggest that extension requires DNA polymerase zeta. Ultimately, a significant portion of the input DNA is fully repaired, but not if DNA replication is blocked. Our experiments establish a mechanism for ICL repair that reveals how this process is coupled to DNA replication.", "author" : [ { "dropping-particle" : "", "family" : "R\u00e4schle", "given" : "Markus", "non-dropping-particle" : "", "parse-names" : false, "suffix" : "" }, { "dropping-particle" : "", "family" : "Knipscheer", "given" : "Puck", "non-dropping-particle" : "", "parse-names" : false, "suffix" : "" }, { "dropping-particle" : "", "family" : "Knipsheer", "given" : "Puck", "non-dropping-particle" : "", "parse-names" : false, "suffix" : "" }, { "dropping-particle" : "", "family" : "Enoiu", "given" : "Milica", "non-dropping-particle" : "", "parse-names" : false, "suffix" : "" }, { "dropping-particle" : "", "family" : "Angelov", "given" : "Todor", "non-dropping-particle" : "", "parse-names" : false, "suffix" : "" }, { "dropping-particle" : "", "family" : "Sun", "given" : "Jingchuan", "non-dropping-particle" : "", "parse-names" : false, "suffix" : "" }, { "dropping-particle" : "", "family" : "Griffith", "given" : "Jack D", "non-dropping-particle" : "", "parse-names" : false, "suffix" : "" }, { "dropping-particle" : "", "family" : "Ellenberger", "given" : "Tom E", "non-dropping-particle" : "", "parse-names" : false, "suffix" : "" }, { "dropping-particle" : "", "family" : "Sch\u00e4rer", "given" : "Orlando D", "non-dropping-particle" : "", "parse-names" : false, "suffix" : "" }, { "dropping-particle" : "", "family" : "Walter", "given" : "Johannes C", "non-dropping-particle" : "", "parse-names" : false, "suffix" : "" } ], "container-title" : "Cell", "id" : "ITEM-1", "issue" : "6", "issued" : { "date-parts" : [ [ "2008", "9", "19" ] ] }, "page" : "969-80", "title" : "Mechanism of replication-coupled DNA interstrand crosslink repair.", "type" : "article-journal", "volume" : "134" }, "uris" : [ "http://www.mendeley.com/documents/?uuid=9d6dc926-b542-453a-884d-e1502d74daae" ] } ], "mendeley" : { "formattedCitation" : "(R\u00e4schle et al. 2008)", "plainTextFormattedCitation" : "(R\u00e4schle et al. 2008)", "previouslyFormattedCitation" : "(R\u00e4schle et al. 2008)"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(Räschle et al. 2008)</w:t>
      </w:r>
      <w:r w:rsidR="00F20EC0" w:rsidRPr="00DF0680">
        <w:rPr>
          <w:rFonts w:cs="Times New Roman"/>
        </w:rPr>
        <w:fldChar w:fldCharType="end"/>
      </w:r>
      <w:r w:rsidR="00693833" w:rsidRPr="00DF0680">
        <w:rPr>
          <w:rFonts w:cs="Times New Roman"/>
        </w:rPr>
        <w:t xml:space="preserve">. </w:t>
      </w:r>
      <w:r w:rsidR="00C9222E" w:rsidRPr="00DF0680">
        <w:rPr>
          <w:rFonts w:cs="Times New Roman"/>
        </w:rPr>
        <w:t xml:space="preserve">The FANC </w:t>
      </w:r>
      <w:r w:rsidR="00D974B6" w:rsidRPr="00DF0680">
        <w:rPr>
          <w:rFonts w:cs="Times New Roman"/>
        </w:rPr>
        <w:t>family</w:t>
      </w:r>
      <w:r w:rsidR="00C9222E" w:rsidRPr="00DF0680">
        <w:rPr>
          <w:rFonts w:cs="Times New Roman"/>
        </w:rPr>
        <w:t xml:space="preserve"> of proteins was discovered through </w:t>
      </w:r>
      <w:r w:rsidR="00D974B6" w:rsidRPr="00DF0680">
        <w:rPr>
          <w:rFonts w:cs="Times New Roman"/>
        </w:rPr>
        <w:t xml:space="preserve">complementation </w:t>
      </w:r>
      <w:r w:rsidR="00C9222E" w:rsidRPr="00DF0680">
        <w:rPr>
          <w:rFonts w:cs="Times New Roman"/>
        </w:rPr>
        <w:t xml:space="preserve">studies of the genetically inherited disease Fanconi </w:t>
      </w:r>
      <w:r w:rsidR="00E246DE" w:rsidRPr="00DF0680">
        <w:rPr>
          <w:rFonts w:cs="Times New Roman"/>
        </w:rPr>
        <w:t>Anaemia</w:t>
      </w:r>
      <w:r w:rsidR="00C9222E" w:rsidRPr="00DF0680">
        <w:rPr>
          <w:rFonts w:cs="Times New Roman"/>
        </w:rPr>
        <w:t xml:space="preserve">. </w:t>
      </w:r>
      <w:r w:rsidR="004F2838" w:rsidRPr="00DF0680">
        <w:rPr>
          <w:rFonts w:cs="Times New Roman"/>
        </w:rPr>
        <w:t>There are currently 1</w:t>
      </w:r>
      <w:r w:rsidR="00360CE3" w:rsidRPr="00DF0680">
        <w:rPr>
          <w:rFonts w:cs="Times New Roman"/>
        </w:rPr>
        <w:t>6</w:t>
      </w:r>
      <w:r w:rsidR="004F2838" w:rsidRPr="00DF0680">
        <w:rPr>
          <w:rFonts w:cs="Times New Roman"/>
        </w:rPr>
        <w:t xml:space="preserve"> FANC proteins that have been shown to be mutated in patients </w:t>
      </w:r>
      <w:r w:rsidR="00F20EC0" w:rsidRPr="00DF0680">
        <w:rPr>
          <w:rFonts w:cs="Times New Roman"/>
        </w:rPr>
        <w:fldChar w:fldCharType="begin" w:fldLock="1"/>
      </w:r>
      <w:r w:rsidR="00332613" w:rsidRPr="00DF0680">
        <w:rPr>
          <w:rFonts w:cs="Times New Roman"/>
        </w:rPr>
        <w:instrText>ADDIN CSL_CITATION { "citationItems" : [ { "id" : "ITEM-1", "itemData" : { "DOI" : "10.1038/nature11863", "ISSN" : "1476-4687", "PMID" : "23325218", "abstract" : "The function of Fanconi anaemia proteins is to maintain genomic stability. Their main role is in the repair of DNA interstrand crosslinks, which, by covalently binding the Watson and the Crick strands of DNA, impede replication and transcription. Inappropriate repair of interstrand crosslinks causes genomic instability, leading to cancer; conversely, the toxicity of crosslinking agents makes them a powerful chemotherapeutic. Fanconi anaemia proteins can promote stem-cell function, prevent tumorigenesis, stabilize replication forks and inhibit inaccurate repair. Recent advances have identified endogenous aldehydes as possible culprits of DNA damage that may induce the phenotypes seen in patients with Fanconi anaemia.", "author" : [ { "dropping-particle" : "", "family" : "Kottemann", "given" : "Molly C", "non-dropping-particle" : "", "parse-names" : false, "suffix" : "" }, { "dropping-particle" : "", "family" : "Smogorzewska", "given" : "Agata", "non-dropping-particle" : "", "parse-names" : false, "suffix" : "" } ], "container-title" : "Nature", "id" : "ITEM-1", "issue" : "7432", "issued" : { "date-parts" : [ [ "2013", "1", "17" ] ] }, "page" : "356-63", "title" : "Fanconi anaemia and the repair of Watson and Crick DNA crosslinks.", "type" : "article-journal", "volume" : "493" }, "uris" : [ "http://www.mendeley.com/documents/?uuid=1b3c1c42-6125-4224-a1bc-d4e5febaf034" ] }, { "id" : "ITEM-2", "itemData" : { "DOI" : "10.1093/hmg/ddu400", "ISSN" : "1460-2083", "PMID" : "25104853", "abstract" : "Fanconi anemia (FA) is a human recessive genetic disease resulting from inactivating mutations in any of 16 FANC (Fanconi) genes. Individuals with FA are at high risk of developmental abnormalities, early bone marrow failure and leukemia. These are followed in the second and subsequent decades by a very high risk of carcinomas of the head and neck and anogenital region, and a small continuing risk of leukemia. In order to characterize base pair-level disease-associated (DA) and population genetic variation in FANC genes and the segregation of this variation in the human population, we identified 2948 unique FANC gene variants including 493 FA DA variants across 57 240 potential base pair variation sites in the 16 FANC genes. We then analyzed the segregation of this variation in the 7578 subjects included in the Exome Sequencing Project (ESP) and the 1000 Genomes Project (1KGP). There was a remarkably high frequency of FA DA variants in ESP/1KGP subjects: at least 1 FA DA variant was identified in 78.5% (5950 of 7578) individuals included in these two studies. Six widely used functional prediction algorithms correctly identified only a third of the known, DA FANC missense variants. We also identified FA DA variants that may be good candidates for different types of mutation-specific therapies. Our results demonstrate the power of direct DNA sequencing to detect, estimate the frequency of and follow the segregation of deleterious genetic variation in human populations.", "author" : [ { "dropping-particle" : "", "family" : "Rogers", "given" : "Kai J", "non-dropping-particle" : "", "parse-names" : false, "suffix" : "" }, { "dropping-particle" : "", "family" : "Fu", "given" : "Wenqing", "non-dropping-particle" : "", "parse-names" : false, "suffix" : "" }, { "dropping-particle" : "", "family" : "Akey", "given" : "Joshua M", "non-dropping-particle" : "", "parse-names" : false, "suffix" : "" }, { "dropping-particle" : "", "family" : "Monnat", "given" : "Raymond J", "non-dropping-particle" : "", "parse-names" : false, "suffix" : "" } ], "container-title" : "Human Molecular Genetics", "id" : "ITEM-2", "issue" : "25", "issued" : { "date-parts" : [ [ "2014", "12", "20" ] ] }, "page" : "6815-25", "title" : "Global and disease-associated genetic variation in the human Fanconi anemia gene family.", "type" : "article-journal", "volume" : "23" }, "uris" : [ "http://www.mendeley.com/documents/?uuid=c5352901-8fc8-41dc-8282-f27f981cbadc" ] } ], "mendeley" : { "formattedCitation" : "(Kottemann &amp; Smogorzewska 2013; Rogers et al. 2014)", "plainTextFormattedCitation" : "(Kottemann &amp; Smogorzewska 2013; Rogers et al. 2014)", "previouslyFormattedCitation" : "(Kottemann &amp; Smogorzewska 2013; Rogers et al. 2014)" }, "properties" : { "noteIndex" : 0 }, "schema" : "https://github.com/citation-style-language/schema/raw/master/csl-citation.json" }</w:instrText>
      </w:r>
      <w:r w:rsidR="00F20EC0" w:rsidRPr="00DF0680">
        <w:rPr>
          <w:rFonts w:cs="Times New Roman"/>
        </w:rPr>
        <w:fldChar w:fldCharType="separate"/>
      </w:r>
      <w:r w:rsidR="00E176FD" w:rsidRPr="00DF0680">
        <w:rPr>
          <w:rFonts w:cs="Times New Roman"/>
        </w:rPr>
        <w:t>(Kottemann &amp; Smogorzewska 2013; Rogers et al. 2014)</w:t>
      </w:r>
      <w:r w:rsidR="00F20EC0" w:rsidRPr="00DF0680">
        <w:rPr>
          <w:rFonts w:cs="Times New Roman"/>
        </w:rPr>
        <w:fldChar w:fldCharType="end"/>
      </w:r>
      <w:r w:rsidR="004F2838" w:rsidRPr="00DF0680">
        <w:rPr>
          <w:rFonts w:cs="Times New Roman"/>
        </w:rPr>
        <w:t xml:space="preserve">. A core FANC complex of </w:t>
      </w:r>
      <w:r w:rsidR="00C9222E" w:rsidRPr="00DF0680">
        <w:rPr>
          <w:rFonts w:cs="Times New Roman"/>
        </w:rPr>
        <w:t xml:space="preserve">proteins </w:t>
      </w:r>
      <w:r w:rsidR="004F2838" w:rsidRPr="00DF0680">
        <w:rPr>
          <w:rFonts w:cs="Times New Roman"/>
        </w:rPr>
        <w:t xml:space="preserve">including </w:t>
      </w:r>
      <w:r w:rsidR="00C9222E" w:rsidRPr="00DF0680">
        <w:rPr>
          <w:rFonts w:cs="Times New Roman"/>
        </w:rPr>
        <w:t>FANCA, FANCC, FANCF and FANCG is responsible for the monoubiquity</w:t>
      </w:r>
      <w:r w:rsidR="00E52DD8" w:rsidRPr="00DF0680">
        <w:rPr>
          <w:rFonts w:cs="Times New Roman"/>
        </w:rPr>
        <w:t>lation of FANCD2 which relocalis</w:t>
      </w:r>
      <w:r w:rsidR="00C9222E" w:rsidRPr="00DF0680">
        <w:rPr>
          <w:rFonts w:cs="Times New Roman"/>
        </w:rPr>
        <w:t xml:space="preserve">es to DNA damage foci in the nucleus </w:t>
      </w:r>
      <w:r w:rsidR="00F20EC0" w:rsidRPr="00DF0680">
        <w:rPr>
          <w:rFonts w:cs="Times New Roman"/>
        </w:rPr>
        <w:fldChar w:fldCharType="begin" w:fldLock="1"/>
      </w:r>
      <w:r w:rsidR="00332613" w:rsidRPr="00DF0680">
        <w:rPr>
          <w:rFonts w:cs="Times New Roman"/>
        </w:rPr>
        <w:instrText>ADDIN CSL_CITATION { "citationItems" : [ { "id" : "ITEM-1", "itemData" : { "ISSN" : "1097-2765", "PMID" : "11239454", "abstract" : "Fanconi anemia (FA) is a human autosomal recessive cancer susceptibility disorder characterized by cellular sensitivity to mitomycin C and ionizing radiation. Although six FA genes (for subtypes A, C, D2, E, F, and G) have been cloned, their relationship to DNA repair remains unknown. In the current study, we show that a nuclear complex containing the FANCA, FANCC, FANCF, and FANCG proteins is required for the activation of the FANCD2 protein to a monoubiquitinated isoform. In normal (non-FA) cells, FANCD2 is monoubiquitinated in response to DNA damage and is targeted to nuclear foci (dots). Activated FANCD2 protein colocalizes with the breast cancer susceptibility protein, BRCA1, in ionizing radiation-induced foci and in synaptonemal complexes of meiotic chromosomes. The FANCD2 protein, therefore, provides the missing link between the FA protein complex and the cellular BRCA1 repair machinery. Disruption of this pathway results in the cellular and clinical phenotype common to all FA subtypes.", "author" : [ { "dropping-particle" : "", "family" : "Garcia-Higuera", "given" : "I", "non-dropping-particle" : "", "parse-names" : false, "suffix" : "" }, { "dropping-particle" : "", "family" : "Taniguchi", "given" : "T", "non-dropping-particle" : "", "parse-names" : false, "suffix" : "" }, { "dropping-particle" : "", "family" : "Ganesan", "given" : "S", "non-dropping-particle" : "", "parse-names" : false, "suffix" : "" }, { "dropping-particle" : "", "family" : "Meyn", "given" : "M S", "non-dropping-particle" : "", "parse-names" : false, "suffix" : "" }, { "dropping-particle" : "", "family" : "Timmers", "given" : "C", "non-dropping-particle" : "", "parse-names" : false, "suffix" : "" }, { "dropping-particle" : "", "family" : "Hejna", "given" : "J", "non-dropping-particle" : "", "parse-names" : false, "suffix" : "" }, { "dropping-particle" : "", "family" : "Grompe", "given" : "M", "non-dropping-particle" : "", "parse-names" : false, "suffix" : "" }, { "dropping-particle" : "", "family" : "D'Andrea", "given" : "a D", "non-dropping-particle" : "", "parse-names" : false, "suffix" : "" } ], "container-title" : "Molecular Cell", "id" : "ITEM-1", "issue" : "2", "issued" : { "date-parts" : [ [ "2001", "2" ] ] }, "page" : "249-62", "title" : "Interaction of the Fanconi anemia proteins and BRCA1 in a common pathway.", "type" : "article-journal", "volume" : "7" }, "uris" : [ "http://www.mendeley.com/documents/?uuid=c649a8e7-3d5b-45e0-9650-2a4582f237d8" ] } ], "mendeley" : { "formattedCitation" : "(Garcia-Higuera et al. 2001)", "plainTextFormattedCitation" : "(Garcia-Higuera et al. 2001)", "previouslyFormattedCitation" : "(Garcia-Higuera et al. 2001)"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(Garcia-Higuera et al. 2001)</w:t>
      </w:r>
      <w:r w:rsidR="00F20EC0" w:rsidRPr="00DF0680">
        <w:rPr>
          <w:rFonts w:cs="Times New Roman"/>
        </w:rPr>
        <w:fldChar w:fldCharType="end"/>
      </w:r>
      <w:r w:rsidR="00C9222E" w:rsidRPr="00DF0680">
        <w:rPr>
          <w:rFonts w:cs="Times New Roman"/>
        </w:rPr>
        <w:t xml:space="preserve">. </w:t>
      </w:r>
      <w:r w:rsidR="009661CB" w:rsidRPr="00DF0680">
        <w:rPr>
          <w:rFonts w:cs="Times New Roman"/>
        </w:rPr>
        <w:t xml:space="preserve">The FANCM helicase is the only member of the FANC protein group that binds DNA and is thought to be responsible for recognition of these </w:t>
      </w:r>
      <w:r w:rsidR="00C9222E" w:rsidRPr="00DF0680">
        <w:rPr>
          <w:rFonts w:cs="Times New Roman"/>
        </w:rPr>
        <w:t xml:space="preserve">cross-linked DNA </w:t>
      </w:r>
      <w:r w:rsidR="009661CB" w:rsidRPr="00DF0680">
        <w:rPr>
          <w:rFonts w:cs="Times New Roman"/>
        </w:rPr>
        <w:t xml:space="preserve">lesions, binding to them with an interacting protein FAAP24. FAAP24 is required for the monoubiquitylation of the FANCI-FANCD2 protein complex by FANCL, and cells depleted of FAAP24 are 2-3 fold more sensitive to cross-linking agents </w:t>
      </w:r>
      <w:r w:rsidR="00F20EC0" w:rsidRPr="00DF0680">
        <w:rPr>
          <w:rFonts w:cs="Times New Roman"/>
        </w:rPr>
        <w:fldChar w:fldCharType="begin" w:fldLock="1"/>
      </w:r>
      <w:r w:rsidR="00332613" w:rsidRPr="00DF0680">
        <w:rPr>
          <w:rFonts w:cs="Times New Roman"/>
        </w:rPr>
        <w:instrText>ADDIN CSL_CITATION { "citationItems" : [ { "id" : "ITEM-1", "itemData" : { "DOI" : "10.1016/j.molcel.2007.01.003", "ISSN" : "1097-2765", "PMID" : "17289582", "abstract" : "The Fanconi anemia (FA) core complex plays a crucial role in a DNA damage response network with BRCA1 and BRCA2. How this complex interacts with damaged DNA is unknown, as only the FA core protein FANCM (the homolog of an archaeal helicase/nuclease known as HEF) exhibits DNA binding activity. Here, we describe the identification of FAAP24, a protein that targets FANCM to structures that mimic intermediates formed during the replication/repair of damaged DNA. FAAP24 shares homology with the XPF family of flap/fork endonucleases, associates with the C-terminal region of FANCM, and is a component of the FA core complex. FAAP24 is required for normal levels of FANCD2 monoubiquitylation following DNA damage. Depletion of FAAP24 by siRNA results in cellular hypersensitivity to DNA crosslinking agents and chromosomal instability. Our data indicate that the FANCM/FAAP24 complex may play a key role in recruitment of the FA core complex to damaged DNA.", "author" : [ { "dropping-particle" : "", "family" : "Ciccia", "given" : "Alberto", "non-dropping-particle" : "", "parse-names" : false, "suffix" : "" }, { "dropping-particle" : "", "family" : "Ling", "given" : "Chen", "non-dropping-particle" : "", "parse-names" : false, "suffix" : "" }, { "dropping-particle" : "", "family" : "Coulthard", "given" : "Rachel", "non-dropping-particle" : "", "parse-names" : false, "suffix" : "" }, { "dropping-particle" : "", "family" : "Yan", "given" : "Zhijiang", "non-dropping-particle" : "", "parse-names" : false, "suffix" : "" }, { "dropping-particle" : "", "family" : "Xue", "given" : "Yutong", "non-dropping-particle" : "", "parse-names" : false, "suffix" : "" }, { "dropping-particle" : "", "family" : "Meetei", "given" : "Amom Ruhikanta", "non-dropping-particle" : "", "parse-names" : false, "suffix" : "" }, { "dropping-particle" : "", "family" : "Laghmani", "given" : "El Houari", "non-dropping-particle" : "", "parse-names" : false, "suffix" : "" }, { "dropping-particle" : "", "family" : "Joenje", "given" : "Hans", "non-dropping-particle" : "", "parse-names" : false, "suffix" : "" }, { "dropping-particle" : "", "family" : "McDonald", "given" : "Neil", "non-dropping-particle" : "", "parse-names" : false, "suffix" : "" }, { "dropping-particle" : "", "family" : "Winter", "given" : "Johan P", "non-dropping-particle" : "de", "parse-names" : false, "suffix" : "" }, { "dropping-particle" : "", "family" : "Wang", "given" : "Weidong", "non-dropping-particle" : "", "parse-names" : false, "suffix" : "" }, { "dropping-particle" : "", "family" : "West", "given" : "Stephen C", "non-dropping-particle" : "", "parse-names" : false, "suffix" : "" } ], "container-title" : "Molecular Cell", "id" : "ITEM-1", "issue" : "3", "issued" : { "date-parts" : [ [ "2007", "2", "9" ] ] }, "page" : "331-43", "title" : "Identification of FAAP24, a Fanconi anemia core complex protein that interacts with FANCM.", "type" : "article-journal", "volume" : "25" }, "uris" : [ "http://www.mendeley.com/documents/?uuid=c9014531-65f5-40f6-931a-8ef2a8884ebd" ] }, { "id" : "ITEM-2", "itemData" : { "DOI" : "10.1038/ng1241", "ISSN" : "1061-4036", "PMID" : "12973351", "abstract" : "Fanconi anemia is a recessively inherited disease characterized by congenital defects, bone marrow failure and cancer susceptibility. Cells from individuals with Fanconi anemia are highly sensitive to DNA-crosslinking drugs, such as mitomycin C (MMC). Fanconi anemia proteins function in a DNA damage response pathway involving breast cancer susceptibility gene products, BRCA1 and BRCA2 (refs. 1,2). A key step in this pathway is monoubiquitination of FANCD2, resulting in the redistribution of FANCD2 to nuclear foci containing BRCA1 (ref. 3). The underlying mechanism is unclear because the five Fanconi anemia proteins known to be required for this ubiquitination have no recognizable ubiquitin ligase motifs. Here we report a new component of a Fanconi anemia protein complex, called PHF9, which possesses E3 ubiquitin ligase activity in vitro and is essential for FANCD2 monoubiquitination in vivo. Because PHF9 is defective in a cell line derived from an individual with Fanconi anemia, we conclude that PHF9 (also called FANCL) represents a novel Fanconi anemia complementation group (FA-L). Our data suggest that PHF9 has a crucial role in the Fanconi anemia pathway as the likely catalytic subunit required for monoubiquitination of FANCD2.", "author" : [ { "dropping-particle" : "", "family" : "Meetei", "given" : "Amom Ruhikanta", "non-dropping-particle" : "", "parse-names" : false, "suffix" : "" }, { "dropping-particle" : "", "family" : "Winter", "given" : "Johan P", "non-dropping-particle" : "de", "parse-names" : false, "suffix" : "" }, { "dropping-particle" : "", "family" : "Medhurst", "given" : "Annette L", "non-dropping-particle" : "", "parse-names" : false, "suffix" : "" }, { "dropping-particle" : "", "family" : "Wallisch", "given" : "Michael", "non-dropping-particle" : "", "parse-names" : false, "suffix" : "" }, { "dropping-particle" : "", "family" : "Waisfisz", "given" : "Quinten", "non-dropping-particle" : "", "parse-names" : false, "suffix" : "" }, { "dropping-particle" : "", "family" : "Vrugt", "given" : "Henri J", "non-dropping-particle" : "van de", "parse-names" : false, "suffix" : "" }, { "dropping-particle" : "", "family" : "Oostra", "given" : "Anneke B", "non-dropping-particle" : "", "parse-names" : false, "suffix" : "" }, { "dropping-particle" : "", "family" : "Yan", "given" : "Zhijiang", "non-dropping-particle" : "", "parse-names" : false, "suffix" : "" }, { "dropping-particle" : "", "family" : "Ling", "given" : "Chen", "non-dropping-particle" : "", "parse-names" : false, "suffix" : "" }, { "dropping-particle" : "", "family" : "Bishop", "given" : "Colin E", "non-dropping-particle" : "", "parse-names" : false, "suffix" : "" }, { "dropping-particle" : "", "family" : "Hoatlin", "given" : "Maureen E", "non-dropping-particle" : "", "parse-names" : false, "suffix" : "" }, { "dropping-particle" : "", "family" : "Joenje", "given" : "Hans", "non-dropping-particle" : "", "parse-names" : false, "suffix" : "" }, { "dropping-particle" : "", "family" : "Wang", "given" : "Weidong", "non-dropping-particle" : "", "parse-names" : false, "suffix" : "" } ], "container-title" : "Nature Genetics", "id" : "ITEM-2", "issue" : "2", "issued" : { "date-parts" : [ [ "2003", "10" ] ] }, "page" : "165-70", "title" : "A novel ubiquitin ligase is deficient in Fanconi anemia.", "type" : "article-journal", "volume" : "35" }, "uris" : [ "http://www.mendeley.com/documents/?uuid=4aa12ca9-8726-4b2a-9e76-b2a1d6a7c199" ] } ], "mendeley" : { "formattedCitation" : "(Ciccia et al. 2007; Meetei et al. 2003)", "plainTextFormattedCitation" : "(Ciccia et al. 2007; Meetei et al. 2003)", "previouslyFormattedCitation" : "(Ciccia et al. 2007; Meetei et al. 2003)"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(Ciccia et al. 2007; Meetei et al. 2003)</w:t>
      </w:r>
      <w:r w:rsidR="00F20EC0" w:rsidRPr="00DF0680">
        <w:rPr>
          <w:rFonts w:cs="Times New Roman"/>
        </w:rPr>
        <w:fldChar w:fldCharType="end"/>
      </w:r>
      <w:r w:rsidR="009661CB" w:rsidRPr="00DF0680">
        <w:rPr>
          <w:rFonts w:cs="Times New Roman"/>
        </w:rPr>
        <w:t xml:space="preserve">. </w:t>
      </w:r>
      <w:r w:rsidR="0090081A" w:rsidRPr="00DF0680">
        <w:rPr>
          <w:rFonts w:cs="Times New Roman"/>
        </w:rPr>
        <w:t>The ubiquitinated FANCD2 then coordinates downstream events to repair the cross-link which will be detailed later.</w:t>
      </w:r>
      <w:r w:rsidR="00E35539" w:rsidRPr="00DF0680">
        <w:rPr>
          <w:rFonts w:cs="Times New Roman"/>
        </w:rPr>
        <w:t xml:space="preserve"> </w:t>
      </w:r>
    </w:p>
    <w:p w:rsidR="00693833" w:rsidRPr="00DF0680" w:rsidRDefault="00B1693D" w:rsidP="00E268B2">
      <w:pPr>
        <w:rPr>
          <w:rFonts w:cs="Times New Roman"/>
        </w:rPr>
      </w:pPr>
      <w:r w:rsidRPr="00DF0680">
        <w:rPr>
          <w:rFonts w:cs="Times New Roman"/>
        </w:rPr>
        <w:lastRenderedPageBreak/>
        <w:t>Several F</w:t>
      </w:r>
      <w:r w:rsidR="00E35539" w:rsidRPr="00DF0680">
        <w:rPr>
          <w:rFonts w:cs="Times New Roman"/>
        </w:rPr>
        <w:t xml:space="preserve">anconi </w:t>
      </w:r>
      <w:r w:rsidR="00DE2C0F" w:rsidRPr="00DF0680">
        <w:rPr>
          <w:rFonts w:cs="Times New Roman"/>
        </w:rPr>
        <w:t>anaemia</w:t>
      </w:r>
      <w:r w:rsidR="00E35539" w:rsidRPr="00DF0680">
        <w:rPr>
          <w:rFonts w:cs="Times New Roman"/>
        </w:rPr>
        <w:t xml:space="preserve"> proteins are also involved in non-interstrand cross-link repair,</w:t>
      </w:r>
      <w:r w:rsidRPr="00DF0680">
        <w:rPr>
          <w:rFonts w:cs="Times New Roman"/>
        </w:rPr>
        <w:t xml:space="preserve"> being</w:t>
      </w:r>
      <w:r w:rsidR="00E35539" w:rsidRPr="00DF0680">
        <w:rPr>
          <w:rFonts w:cs="Times New Roman"/>
        </w:rPr>
        <w:t xml:space="preserve"> implicated in repairing spontaneous replication-associated double-strand breaks </w:t>
      </w:r>
      <w:r w:rsidR="00F20EC0" w:rsidRPr="00DF0680">
        <w:rPr>
          <w:rFonts w:cs="Times New Roman"/>
        </w:rPr>
        <w:fldChar w:fldCharType="begin" w:fldLock="1"/>
      </w:r>
      <w:r w:rsidR="00332613" w:rsidRPr="00DF0680">
        <w:rPr>
          <w:rFonts w:cs="Times New Roman"/>
        </w:rPr>
        <w:instrText>ADDIN CSL_CITATION { "citationItems" : [ { "id" : "ITEM-1", "itemData" : { "DOI" : "10.1128/MCB.26.2.425-437.2006", "ISSN" : "0270-7306", "PMID" : "16382135", "abstract" : "Fanconi anemia (FA) is a multigene cancer susceptibility disorder characterized by cellular hypersensitivity to DNA interstrand cross-linking agents such as mitomycin C (MMC). FA proteins are suspected to function at the interface between cell cycle checkpoints, DNA repair, and DNA replication. Using replicating extracts from Xenopus eggs, we developed cell-free assays for FA proteins (xFA). Recruitment of the xFA core complex and xFANCD2 to chromatin is strictly dependent on replication initiation, even in the presence of MMC indicating specific recruitment to DNA lesions encountered by the replication machinery. The increase in xFA chromatin binding following treatment with MMC is part of a caffeine-sensitive S-phase checkpoint that is controlled by xATR. Recruitment of xFANCD2, but not xFANCA, is dependent on the xATR-xATR-interacting protein (xATRIP) complex. Immunodepletion of either xFANCA or xFANCD2 from egg extracts results in accumulation of chromosomal DNA breaks during replicative synthesis. Our results suggest coordinated chromatin recruitment of xFA proteins in response to replication-associated DNA lesions and indicate that xFA proteins function to prevent the accumulation of DNA breaks that arise during unperturbed replication.", "author" : [ { "dropping-particle" : "", "family" : "Sobeck", "given" : "Alexandra", "non-dropping-particle" : "", "parse-names" : false, "suffix" : "" }, { "dropping-particle" : "", "family" : "Stone", "given" : "Stacie", "non-dropping-particle" : "", "parse-names" : false, "suffix" : "" }, { "dropping-particle" : "", "family" : "Costanzo", "given" : "Vincenzo", "non-dropping-particle" : "", "parse-names" : false, "suffix" : "" }, { "dropping-particle" : "", "family" : "Graaf", "given" : "Bendert", "non-dropping-particle" : "de", "parse-names" : false, "suffix" : "" }, { "dropping-particle" : "", "family" : "Reuter", "given" : "Tanja", "non-dropping-particle" : "", "parse-names" : false, "suffix" : "" }, { "dropping-particle" : "", "family" : "Winter", "given" : "Johan", "non-dropping-particle" : "de", "parse-names" : false, "suffix" : "" }, { "dropping-particle" : "", "family" : "Wallisch", "given" : "Michael", "non-dropping-particle" : "", "parse-names" : false, "suffix" : "" }, { "dropping-particle" : "", "family" : "Akkari", "given" : "Yassmine", "non-dropping-particle" : "", "parse-names" : false, "suffix" : "" }, { "dropping-particle" : "", "family" : "Olson", "given" : "Susan", "non-dropping-particle" : "", "parse-names" : false, "suffix" : "" }, { "dropping-particle" : "", "family" : "Wang", "given" : "Weidong", "non-dropping-particle" : "", "parse-names" : false, "suffix" : "" }, { "dropping-particle" : "", "family" : "Joenje", "given" : "Hans", "non-dropping-particle" : "", "parse-names" : false, "suffix" : "" }, { "dropping-particle" : "", "family" : "Christian", "given" : "Jan L", "non-dropping-particle" : "", "parse-names" : false, "suffix" : "" }, { "dropping-particle" : "", "family" : "Lupardus", "given" : "Patrick J", "non-dropping-particle" : "", "parse-names" : false, "suffix" : "" }, { "dropping-particle" : "", "family" : "Cimprich", "given" : "Karlene a", "non-dropping-particle" : "", "parse-names" : false, "suffix" : "" }, { "dropping-particle" : "", "family" : "Gautier", "given" : "Jean", "non-dropping-particle" : "", "parse-names" : false, "suffix" : "" }, { "dropping-particle" : "", "family" : "Hoatlin", "given" : "Maureen E", "non-dropping-particle" : "", "parse-names" : false, "suffix" : "" } ], "container-title" : "Molecular and Cellular Biology", "id" : "ITEM-1", "issue" : "2", "issued" : { "date-parts" : [ [ "2006", "1" ] ] }, "page" : "425-37", "title" : "Fanconi anemia proteins are required to prevent accumulation of replication-associated DNA double-strand breaks.", "type" : "article-journal", "volume" : "26" }, "uris" : [ "http://www.mendeley.com/documents/?uuid=3e33fb60-9c8f-4aee-8757-dbdaabfa7ac4" ] }, { "id" : "ITEM-2", "itemData" : { "DOI" : "10.1093/nar/gkm315", "ISSN" : "1362-4962", "PMID" : "17517774", "abstract" : "Fanconi anemia (FA) is a chromosomal instability disorder in which DNA-damage processing defects are reported for translesion synthesis (TLS), non-homologous end joining (NHEJ) and homologous recombination (HR; both increased and decreased). To reconcile these diverse findings, we compared spontaneous mutagenesis in FA and HR mutants of hamster CHO cells. In the fancg mutant we find a reduced mutation rate accompanied by an increased proportion of deletions within the hprt gene. Moreover, in fancg cells gene amplification at the CAD and dhfr loci is elevated, another manifestation of inappropriate processing of damage during DNA replication. In contrast, the rad51d HR mutant has a greatly elevated rate of hprt mutations, &gt;85% of which are deletions. Our analysis supports the concept that HR faithfully restores broken replication forks, whereas the FA pathway acts more globally to ensure chromosome stability by promoting efficient end joining of replication-derived breaks, as well as TLS and HR.", "author" : [ { "dropping-particle" : "", "family" : "Hinz", "given" : "John M", "non-dropping-particle" : "", "parse-names" : false, "suffix" : "" }, { "dropping-particle" : "", "family" : "Nham", "given" : "Peter B", "non-dropping-particle" : "", "parse-names" : false, "suffix" : "" }, { "dropping-particle" : "", "family" : "Urbin", "given" : "Salustra S", "non-dropping-particle" : "", "parse-names" : false, "suffix" : "" }, { "dropping-particle" : "", "family" : "Jones", "given" : "Irene M", "non-dropping-particle" : "", "parse-names" : false, "suffix" : "" }, { "dropping-particle" : "", "family" : "Thompson", "given" : "Larry H", "non-dropping-particle" : "", "parse-names" : false, "suffix" : "" } ], "container-title" : "Nucleic Acids Research", "id" : "ITEM-2", "issue" : "11", "issued" : { "date-parts" : [ [ "2007", "1" ] ] }, "page" : "3733-40", "title" : "Disparate contributions of the Fanconi anemia pathway and homologous recombination in preventing spontaneous mutagenesis.", "type" : "article-journal", "volume" : "35" }, "uris" : [ "http://www.mendeley.com/documents/?uuid=8bfdc0b9-9710-4ad7-bda2-630b465f78e8" ] }, { "id" : "ITEM-3", "itemData" : { "DOI" : "10.1101/gad.1955310.gene", "author" : [ { "dropping-particle" : "", "family" : "Kee", "given" : "Younghoon", "non-dropping-particle" : "", "parse-names" : false, "suffix" : "" }, { "dropping-particle" : "", "family" : "D'Andrea", "given" : "AD", "non-dropping-particle" : "", "parse-names" : false, "suffix" : "" } ], "container-title" : "Genes &amp; Development", "id" : "ITEM-3", "issue" : "16", "issued" : { "date-parts" : [ [ "2010" ] ] }, "page" : "1680-1694", "title" : "Expanded roles of the Fanconi anemia pathway in preserving genomic stability", "type" : "article-journal", "volume" : "24" }, "uris" : [ "http://www.mendeley.com/documents/?uuid=9b3ab4f5-9cc5-43e9-8a55-ba67869d1d3c" ] } ], "mendeley" : { "formattedCitation" : "(Sobeck et al. 2006; Hinz et al. 2007; Kee &amp; D\u2019Andrea 2010)", "plainTextFormattedCitation" : "(Sobeck et al. 2006; Hinz et al. 2007; Kee &amp; D\u2019Andrea 2010)", "previouslyFormattedCitation" : "(Sobeck et al. 2006; Hinz et al. 2007; Kee &amp; D\u2019Andrea 2010)" }, "properties" : { "noteIndex" : 0 }, "schema" : "https://github.com/citation-style-language/schema/raw/master/csl-citation.json" }</w:instrText>
      </w:r>
      <w:r w:rsidR="00F20EC0" w:rsidRPr="00DF0680">
        <w:rPr>
          <w:rFonts w:cs="Times New Roman"/>
        </w:rPr>
        <w:fldChar w:fldCharType="separate"/>
      </w:r>
      <w:r w:rsidR="00E35539" w:rsidRPr="00DF0680">
        <w:rPr>
          <w:rFonts w:cs="Times New Roman"/>
        </w:rPr>
        <w:t>(Sobeck et al. 2006; Hinz et al. 2007; Kee &amp; D’Andrea 2010)</w:t>
      </w:r>
      <w:r w:rsidR="00F20EC0" w:rsidRPr="00DF0680">
        <w:rPr>
          <w:rFonts w:cs="Times New Roman"/>
        </w:rPr>
        <w:fldChar w:fldCharType="end"/>
      </w:r>
      <w:r w:rsidR="00E35539" w:rsidRPr="00DF0680">
        <w:rPr>
          <w:rFonts w:cs="Times New Roman"/>
        </w:rPr>
        <w:t>.</w:t>
      </w:r>
    </w:p>
    <w:p w:rsidR="001B5E20" w:rsidRPr="00DF0680" w:rsidRDefault="001B5E20" w:rsidP="00E664FC">
      <w:pPr>
        <w:pStyle w:val="Heading3"/>
      </w:pPr>
      <w:bookmarkStart w:id="59" w:name="_Toc417204087"/>
      <w:bookmarkStart w:id="60" w:name="_Toc417674324"/>
      <w:r w:rsidRPr="00DF0680">
        <w:t xml:space="preserve">DNA </w:t>
      </w:r>
      <w:r w:rsidR="00CE6110" w:rsidRPr="00DF0680">
        <w:t>d</w:t>
      </w:r>
      <w:r w:rsidRPr="00DF0680">
        <w:t xml:space="preserve">amage </w:t>
      </w:r>
      <w:r w:rsidR="00CE6110" w:rsidRPr="00DF0680">
        <w:t>s</w:t>
      </w:r>
      <w:r w:rsidRPr="00DF0680">
        <w:t>ignalling</w:t>
      </w:r>
      <w:r w:rsidR="00E176FD" w:rsidRPr="00DF0680">
        <w:t xml:space="preserve"> </w:t>
      </w:r>
      <w:r w:rsidR="00CE6110" w:rsidRPr="00DF0680">
        <w:t>m</w:t>
      </w:r>
      <w:r w:rsidR="00E176FD" w:rsidRPr="00DF0680">
        <w:t>olecules</w:t>
      </w:r>
      <w:bookmarkEnd w:id="59"/>
      <w:bookmarkEnd w:id="60"/>
    </w:p>
    <w:p w:rsidR="008C7936" w:rsidRPr="00DF0680" w:rsidRDefault="00F15010" w:rsidP="00E31EAC">
      <w:pPr>
        <w:rPr>
          <w:rFonts w:cs="Times New Roman"/>
        </w:rPr>
      </w:pPr>
      <w:r w:rsidRPr="00DF0680">
        <w:rPr>
          <w:rFonts w:cs="Times New Roman"/>
        </w:rPr>
        <w:t>The ataxia telangiectasia mutated gene (ATM) was originally discovered as a gene mutated in the genetic disorder ataxia telangiectasia, a disease characterised by cancer predisposition, cell cycle abnormalities, chromosomal instability and sensitivity to ionising radiation</w:t>
      </w:r>
      <w:r w:rsidR="00FC607D" w:rsidRPr="00DF0680">
        <w:rPr>
          <w:rFonts w:cs="Times New Roman"/>
        </w:rPr>
        <w:t xml:space="preserve"> </w:t>
      </w:r>
      <w:r w:rsidR="00F20EC0" w:rsidRPr="00DF0680">
        <w:rPr>
          <w:rFonts w:cs="Times New Roman"/>
        </w:rPr>
        <w:fldChar w:fldCharType="begin" w:fldLock="1"/>
      </w:r>
      <w:r w:rsidR="001112F6" w:rsidRPr="00DF0680">
        <w:rPr>
          <w:rFonts w:cs="Times New Roman"/>
        </w:rPr>
        <w:instrText>ADDIN CSL_CITATION { "citationItems" : [ { "id" : "ITEM-1", "itemData" : { "ISSN" : "0036-8075", "PMID" : "7792600", "abstract" : "A gene, ATM, that is mutated in the autosomal recessive disorder ataxia telangiectasia (AT) was identified by positional cloning on chromosome 11q22-23. AT is characterized by cerebellar degeneration, immunodeficiency, chromosomal instability, cancer predisposition, radiation sensitivity, and cell cycle abnormalities. The disease is genetically heterogeneous, with four complementation groups that have been suspected to represent different genes. ATM, which has a transcript of 12 kilobases, was found to be mutated in AT patients from all complementation groups, indicating that it is probably the sole gene responsible for this disorder. A partial ATM complementary DNA clone of 5.9 kilobases encoded a putative protein that is similar to several yeast and mammalian phosphatidylinositol-3' kinases that are involved in mitogenic signal transduction, meiotic recombination, and cell cycle control. The discovery of ATM should enhance understanding of AT and related syndromes and may allow the identification of AT heterozygotes, who are at increased risk of cancer.", "author" : [ { "dropping-particle" : "", "family" : "Savitsky", "given" : "K", "non-dropping-particle" : "", "parse-names" : false, "suffix" : "" }, { "dropping-particle" : "", "family" : "Bar-Shira", "given" : "a", "non-dropping-particle" : "", "parse-names" : false, "suffix" : "" }, { "dropping-particle" : "", "family" : "Gilad", "given" : "S", "non-dropping-particle" : "", "parse-names" : false, "suffix" : "" }, { "dropping-particle" : "", "family" : "Rotman", "given" : "G", "non-dropping-particle" : "", "parse-names" : false, "suffix" : "" }, { "dropping-particle" : "", "family" : "Ziv", "given" : "Y", "non-dropping-particle" : "", "parse-names" : false, "suffix" : "" }, { "dropping-particle" : "", "family" : "Vanagaite", "given" : "L", "non-dropping-particle" : "", "parse-names" : false, "suffix" : "" }, { "dropping-particle" : "", "family" : "Tagle", "given" : "D a", "non-dropping-particle" : "", "parse-names" : false, "suffix" : "" }, { "dropping-particle" : "", "family" : "Smith", "given" : "S", "non-dropping-particle" : "", "parse-names" : false, "suffix" : "" }, { "dropping-particle" : "", "family" : "Uziel", "given" : "T", "non-dropping-particle" : "", "parse-names" : false, "suffix" : "" }, { "dropping-particle" : "", "family" : "Sfez", "given" : "S", "non-dropping-particle" : "", "parse-names" : false, "suffix" : "" }, { "dropping-particle" : "", "family" : "Ashkenazi", "given" : "M", "non-dropping-particle" : "", "parse-names" : false, "suffix" : "" }, { "dropping-particle" : "", "family" : "Pecker", "given" : "I", "non-dropping-particle" : "", "parse-names" : false, "suffix" : "" }, { "dropping-particle" : "", "family" : "Frydman", "given" : "M", "non-dropping-particle" : "", "parse-names" : false, "suffix" : "" }, { "dropping-particle" : "", "family" : "Harnik", "given" : "R", "non-dropping-particle" : "", "parse-names" : false, "suffix" : "" }, { "dropping-particle" : "", "family" : "Patanjali", "given" : "S R", "non-dropping-particle" : "", "parse-names" : false, "suffix" : "" }, { "dropping-particle" : "", "family" : "Simmons", "given" : "a", "non-dropping-particle" : "", "parse-names" : false, "suffix" : "" }, { "dropping-particle" : "", "family" : "Clines", "given" : "G a", "non-dropping-particle" : "", "parse-names" : false, "suffix" : "" }, { "dropping-particle" : "", "family" : "Sartiel", "given" : "a", "non-dropping-particle" : "", "parse-names" : false, "suffix" : "" }, { "dropping-particle" : "", "family" : "Gatti", "given" : "R a", "non-dropping-particle" : "", "parse-names" : false, "suffix" : "" }, { "dropping-particle" : "", "family" : "Chessa", "given" : "L", "non-dropping-particle" : "", "parse-names" : false, "suffix" : "" }, { "dropping-particle" : "", "family" : "Sanal", "given" : "O", "non-dropping-particle" : "", "parse-names" : false, "suffix" : "" }, { "dropping-particle" : "", "family" : "Lavin", "given" : "M F", "non-dropping-particle" : "", "parse-names" : false, "suffix" : "" }, { "dropping-particle" : "", "family" : "Jaspers", "given" : "N G", "non-dropping-particle" : "", "parse-names" : false, "suffix" : "" }, { "dropping-particle" : "", "family" : "Taylor", "given" : "a M", "non-dropping-particle" : "", "parse-names" : false, "suffix" : "" }, { "dropping-particle" : "", "family" : "Arlett", "given" : "C F", "non-dropping-particle" : "", "parse-names" : false, "suffix" : "" }, { "dropping-particle" : "", "family" : "Miki", "given" : "T", "non-dropping-particle" : "", "parse-names" : false, "suffix" : "" }, { "dropping-particle" : "", "family" : "Weissman", "given" : "S M", "non-dropping-particle" : "", "parse-names" : false, "suffix" : "" }, { "dropping-particle" : "", "family" : "Lovett", "given" : "M", "non-dropping-particle" : "", "parse-names" : false, "suffix" : "" }, { "dropping-particle" : "", "family" : "Collins", "given" : "F S", "non-dropping-particle" : "", "parse-names" : false, "suffix" : "" }, { "dropping-particle" : "", "family" : "Shiloh", "given" : "Y", "non-dropping-particle" : "", "parse-names" : false, "suffix" : "" } ], "container-title" : "Science", "id" : "ITEM-1", "issue" : "5218", "issued" : { "date-parts" : [ [ "1995", "6", "23" ] ] }, "page" : "1749-53", "title" : "A single ataxia telangiectasia gene with a product similar to PI-3 kinase.", "type" : "article-journal", "volume" : "268" }, "uris" : [ "http://www.mendeley.com/documents/?uuid=9cfc1c7d-7832-4fc6-acec-a71258105342" ] } ], "mendeley" : { "formattedCitation" : "(Savitsky et al. 1995)", "plainTextFormattedCitation" : "(Savitsky et al. 1995)", "previouslyFormattedCitation" : "(Savitsky et al. 1995)"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(Savitsky et al. 1995)</w:t>
      </w:r>
      <w:r w:rsidR="00F20EC0" w:rsidRPr="00DF0680">
        <w:rPr>
          <w:rFonts w:cs="Times New Roman"/>
        </w:rPr>
        <w:fldChar w:fldCharType="end"/>
      </w:r>
      <w:r w:rsidRPr="00DF0680">
        <w:rPr>
          <w:rFonts w:cs="Times New Roman"/>
        </w:rPr>
        <w:t xml:space="preserve">. </w:t>
      </w:r>
      <w:r w:rsidR="007F0EA7" w:rsidRPr="00DF0680">
        <w:rPr>
          <w:rFonts w:cs="Times New Roman"/>
        </w:rPr>
        <w:t>Shown to hav</w:t>
      </w:r>
      <w:r w:rsidR="00BD0BA8" w:rsidRPr="00DF0680">
        <w:rPr>
          <w:rFonts w:cs="Times New Roman"/>
        </w:rPr>
        <w:t>e sequence similarity to phosphatidyl</w:t>
      </w:r>
      <w:r w:rsidR="007F0EA7" w:rsidRPr="00DF0680">
        <w:rPr>
          <w:rFonts w:cs="Times New Roman"/>
        </w:rPr>
        <w:t>-inositol-3 (PI-3) k</w:t>
      </w:r>
      <w:r w:rsidR="00360CE3" w:rsidRPr="00DF0680">
        <w:rPr>
          <w:rFonts w:cs="Times New Roman"/>
        </w:rPr>
        <w:t xml:space="preserve">inases, ATM protein </w:t>
      </w:r>
      <w:r w:rsidR="007F0EA7" w:rsidRPr="00DF0680">
        <w:rPr>
          <w:rFonts w:cs="Times New Roman"/>
        </w:rPr>
        <w:t>phosphorylate</w:t>
      </w:r>
      <w:r w:rsidR="00360CE3" w:rsidRPr="00DF0680">
        <w:rPr>
          <w:rFonts w:cs="Times New Roman"/>
        </w:rPr>
        <w:t>s</w:t>
      </w:r>
      <w:r w:rsidR="007F0EA7" w:rsidRPr="00DF0680">
        <w:rPr>
          <w:rFonts w:cs="Times New Roman"/>
        </w:rPr>
        <w:t xml:space="preserve"> </w:t>
      </w:r>
      <w:r w:rsidR="00360CE3" w:rsidRPr="00DF0680">
        <w:rPr>
          <w:rFonts w:cs="Times New Roman"/>
        </w:rPr>
        <w:t xml:space="preserve">other </w:t>
      </w:r>
      <w:r w:rsidR="007F0EA7" w:rsidRPr="00DF0680">
        <w:rPr>
          <w:rFonts w:cs="Times New Roman"/>
        </w:rPr>
        <w:t xml:space="preserve">proteins </w:t>
      </w:r>
      <w:r w:rsidR="00360CE3" w:rsidRPr="00DF0680">
        <w:rPr>
          <w:rFonts w:cs="Times New Roman"/>
        </w:rPr>
        <w:t xml:space="preserve">involved in the DNA damage response </w:t>
      </w:r>
      <w:r w:rsidR="007F0EA7" w:rsidRPr="00DF0680">
        <w:rPr>
          <w:rFonts w:cs="Times New Roman"/>
        </w:rPr>
        <w:t xml:space="preserve">when activated. </w:t>
      </w:r>
      <w:r w:rsidR="00D45391" w:rsidRPr="00DF0680">
        <w:rPr>
          <w:rFonts w:cs="Times New Roman"/>
        </w:rPr>
        <w:t xml:space="preserve">Ionizing radiation activates ATM by dissociation of the inactive dimer after intermolecular autophosphorylation on serine 1981 </w:t>
      </w:r>
      <w:r w:rsidR="00F20EC0" w:rsidRPr="00DF0680">
        <w:rPr>
          <w:rFonts w:cs="Times New Roman"/>
        </w:rPr>
        <w:fldChar w:fldCharType="begin" w:fldLock="1"/>
      </w:r>
      <w:r w:rsidR="00525765" w:rsidRPr="00DF0680">
        <w:rPr>
          <w:rFonts w:cs="Times New Roman"/>
        </w:rPr>
        <w:instrText>ADDIN CSL_CITATION { "citationItems" : [ { "id" : "ITEM-1", "itemData" : { "DOI" : "10.1038/nature01368", "ISSN" : "0028-0836", "PMID" : "12556884", "abstract" : "The ATM protein kinase, mutations of which are associated with the human disease ataxia-telangiectasia, mediates responses to ionizing radiation in mammalian cells. Here we show that ATM is held inactive in unirradiated cells as a dimer or higher-order multimer, with the kinase domain bound to a region surrounding serine 1981 that is contained within the previously described 'FAT' domain. Cellular irradiation induces rapid intermolecular autophosphorylation of serine 1981 that causes dimer dissociation and initiates cellular ATM kinase activity. Most ATM molecules in the cell are rapidly phosphorylated on this site after doses of radiation as low as 0.5 Gy, and binding of a phosphospecific antibody is detectable after the introduction of only a few DNA double-strand breaks in the cell. Activation of the ATM kinase seems to be an initiating event in cellular responses to irradiation, and our data indicate that ATM activation is not dependent on direct binding to DNA strand breaks, but may result from changes in the structure of chromatin.", "author" : [ { "dropping-particle" : "", "family" : "Bakkenist", "given" : "Christopher J", "non-dropping-particle" : "", "parse-names" : false, "suffix" : "" }, { "dropping-particle" : "", "family" : "Kastan", "given" : "Michael B", "non-dropping-particle" : "", "parse-names" : false, "suffix" : "" } ], "container-title" : "Nature", "id" : "ITEM-1", "issue" : "6922", "issued" : { "date-parts" : [ [ "2003", "1", "30" ] ] }, "page" : "499-506", "title" : "DNA damage activates ATM through intermolecular autophosphorylation and dimer dissociation.", "type" : "article-journal", "volume" : "421" }, "uris" : [ "http://www.mendeley.com/documents/?uuid=9dcc575c-57cd-4aad-adba-86bb81cb3111" ] } ], "mendeley" : { "formattedCitation" : "(Bakkenist &amp; Kastan 2003)", "plainTextFormattedCitation" : "(Bakkenist &amp; Kastan 2003)", "previouslyFormattedCitation" : "(Bakkenist &amp; Kastan 2003)"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(Bakkenist &amp; Kastan 2003)</w:t>
      </w:r>
      <w:r w:rsidR="00F20EC0" w:rsidRPr="00DF0680">
        <w:rPr>
          <w:rFonts w:cs="Times New Roman"/>
        </w:rPr>
        <w:fldChar w:fldCharType="end"/>
      </w:r>
      <w:r w:rsidR="00D45391" w:rsidRPr="00DF0680">
        <w:rPr>
          <w:rFonts w:cs="Times New Roman"/>
        </w:rPr>
        <w:t xml:space="preserve">. </w:t>
      </w:r>
    </w:p>
    <w:p w:rsidR="00E31EAC" w:rsidRPr="00DF0680" w:rsidRDefault="00952804" w:rsidP="00E31EAC">
      <w:pPr>
        <w:rPr>
          <w:rFonts w:cs="Times New Roman"/>
        </w:rPr>
      </w:pPr>
      <w:r w:rsidRPr="00DF0680">
        <w:rPr>
          <w:rFonts w:cs="Times New Roman"/>
        </w:rPr>
        <w:t>PAR has been shown to have a possible role in being a sensor for ATM signalling, as ATM has two PAR binding domains and physically interacts with PAR and PARP-1</w:t>
      </w:r>
      <w:r w:rsidR="0072305B" w:rsidRPr="00DF0680">
        <w:rPr>
          <w:rFonts w:cs="Times New Roman"/>
        </w:rPr>
        <w:t>.</w:t>
      </w:r>
      <w:r w:rsidR="00C52482" w:rsidRPr="00DF0680">
        <w:rPr>
          <w:rFonts w:cs="Times New Roman"/>
        </w:rPr>
        <w:t xml:space="preserve"> It was also shown that ATM is modified by PARP-1 and is required for optimal ATM activation </w:t>
      </w:r>
      <w:r w:rsidR="00F20EC0" w:rsidRPr="00DF0680">
        <w:rPr>
          <w:rFonts w:cs="Times New Roman"/>
        </w:rPr>
        <w:fldChar w:fldCharType="begin" w:fldLock="1"/>
      </w:r>
      <w:r w:rsidR="00332613" w:rsidRPr="00DF0680">
        <w:rPr>
          <w:rFonts w:cs="Times New Roman"/>
        </w:rPr>
        <w:instrText>ADDIN CSL_CITATION { "citationItems" : [ { "id" : "ITEM-1", "itemData" : { "DOI" : "10.1186/1471-2199-8-29", "ISBN" : "1471-2199 (Electronic)\\n1471-2199 (Linking)", "ISSN" : "14712199", "PMID" : "17459151", "abstract" : "ATM and PARP-1 are two of the most important players in the cell's response to DNA damage. PARP-1 and ATM recognize and bound to both single and double strand DNA breaks in response to different triggers. Here we report that ATM and PARP-1 form a molecular complex in vivo in undamaged cells and this association increases after gamma-irradiation. ATM is also modified by PARP-1 during DNA damage. We have also evaluated the impact of PARP-1 absence or inhibition on ATM-kinase activity and have found that while PARP-1 deficient cells display a defective ATM-kinase activity and reduced gamma-H2AX foci formation in response to gamma-irradiation, PARP inhibition on itself is able to activate ATM-kinase. PARP inhibition induced gamma H2AX foci accumulation, in an ATM-dependent manner. Inhibition of PARP also induces DNA double strand breaks which were dependent on the presence of ATM. As consequence ATM deficient cells display an increased sensitivity to PARP inhibition. In summary our results show that while PARP-1 is needed in the response of ATM to gamma irradiation, the inhibition of PARP induces DNA double strand breaks (which are resolved in and ATM-dependent pathway) and activates ATM kinase.", "author" : [ { "dropping-particle" : "", "family" : "Aguilar-Quesada", "given" : "Roc\u00edo", "non-dropping-particle" : "", "parse-names" : false, "suffix" : "" }, { "dropping-particle" : "", "family" : "Mu\u00f1oz-G\u00e1mez", "given" : "Jos\u00e9 Antonio", "non-dropping-particle" : "", "parse-names" : false, "suffix" : "" }, { "dropping-particle" : "", "family" : "Mart\u00edn-Oliva", "given" : "David", "non-dropping-particle" : "", "parse-names" : false, "suffix" : "" }, { "dropping-particle" : "", "family" : "Peralta", "given" : "Andre\u00edna", "non-dropping-particle" : "", "parse-names" : false, "suffix" : "" }, { "dropping-particle" : "", "family" : "Valenzuela", "given" : "Maria Teresa", "non-dropping-particle" : "", "parse-names" : false, "suffix" : "" }, { "dropping-particle" : "", "family" : "Mat\u00ednez-Romero", "given" : "Rub\u00e9n", "non-dropping-particle" : "", "parse-names" : false, "suffix" : "" }, { "dropping-particle" : "", "family" : "Quiles-P\u00e9rez", "given" : "Rosa", "non-dropping-particle" : "", "parse-names" : false, "suffix" : "" }, { "dropping-particle" : "", "family" : "Menissier-de Murcia", "given" : "Josiane", "non-dropping-particle" : "", "parse-names" : false, "suffix" : "" }, { "dropping-particle" : "", "family" : "Murcia", "given" : "Gilbert", "non-dropping-particle" : "de", "parse-names" : false, "suffix" : "" }, { "dropping-particle" : "", "family" : "Ruiz de Almod\u00f3var", "given" : "Mariano", "non-dropping-particle" : "", "parse-names" : false, "suffix" : "" }, { "dropping-particle" : "", "family" : "Oliver", "given" : "F Javier", "non-dropping-particle" : "", "parse-names" : false, "suffix" : "" } ], "container-title" : "BMC Molecular Biology", "id" : "ITEM-1", "issued" : { "date-parts" : [ [ "2007" ] ] }, "page" : "29", "title" : "Interaction between ATM and PARP-1 in response to DNA damage and sensitization of ATM deficient cells through PARP inhibition.", "type" : "article-journal", "volume" : "8" }, "uris" : [ "http://www.mendeley.com/documents/?uuid=ef1184a8-c072-4bc2-b953-12b52c9fee88" ] }, { "id" : "ITEM-2", "itemData" : { "DOI" : "10.1074/jbc.M608406200", "ISSN" : "0021-9258", "PMID" : "17428792", "abstract" : "Poly(ADP-ribosyl)ation is a post-translational modification that is instantly stimulated by DNA strand breaks creating a unique signal for the modulation of protein functions in DNA repair and cell cycle checkpoint pathways. Here we report that lack of poly(ADP-ribose) synthesis leads to a compromised response to DNA damage. Deficiency in poly(ADP-ribosyl)ation metabolism induces profound cellular sensitivity to DNA-damaging agents, particularly in cells deficient for the protein kinase ataxia telangiectasia mutated (ATM). At the biochemical level, we examined the significance of poly(ADP-ribose) synthesis on the regulation of early DNA damage-induced signaling cascade initiated by ATM. Using potent PARP inhibitors and PARP-1 knock-out cells, we demonstrate a functional interplay between ATM and poly(ADP-ribose) that is important for the phosphorylation of p53, SMC1, and H2AX. For the first time, we demonstrate a functional and physical interaction between the major DSB signaling kinase, ATM and poly(ADP-ribosyl)ation by PARP-1, a key enzyme of chromatin remodeling. This study suggests that poly(ADP-ribose) might serve as a DNA damage sensory molecule that is critical for early DNA damage signaling.", "author" : [ { "dropping-particle" : "", "family" : "Haince", "given" : "Jean-Fran\u00e7ois", "non-dropping-particle" : "", "parse-names" : false, "suffix" : "" }, { "dropping-particle" : "", "family" : "Kozlov", "given" : "Sergei", "non-dropping-particle" : "", "parse-names" : false, "suffix" : "" }, { "dropping-particle" : "", "family" : "Dawson", "given" : "Valina L", "non-dropping-particle" : "", "parse-names" : false, "suffix" : "" }, { "dropping-particle" : "", "family" : "Dawson", "given" : "Ted M", "non-dropping-particle" : "", "parse-names" : false, "suffix" : "" }, { "dropping-particle" : "", "family" : "Hendzel", "given" : "Michael J", "non-dropping-particle" : "", "parse-names" : false, "suffix" : "" }, { "dropping-particle" : "", "family" : "Lavin", "given" : "Martin F", "non-dropping-particle" : "", "parse-names" : false, "suffix" : "" }, { "dropping-particle" : "", "family" : "Poirier", "given" : "Guy G", "non-dropping-particle" : "", "parse-names" : false, "suffix" : "" } ], "container-title" : "The Journal of Biological Chemistry", "id" : "ITEM-2", "issue" : "22", "issued" : { "date-parts" : [ [ "2007", "6", "1" ] ] }, "page" : "16441-53", "title" : "Ataxia telangiectasia mutated (ATM) signaling network is modulated by a novel poly(ADP-ribose)-dependent pathway in the early response to DNA-damaging agents.", "type" : "article-journal", "volume" : "282" }, "uris" : [ "http://www.mendeley.com/documents/?uuid=b44d4404-7bcf-4e27-928e-529fc8286c31" ] } ], "mendeley" : { "formattedCitation" : "(Aguilar-Quesada et al. 2007; Haince et al. 2007)", "plainTextFormattedCitation" : "(Aguilar-Quesada et al. 2007; Haince et al. 2007)", "previouslyFormattedCitation" : "(Aguilar-Quesada et al. 2007; Haince et al. 2007)"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(Aguilar-Quesada et al. 2007; Haince et al. 2007)</w:t>
      </w:r>
      <w:r w:rsidR="00F20EC0" w:rsidRPr="00DF0680">
        <w:rPr>
          <w:rFonts w:cs="Times New Roman"/>
        </w:rPr>
        <w:fldChar w:fldCharType="end"/>
      </w:r>
      <w:r w:rsidR="00C52482" w:rsidRPr="00DF0680">
        <w:rPr>
          <w:rFonts w:cs="Times New Roman"/>
        </w:rPr>
        <w:t xml:space="preserve">. </w:t>
      </w:r>
      <w:r w:rsidR="008C5E41" w:rsidRPr="00DF0680">
        <w:rPr>
          <w:rFonts w:cs="Times New Roman"/>
        </w:rPr>
        <w:t>The MRN complex has been shown to be required for ATM activation by DNA damage with defective nuclea</w:t>
      </w:r>
      <w:r w:rsidR="00360CE3" w:rsidRPr="00DF0680">
        <w:rPr>
          <w:rFonts w:cs="Times New Roman"/>
        </w:rPr>
        <w:t>r retention of ATM and defective</w:t>
      </w:r>
      <w:r w:rsidR="008C5E41" w:rsidRPr="00DF0680">
        <w:rPr>
          <w:rFonts w:cs="Times New Roman"/>
        </w:rPr>
        <w:t xml:space="preserve"> phosphorylation of ATM t</w:t>
      </w:r>
      <w:r w:rsidR="00360CE3" w:rsidRPr="00DF0680">
        <w:rPr>
          <w:rFonts w:cs="Times New Roman"/>
        </w:rPr>
        <w:t>argets in cells depleted of MRN</w:t>
      </w:r>
      <w:r w:rsidR="008C5E41"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"10.1093/emboj/cdg541", "ISSN" : "0261-4189", "PMID" : "14532133", "abstract" : "The ATM protein kinase is a primary activator of the cellular response to DNA double-strand breaks (DSBs). In response to DSBs, ATM is activated and phosphorylates key players in various branches of the DNA damage response network. ATM deficiency causes the genetic disorder ataxia-telangiectasia (A-T), characterized by cerebellar degeneration, immunodeficiency, radiation sensitivity, chromosomal instability and cancer predisposition. The MRN complex, whose core contains the Mre11, Rad50 and Nbs1 proteins, is involved in the initial processing of DSBs. Hypomorphic mutations in the NBS1 and MRE11 genes lead to two other genomic instability disorders: the Nijmegen breakage syndrome (NBS) and A-T like disease (A-TLD), respectively. The order in which ATM and MRN act in the early phase of the DSB response is unclear. Here we show that functional MRN is required for ATM activation, and consequently for timely activation of ATM-mediated pathways. Collectively, these and previous results assign to components of the MRN complex roles upstream and downstream of ATM in the DNA damage response pathway and explain the clinical resemblance between A-T and A-TLD.", "author" : [ { "dropping-particle" : "", "family" : "Uziel", "given" : "Tamar", "non-dropping-particle" : "", "parse-names" : false, "suffix" : "" }, { "dropping-particle" : "", "family" : "Lerenthal", "given" : "Yaniv", "non-dropping-particle" : "", "parse-names" : false, "suffix" : "" }, { "dropping-particle" : "", "family" : "Moyal", "given" : "Lilach", "non-dropping-particle" : "", "parse-names" : false, "suffix" : "" }, { "dropping-particle" : "", "family" : "Andegeko", "given" : "Yair", "non-dropping-particle" : "", "parse-names" : false, "suffix" : "" }, { "dropping-particle" : "", "family" : "Mittelman", "given" : "Leonid", "non-dropping-particle" : "", "parse-names" : false, "suffix" : "" }, { "dropping-particle" : "", "family" : "Shiloh", "given" : "Yosef", "non-dropping-particle" : "", "parse-names" : false, "suffix" : "" } ], "container-title" : "The EMBO Journal", "id" : "ITEM-1", "issue" : "20", "issued" : { "date-parts" : [ [ "2003", "10", "15" ] ] }, "page" : "5612-21", "title" : "Requirement of the MRN complex for ATM activation by DNA damage.", "type" : "article-journal", "volume" : "22" }, "uris" : [ "http://www.mendeley.com/documents/?uuid=350936d0-0d80-4216-bc9c-97c6a092e7e5" ] } ], "mendeley" : { "formattedCitation" : "(Uziel et al. 2003)", "plainTextFormattedCitation" : "(Uziel et al. 2003)", "previouslyFormattedCitation" : "(Uziel et al. 2003)"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(Uziel et al. 2003)</w:t>
      </w:r>
      <w:r w:rsidR="00F20EC0" w:rsidRPr="00DF0680">
        <w:rPr>
          <w:rFonts w:cs="Times New Roman"/>
        </w:rPr>
        <w:fldChar w:fldCharType="end"/>
      </w:r>
      <w:r w:rsidR="008C5E41" w:rsidRPr="00DF0680">
        <w:rPr>
          <w:rFonts w:cs="Times New Roman"/>
        </w:rPr>
        <w:t xml:space="preserve">. </w:t>
      </w:r>
      <w:r w:rsidR="009767DD" w:rsidRPr="00DF0680">
        <w:rPr>
          <w:rFonts w:cs="Times New Roman"/>
        </w:rPr>
        <w:t xml:space="preserve">This activation by the MRN complex requires DNA ends, unwound by </w:t>
      </w:r>
      <w:r w:rsidR="000D12AF" w:rsidRPr="00DF0680">
        <w:rPr>
          <w:rFonts w:cs="Times New Roman"/>
        </w:rPr>
        <w:t xml:space="preserve">the </w:t>
      </w:r>
      <w:r w:rsidR="009767DD" w:rsidRPr="00DF0680">
        <w:rPr>
          <w:rFonts w:cs="Times New Roman"/>
        </w:rPr>
        <w:t xml:space="preserve">MRN complex, which recruits ATM and causes dimer dissociation </w:t>
      </w:r>
      <w:r w:rsidR="00F20EC0" w:rsidRPr="00DF0680">
        <w:rPr>
          <w:rFonts w:cs="Times New Roman"/>
        </w:rPr>
        <w:fldChar w:fldCharType="begin" w:fldLock="1"/>
      </w:r>
      <w:r w:rsidR="001112F6" w:rsidRPr="00DF0680">
        <w:rPr>
          <w:rFonts w:cs="Times New Roman"/>
        </w:rPr>
        <w:instrText>ADDIN CSL_CITATION { "citationItems" : [ { "id" : "ITEM-1", "itemData" : { "DOI" : "10.1126/science.1108297", "ISSN" : "1095-9203", "PMID" : "15790808", "abstract" : "The ataxia-telangiectasia mutated (ATM) kinase signals the presence of DNA double-strand breaks in mammalian cells by phosphorylating proteins that initiate cell-cycle arrest, apoptosis, and DNA repair. We show that the Mre11-Rad50-Nbs1 (MRN) complex acts as a double-strand break sensor for ATM and recruits ATM to broken DNA molecules. Inactive ATM dimers were activated in vitro with DNA in the presence of MRN, leading to phosphorylation of the downstream cellular targets p53 and Chk2. ATM autophosphorylation was not required for monomerization of ATM by MRN. The unwinding of DNA ends by MRN was essential for ATM stimulation, which is consistent with the central role of single-stranded DNA as an evolutionarily conserved signal for DNA damage.", "author" : [ { "dropping-particle" : "", "family" : "Lee", "given" : "Ji-Hoon", "non-dropping-particle" : "", "parse-names" : false, "suffix" : "" }, { "dropping-particle" : "", "family" : "Paull", "given" : "Tanya T", "non-dropping-particle" : "", "parse-names" : false, "suffix" : "" } ], "container-title" : "Science", "id" : "ITEM-1", "issue" : "5721", "issued" : { "date-parts" : [ [ "2005", "4", "22" ] ] }, "page" : "551-4", "title" : "ATM activation by DNA double-strand breaks through the Mre11-Rad50-Nbs1 complex.", "type" : "article-journal", "volume" : "308" }, "uris" : [ "http://www.mendeley.com/documents/?uuid=c0507573-c89d-44de-9287-3328cf0c82af" ] } ], "mendeley" : { "formattedCitation" : "(Lee &amp; Paull 2005)", "plainTextFormattedCitation" : "(Lee &amp; Paull 2005)", "previouslyFormattedCitation" : "(Lee &amp; Paull 2005)"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(Lee &amp; Paull 2005)</w:t>
      </w:r>
      <w:r w:rsidR="00F20EC0" w:rsidRPr="00DF0680">
        <w:rPr>
          <w:rFonts w:cs="Times New Roman"/>
        </w:rPr>
        <w:fldChar w:fldCharType="end"/>
      </w:r>
      <w:r w:rsidR="009767DD" w:rsidRPr="00DF0680">
        <w:rPr>
          <w:rFonts w:cs="Times New Roman"/>
        </w:rPr>
        <w:t xml:space="preserve">. </w:t>
      </w:r>
    </w:p>
    <w:p w:rsidR="008C7936" w:rsidRPr="00DF0680" w:rsidRDefault="00BA18AB" w:rsidP="00E31EAC">
      <w:pPr>
        <w:rPr>
          <w:rFonts w:cs="Times New Roman"/>
        </w:rPr>
      </w:pPr>
      <w:r w:rsidRPr="00DF0680">
        <w:rPr>
          <w:rFonts w:cs="Times New Roman"/>
        </w:rPr>
        <w:t xml:space="preserve">Once activated, ATM </w:t>
      </w:r>
      <w:r w:rsidR="006D1933" w:rsidRPr="00DF0680">
        <w:rPr>
          <w:rFonts w:cs="Times New Roman"/>
        </w:rPr>
        <w:t>phosphorylate</w:t>
      </w:r>
      <w:r w:rsidR="00B1693D" w:rsidRPr="00DF0680">
        <w:rPr>
          <w:rFonts w:cs="Times New Roman"/>
        </w:rPr>
        <w:t>s</w:t>
      </w:r>
      <w:r w:rsidRPr="00DF0680">
        <w:rPr>
          <w:rFonts w:cs="Times New Roman"/>
        </w:rPr>
        <w:t xml:space="preserve"> targets </w:t>
      </w:r>
      <w:r w:rsidR="000D12AF" w:rsidRPr="00DF0680">
        <w:rPr>
          <w:rFonts w:cs="Times New Roman"/>
        </w:rPr>
        <w:t xml:space="preserve">proteins </w:t>
      </w:r>
      <w:r w:rsidRPr="00DF0680">
        <w:rPr>
          <w:rFonts w:cs="Times New Roman"/>
        </w:rPr>
        <w:t xml:space="preserve">such as the tumour-suppressor protein p53 </w:t>
      </w:r>
      <w:r w:rsidR="00F20EC0" w:rsidRPr="00DF0680">
        <w:rPr>
          <w:rFonts w:cs="Times New Roman"/>
        </w:rPr>
        <w:fldChar w:fldCharType="begin" w:fldLock="1"/>
      </w:r>
      <w:r w:rsidR="00E1608C" w:rsidRPr="00DF0680">
        <w:rPr>
          <w:rFonts w:cs="Times New Roman"/>
        </w:rPr>
        <w:instrText>ADDIN CSL_CITATION { "citationItems" : [ { "id" : "ITEM-1", "itemData" : { "DOI" : "10.1126/science.281.5383.1677", "author" : [ { "dropping-particle" : "", "family" : "Canman", "given" : "C. E.", "non-dropping-particle" : "", "parse-names" : false, "suffix" : "" }, { "dropping-particle" : "", "family" : "Lim", "given" : "DS", "non-dropping-particle" : "", "parse-names" : false, "suffix" : "" }, { "dropping-particle" : "", "family" : "Cimprich", "given" : "K. A.", "non-dropping-particle" : "", "parse-names" : false, "suffix" : "" }, { "dropping-particle" : "", "family" : "Taya", "given" : "Y", "non-dropping-particle" : "", "parse-names" : false, "suffix" : "" }, { "dropping-particle" : "", "family" : "Tamai", "given" : "K", "non-dropping-particle" : "", "parse-names" : false, "suffix" : "" }, { "dropping-particle" : "", "family" : "Sakaguchi", "given" : "K", "non-dropping-particle" : "", "parse-names" : false, "suffix" : "" }, { "dropping-particle" : "", "family" : "Appella", "given" : "E", "non-dropping-particle" : "", "parse-names" : false, "suffix" : "" }, { "dropping-particle" : "", "family" : "Kastan", "given" : "M. B.", "non-dropping-particle" : "", "parse-names" : false, "suffix" : "" }, { "dropping-particle" : "", "family" : "Siliciano", "given" : "J. D.", "non-dropping-particle" : "", "parse-names" : false, "suffix" : "" } ], "container-title" : "Science", "id" : "ITEM-1", "issue" : "5383", "issued" : { "date-parts" : [ [ "1998", "9", "11" ] ] }, "page" : "1677-1679", "title" : "Activation of the ATM Kinase by Ionizing Radiation and Phosphorylation of p53", "type" : "article-journal", "volume" : "281" }, "uris" : [ "http://www.mendeley.com/documents/?uuid=2dda854c-6b3f-43b6-a58f-974c72fa6ed6" ] }, { "id" : "ITEM-2", "itemData" : { "DOI" : "10.1126/science.281.5383.1674", "author" : [ { "dropping-particle" : "", "family" : "Banin", "given" : "S.", "non-dropping-particle" : "", "parse-names" : false, "suffix" : "" }, { "dropping-particle" : "", "family" : "Moyal", "given" : "L.", "non-dropping-particle" : "", "parse-names" : false, "suffix" : "" }, { "dropping-particle" : "", "family" : "Shieh", "given" : "S.-Y.", "non-dropping-particle" : "", "parse-names" : false, "suffix" : "" }, { "dropping-particle" : "", "family" : "Taya", "given" : "Y.", "non-dropping-particle" : "", "parse-names" : false, "suffix" : "" }, { "dropping-particle" : "", "family" : "Anderson", "given" : "C. W.", "non-dropping-particle" : "", "parse-names" : false, "suffix" : "" }, { "dropping-particle" : "", "family" : "Chessa", "given" : "L.", "non-dropping-particle" : "", "parse-names" : false, "suffix" : "" }, { "dropping-particle" : "", "family" : "Smorodinsky", "given" : "N. I.", "non-dropping-particle" : "", "parse-names" : false, "suffix" : "" }, { "dropping-particle" : "", "family" : "Prives", "given" : "C.", "non-dropping-particle" : "", "parse-names" : false, "suffix" : "" }, { "dropping-particle" : "", "family" : "Reiss", "given" : "Y.", "non-dropping-particle" : "", "parse-names" : false, "suffix" : "" }, { "dropping-particle" : "", "family" : "Shiloh", "given" : "Y.", "non-dropping-particle" : "", "parse-names" : false, "suffix" : "" }, { "dropping-particle" : "", "family" : "Ziv", "given" : "Y.", "non-dropping-particle" : "", "parse-names" : false, "suffix" : "" } ], "container-title" : "Science", "id" : "ITEM-2", "issue" : "5383", "issued" : { "date-parts" : [ [ "1998", "9", "11" ] ] }, "page" : "1674-1677", "title" : "Enhanced Phosphorylation of p53 by ATM in Response to DNA Damage", "type" : "article-journal", "volume" : "281" }, "uris" : [ "http://www.mendeley.com/documents/?uuid=fee35546-da53-4c69-ad06-0801681c1bd5" ] } ], "mendeley" : { "formattedCitation" : "(Canman et al. 1998; Banin et al. 1998)", "plainTextFormattedCitation" : "(Canman et al. 1998; Banin et al. 1998)", "previouslyFormattedCitation" : "(Canman et al. 1998; Banin et al. 1998)" }, "properties" : { "noteIndex" : 0 }, "schema" : "https://github.com/citation-style-language/schema/raw/master/csl-citation.json" }</w:instrText>
      </w:r>
      <w:r w:rsidR="00F20EC0" w:rsidRPr="00DF0680">
        <w:rPr>
          <w:rFonts w:cs="Times New Roman"/>
        </w:rPr>
        <w:fldChar w:fldCharType="separate"/>
      </w:r>
      <w:r w:rsidR="00791F96" w:rsidRPr="00DF0680">
        <w:rPr>
          <w:rFonts w:cs="Times New Roman"/>
        </w:rPr>
        <w:t>(Canman et al. 1998; Banin et al. 1998)</w:t>
      </w:r>
      <w:r w:rsidR="00F20EC0" w:rsidRPr="00DF0680">
        <w:rPr>
          <w:rFonts w:cs="Times New Roman"/>
        </w:rPr>
        <w:fldChar w:fldCharType="end"/>
      </w:r>
      <w:r w:rsidRPr="00DF0680">
        <w:rPr>
          <w:rFonts w:cs="Times New Roman"/>
        </w:rPr>
        <w:t>, the DNA damage signal</w:t>
      </w:r>
      <w:r w:rsidR="000D12AF" w:rsidRPr="00DF0680">
        <w:rPr>
          <w:rFonts w:cs="Times New Roman"/>
        </w:rPr>
        <w:t>ling histone</w:t>
      </w:r>
      <w:r w:rsidRPr="00DF0680">
        <w:rPr>
          <w:rFonts w:cs="Times New Roman"/>
        </w:rPr>
        <w:t xml:space="preserve"> H2AX </w:t>
      </w:r>
      <w:r w:rsidR="00F20EC0" w:rsidRPr="00DF0680">
        <w:rPr>
          <w:rFonts w:cs="Times New Roman"/>
        </w:rPr>
        <w:fldChar w:fldCharType="begin" w:fldLock="1"/>
      </w:r>
      <w:r w:rsidR="00332613" w:rsidRPr="00DF0680">
        <w:rPr>
          <w:rFonts w:cs="Times New Roman"/>
        </w:rPr>
        <w:instrText>ADDIN CSL_CITATION { "citationItems" : [ { "id" : "ITEM-1", "itemData" : { "DOI" : "10.1074/jbc.C100466200", "ISSN" : "0021-9258", "PMID" : "11571274", "abstract" : "A very early step in the response of mammalian cells to DNA double-strand breaks is the phosphorylation of histone H2AX at serine 139 at the sites of DNA damage. Although the phosphatidylinositol 3-kinases, DNA-PK (DNA-dependent protein kinase), ATM (ataxia telangiectasia mutated), and ATR (ATM and Rad3-related), have all been implicated in H2AX phosphorylation, the specific kinase involved has not yet been identified. To definitively identify the specific kinase(s) that phosphorylates H2AX in vivo, we have utilized DNA-PKcs-/- and Atm-/- cell lines and mouse embryonic fibroblasts. We find that H2AX phosphorylation and nuclear focus formation are normal in DNA-PKcs-/- cells and severely compromised in Atm-/- cells. We also find that ATM can phosphorylate H2AX in vitro and that ectopic expression of ATM in Atm-/- fibroblasts restores H2AX phosphorylation in vivo. The minimal H2AX phosphorylation in Atm-/- fibroblasts can be abolished by low concentrations of wortmannin suggesting that DNA-PK, rather than ATR, is responsible for low levels of H2AX phosphorylation in the absence of ATM. Our results clearly establish ATM as the major kinase involved in the phosphorylation of H2AX and suggest that ATM is one of the earliest kinases to be activated in the cellular response to double-strand breaks.", "author" : [ { "dropping-particle" : "", "family" : "Burma", "given" : "S", "non-dropping-particle" : "", "parse-names" : false, "suffix" : "" }, { "dropping-particle" : "", "family" : "Chen", "given" : "B P", "non-dropping-particle" : "", "parse-names" : false, "suffix" : "" }, { "dropping-particle" : "", "family" : "Murphy", "given" : "M", "non-dropping-particle" : "", "parse-names" : false, "suffix" : "" }, { "dropping-particle" : "", "family" : "Kurimasa", "given" : "a", "non-dropping-particle" : "", "parse-names" : false, "suffix" : "" }, { "dropping-particle" : "", "family" : "Chen", "given" : "D J", "non-dropping-particle" : "", "parse-names" : false, "suffix" : "" } ], "container-title" : "The Journal of Biological Chemistry", "id" : "ITEM-1", "issue" : "45", "issued" : { "date-parts" : [ [ "2001", "11", "9" ] ] }, "page" : "42462-7", "title" : "ATM phosphorylates histone H2AX in response to DNA double-strand breaks.", "type" : "article-journal", "volume" : "276" }, "uris" : [ "http://www.mendeley.com/documents/?uuid=938a8b8d-ccf3-46a7-9450-e477179884bf" ] } ], "mendeley" : { "formattedCitation" : "(Burma et al. 2001)", "plainTextFormattedCitation" : "(Burma et al. 2001)", "previouslyFormattedCitation" : "(Burma et al. 2001)"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(Burma et al. 2001)</w:t>
      </w:r>
      <w:r w:rsidR="00F20EC0" w:rsidRPr="00DF0680">
        <w:rPr>
          <w:rFonts w:cs="Times New Roman"/>
        </w:rPr>
        <w:fldChar w:fldCharType="end"/>
      </w:r>
      <w:r w:rsidRPr="00DF0680">
        <w:rPr>
          <w:rFonts w:cs="Times New Roman"/>
        </w:rPr>
        <w:t xml:space="preserve"> and the cell cycle protein kinase Chk2 </w:t>
      </w:r>
      <w:r w:rsidR="00F20EC0" w:rsidRPr="00DF0680">
        <w:rPr>
          <w:rFonts w:cs="Times New Roman"/>
        </w:rPr>
        <w:fldChar w:fldCharType="begin" w:fldLock="1"/>
      </w:r>
      <w:r w:rsidR="00E1608C" w:rsidRPr="00DF0680">
        <w:rPr>
          <w:rFonts w:cs="Times New Roman"/>
        </w:rPr>
        <w:instrText>ADDIN CSL_CITATION { "citationItems" : [ { "id" : "ITEM-1", "itemData" : { "DOI" : "10.1126/science.282.5395.1893", "author" : [ { "dropping-particle" : "", "family" : "Matsuoka", "given" : "S.", "non-dropping-particle" : "", "parse-names" : false, "suffix" : "" }, { "dropping-particle" : "", "family" : "Huang", "given" : "M.", "non-dropping-particle" : "", "parse-names" : false, "suffix" : "" }, { "dropping-particle" : "", "family" : "Elledge", "given" : "S. J.", "non-dropping-particle" : "", "parse-names" : false, "suffix" : "" } ], "container-title" : "Science", "id" : "ITEM-1", "issue" : "5395", "issued" : { "date-parts" : [ [ "1998", "12", "4" ] ] }, "page" : "1893-1897", "title" : "Linkage of ATM to Cell Cycle Regulation by the Chk2 Protein Kinase", "type" : "article-journal", "volume" : "282" }, "uris" : [ "http://www.mendeley.com/documents/?uuid=8aa3c169-ba85-4670-b2c8-d00886152bc8" ] } ], "mendeley" : { "formattedCitation" : "(Matsuoka et al. 1998)", "plainTextFormattedCitation" : "(Matsuoka et al. 1998)", "previouslyFormattedCitation" : "(Matsuoka et al. 1998)" }, "properties" : { "noteIndex" : 0 }, "schema" : "https://github.com/citation-style-language/schema/raw/master/csl-citation.json" }</w:instrText>
      </w:r>
      <w:r w:rsidR="00F20EC0" w:rsidRPr="00DF0680">
        <w:rPr>
          <w:rFonts w:cs="Times New Roman"/>
        </w:rPr>
        <w:fldChar w:fldCharType="separate"/>
      </w:r>
      <w:r w:rsidR="00791F96" w:rsidRPr="00DF0680">
        <w:rPr>
          <w:rFonts w:cs="Times New Roman"/>
        </w:rPr>
        <w:t>(Matsuoka et al. 1998)</w:t>
      </w:r>
      <w:r w:rsidR="00F20EC0" w:rsidRPr="00DF0680">
        <w:rPr>
          <w:rFonts w:cs="Times New Roman"/>
        </w:rPr>
        <w:fldChar w:fldCharType="end"/>
      </w:r>
      <w:r w:rsidRPr="00DF0680">
        <w:rPr>
          <w:rFonts w:cs="Times New Roman"/>
        </w:rPr>
        <w:t xml:space="preserve">. </w:t>
      </w:r>
      <w:r w:rsidR="003071AA" w:rsidRPr="00DF0680">
        <w:rPr>
          <w:rFonts w:cs="Times New Roman"/>
        </w:rPr>
        <w:t>Through these interactions, ATM can control cell cycle checkpoints,</w:t>
      </w:r>
      <w:r w:rsidR="00B1693D" w:rsidRPr="00DF0680">
        <w:rPr>
          <w:rFonts w:cs="Times New Roman"/>
        </w:rPr>
        <w:t xml:space="preserve"> signal to DNA repair, or</w:t>
      </w:r>
      <w:r w:rsidR="003071AA" w:rsidRPr="00DF0680">
        <w:rPr>
          <w:rFonts w:cs="Times New Roman"/>
        </w:rPr>
        <w:t xml:space="preserve"> induce apoptosis upon large amounts of irreparable DNA damage, covered below. </w:t>
      </w:r>
    </w:p>
    <w:p w:rsidR="00753887" w:rsidRPr="00DF0680" w:rsidRDefault="00893CDE" w:rsidP="00E31EAC">
      <w:pPr>
        <w:rPr>
          <w:rFonts w:cs="Times New Roman"/>
        </w:rPr>
      </w:pPr>
      <w:r w:rsidRPr="00DF0680">
        <w:rPr>
          <w:rFonts w:cs="Times New Roman"/>
        </w:rPr>
        <w:t>DNA-PK</w:t>
      </w:r>
      <w:r w:rsidR="00D8597A" w:rsidRPr="00DF0680">
        <w:rPr>
          <w:rFonts w:cs="Times New Roman"/>
        </w:rPr>
        <w:t xml:space="preserve"> is </w:t>
      </w:r>
      <w:r w:rsidR="00ED6AD6" w:rsidRPr="00DF0680">
        <w:rPr>
          <w:rFonts w:cs="Times New Roman"/>
        </w:rPr>
        <w:t xml:space="preserve">made of two components: The Ku protein binds to DNA, and the DNA-PKcs is the catalytic subunit. DNA-PKcs is another member of the PI3 kinase like family, similar in sequence to ATM </w:t>
      </w:r>
      <w:r w:rsidR="00F20EC0" w:rsidRPr="00DF0680">
        <w:rPr>
          <w:rFonts w:cs="Times New Roman"/>
        </w:rPr>
        <w:fldChar w:fldCharType="begin" w:fldLock="1"/>
      </w:r>
      <w:r w:rsidR="00525765" w:rsidRPr="00DF0680">
        <w:rPr>
          <w:rFonts w:cs="Times New Roman"/>
        </w:rPr>
        <w:instrText>ADDIN CSL_CITATION { "citationItems" : [ { "id" : "ITEM-1", "itemData" : { "ISSN" : "0092-8674", "PMID" : "7671312", "abstract" : "DNA-dependent protein kinase (DNA-PK), which is involved in DNA double-stranded break repair and V(D)J recombination, comprises a DNA-targeting component called Ku and an approximately 460 kDa catalytic subunit, DNA-PKcs. Here, we describe the cloning of the DNA-PKcs cDNA and show that DNA-PKcs falls into the phosphatidylinositol (PI) 3-kinase family. Biochemical assays, however, indicate that DNA-PK phosphorylates proteins but has no detectable activity toward lipids. Strikingly, DNA-PKcs is most similar to PI kinase family members involved in cell cycle control, DNA repair, and DNA damage responses. These include the FKBP12-rapamycin-binding proteins Tor1p, Tor2p, and FRAP, S. pombe rad3, and the product of the ataxia telangiectasia gene, mutations in which lead to genomic instability and predisposition to cancer. The relationship of these proteins to DNA-PKcs provides important clues to their mechanisms of action.", "author" : [ { "dropping-particle" : "", "family" : "Hartley", "given" : "K O", "non-dropping-particle" : "", "parse-names" : false, "suffix" : "" }, { "dropping-particle" : "", "family" : "Gell", "given" : "D", "non-dropping-particle" : "", "parse-names" : false, "suffix" : "" }, { "dropping-particle" : "", "family" : "Smith", "given" : "G C", "non-dropping-particle" : "", "parse-names" : false, "suffix" : "" }, { "dropping-particle" : "", "family" : "Zhang", "given" : "H", "non-dropping-particle" : "", "parse-names" : false, "suffix" : "" }, { "dropping-particle" : "", "family" : "Divecha", "given" : "N", "non-dropping-particle" : "", "parse-names" : false, "suffix" : "" }, { "dropping-particle" : "", "family" : "Connelly", "given" : "M a", "non-dropping-particle" : "", "parse-names" : false, "suffix" : "" }, { "dropping-particle" : "", "family" : "Admon", "given" : "a", "non-dropping-particle" : "", "parse-names" : false, "suffix" : "" }, { "dropping-particle" : "", "family" : "Lees-Miller", "given" : "S P", "non-dropping-particle" : "", "parse-names" : false, "suffix" : "" }, { "dropping-particle" : "", "family" : "Anderson", "given" : "C W", "non-dropping-particle" : "", "parse-names" : false, "suffix" : "" }, { "dropping-particle" : "", "family" : "Jackson", "given" : "S P", "non-dropping-particle" : "", "parse-names" : false, "suffix" : "" } ], "container-title" : "Cell", "id" : "ITEM-1", "issue" : "5", "issued" : { "date-parts" : [ [ "1995", "9", "8" ] ] }, "page" : "849-56", "title" : "DNA-dependent protein kinase catalytic subunit: a relative of phosphatidylinositol 3-kinase and the ataxia telangiectasia gene product.", "type" : "article-journal", "volume" : "82" }, "uris" : [ "http://www.mendeley.com/documents/?uuid=9e867f30-6283-4c2c-9dfa-682f9214ecfe" ] } ], "mendeley" : { "formattedCitation" : "(Hartley et al. 1995)", "plainTextFormattedCitation" : "(Hartley et al. 1995)", "previouslyFormattedCitation" : "(Hartley et al. 1995)"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(Hartley et al. 1995)</w:t>
      </w:r>
      <w:r w:rsidR="00F20EC0" w:rsidRPr="00DF0680">
        <w:rPr>
          <w:rFonts w:cs="Times New Roman"/>
        </w:rPr>
        <w:fldChar w:fldCharType="end"/>
      </w:r>
      <w:r w:rsidR="00ED6AD6" w:rsidRPr="00DF0680">
        <w:rPr>
          <w:rFonts w:cs="Times New Roman"/>
        </w:rPr>
        <w:t xml:space="preserve">. </w:t>
      </w:r>
      <w:r w:rsidR="0087268B" w:rsidRPr="00DF0680">
        <w:rPr>
          <w:rFonts w:cs="Times New Roman"/>
        </w:rPr>
        <w:t xml:space="preserve">It requires the Ku protein and DNA ends for activation of the kinase and like ATM, phosphorylates H2AX upon </w:t>
      </w:r>
      <w:r w:rsidR="0087268B" w:rsidRPr="00DF0680">
        <w:rPr>
          <w:rFonts w:cs="Times New Roman"/>
        </w:rPr>
        <w:lastRenderedPageBreak/>
        <w:t xml:space="preserve">ionizing radiation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"Gottlieb", "given" : "TM", "non-dropping-particle" : "", "parse-names" : false, "suffix" : "" }, { "dropping-particle" : "", "family" : "Jackson", "given" : "SP", "non-dropping-particle" : "", "parse-names" : false, "suffix" : "" } ], "container-title" : "Cell", "id" : "ITEM-1", "issue" : "1", "issued" : { "date-parts" : [ [ "1993" ] ] }, "page" : "131-142", "title" : "The DNA-dependent protein kinase: requirement for DNA ends and association with Ku antigen", "type" : "article-journal", "volume" : "72" }, "uris" : [ "http://www.mendeley.com/documents/?uuid=e95a9d2c-fe52-4885-9ba8-3dd9fa009cb8" ] } ], "mendeley" : { "formattedCitation" : "(Gottlieb &amp; Jackson 1993)", "plainTextFormattedCitation" : "(Gottlieb &amp; Jackson 1993)", "previouslyFormattedCitation" : "(Gottlieb &amp; Jackson 1993)"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(Gottlieb &amp; Jackson 1993)</w:t>
      </w:r>
      <w:r w:rsidR="00F20EC0" w:rsidRPr="00DF0680">
        <w:rPr>
          <w:rFonts w:cs="Times New Roman"/>
        </w:rPr>
        <w:fldChar w:fldCharType="end"/>
      </w:r>
      <w:r w:rsidR="0087268B" w:rsidRPr="00DF0680">
        <w:rPr>
          <w:rFonts w:cs="Times New Roman"/>
        </w:rPr>
        <w:t xml:space="preserve">. Although DNA-PK does not phosphorylate any other proteins responsible for the checkpoint response, phosphorylation of H2AX contributes to the accumulation of other DNA damage proteins at sites of DSBs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"Gottlieb", "given" : "TM", "non-dropping-particle" : "", "parse-names" : false, "suffix" : "" }, { "dropping-particle" : "", "family" : "Jackson", "given" : "SP", "non-dropping-particle" : "", "parse-names" : false, "suffix" : "" } ], "container-title" : "Cell", "id" : "ITEM-1", "issue" : "1", "issued" : { "date-parts" : [ [ "1993" ] ] }, "page" : "131-142", "title" : "The DNA-dependent protein kinase: requirement for DNA ends and association with Ku antigen", "type" : "article-journal", "volume" : "72" }, "uris" : [ "http://www.mendeley.com/documents/?uuid=e95a9d2c-fe52-4885-9ba8-3dd9fa009cb8" ] } ], "mendeley" : { "formattedCitation" : "(Gottlieb &amp; Jackson 1993)", "plainTextFormattedCitation" : "(Gottlieb &amp; Jackson 1993)", "previouslyFormattedCitation" : "(Gottlieb &amp; Jackson 1993)"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(Gottlieb &amp; Jackson 1993)</w:t>
      </w:r>
      <w:r w:rsidR="00F20EC0" w:rsidRPr="00DF0680">
        <w:rPr>
          <w:rFonts w:cs="Times New Roman"/>
        </w:rPr>
        <w:fldChar w:fldCharType="end"/>
      </w:r>
      <w:r w:rsidR="0087268B" w:rsidRPr="00DF0680">
        <w:rPr>
          <w:rFonts w:cs="Times New Roman"/>
        </w:rPr>
        <w:t xml:space="preserve">. DNA-PK plays a vital role in the phosphorylation of proteins involved in NHEJ </w:t>
      </w:r>
      <w:r w:rsidR="000D12AF" w:rsidRPr="00DF0680">
        <w:rPr>
          <w:rFonts w:cs="Times New Roman"/>
        </w:rPr>
        <w:t>(see 1.3.5</w:t>
      </w:r>
      <w:r w:rsidR="004F1A64" w:rsidRPr="00DF0680">
        <w:rPr>
          <w:rFonts w:cs="Times New Roman"/>
        </w:rPr>
        <w:t>.6</w:t>
      </w:r>
      <w:r w:rsidR="00360CE3" w:rsidRPr="00DF0680">
        <w:rPr>
          <w:rFonts w:cs="Times New Roman"/>
        </w:rPr>
        <w:t>)</w:t>
      </w:r>
      <w:r w:rsidR="0087268B" w:rsidRPr="00DF0680">
        <w:rPr>
          <w:rFonts w:cs="Times New Roman"/>
        </w:rPr>
        <w:t xml:space="preserve">. </w:t>
      </w:r>
    </w:p>
    <w:p w:rsidR="00007DF1" w:rsidRPr="00DF0680" w:rsidRDefault="00763345" w:rsidP="00CD2397">
      <w:pPr>
        <w:rPr>
          <w:rFonts w:cs="Times New Roman"/>
        </w:rPr>
      </w:pPr>
      <w:r w:rsidRPr="00DF0680">
        <w:rPr>
          <w:rFonts w:cs="Times New Roman"/>
        </w:rPr>
        <w:t>ATR</w:t>
      </w:r>
      <w:r w:rsidR="00A553C2" w:rsidRPr="00DF0680">
        <w:rPr>
          <w:rFonts w:cs="Times New Roman"/>
        </w:rPr>
        <w:t xml:space="preserve"> is another PI-3 related kinase, homologous to ATM, which phosphorylates p53 when activated by UV and γ-radiation induced DNA damage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"Hall-Jackson", "given" : "CA", "non-dropping-particle" : "", "parse-names" : false, "suffix" : "" }, { "dropping-particle" : "", "family" : "Cross", "given" : "DA", "non-dropping-particle" : "", "parse-names" : false, "suffix" : "" }, { "dropping-particle" : "", "family" : "Morrice", "given" : "Nick", "non-dropping-particle" : "", "parse-names" : false, "suffix" : "" }, { "dropping-particle" : "", "family" : "Smythe", "given" : "Carl", "non-dropping-particle" : "", "parse-names" : false, "suffix" : "" } ], "container-title" : "Oncogene", "id" : "ITEM-1", "issue" : "48", "issued" : { "date-parts" : [ [ "1999" ] ] }, "page" : "6706-13", "title" : "ATR is a caffeine-sensitive, DNA-activated protein kinase with a substrate specificity distinct from DNA-PK.", "type" : "article-journal", "volume" : "18" }, "uris" : [ "http://www.mendeley.com/documents/?uuid=c9694f0c-2c03-4133-9f17-0c077b7c0f57" ] }, { "id" : "ITEM-2", "itemData" : { "author" : [ { "dropping-particle" : "", "family" : "Tibbetts", "given" : "RS", "non-dropping-particle" : "", "parse-names" : false, "suffix" : "" }, { "dropping-particle" : "", "family" : "Brumbaugh", "given" : "KM", "non-dropping-particle" : "", "parse-names" : false, "suffix" : "" } ], "container-title" : "Genes &amp; Development", "id" : "ITEM-2", "issue" : "2", "issued" : { "date-parts" : [ [ "1999" ] ] }, "page" : "152-157", "title" : "A role for ATR in the DNA damage-induced phosphorylation of p53", "type" : "article-journal", "volume" : "13" }, "uris" : [ "http://www.mendeley.com/documents/?uuid=91bb951e-4916-48b4-90ae-befe39e1bf0a" ] } ], "mendeley" : { "formattedCitation" : "(Hall-Jackson et al. 1999; Tibbetts &amp; Brumbaugh 1999)", "plainTextFormattedCitation" : "(Hall-Jackson et al. 1999; Tibbetts &amp; Brumbaugh 1999)", "previouslyFormattedCitation" : "(Hall-Jackson et al. 1999; Tibbetts &amp; Brumbaugh 1999)"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(Hall-Jackson et al. 1999; Tibbetts &amp; Brumbaugh 1999)</w:t>
      </w:r>
      <w:r w:rsidR="00F20EC0" w:rsidRPr="00DF0680">
        <w:rPr>
          <w:rFonts w:cs="Times New Roman"/>
        </w:rPr>
        <w:fldChar w:fldCharType="end"/>
      </w:r>
      <w:r w:rsidR="00A553C2" w:rsidRPr="00DF0680">
        <w:rPr>
          <w:rFonts w:cs="Times New Roman"/>
        </w:rPr>
        <w:t xml:space="preserve">. </w:t>
      </w:r>
      <w:r w:rsidR="00041F06" w:rsidRPr="00DF0680">
        <w:rPr>
          <w:rFonts w:cs="Times New Roman"/>
        </w:rPr>
        <w:t xml:space="preserve">Some studies show that although p53 phosphorylation does not directly regulate transcriptional activation or apoptosis, it plays a role in p53 stability, inhibiting negative feedback from Mdm2 </w:t>
      </w:r>
      <w:r w:rsidR="00F20EC0" w:rsidRPr="00DF0680">
        <w:rPr>
          <w:rFonts w:cs="Times New Roman"/>
        </w:rPr>
        <w:fldChar w:fldCharType="begin" w:fldLock="1"/>
      </w:r>
      <w:r w:rsidR="0034012C" w:rsidRPr="00DF0680">
        <w:rPr>
          <w:rFonts w:cs="Times New Roman"/>
        </w:rPr>
        <w:instrText>ADDIN CSL_CITATION { "citationItems" : [ { "id" : "ITEM-1", "itemData" : { "DOI" : "10.1074/jbc.M410233200", "ISBN" : "9732358106", "ISSN" : "00219258", "PMID" : "15471885", "abstract" : "The p53 tumor suppressor is a key mediator of the cellular response to stress. Phosphorylation induced by multiple stress-activated kinases has been proposed to be essential for p53 stabilization, interaction with transcriptional co-activators, and activation of p53 target genes. However, genetic studies suggest that stress-activated phosphorylation may not be essential for p53 activation. We therefore investigated the role of p53 phosphorylation on six key serine residues (Ser(6), Ser(15), Ser(20), Ser(37), Ser(46), and Ser(392)) for p53 activation using nutlin-3, a recently developed small molecule MDM2 antagonist. We show here that nutlin does not induce the phosphorylation of p53. Comparison of the activity of unphosphorylated and phosphorylated p53 induced by the genotoxic drugs doxorubicin and etoposide in HCT116 and RKO cells revealed no difference in their sequence-specific DNA binding and ability to transactivate p53 target genes and to induce p53-dependent apoptosis. We conclude that p53 phosphorylation on six major serine sites is not required for activation of p53 target genes or biological responses in vivo.", "author" : [ { "dropping-particle" : "", "family" : "Thompson", "given" : "Thelma", "non-dropping-particle" : "", "parse-names" : false, "suffix" : "" }, { "dropping-particle" : "", "family" : "Tovar", "given" : "Christian", "non-dropping-particle" : "", "parse-names" : false, "suffix" : "" }, { "dropping-particle" : "", "family" : "Yang", "given" : "Hong", "non-dropping-particle" : "", "parse-names" : false, "suffix" : "" }, { "dropping-particle" : "", "family" : "Carvajal", "given" : "Daisy", "non-dropping-particle" : "", "parse-names" : false, "suffix" : "" }, { "dropping-particle" : "", "family" : "Vu", "given" : "Binh T.", "non-dropping-particle" : "", "parse-names" : false, "suffix" : "" }, { "dropping-particle" : "", "family" : "Xu", "given" : "Qunli", "non-dropping-particle" : "", "parse-names" : false, "suffix" : "" }, { "dropping-particle" : "", "family" : "Wahl", "given" : "Geoffrey M.", "non-dropping-particle" : "", "parse-names" : false, "suffix" : "" }, { "dropping-particle" : "", "family" : "Heimbrook", "given" : "David C.", "non-dropping-particle" : "", "parse-names" : false, "suffix" : "" }, { "dropping-particle" : "", "family" : "Vassilev", "given" : "Lyubomir T.", "non-dropping-particle" : "", "parse-names" : false, "suffix" : "" } ], "container-title" : "Journal of Biological Chemistry", "id" : "ITEM-1", "issue" : "51", "issued" : { "date-parts" : [ [ "2004" ] ] }, "page" : "53015-53022", "title" : "Phosphorylation of p53 on key serines is dispensable for transcriptional activation and apoptosis", "type" : "article-journal", "volume" : "279" }, "uris" : [ "http://www.mendeley.com/documents/?uuid=fb1aeb3d-fdf5-493f-9854-eaa7813c0414" ] }, { "id" : "ITEM-2", "itemData" : { "DOI" : "10.1093/emboj/18.7.1805", "ISSN" : "0261-4189", "PMID" : "10202144", "abstract" : "In response to environmental stress, the p53 phosphoprotein is stabilized and activated to inhibit cell growth. p53 stability and activity are negatively regulated by the murine double minute (Mdm2) oncoprotein in an autoregulatory feedback loop. The inhibitory effect of Mdm2 on p53 has to be tightly regulated for proper p53 activity. Phosphorylation is an important level of p53 regulation. In response to DNA damage, p53 is phosphorylated at several N-terminal serines. In this study we examined the role of Ser20, a potential phosphorylation site in human p53, in the regulation of p53 stability and function. Substitution of Ser20 by Ala (p53-Ala20) significantly increases the susceptibility of human p53 to negative regulation by Mdm2 in vivo, as measured by apoptosis and transcription activation assays. Mutation of Ser20 to Ala renders p53 less stable and more prone to Mdm2-mediated degradation. While the in vitro binding of p53 to Mdm2 is not increased by the Ala20 mutation, the same mutation results in a markedly enhanced binding in vivo. This is consistent with the conclusion that phosphorylation of Ser20 in vivo attenuates the binding of wild-type p53 to Mdm2. Peptides bearing non-phosphorylated Ser20 or Ala20 compete with p53 for Mdm2 binding, while a similar peptide with phosphorylated Ser20 does not. This implies a critical role for Ser20 in modulating the negative regulation of p53 by Mdm2, probably through phosphorylation-dependent inhibition of p53-Mdm2 interaction.", "author" : [ { "dropping-particle" : "", "family" : "Unger", "given" : "T", "non-dropping-particle" : "", "parse-names" : false, "suffix" : "" }, { "dropping-particle" : "", "family" : "Juven-Gershon", "given" : "T", "non-dropping-particle" : "", "parse-names" : false, "suffix" : "" }, { "dropping-particle" : "", "family" : "Moallem", "given" : "E", "non-dropping-particle" : "", "parse-names" : false, "suffix" : "" }, { "dropping-particle" : "", "family" : "Berger", "given" : "M", "non-dropping-particle" : "", "parse-names" : false, "suffix" : "" }, { "dropping-particle" : "", "family" : "Vogt Sionov", "given" : "R", "non-dropping-particle" : "", "parse-names" : false, "suffix" : "" }, { "dropping-particle" : "", "family" : "Lozano", "given" : "G", "non-dropping-particle" : "", "parse-names" : false, "suffix" : "" }, { "dropping-particle" : "", "family" : "Oren", "given" : "M", "non-dropping-particle" : "", "parse-names" : false, "suffix" : "" }, { "dropping-particle" : "", "family" : "Haupt", "given" : "Y", "non-dropping-particle" : "", "parse-names" : false, "suffix" : "" } ], "container-title" : "The EMBO journal", "id" : "ITEM-2", "issue" : "7", "issued" : { "date-parts" : [ [ "1999" ] ] }, "page" : "1805-1814", "title" : "Critical role for Ser20 of human p53 in the negative regulation of p53 by Mdm2.", "type" : "article-journal", "volume" : "18" }, "uris" : [ "http://www.mendeley.com/documents/?uuid=4392e058-0823-47e6-b709-2c9215bc56b0" ] } ], "mendeley" : { "formattedCitation" : "(Thompson et al. 2004; Unger et al. 1999)", "plainTextFormattedCitation" : "(Thompson et al. 2004; Unger et al. 1999)", "previouslyFormattedCitation" : "(Thompson et al. 2004; Unger et al. 1999)" }, "properties" : { "noteIndex" : 0 }, "schema" : "https://github.com/citation-style-language/schema/raw/master/csl-citation.json" }</w:instrText>
      </w:r>
      <w:r w:rsidR="00F20EC0" w:rsidRPr="00DF0680">
        <w:rPr>
          <w:rFonts w:cs="Times New Roman"/>
        </w:rPr>
        <w:fldChar w:fldCharType="separate"/>
      </w:r>
      <w:r w:rsidR="00041F06" w:rsidRPr="00DF0680">
        <w:rPr>
          <w:rFonts w:cs="Times New Roman"/>
        </w:rPr>
        <w:t>(Thompson et al. 2004; Unger et al. 1999)</w:t>
      </w:r>
      <w:r w:rsidR="00F20EC0" w:rsidRPr="00DF0680">
        <w:rPr>
          <w:rFonts w:cs="Times New Roman"/>
        </w:rPr>
        <w:fldChar w:fldCharType="end"/>
      </w:r>
      <w:r w:rsidR="00041F06" w:rsidRPr="00DF0680">
        <w:rPr>
          <w:rFonts w:cs="Times New Roman"/>
        </w:rPr>
        <w:t xml:space="preserve">. </w:t>
      </w:r>
      <w:r w:rsidR="00607223" w:rsidRPr="00DF0680">
        <w:rPr>
          <w:rFonts w:cs="Times New Roman"/>
        </w:rPr>
        <w:t>Wherea</w:t>
      </w:r>
      <w:r w:rsidR="002D5579" w:rsidRPr="00DF0680">
        <w:rPr>
          <w:rFonts w:cs="Times New Roman"/>
        </w:rPr>
        <w:t xml:space="preserve">s ATM and DNA-PK both phosphorylate H2AX upon ionizing radiation, H2AX phosphorylation upon replication stress requires ATR </w:t>
      </w:r>
      <w:r w:rsidR="00F20EC0" w:rsidRPr="00DF0680">
        <w:rPr>
          <w:rFonts w:cs="Times New Roman"/>
        </w:rPr>
        <w:fldChar w:fldCharType="begin" w:fldLock="1"/>
      </w:r>
      <w:r w:rsidR="00332613" w:rsidRPr="00DF0680">
        <w:rPr>
          <w:rFonts w:cs="Times New Roman"/>
        </w:rPr>
        <w:instrText>ADDIN CSL_CITATION { "citationItems" : [ { "id" : "ITEM-1", "itemData" : { "DOI" : "10.1074/jbc.C100569200", "ISSN" : "0021-9258", "PMID" : "11673449", "abstract" : "H2AX, a member of the histone H2A family, is rapidly phosphorylated in response to ionizing radiation. This phosphorylation, at an evolutionary conserved C-terminal phosphatidylinositol 3-OH-kinase-related kinase (PI3KK) motif, is thought to be critical for recognition and repair of DNA double strand breaks. Here we report that inhibition of DNA replication by hydroxyurea or ultraviolet irradiation also induces phosphorylation and foci formation of H2AX. These phospho-H2AX foci colocalize with proliferating cell nuclear antigen (PCNA), BRCA1, and 53BP1 at the arrested replication fork in S phase cells. This response is ATR-dependent but does not require ATM or Hus1. Our findings suggest that, in addition to its role in the recognition and repair of double strand breaks, H2AX also participates in the surveillance of DNA replication.", "author" : [ { "dropping-particle" : "", "family" : "Ward", "given" : "I M", "non-dropping-particle" : "", "parse-names" : false, "suffix" : "" }, { "dropping-particle" : "", "family" : "Chen", "given" : "J", "non-dropping-particle" : "", "parse-names" : false, "suffix" : "" } ], "container-title" : "The Journal of Biological Chemistry", "id" : "ITEM-1", "issue" : "51", "issued" : { "date-parts" : [ [ "2001", "12", "21" ] ] }, "page" : "47759-62", "title" : "Histone H2AX is phosphorylated in an ATR-dependent manner in response to replicational stress.", "type" : "article-journal", "volume" : "276" }, "uris" : [ "http://www.mendeley.com/documents/?uuid=e8d75129-a1a3-4157-9a44-b550c5508788" ] } ], "mendeley" : { "formattedCitation" : "(Ward &amp; Chen 2001)", "plainTextFormattedCitation" : "(Ward &amp; Chen 2001)", "previouslyFormattedCitation" : "(Ward &amp; Chen 2001)"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(Ward &amp; Chen 2001)</w:t>
      </w:r>
      <w:r w:rsidR="00F20EC0" w:rsidRPr="00DF0680">
        <w:rPr>
          <w:rFonts w:cs="Times New Roman"/>
        </w:rPr>
        <w:fldChar w:fldCharType="end"/>
      </w:r>
      <w:r w:rsidR="00607223" w:rsidRPr="00DF0680">
        <w:rPr>
          <w:rFonts w:cs="Times New Roman"/>
        </w:rPr>
        <w:t xml:space="preserve">. The ATR interacting protein (ATRIP) is a target for </w:t>
      </w:r>
      <w:r w:rsidR="00E52DD8" w:rsidRPr="00DF0680">
        <w:rPr>
          <w:rFonts w:cs="Times New Roman"/>
        </w:rPr>
        <w:t>phosphorylation</w:t>
      </w:r>
      <w:r w:rsidR="00607223" w:rsidRPr="00DF0680">
        <w:rPr>
          <w:rFonts w:cs="Times New Roman"/>
        </w:rPr>
        <w:t xml:space="preserve"> by ATR, is responsible for ATR protein expression and like defects in ATR alone, ATRIP deletions cause G2/M checkpoint arrest </w:t>
      </w:r>
      <w:r w:rsidR="00F20EC0" w:rsidRPr="00DF0680">
        <w:rPr>
          <w:rFonts w:cs="Times New Roman"/>
        </w:rPr>
        <w:fldChar w:fldCharType="begin" w:fldLock="1"/>
      </w:r>
      <w:r w:rsidR="001112F6" w:rsidRPr="00DF0680">
        <w:rPr>
          <w:rFonts w:cs="Times New Roman"/>
        </w:rPr>
        <w:instrText>ADDIN CSL_CITATION { "citationItems" : [ { "id" : "ITEM-1", "itemData" : { "DOI" : "10.1126/science.1065521", "ISSN" : "0036-8075", "PMID" : "11721054", "abstract" : "The checkpoint kinases ATM (ataxia telangiectasia mutated) and ATR (ATM and Rad3 related) transduce genomic stress signals to halt cell cycle progression and promote DNA repair. We report the identification of an ATR-interacting protein (ATRIP) that is phosphorylated by ATR, regulates ATR expression, and is an essential component of the DNA damage checkpoint pathway. ATR and ATRIP both localize to intranuclear foci after DNA damage or inhibition of replication. Deletion of ATR mediated by the Cre recombinase caused the loss of ATR and ATRIP expression, loss of DNA damage checkpoint responses, and cell death. Therefore, ATR is essential for the viability of human somatic cells. Small interfering RNA directed against ATRIP caused the loss of both ATRIP and ATR expression and the loss of checkpoint responses to DNA damage. Thus, ATRIP and ATR are mutually dependent partners in cell cycle checkpoint signaling pathways.", "author" : [ { "dropping-particle" : "", "family" : "Cortez", "given" : "D", "non-dropping-particle" : "", "parse-names" : false, "suffix" : "" }, { "dropping-particle" : "", "family" : "Guntuku", "given" : "S", "non-dropping-particle" : "", "parse-names" : false, "suffix" : "" }, { "dropping-particle" : "", "family" : "Qin", "given" : "J", "non-dropping-particle" : "", "parse-names" : false, "suffix" : "" }, { "dropping-particle" : "", "family" : "Elledge", "given" : "S J", "non-dropping-particle" : "", "parse-names" : false, "suffix" : "" } ], "container-title" : "Science", "id" : "ITEM-1", "issue" : "5547", "issued" : { "date-parts" : [ [ "2001", "11", "23" ] ] }, "page" : "1713-6", "title" : "ATR and ATRIP: partners in checkpoint signaling.", "type" : "article-journal", "volume" : "294" }, "uris" : [ "http://www.mendeley.com/documents/?uuid=7a7b6716-5f16-4a95-940a-4f8f70c70213" ] } ], "mendeley" : { "formattedCitation" : "(Cortez et al. 2001)", "plainTextFormattedCitation" : "(Cortez et al. 2001)", "previouslyFormattedCitation" : "(Cortez et al. 2001)"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(Cortez et al. 2001)</w:t>
      </w:r>
      <w:r w:rsidR="00F20EC0" w:rsidRPr="00DF0680">
        <w:rPr>
          <w:rFonts w:cs="Times New Roman"/>
        </w:rPr>
        <w:fldChar w:fldCharType="end"/>
      </w:r>
      <w:r w:rsidR="00607223" w:rsidRPr="00DF0680">
        <w:rPr>
          <w:rFonts w:cs="Times New Roman"/>
        </w:rPr>
        <w:t>. It is the interaction of ATRIP with RPA that links and activates ATR in response to the ss-DNA bound RPA chains generated in replication stress</w:t>
      </w:r>
      <w:r w:rsidR="00016D57" w:rsidRPr="00DF0680">
        <w:rPr>
          <w:rFonts w:cs="Times New Roman"/>
        </w:rPr>
        <w:t xml:space="preserve"> </w:t>
      </w:r>
      <w:r w:rsidR="00F20EC0" w:rsidRPr="00DF0680">
        <w:rPr>
          <w:rFonts w:cs="Times New Roman"/>
        </w:rPr>
        <w:fldChar w:fldCharType="begin" w:fldLock="1"/>
      </w:r>
      <w:r w:rsidR="001112F6" w:rsidRPr="00DF0680">
        <w:rPr>
          <w:rFonts w:cs="Times New Roman"/>
        </w:rPr>
        <w:instrText>ADDIN CSL_CITATION { "citationItems" : [ { "id" : "ITEM-1", "itemData" : { "DOI" : "10.1126/science.1083430", "ISSN" : "1095-9203", "PMID" : "12791985", "abstract" : "The function of the ATR (ataxia-telangiectasia mutated- and Rad3-related)-ATRIP (ATR-interacting protein) protein kinase complex is crucial for the cellular response to replication stress and DNA damage. Here, we show that replication protein A (RPA), a protein complex that associates with single-stranded DNA (ssDNA), is required for the recruitment of ATR to sites of DNA damage and for ATR-mediated Chk1 activation in human cells. In vitro, RPA stimulates the binding of ATRIP to ssDNA. The binding of ATRIP to RPA-coated ssDNA enables the ATR-ATRIP complex to associate with DNA and stimulates phosphorylation of the Rad17 protein that is bound to DNA. Furthermore, Ddc2, the budding yeast homolog of ATRIP, is specifically recruited to double-strand DNA breaks in an RPA-dependent manner. A checkpoint-deficient mutant of RPA, rfa1-t11, is defective for recruiting Ddc2 to ssDNA both in vivo and in vitro. Our data suggest that RPA-coated ssDNA is the critical structure at sites of DNA damage that recruits the ATR-ATRIP complex and facilitates its recognition of substrates for phosphorylation and the initiation of checkpoint signaling.", "author" : [ { "dropping-particle" : "", "family" : "Zou", "given" : "Lee", "non-dropping-particle" : "", "parse-names" : false, "suffix" : "" }, { "dropping-particle" : "", "family" : "Elledge", "given" : "Stephen J", "non-dropping-particle" : "", "parse-names" : false, "suffix" : "" } ], "container-title" : "Science", "id" : "ITEM-1", "issue" : "5625", "issued" : { "date-parts" : [ [ "2003", "6", "6" ] ] }, "page" : "1542-8", "title" : "Sensing DNA damage through ATRIP recognition of RPA-ssDNA complexes.", "type" : "article-journal", "volume" : "300" }, "uris" : [ "http://www.mendeley.com/documents/?uuid=982a15d9-704a-497b-818a-9c04f0e80998" ] } ], "mendeley" : { "formattedCitation" : "(Zou &amp; Elledge 2003)", "plainTextFormattedCitation" : "(Zou &amp; Elledge 2003)", "previouslyFormattedCitation" : "(Zou &amp; Elledge 2003)"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(Zou &amp; Elledge 2003)</w:t>
      </w:r>
      <w:r w:rsidR="00F20EC0" w:rsidRPr="00DF0680">
        <w:rPr>
          <w:rFonts w:cs="Times New Roman"/>
        </w:rPr>
        <w:fldChar w:fldCharType="end"/>
      </w:r>
      <w:r w:rsidR="00607223" w:rsidRPr="00DF0680">
        <w:rPr>
          <w:rFonts w:cs="Times New Roman"/>
        </w:rPr>
        <w:t>.</w:t>
      </w:r>
      <w:r w:rsidR="00016D57" w:rsidRPr="00DF0680">
        <w:rPr>
          <w:rFonts w:cs="Times New Roman"/>
        </w:rPr>
        <w:t xml:space="preserve"> </w:t>
      </w:r>
      <w:r w:rsidR="0000156A" w:rsidRPr="00DF0680">
        <w:rPr>
          <w:rFonts w:cs="Times New Roman"/>
        </w:rPr>
        <w:t xml:space="preserve">Along with H2AX and p53, ATR phosphorylates Chk1, once activated, to initiate the cell cycle response to DNA damage </w:t>
      </w:r>
      <w:r w:rsidR="00F20EC0" w:rsidRPr="00DF0680">
        <w:rPr>
          <w:rFonts w:cs="Times New Roman"/>
        </w:rPr>
        <w:fldChar w:fldCharType="begin" w:fldLock="1"/>
      </w:r>
      <w:r w:rsidR="00332613" w:rsidRPr="00DF0680">
        <w:rPr>
          <w:rFonts w:cs="Times New Roman"/>
        </w:rPr>
        <w:instrText>ADDIN CSL_CITATION { "citationItems" : [ { "id" : "ITEM-1", "itemData" : { "DOI" : "10.1101/gad.842500", "ISSN" : "08909369", "author" : [ { "dropping-particle" : "", "family" : "Guo", "given" : "Z.", "non-dropping-particle" : "", "parse-names" : false, "suffix" : "" } ], "container-title" : "Genes &amp; Development", "id" : "ITEM-1", "issue" : "21", "issued" : { "date-parts" : [ [ "2000", "11", "1" ] ] }, "page" : "2745-2756", "title" : "Requirement for Atr in phosphorylation of Chk1 and cell cycle regulation in response to DNA replication blocks and UV-damaged DNA in Xenopus egg extracts", "type" : "article-journal", "volume" : "14" }, "uris" : [ "http://www.mendeley.com/documents/?uuid=492f9064-25f3-4a4c-acd3-114336dc4629" ] } ], "mendeley" : { "formattedCitation" : "(Guo 2000)", "plainTextFormattedCitation" : "(Guo 2000)", "previouslyFormattedCitation" : "(Guo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(Guo 2000)</w:t>
      </w:r>
      <w:r w:rsidR="00F20EC0" w:rsidRPr="00DF0680">
        <w:rPr>
          <w:rFonts w:cs="Times New Roman"/>
        </w:rPr>
        <w:fldChar w:fldCharType="end"/>
      </w:r>
      <w:r w:rsidR="0000156A" w:rsidRPr="00DF0680">
        <w:rPr>
          <w:rFonts w:cs="Times New Roman"/>
        </w:rPr>
        <w:t xml:space="preserve">. </w:t>
      </w:r>
      <w:r w:rsidR="00101B87" w:rsidRPr="00DF0680">
        <w:rPr>
          <w:rFonts w:cs="Times New Roman"/>
        </w:rPr>
        <w:t xml:space="preserve">RPA also helps recruit the checkpoint protein Rad17 to single stranded DNA </w:t>
      </w:r>
      <w:r w:rsidR="00F20EC0" w:rsidRPr="00DF0680">
        <w:rPr>
          <w:rFonts w:cs="Times New Roman"/>
        </w:rPr>
        <w:fldChar w:fldCharType="begin" w:fldLock="1"/>
      </w:r>
      <w:r w:rsidR="001112F6" w:rsidRPr="00DF0680">
        <w:rPr>
          <w:rFonts w:cs="Times New Roman"/>
        </w:rPr>
        <w:instrText>ADDIN CSL_CITATION { "citationItems" : [ { "id" : "ITEM-1", "itemData" : { "DOI" : "10.1073/pnas.2336100100", "ISSN" : "0027-8424", "PMID" : "14605214", "abstract" : "The human Rad17-Rfc2-5 and Rad9-Rad1-Hus1 complexes play crucial roles in the activation of the ATR-mediated DNA damage and DNA replication stress response pathways. In response to DNA damage, Rad9 is recruited to chromatin in a Rad17-dependent manner in human cells. However, the DNA structures recognized by the Rad17-Rfc2-5 complex during the damage response have not been defined. Here, we show that replication protein A (RPA) stimulates the binding of the Rad17-Rfc2-5 complex to single-stranded DNA (ssDNA), primed ssDNA, and a gapped DNA structure. Furthermore, RPA facilitates the recruitment of the Rad9-Rad1-Hus1 complex by the Rad17-Rfc2-5 complex to primed and gapped DNA structures in vitro. These findings suggest that RPA-coated ssDNA is an important part of the structures recognized by the Rad17-Rfc2-5 complex. Unlike replication factor C (RFC), which uses the 3' primer/template junction to recruit proliferating cell nuclear antigen (PCNA), the Rad17-Rfc2-5 complex can use both the 5' and the 3' primer/template junctions to recruit the Rad9-Rad1-Hus1 complex, and it shows a preference for gapped DNA structures. These results explain how the Rad17-Rfc2-5 complex senses DNA damage and DNA replication stress to initiate checkpoint signaling.", "author" : [ { "dropping-particle" : "", "family" : "Zou", "given" : "Lee", "non-dropping-particle" : "", "parse-names" : false, "suffix" : "" }, { "dropping-particle" : "", "family" : "Liu", "given" : "Dou", "non-dropping-particle" : "", "parse-names" : false, "suffix" : "" }, { "dropping-particle" : "", "family" : "Elledge", "given" : "Stephen J", "non-dropping-particle" : "", "parse-names" : false, "suffix" : "" } ], "container-title" : "Proceedings of the National Academy of Sciences", "id" : "ITEM-1", "issue" : "24", "issued" : { "date-parts" : [ [ "2003", "11", "25" ] ] }, "page" : "13827-32", "title" : "Replication protein A-mediated recruitment and activation of Rad17 complexes.", "type" : "article-journal", "volume" : "100" }, "uris" : [ "http://www.mendeley.com/documents/?uuid=759b1e2c-2119-44fe-b63b-58ee9d79e324" ] } ], "mendeley" : { "formattedCitation" : "(Zou et al. 2003)", "plainTextFormattedCitation" : "(Zou et al. 2003)", "previouslyFormattedCitation" : "(Zou et al. 2003)"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(Zou et al. 2003)</w:t>
      </w:r>
      <w:r w:rsidR="00F20EC0" w:rsidRPr="00DF0680">
        <w:rPr>
          <w:rFonts w:cs="Times New Roman"/>
        </w:rPr>
        <w:fldChar w:fldCharType="end"/>
      </w:r>
      <w:r w:rsidR="00937F02" w:rsidRPr="00DF0680">
        <w:rPr>
          <w:rFonts w:cs="Times New Roman"/>
        </w:rPr>
        <w:t xml:space="preserve">. Rad17 shares sequence homology with many clamp loaders such as </w:t>
      </w:r>
      <w:r w:rsidR="001C58E6" w:rsidRPr="00DF0680">
        <w:rPr>
          <w:rFonts w:cs="Times New Roman"/>
        </w:rPr>
        <w:t xml:space="preserve">the </w:t>
      </w:r>
      <w:r w:rsidR="00937F02" w:rsidRPr="00DF0680">
        <w:rPr>
          <w:rFonts w:cs="Times New Roman"/>
        </w:rPr>
        <w:t xml:space="preserve">replication factor C </w:t>
      </w:r>
      <w:r w:rsidR="00463142" w:rsidRPr="00DF0680">
        <w:rPr>
          <w:rFonts w:cs="Times New Roman"/>
        </w:rPr>
        <w:t xml:space="preserve">(RFC) </w:t>
      </w:r>
      <w:r w:rsidR="001C58E6" w:rsidRPr="00DF0680">
        <w:rPr>
          <w:rFonts w:cs="Times New Roman"/>
        </w:rPr>
        <w:t>proteins 1 – 5</w:t>
      </w:r>
      <w:r w:rsidR="00937F02" w:rsidRPr="00DF0680">
        <w:rPr>
          <w:rFonts w:cs="Times New Roman"/>
        </w:rPr>
        <w:t xml:space="preserve">and is </w:t>
      </w:r>
      <w:r w:rsidR="00580401" w:rsidRPr="00DF0680">
        <w:rPr>
          <w:rFonts w:cs="Times New Roman"/>
        </w:rPr>
        <w:t>found in a complex with subunits 2</w:t>
      </w:r>
      <w:r w:rsidR="001C58E6" w:rsidRPr="00DF0680">
        <w:rPr>
          <w:rFonts w:cs="Times New Roman"/>
        </w:rPr>
        <w:t xml:space="preserve"> – </w:t>
      </w:r>
      <w:r w:rsidR="00580401" w:rsidRPr="00DF0680">
        <w:rPr>
          <w:rFonts w:cs="Times New Roman"/>
        </w:rPr>
        <w:t xml:space="preserve">5 of RFC in human cells </w:t>
      </w:r>
      <w:r w:rsidR="00F20EC0" w:rsidRPr="00DF0680">
        <w:rPr>
          <w:rFonts w:cs="Times New Roman"/>
        </w:rPr>
        <w:fldChar w:fldCharType="begin" w:fldLock="1"/>
      </w:r>
      <w:r w:rsidR="00332613" w:rsidRPr="00DF0680">
        <w:rPr>
          <w:rFonts w:cs="Times New Roman"/>
        </w:rPr>
        <w:instrText>ADDIN CSL_CITATION { "citationItems" : [ { "id" : "ITEM-1", "itemData" : { "DOI" : "10.1073/pnas.201373498", "ISSN" : "0027-8424", "PMID" : "11572977", "abstract" : "Checkpoint Rad proteins function early in the DNA damage checkpoint signaling cascade to arrest cell cycle progression in response to DNA damage. This checkpoint ensures the transmission of an intact genetic complement to daughter cells. To learn about the damage sensor function of the human checkpoint Rad proteins, we purified a heteropentameric complex composed of hRad17-RFCp36-RFCp37-RFCp38-RFCp40 (hRad17-RFC) and a heterotrimeric complex composed of hRad9-hHus1-hRad1 (checkpoint 9-1-1 complex). hRad17-RFC binds to DNA, with a preference for primed DNA and possesses weak ATPase activity that is stimulated by primed DNA and single-stranded DNA. hRad17-RFC forms a complex with the 9-1-1 heterotrimer reminiscent of the replication factor C/proliferating cell nuclear antigen clamp loader/sliding clamp complex of the replication machinery. These findings constitute biochemical support for models regarding the roles of checkpoint Rads as damage sensors in the DNA damage checkpoint response of human cells.", "author" : [ { "dropping-particle" : "", "family" : "Lindsey-Boltz", "given" : "L a", "non-dropping-particle" : "", "parse-names" : false, "suffix" : "" }, { "dropping-particle" : "", "family" : "Bermudez", "given" : "V P", "non-dropping-particle" : "", "parse-names" : false, "suffix" : "" }, { "dropping-particle" : "", "family" : "Hurwitz", "given" : "J", "non-dropping-particle" : "", "parse-names" : false, "suffix" : "" }, { "dropping-particle" : "", "family" : "Sancar", "given" : "a", "non-dropping-particle" : "", "parse-names" : false, "suffix" : "" } ], "container-title" : "Proceedings of the National Academy of Sciences", "id" : "ITEM-1", "issue" : "20", "issued" : { "date-parts" : [ [ "2001", "9", "25" ] ] }, "page" : "11236-41", "title" : "Purification and characterization of human DNA damage checkpoint Rad complexes.", "type" : "article-journal", "volume" : "98" }, "uris" : [ "http://www.mendeley.com/documents/?uuid=7d802d72-b263-47a4-8273-8f49baa2bedb" ] }, { "id" : "ITEM-2", "itemData" : { "author" : [ { "dropping-particle" : "", "family" : "Venclovas", "given" : "Ceslovas", "non-dropping-particle" : "", "parse-names" : false, "suffix" : "" }, { "dropping-particle" : "", "family" : "Thelen", "given" : "MP", "non-dropping-particle" : "", "parse-names" : false, "suffix" : "" } ], "container-title" : "Nucleic Acids Research", "id" : "ITEM-2", "issue" : "13", "issued" : { "date-parts" : [ [ "2000" ] ] }, "page" : "2481-2493", "title" : "Structure-based predictions of Rad1, Rad9, Hus1 and Rad17 participation in sliding clamp and clamp-loading complexes", "type" : "article-journal", "volume" : "28" }, "uris" : [ "http://www.mendeley.com/documents/?uuid=92ab2500-eaab-4933-97cc-08531e936ed0" ] } ], "mendeley" : { "formattedCitation" : "(Lindsey-Boltz et al. 2001; Venclovas &amp; Thelen 2000)", "plainTextFormattedCitation" : "(Lindsey-Boltz et al. 2001; Venclovas &amp; Thelen 2000)", "previouslyFormattedCitation" : "(Lindsey-Boltz et al. 2001; Venclovas &amp; Thelen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(Lindsey-Boltz et al. 2001; Venclovas &amp; Thelen 2000)</w:t>
      </w:r>
      <w:r w:rsidR="00F20EC0" w:rsidRPr="00DF0680">
        <w:rPr>
          <w:rFonts w:cs="Times New Roman"/>
        </w:rPr>
        <w:fldChar w:fldCharType="end"/>
      </w:r>
      <w:r w:rsidR="00580401" w:rsidRPr="00DF0680">
        <w:rPr>
          <w:rFonts w:cs="Times New Roman"/>
        </w:rPr>
        <w:t xml:space="preserve">. This complex has ATPase activity, stimulated by ssDNA but not by PCNA which stimulates the RFC complex alone </w:t>
      </w:r>
      <w:r w:rsidR="00F20EC0" w:rsidRPr="00DF0680">
        <w:rPr>
          <w:rFonts w:cs="Times New Roman"/>
        </w:rPr>
        <w:fldChar w:fldCharType="begin" w:fldLock="1"/>
      </w:r>
      <w:r w:rsidR="001112F6" w:rsidRPr="00DF0680">
        <w:rPr>
          <w:rFonts w:cs="Times New Roman"/>
        </w:rPr>
        <w:instrText>ADDIN CSL_CITATION { "citationItems" : [ { "id" : "ITEM-1", "itemData" : { "DOI" : "10.1073/pnas.201373498", "ISSN" : "0027-8424", "PMID" : "11572977", "abstract" : "Checkpoint Rad proteins function early in the DNA damage checkpoint signaling cascade to arrest cell cycle progression in response to DNA damage. This checkpoint ensures the transmission of an intact genetic complement to daughter cells. To learn about the damage sensor function of the human checkpoint Rad proteins, we purified a heteropentameric complex composed of hRad17-RFCp36-RFCp37-RFCp38-RFCp40 (hRad17-RFC) and a heterotrimeric complex composed of hRad9-hHus1-hRad1 (checkpoint 9-1-1 complex). hRad17-RFC binds to DNA, with a preference for primed DNA and possesses weak ATPase activity that is stimulated by primed DNA and single-stranded DNA. hRad17-RFC forms a complex with the 9-1-1 heterotrimer reminiscent of the replication factor C/proliferating cell nuclear antigen clamp loader/sliding clamp complex of the replication machinery. These findings constitute biochemical support for models regarding the roles of checkpoint Rads as damage sensors in the DNA damage checkpoint response of human cells.", "author" : [ { "dropping-particle" : "", "family" : "Lindsey-Boltz", "given" : "L a", "non-dropping-particle" : "", "parse-names" : false, "suffix" : "" }, { "dropping-particle" : "", "family" : "Bermudez", "given" : "V P", "non-dropping-particle" : "", "parse-names" : false, "suffix" : "" }, { "dropping-particle" : "", "family" : "Hurwitz", "given" : "J", "non-dropping-particle" : "", "parse-names" : false, "suffix" : "" }, { "dropping-particle" : "", "family" : "Sancar", "given" : "a", "non-dropping-particle" : "", "parse-names" : false, "suffix" : "" } ], "container-title" : "Proceedings of the National Academy of Sciences", "id" : "ITEM-1", "issue" : "20", "issued" : { "date-parts" : [ [ "2001", "9", "25" ] ] }, "page" : "11236-41", "title" : "Purification and characterization of human DNA damage checkpoint Rad complexes.", "type" : "article-journal", "volume" : "98" }, "uris" : [ "http://www.mendeley.com/documents/?uuid=7d802d72-b263-47a4-8273-8f49baa2bedb" ] } ], "mendeley" : { "formattedCitation" : "(Lindsey-Boltz et al. 2001)", "plainTextFormattedCitation" : "(Lindsey-Boltz et al. 2001)", "previouslyFormattedCitation" : "(Lindsey-Boltz et al. 2001)"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(Lindsey-Boltz et al. 2001)</w:t>
      </w:r>
      <w:r w:rsidR="00F20EC0" w:rsidRPr="00DF0680">
        <w:rPr>
          <w:rFonts w:cs="Times New Roman"/>
        </w:rPr>
        <w:fldChar w:fldCharType="end"/>
      </w:r>
      <w:r w:rsidR="00580401" w:rsidRPr="00DF0680">
        <w:rPr>
          <w:rFonts w:cs="Times New Roman"/>
        </w:rPr>
        <w:t xml:space="preserve">. RPA and Rad17-RFC function together to recruit the other PCNA-like checkpoint complex 9-1-1. </w:t>
      </w:r>
      <w:r w:rsidR="004F1A64" w:rsidRPr="00DF0680">
        <w:rPr>
          <w:rFonts w:cs="Times New Roman"/>
        </w:rPr>
        <w:t xml:space="preserve">The </w:t>
      </w:r>
      <w:r w:rsidR="00B21A85" w:rsidRPr="00DF0680">
        <w:rPr>
          <w:rFonts w:cs="Times New Roman"/>
        </w:rPr>
        <w:t xml:space="preserve">Rad9-Rad1-Hus1 complex (9-1-1) forms a heterotrimeric ring structure like PCNA, and is loaded onto DNA by Rad17-RFC in an ATP and RPA-dependent manner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"Venclovas", "given" : "Ceslovas", "non-dropping-particle" : "", "parse-names" : false, "suffix" : "" }, { "dropping-particle" : "", "family" : "Thelen", "given" : "MP", "non-dropping-particle" : "", "parse-names" : false, "suffix" : "" } ], "container-title" : "Nucleic Acids Research", "id" : "ITEM-1", "issue" : "13", "issued" : { "date-parts" : [ [ "2000" ] ] }, "page" : "2481-2493", "title" : "Structure-based predictions of Rad1, Rad9, Hus1 and Rad17 participation in sliding clamp and clamp-loading complexes", "type" : "article-journal", "volume" : "28" }, "uris" : [ "http://www.mendeley.com/documents/?uuid=92ab2500-eaab-4933-97cc-08531e936ed0" ] }, { "id" : "ITEM-2", "itemData" : { "DOI" : "10.1073/pnas.2336100100", "ISSN" : "0027-8424", "PMID" : "14605214", "abstract" : "The human Rad17-Rfc2-5 and Rad9-Rad1-Hus1 complexes play crucial roles in the activation of the ATR-mediated DNA damage and DNA replication stress response pathways. In response to DNA damage, Rad9 is recruited to chromatin in a Rad17-dependent manner in human cells. However, the DNA structures recognized by the Rad17-Rfc2-5 complex during the damage response have not been defined. Here, we show that replication protein A (RPA) stimulates the binding of the Rad17-Rfc2-5 complex to single-stranded DNA (ssDNA), primed ssDNA, and a gapped DNA structure. Furthermore, RPA facilitates the recruitment of the Rad9-Rad1-Hus1 complex by the Rad17-Rfc2-5 complex to primed and gapped DNA structures in vitro. These findings suggest that RPA-coated ssDNA is an important part of the structures recognized by the Rad17-Rfc2-5 complex. Unlike replication factor C (RFC), which uses the 3' primer/template junction to recruit proliferating cell nuclear antigen (PCNA), the Rad17-Rfc2-5 complex can use both the 5' and the 3' primer/template junctions to recruit the Rad9-Rad1-Hus1 complex, and it shows a preference for gapped DNA structures. These results explain how the Rad17-Rfc2-5 complex senses DNA damage and DNA replication stress to initiate checkpoint signaling.", "author" : [ { "dropping-particle" : "", "family" : "Zou", "given" : "Lee", "non-dropping-particle" : "", "parse-names" : false, "suffix" : "" }, { "dropping-particle" : "", "family" : "Liu", "given" : "Dou", "non-dropping-particle" : "", "parse-names" : false, "suffix" : "" }, { "dropping-particle" : "", "family" : "Elledge", "given" : "Stephen J", "non-dropping-particle" : "", "parse-names" : false, "suffix" : "" } ], "container-title" : "Proceedings of the National Academy of Sciences", "id" : "ITEM-2", "issue" : "24", "issued" : { "date-parts" : [ [ "2003", "11", "25" ] ] }, "page" : "13827-32", "title" : "Replication protein A-mediated recruitment and activation of Rad17 complexes.", "type" : "article-journal", "volume" : "100" }, "uris" : [ "http://www.mendeley.com/documents/?uuid=759b1e2c-2119-44fe-b63b-58ee9d79e324" ] }, { "id" : "ITEM-3", "itemData" : { "DOI" : "10.1073/pnas.0437927100", "ISSN" : "0027-8424", "PMID" : "12578958", "abstract" : "The human DNA damage sensors, Rad17-replication factor C (Rad17-RFC) and the Rad9-Rad1-Hus1 (9-1-1) checkpoint complex, are thought to be involved in the early steps of the DNA damage checkpoint response. Rad17-RFC and the 9-1-1 complex have been shown to be structurally similar to the replication factors, RFC clamp loader and proliferating cell nuclear antigen polymerase clamp, respectively. Here, we demonstrate functional similarities between the replication and checkpoint clamp loader/DNA clamp pairs. When all eight subunits of the two checkpoint complexes are coexpressed in insect cells, a stable Rad17-RFC/9-1-1 checkpoint supercomplex forms in vivo and is readily purified. The two individually purified checkpoint complexes also form a supercomplex in vitro, which depends on ATP and is mediated by interactions between Rad17 and Rad9. Rad17-RFC binds to nicked circular, gapped, and primed DNA and recruits the 9-1-1 complex in an ATP-dependent manner. Electron microscopic analyses of the reaction products indicate that the 9-1-1 ring is clamped around the DNA.", "author" : [ { "dropping-particle" : "", "family" : "Bermudez", "given" : "Vladimir P", "non-dropping-particle" : "", "parse-names" : false, "suffix" : "" }, { "dropping-particle" : "", "family" : "Lindsey-Boltz", "given" : "Laura a", "non-dropping-particle" : "", "parse-names" : false, "suffix" : "" }, { "dropping-particle" : "", "family" : "Cesare", "given" : "Anthony J", "non-dropping-particle" : "", "parse-names" : false, "suffix" : "" }, { "dropping-particle" : "", "family" : "Maniwa", "given" : "Yoshimasa", "non-dropping-particle" : "", "parse-names" : false, "suffix" : "" }, { "dropping-particle" : "", "family" : "Griffith", "given" : "Jack D", "non-dropping-particle" : "", "parse-names" : false, "suffix" : "" }, { "dropping-particle" : "", "family" : "Hurwitz", "given" : "Jerard", "non-dropping-particle" : "", "parse-names" : false, "suffix" : "" }, { "dropping-particle" : "", "family" : "Sancar", "given" : "Aziz", "non-dropping-particle" : "", "parse-names" : false, "suffix" : "" } ], "container-title" : "Proceedings of the National Academy of Sciences", "id" : "ITEM-3", "issue" : "4", "issued" : { "date-parts" : [ [ "2003", "2", "18" ] ] }, "page" : "1633-8", "title" : "Loading of the human 9-1-1 checkpoint complex onto DNA by the checkpoint clamp loader hRad17-replication factor C complex in vitro.", "type" : "article-journal", "volume" : "100" }, "uris" : [ "http://www.mendeley.com/documents/?uuid=ee9d8ac6-f3b7-435f-9189-6ab0861efe0a" ] } ], "mendeley" : { "formattedCitation" : "(Venclovas &amp; Thelen 2000; Zou et al. 2003; Bermudez et al. 2003)", "plainTextFormattedCitation" : "(Venclovas &amp; Thelen 2000; Zou et al. 2003; Bermudez et al. 2003)", "previouslyFormattedCitation" : "(Venclovas &amp; Thelen 2000; Zou et al. 2003; Bermudez et al. 2003)"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(Venclovas &amp; Thelen 2000; Zou et al. 2003; Bermudez et al. 2003)</w:t>
      </w:r>
      <w:r w:rsidR="00F20EC0" w:rsidRPr="00DF0680">
        <w:rPr>
          <w:rFonts w:cs="Times New Roman"/>
        </w:rPr>
        <w:fldChar w:fldCharType="end"/>
      </w:r>
      <w:r w:rsidR="00B21A85" w:rsidRPr="00DF0680">
        <w:rPr>
          <w:rFonts w:cs="Times New Roman"/>
        </w:rPr>
        <w:t xml:space="preserve">. </w:t>
      </w:r>
      <w:r w:rsidR="00A14249" w:rsidRPr="00DF0680">
        <w:rPr>
          <w:rFonts w:cs="Times New Roman"/>
        </w:rPr>
        <w:t xml:space="preserve">This then binds and recruits the protein TopBP1, which has an activation domain to interact with the ATR-ATRIP complex, bringing it into stalled replication forks, and phosphorylating Chk1 </w:t>
      </w:r>
      <w:r w:rsidR="00F20EC0" w:rsidRPr="00DF0680">
        <w:rPr>
          <w:rFonts w:cs="Times New Roman"/>
        </w:rPr>
        <w:fldChar w:fldCharType="begin" w:fldLock="1"/>
      </w:r>
      <w:r w:rsidR="00332613" w:rsidRPr="00DF0680">
        <w:rPr>
          <w:rFonts w:cs="Times New Roman"/>
        </w:rPr>
        <w:instrText>ADDIN CSL_CITATION { "citationItems" : [ { "id" : "ITEM-1", "itemData" : { "DOI" : "10.1101/gad.1547007", "ISSN" : "0890-9369", "PMID" : "17575048", "abstract" : "DNA replication stress triggers the activation of Checkpoint Kinase 1 (Chk1) in a pathway that requires the independent chromatin loading of the ATRIP-ATR (ATR-interacting protein/ATM [ataxia-telangiectasia mutated]-Rad3-related kinase) complex and the Rad9-Hus1-Rad1 (9-1-1) clamp. We show that Rad9's role in Chk1 activation is to bind TopBP1, which stimulates ATR-mediated Chk1 phosphorylation via TopBP1's activation domain (AD), a domain that binds and activates ATR. Notably, fusion of the AD to proliferating cell nuclear antigen (PCNA) or histone H2B bypasses the requirement for the 9-1-1 clamp, indicating that the 9-1-1 clamp's primary role in activating Chk1 is to localize the AD to a stalled replication fork.", "author" : [ { "dropping-particle" : "", "family" : "Delacroix", "given" : "Sinny", "non-dropping-particle" : "", "parse-names" : false, "suffix" : "" }, { "dropping-particle" : "", "family" : "Wagner", "given" : "Jill M", "non-dropping-particle" : "", "parse-names" : false, "suffix" : "" }, { "dropping-particle" : "", "family" : "Kobayashi", "given" : "Masahiko", "non-dropping-particle" : "", "parse-names" : false, "suffix" : "" }, { "dropping-particle" : "", "family" : "Yamamoto", "given" : "Ken-ichi", "non-dropping-particle" : "", "parse-names" : false, "suffix" : "" }, { "dropping-particle" : "", "family" : "Karnitz", "given" : "Larry M", "non-dropping-particle" : "", "parse-names" : false, "suffix" : "" } ], "container-title" : "Genes &amp; Development", "id" : "ITEM-1", "issue" : "12", "issued" : { "date-parts" : [ [ "2007", "6", "15" ] ] }, "page" : "1472-7", "title" : "The Rad9-Hus1-Rad1 (9-1-1) clamp activates checkpoint signaling via TopBP1.", "type" : "article-journal", "volume" : "21" }, "uris" : [ "http://www.mendeley.com/documents/?uuid=8d760eaa-faab-499c-930e-c53c4a126571" ] }, { "id" : "ITEM-2", "itemData" : { "DOI" : "10.1091/mbc.E09-11-0958", "ISSN" : "1939-4586", "PMID" : "20110345", "abstract" : "Rad17 is critical for the ATR-dependent activation of Chk1 during checkpoint responses. It is known that Rad17 loads the Rad9-Hus1-Rad1 (9-1-1) complex onto DNA. We show that Rad17 also mediates the interaction of 9-1-1 with the ATR-activating protein TopBP1 in Xenopus egg extracts. Studies with Rad17 mutants indicate that binding of ATP to Rad17 is essential for the association of 9-1-1 and TopBP1. Furthermore, hydrolysis of ATP by Rad17 is necessary for the loading of 9-1-1 onto DNA and the elevated, checkpoint-dependent accumulation of TopBP1 on chromatin. Significantly, a mutant 9-1-1 complex that cannot bind TopBP1 has a normal capacity to promote elevated accumulation of TopBP1 on chromatin. Taken together, we propose the following mechanism. First, Rad17 loads 9-1-1 onto DNA. Second, TopBP1 accumulates on chromatin in a manner that depends on both Rad17 and 9-1-1. Finally, 9-1-1 and TopBP1 dock in a Rad17-dependent manner before activation of Chk1.", "author" : [ { "dropping-particle" : "", "family" : "Lee", "given" : "Joon", "non-dropping-particle" : "", "parse-names" : false, "suffix" : "" }, { "dropping-particle" : "", "family" : "Dunphy", "given" : "William G", "non-dropping-particle" : "", "parse-names" : false, "suffix" : "" } ], "container-title" : "Molecular Biology of the Cell", "id" : "ITEM-2", "issue" : "6", "issued" : { "date-parts" : [ [ "2010", "3", "15" ] ] }, "page" : "926-35", "title" : "Rad17 plays a central role in establishment of the interaction between TopBP1 and the Rad9-Hus1-Rad1 complex at stalled replication forks.", "type" : "article-journal", "volume" : "21" }, "uris" : [ "http://www.mendeley.com/documents/?uuid=2a02ecae-6427-409e-8ae9-73a45d079b96" ] } ], "mendeley" : { "formattedCitation" : "(Delacroix et al. 2007; Lee &amp; Dunphy 2010)", "plainTextFormattedCitation" : "(Delacroix et al. 2007; Lee &amp; Dunphy 2010)", "previouslyFormattedCitation" : "(Delacroix et al. 2007; Lee &amp; Dunphy 2010)" }, "properties" : { "noteIndex" : 0 }, "schema" : "https://github.com/citation-style-language/schema/raw/master/csl-citation.json" }</w:instrText>
      </w:r>
      <w:r w:rsidR="00F20EC0" w:rsidRPr="00DF0680">
        <w:rPr>
          <w:rFonts w:cs="Times New Roman"/>
        </w:rPr>
        <w:fldChar w:fldCharType="separate"/>
      </w:r>
      <w:r w:rsidR="00C853FD" w:rsidRPr="00DF0680">
        <w:rPr>
          <w:rFonts w:cs="Times New Roman"/>
        </w:rPr>
        <w:t>(Delacroix et al. 2007; Lee &amp; Dunphy 2010)</w:t>
      </w:r>
      <w:r w:rsidR="00F20EC0" w:rsidRPr="00DF0680">
        <w:rPr>
          <w:rFonts w:cs="Times New Roman"/>
        </w:rPr>
        <w:fldChar w:fldCharType="end"/>
      </w:r>
      <w:r w:rsidR="00A14249" w:rsidRPr="00DF0680">
        <w:rPr>
          <w:rFonts w:cs="Times New Roman"/>
        </w:rPr>
        <w:t xml:space="preserve">. </w:t>
      </w:r>
      <w:r w:rsidR="00963C3A" w:rsidRPr="00DF0680">
        <w:rPr>
          <w:rFonts w:cs="Times New Roman"/>
        </w:rPr>
        <w:t xml:space="preserve">Although this mechanism of Chk1 </w:t>
      </w:r>
      <w:r w:rsidR="00360CE3" w:rsidRPr="00DF0680">
        <w:rPr>
          <w:rFonts w:cs="Times New Roman"/>
        </w:rPr>
        <w:t xml:space="preserve">phosphorylation </w:t>
      </w:r>
      <w:r w:rsidR="00963C3A" w:rsidRPr="00DF0680">
        <w:rPr>
          <w:rFonts w:cs="Times New Roman"/>
        </w:rPr>
        <w:t xml:space="preserve">is </w:t>
      </w:r>
      <w:r w:rsidR="00B57DC4" w:rsidRPr="00DF0680">
        <w:rPr>
          <w:rFonts w:cs="Times New Roman"/>
        </w:rPr>
        <w:t>not yet complete</w:t>
      </w:r>
      <w:r w:rsidR="00963C3A" w:rsidRPr="00DF0680">
        <w:rPr>
          <w:rFonts w:cs="Times New Roman"/>
        </w:rPr>
        <w:t xml:space="preserve">, it is clear that there are two main sensors of ssDNA-RPA complexes with the same downstream effector – Chk1. Rad17 is phosphorylated normally during </w:t>
      </w:r>
      <w:r w:rsidR="00963C3A" w:rsidRPr="00DF0680">
        <w:rPr>
          <w:rFonts w:cs="Times New Roman"/>
        </w:rPr>
        <w:lastRenderedPageBreak/>
        <w:t>the cell cycle on Ser</w:t>
      </w:r>
      <w:r w:rsidR="00963C3A" w:rsidRPr="00DF0680">
        <w:rPr>
          <w:rFonts w:cs="Times New Roman"/>
          <w:vertAlign w:val="superscript"/>
        </w:rPr>
        <w:t>635</w:t>
      </w:r>
      <w:r w:rsidR="00963C3A" w:rsidRPr="00DF0680">
        <w:rPr>
          <w:rFonts w:cs="Times New Roman"/>
        </w:rPr>
        <w:t xml:space="preserve"> and Ser</w:t>
      </w:r>
      <w:r w:rsidR="00963C3A" w:rsidRPr="00DF0680">
        <w:rPr>
          <w:rFonts w:cs="Times New Roman"/>
          <w:vertAlign w:val="superscript"/>
        </w:rPr>
        <w:t>645</w:t>
      </w:r>
      <w:r w:rsidR="007449D7" w:rsidRPr="00DF0680">
        <w:rPr>
          <w:rFonts w:cs="Times New Roman"/>
        </w:rPr>
        <w:t xml:space="preserve"> which is required for</w:t>
      </w:r>
      <w:r w:rsidR="00963C3A" w:rsidRPr="00DF0680">
        <w:rPr>
          <w:rFonts w:cs="Times New Roman"/>
        </w:rPr>
        <w:t xml:space="preserve"> </w:t>
      </w:r>
      <w:r w:rsidR="007449D7" w:rsidRPr="00DF0680">
        <w:rPr>
          <w:rFonts w:cs="Times New Roman"/>
        </w:rPr>
        <w:t xml:space="preserve">DNA damage signalling and the </w:t>
      </w:r>
      <w:r w:rsidR="00963C3A" w:rsidRPr="00DF0680">
        <w:rPr>
          <w:rFonts w:cs="Times New Roman"/>
        </w:rPr>
        <w:t xml:space="preserve">G1/S checkpoint after ionizing radiation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"Post", "given" : "Sean", "non-dropping-particle" : "", "parse-names" : false, "suffix" : "" }, { "dropping-particle" : "", "family" : "Weng", "given" : "YC", "non-dropping-particle" : "", "parse-names" : false, "suffix" : "" } ], "container-title" : "Proceedings of the National Academy of Sciences", "id" : "ITEM-1", "issue" : "23", "issued" : { "date-parts" : [ [ "2001" ] ] }, "page" : "13102-7", "title" : "Phosphorylation of serines 635 and 645 of human Rad17 is cell cycle regulated and is required for G1/S checkpoint activation in response to DNA damage", "type" : "article-journal", "volume" : "98" }, "uris" : [ "http://www.mendeley.com/documents/?uuid=bb9be578-9b1a-47f7-964c-ea26cfec3a0b" ] }, { "id" : "ITEM-2", "itemData" : { "author" : [ { "dropping-particle" : "", "family" : "Bao", "given" : "Shideng", "non-dropping-particle" : "", "parse-names" : false, "suffix" : "" }, { "dropping-particle" : "", "family" : "Tibbetts", "given" : "RS", "non-dropping-particle" : "", "parse-names" : false, "suffix" : "" }, { "dropping-particle" : "", "family" : "Brumbaugh", "given" : "KM", "non-dropping-particle" : "", "parse-names" : false, "suffix" : "" } ], "container-title" : "Nature", "id" : "ITEM-2", "issue" : "6840", "issued" : { "date-parts" : [ [ "2001" ] ] }, "page" : "969-974", "title" : "ATR/ATM-mediated phosphorylation of human Rad17 is required for genotoxic stress responses", "type" : "article-journal", "volume" : "411" }, "uris" : [ "http://www.mendeley.com/documents/?uuid=31c24fb4-6b98-4960-88f7-fcd8906073a2" ] } ], "mendeley" : { "formattedCitation" : "(Post &amp; Weng 2001; Bao et al. 2001)", "plainTextFormattedCitation" : "(Post &amp; Weng 2001; Bao et al. 2001)", "previouslyFormattedCitation" : "(Post &amp; Weng 2001; Bao et al. 2001)"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(Post &amp; Weng 2001; Bao et al. 2001)</w:t>
      </w:r>
      <w:r w:rsidR="00F20EC0" w:rsidRPr="00DF0680">
        <w:rPr>
          <w:rFonts w:cs="Times New Roman"/>
        </w:rPr>
        <w:fldChar w:fldCharType="end"/>
      </w:r>
      <w:r w:rsidR="00963C3A" w:rsidRPr="00DF0680">
        <w:rPr>
          <w:rFonts w:cs="Times New Roman"/>
        </w:rPr>
        <w:t xml:space="preserve">. This phosphorylation is important for its interaction with Claspin, which has been shown to be responsible for </w:t>
      </w:r>
      <w:r w:rsidR="007449D7" w:rsidRPr="00DF0680">
        <w:rPr>
          <w:rFonts w:cs="Times New Roman"/>
        </w:rPr>
        <w:t xml:space="preserve">Chk1 phosphorylation </w:t>
      </w:r>
      <w:r w:rsidR="00F20EC0" w:rsidRPr="00DF0680">
        <w:rPr>
          <w:rFonts w:cs="Times New Roman"/>
        </w:rPr>
        <w:fldChar w:fldCharType="begin" w:fldLock="1"/>
      </w:r>
      <w:r w:rsidR="00332613" w:rsidRPr="00DF0680">
        <w:rPr>
          <w:rFonts w:cs="Times New Roman"/>
        </w:rPr>
        <w:instrText>ADDIN CSL_CITATION { "citationItems" : [ { "id" : "ITEM-1", "itemData" : { "DOI" : "10.1016/j.molcel.2006.06.022", "ISSN" : "1097-2765", "PMID" : "16885023", "abstract" : "The ATR-mediated checkpoint is not only critical for responding to genotoxic stress but also essential for cell proliferation. The RFC-related checkpoint protein Rad17, a phosphorylation substrate of ATR, is critical for ATR-mediated checkpoint signaling and cell survival. Here, we show that phosphorylation of Rad17 by ATR is important for genomic stability and restraint of S phase but is not essential for cell survival. The phosphomutant Rad17AA exhibits distinct defects in hydroxyurea- (HU) and ultraviolet- (UV) induced Chk1 activation, indicating that separate Rad17 functions are required differently in response to different types of replication interference. Although cells expressing Rad17AA can initiate Chk1 phosphorylation after HU treatment, they fail to sustain Chk1 phosphorylation after withdrawal of HU and are profoundly sensitive to HU. Importantly, we found that phosphorylated Rad17 interacts with Claspin and regulates its phosphorylation. These findings reveal a phosphorylation-dependent function of Rad17 in an ATR-Rad17-Claspin-Chk1-signaling cascade that responds to specific replication stress.", "author" : [ { "dropping-particle" : "", "family" : "Wang", "given" : "Xin", "non-dropping-particle" : "", "parse-names" : false, "suffix" : "" }, { "dropping-particle" : "", "family" : "Zou", "given" : "Lee", "non-dropping-particle" : "", "parse-names" : false, "suffix" : "" }, { "dropping-particle" : "", "family" : "Lu", "given" : "Tao", "non-dropping-particle" : "", "parse-names" : false, "suffix" : "" }, { "dropping-particle" : "", "family" : "Bao", "given" : "Shilai", "non-dropping-particle" : "", "parse-names" : false, "suffix" : "" }, { "dropping-particle" : "", "family" : "Hurov", "given" : "Kristen E", "non-dropping-particle" : "", "parse-names" : false, "suffix" : "" }, { "dropping-particle" : "", "family" : "Hittelman", "given" : "Walter N", "non-dropping-particle" : "", "parse-names" : false, "suffix" : "" }, { "dropping-particle" : "", "family" : "Elledge", "given" : "Stephen J", "non-dropping-particle" : "", "parse-names" : false, "suffix" : "" }, { "dropping-particle" : "", "family" : "Li", "given" : "Lei", "non-dropping-particle" : "", "parse-names" : false, "suffix" : "" } ], "container-title" : "Molecular Cell", "id" : "ITEM-1", "issue" : "3", "issued" : { "date-parts" : [ [ "2006", "8", "4" ] ] }, "page" : "331-41", "title" : "Rad17 phosphorylation is required for claspin recruitment and Chk1 activation in response to replication stress.", "type" : "article-journal", "volume" : "23" }, "uris" : [ "http://www.mendeley.com/documents/?uuid=f6bd731f-55d6-4271-8637-1f1563a71729" ] }, { "id" : "ITEM-2", "itemData" : { "DOI" : "10.1074/jbc.M301136200", "ISBN" : "5075381545", "ISSN" : "0021-9258", "PMID" : "12766152", "abstract" : "Claspin is a newly identified protein that regulates Chk1 activation in Xenopus. In the present study we investigated the role of human Claspin in the DNA damage/replication checkpoint in mammalian cells. We observed that human Claspin is a cell cycle regulated protein that peaks at S/G2 phase. Claspin localizes in the nuclei, but it only associates with Chk1 following replication stress or other types of DNA damage. In addition, Claspin is phosphorylated in response to replication stress, and this phosphorylation appears to be required for its association with Chk1. Moreover, Claspin interacts with the checkpoint proteins ATR and Rad9. Given that both the ATR and Rad9-Rad1-Hus1 complexes are involved in Chk1 activation, it is possible that Claspin works as an adaptor molecule bringing these molecules together. Using small interfering RNA technology, we have shown that down-regulation of Claspin expression inhibits Chk1 activation in response to replication stress. More importantly, down-regulation of Claspin augments the premature chromatin condensation induced by hydroxyurea, inhibits the UV-induced reduction of DNA synthesis, and decreases cell survival. Taken together, these data imply a potentially critical role for Claspin in replication checkpoint control in mammalian cells.", "author" : [ { "dropping-particle" : "", "family" : "Chini", "given" : "Claudia Christiano Silva", "non-dropping-particle" : "", "parse-names" : false, "suffix" : "" }, { "dropping-particle" : "", "family" : "Chen", "given" : "Junjie", "non-dropping-particle" : "", "parse-names" : false, "suffix" : "" } ], "container-title" : "The Journal of Biological Chemistry", "id" : "ITEM-2", "issue" : "32", "issued" : { "date-parts" : [ [ "2003", "8", "8" ] ] }, "page" : "30057-62", "title" : "Human claspin is required for replication checkpoint control.", "type" : "article-journal", "volume" : "278" }, "uris" : [ "http://www.mendeley.com/documents/?uuid=af40d773-da2b-479c-8177-608e24d0dc84" ] } ], "mendeley" : { "formattedCitation" : "(Wang et al. 2006; Chini &amp; Chen 2003)", "plainTextFormattedCitation" : "(Wang et al. 2006; Chini &amp; Chen 2003)", "previouslyFormattedCitation" : "(Wang et al. 2006; Chini &amp; Chen 2003)"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(Wang et al. 2006; Chini &amp; Chen 2003)</w:t>
      </w:r>
      <w:r w:rsidR="00F20EC0" w:rsidRPr="00DF0680">
        <w:rPr>
          <w:rFonts w:cs="Times New Roman"/>
        </w:rPr>
        <w:fldChar w:fldCharType="end"/>
      </w:r>
      <w:r w:rsidR="007449D7" w:rsidRPr="00DF0680">
        <w:rPr>
          <w:rFonts w:cs="Times New Roman"/>
        </w:rPr>
        <w:t xml:space="preserve">. Although this Rad17 </w:t>
      </w:r>
      <w:r w:rsidR="00E52DD8" w:rsidRPr="00DF0680">
        <w:rPr>
          <w:rFonts w:cs="Times New Roman"/>
        </w:rPr>
        <w:t>phosphorylation</w:t>
      </w:r>
      <w:r w:rsidR="007449D7" w:rsidRPr="00DF0680">
        <w:rPr>
          <w:rFonts w:cs="Times New Roman"/>
        </w:rPr>
        <w:t xml:space="preserve"> has been shown to be the effect of ATR, Rad17 can be phosphorylated independently of ATR after treatment with HU, possibly through ATM</w:t>
      </w:r>
      <w:r w:rsidR="00C853FD" w:rsidRPr="00DF0680">
        <w:rPr>
          <w:rFonts w:cs="Times New Roman"/>
        </w:rPr>
        <w:t xml:space="preserve"> </w:t>
      </w:r>
      <w:r w:rsidR="007154DD" w:rsidRPr="00DF0680">
        <w:rPr>
          <w:rFonts w:cs="Times New Roman"/>
        </w:rPr>
        <w:t>in a role of</w:t>
      </w:r>
      <w:r w:rsidR="00C853FD" w:rsidRPr="00DF0680">
        <w:rPr>
          <w:rFonts w:cs="Times New Roman"/>
        </w:rPr>
        <w:t xml:space="preserve"> double-strand break signalling</w:t>
      </w:r>
      <w:r w:rsidR="007449D7"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"Post", "given" : "Sean", "non-dropping-particle" : "", "parse-names" : false, "suffix" : "" }, { "dropping-particle" : "", "family" : "Weng", "given" : "YC", "non-dropping-particle" : "", "parse-names" : false, "suffix" : "" } ], "container-title" : "Proceedings of the National Academy of Sciences", "id" : "ITEM-1", "issue" : "23", "issued" : { "date-parts" : [ [ "2001" ] ] }, "page" : "13102-7", "title" : "Phosphorylation of serines 635 and 645 of human Rad17 is cell cycle regulated and is required for G1/S checkpoint activation in response to DNA damage", "type" : "article-journal", "volume" : "98" }, "uris" : [ "http://www.mendeley.com/documents/?uuid=bb9be578-9b1a-47f7-964c-ea26cfec3a0b" ] }, { "id" : "ITEM-2", "itemData" : { "DOI" : "10.1101/gad.950302", "ISSN" : "0890-9369", "PMID" : "11799063", "abstract" : "Cells respond to DNA damage by activating a network of signaling pathways that control cell cycle progression and DNA repair. Genetic studies in yeast suggested that several checkpoint proteins, including the RFC-related Rad17 protein, and the PCNA-related Rad1-Rad9-Hus1 protein complex might function as sensors of DNA damage. In this study, we show that the human Rad17 protein recruits the Rad9 protein complex onto chromatin after damage. Rad17 binds to chromatin prior to damage and is phosphorylated by ATR on chromatin after damage but Rad17's phosphorylation is not required for Rad9 loading onto chromatin. The chromatin associations of Rad17 and ATR are largely independent, which suggests that they localize to DNA damage independently. Furthermore, the phosphorylation of Rad17 requires Hus1, suggesting that the Rad1-Rad9-Hus1 complex recruited by Rad17 enables ATR to recognize its substrates. Our data are consistent with a model in which multiple checkpoint protein complexes localize to sites of DNA damage independently and interact to trigger the checkpoint-signaling cascade.", "author" : [ { "dropping-particle" : "", "family" : "Zou", "given" : "Lee", "non-dropping-particle" : "", "parse-names" : false, "suffix" : "" }, { "dropping-particle" : "", "family" : "Cortez", "given" : "David", "non-dropping-particle" : "", "parse-names" : false, "suffix" : "" }, { "dropping-particle" : "", "family" : "Elledge", "given" : "Stephen J", "non-dropping-particle" : "", "parse-names" : false, "suffix" : "" } ], "container-title" : "Genes &amp; Development", "id" : "ITEM-2", "issue" : "2", "issued" : { "date-parts" : [ [ "2002", "1", "15" ] ] }, "page" : "198-208", "title" : "Regulation of ATR substrate selection by Rad17-dependent loading of Rad9 complexes onto chromatin.", "type" : "article-journal", "volume" : "16" }, "uris" : [ "http://www.mendeley.com/documents/?uuid=30e890e1-ca25-40a8-82d4-c137edb55a96" ] }, { "id" : "ITEM-3", "itemData" : { "author" : [ { "dropping-particle" : "", "family" : "Bao", "given" : "Shideng", "non-dropping-particle" : "", "parse-names" : false, "suffix" : "" }, { "dropping-particle" : "", "family" : "Tibbetts", "given" : "RS", "non-dropping-particle" : "", "parse-names" : false, "suffix" : "" }, { "dropping-particle" : "", "family" : "Brumbaugh", "given" : "KM", "non-dropping-particle" : "", "parse-names" : false, "suffix" : "" } ], "container-title" : "Nature", "id" : "ITEM-3", "issue" : "6840", "issued" : { "date-parts" : [ [ "2001" ] ] }, "page" : "969-974", "title" : "ATR/ATM-mediated phosphorylation of human Rad17 is required for genotoxic stress responses", "type" : "article-journal", "volume" : "411" }, "uris" : [ "http://www.mendeley.com/documents/?uuid=31c24fb4-6b98-4960-88f7-fcd8906073a2" ] }, { "id" : "ITEM-4", "itemData" : { "author" : [ { "dropping-particle" : "", "family" : "Wang", "given" : "Qinhong", "non-dropping-particle" : "", "parse-names" : false, "suffix" : "" }, { "dropping-particle" : "", "family" : "Goldstein", "given" : "Michael", "non-dropping-particle" : "", "parse-names" : false, "suffix" : "" }, { "dropping-particle" : "", "family" : "Alexander", "given" : "Peter", "non-dropping-particle" : "", "parse-names" : false, "suffix" : "" }, { "dropping-particle" : "", "family" : "Wakeman", "given" : "Timothy P", "non-dropping-particle" : "", "parse-names" : false, "suffix" : "" }, { "dropping-particle" : "", "family" : "Sun", "given" : "Tao", "non-dropping-particle" : "", "parse-names" : false, "suffix" : "" }, { "dropping-particle" : "", "family" : "Feng", "given" : "Junjie", "non-dropping-particle" : "", "parse-names" : false, "suffix" : "" }, { "dropping-particle" : "", "family" : "Lou", "given" : "Zhenkun", "non-dropping-particle" : "", "parse-names" : false, "suffix" : "" }, { "dropping-particle" : "", "family" : "Kastan", "given" : "Michael B", "non-dropping-particle" : "", "parse-names" : false, "suffix" : "" }, { "dropping-particle" : "", "family" : "Wang", "given" : "Xiao-fan", "non-dropping-particle" : "", "parse-names" : false, "suffix" : "" } ], "container-title" : "The EMBO Journal", "id" : "ITEM-4", "issue" : "8", "issued" : { "date-parts" : [ [ "2014" ] ] }, "page" : "862-878", "title" : "Rad 17 recruits the MRE11-RAD50-NBS1 complex to regulate the cellular response to DNA double-strand breaks", "type" : "article-journal", "volume" : "33" }, "uris" : [ "http://www.mendeley.com/documents/?uuid=1819acfc-38e3-4afb-be2c-e312cab5ef88" ] } ], "mendeley" : { "formattedCitation" : "(Post &amp; Weng 2001; Zou et al. 2002; Bao et al. 2001; Wang et al. 2014)", "plainTextFormattedCitation" : "(Post &amp; Weng 2001; Zou et al. 2002; Bao et al. 2001; Wang et al. 2014)", "previouslyFormattedCitation" : "(Post &amp; Weng 2001; Zou et al. 2002; Bao et al. 2001; Wang et al. 2014)" }, "properties" : { "noteIndex" : 0 }, "schema" : "https://github.com/citation-style-language/schema/raw/master/csl-citation.json" }</w:instrText>
      </w:r>
      <w:r w:rsidR="00F20EC0" w:rsidRPr="00DF0680">
        <w:rPr>
          <w:rFonts w:cs="Times New Roman"/>
        </w:rPr>
        <w:fldChar w:fldCharType="separate"/>
      </w:r>
      <w:r w:rsidR="00C853FD" w:rsidRPr="00DF0680">
        <w:rPr>
          <w:rFonts w:cs="Times New Roman"/>
        </w:rPr>
        <w:t>(Post &amp; Weng 2001; Zou et al. 2002; Bao et al. 2001; Wang et al. 2014)</w:t>
      </w:r>
      <w:r w:rsidR="00F20EC0" w:rsidRPr="00DF0680">
        <w:rPr>
          <w:rFonts w:cs="Times New Roman"/>
        </w:rPr>
        <w:fldChar w:fldCharType="end"/>
      </w:r>
      <w:r w:rsidR="007449D7" w:rsidRPr="00DF0680">
        <w:rPr>
          <w:rFonts w:cs="Times New Roman"/>
        </w:rPr>
        <w:t xml:space="preserve">. </w:t>
      </w:r>
    </w:p>
    <w:p w:rsidR="002D5579" w:rsidRPr="00DF0680" w:rsidRDefault="00B57DC4" w:rsidP="00E664FC">
      <w:pPr>
        <w:pStyle w:val="Heading3"/>
      </w:pPr>
      <w:bookmarkStart w:id="61" w:name="_Toc417204088"/>
      <w:bookmarkStart w:id="62" w:name="_Toc417674325"/>
      <w:r w:rsidRPr="00DF0680">
        <w:t xml:space="preserve">Effects on the </w:t>
      </w:r>
      <w:r w:rsidR="00CE6110" w:rsidRPr="00DF0680">
        <w:t>c</w:t>
      </w:r>
      <w:r w:rsidR="002D5579" w:rsidRPr="00DF0680">
        <w:t>ell cycle</w:t>
      </w:r>
      <w:bookmarkEnd w:id="61"/>
      <w:bookmarkEnd w:id="62"/>
    </w:p>
    <w:p w:rsidR="004622F8" w:rsidRPr="00DF0680" w:rsidRDefault="002D2DFC" w:rsidP="00495B5A">
      <w:pPr>
        <w:rPr>
          <w:rFonts w:cs="Times New Roman"/>
        </w:rPr>
      </w:pPr>
      <w:r w:rsidRPr="00DF0680">
        <w:rPr>
          <w:rFonts w:cs="Times New Roman"/>
        </w:rPr>
        <w:t>During the cell cycle, a single cell</w:t>
      </w:r>
      <w:r w:rsidR="004622F8" w:rsidRPr="00DF0680">
        <w:rPr>
          <w:rFonts w:cs="Times New Roman"/>
        </w:rPr>
        <w:t xml:space="preserve"> goes through a growth phase (G1), synthesis phase (S), another growth phase (G2), followed by mitosis (M). However, in the presence of DNA damage, if cell growth and division still occurs, mutations</w:t>
      </w:r>
      <w:r w:rsidRPr="00DF0680">
        <w:rPr>
          <w:rFonts w:cs="Times New Roman"/>
        </w:rPr>
        <w:t>, deletions, insertions and chromosome aberrations</w:t>
      </w:r>
      <w:r w:rsidR="004622F8" w:rsidRPr="00DF0680">
        <w:rPr>
          <w:rFonts w:cs="Times New Roman"/>
        </w:rPr>
        <w:t xml:space="preserve"> </w:t>
      </w:r>
      <w:r w:rsidR="007D0EFC" w:rsidRPr="00DF0680">
        <w:rPr>
          <w:rFonts w:cs="Times New Roman"/>
        </w:rPr>
        <w:t xml:space="preserve">can </w:t>
      </w:r>
      <w:r w:rsidR="004622F8" w:rsidRPr="00DF0680">
        <w:rPr>
          <w:rFonts w:cs="Times New Roman"/>
        </w:rPr>
        <w:t xml:space="preserve">become fixed in the genome causing genomic instability. </w:t>
      </w:r>
      <w:r w:rsidR="00735680" w:rsidRPr="00DF0680">
        <w:rPr>
          <w:rFonts w:cs="Times New Roman"/>
        </w:rPr>
        <w:t xml:space="preserve">So the cell has mechanisms in place to arrest the cell cycle, to give itself time to repair the damage, </w:t>
      </w:r>
      <w:r w:rsidRPr="00DF0680">
        <w:rPr>
          <w:rFonts w:cs="Times New Roman"/>
        </w:rPr>
        <w:t xml:space="preserve">prior to resuming progression, </w:t>
      </w:r>
      <w:r w:rsidR="00735680" w:rsidRPr="00DF0680">
        <w:rPr>
          <w:rFonts w:cs="Times New Roman"/>
        </w:rPr>
        <w:t xml:space="preserve">which are called checkpoints. </w:t>
      </w:r>
      <w:r w:rsidRPr="00DF0680">
        <w:rPr>
          <w:rFonts w:cs="Times New Roman"/>
        </w:rPr>
        <w:t xml:space="preserve">These checkpoints are found at the border of G1/S, S, at the </w:t>
      </w:r>
      <w:r w:rsidR="00023C1B" w:rsidRPr="00DF0680">
        <w:rPr>
          <w:rFonts w:cs="Times New Roman"/>
        </w:rPr>
        <w:t>G2/M</w:t>
      </w:r>
      <w:r w:rsidRPr="00DF0680">
        <w:rPr>
          <w:rFonts w:cs="Times New Roman"/>
        </w:rPr>
        <w:t xml:space="preserve"> border and before mitotic spindle assembly</w:t>
      </w:r>
      <w:r w:rsidR="00023C1B" w:rsidRPr="00DF0680">
        <w:rPr>
          <w:rFonts w:cs="Times New Roman"/>
        </w:rPr>
        <w:t xml:space="preserve"> </w:t>
      </w:r>
      <w:r w:rsidRPr="00DF0680">
        <w:rPr>
          <w:rFonts w:cs="Times New Roman"/>
        </w:rPr>
        <w:t>and</w:t>
      </w:r>
      <w:r w:rsidR="00360CE3" w:rsidRPr="00DF0680">
        <w:rPr>
          <w:rFonts w:cs="Times New Roman"/>
        </w:rPr>
        <w:t xml:space="preserve"> are described here.</w:t>
      </w:r>
      <w:r w:rsidRPr="00DF0680">
        <w:rPr>
          <w:rFonts w:cs="Times New Roman"/>
        </w:rPr>
        <w:t xml:space="preserve"> </w:t>
      </w:r>
    </w:p>
    <w:p w:rsidR="00E442CF" w:rsidRPr="00DF0680" w:rsidRDefault="002C08AC" w:rsidP="00495B5A">
      <w:pPr>
        <w:rPr>
          <w:rFonts w:cs="Times New Roman"/>
        </w:rPr>
      </w:pPr>
      <w:r w:rsidRPr="00DF0680">
        <w:rPr>
          <w:rFonts w:cs="Times New Roman"/>
        </w:rPr>
        <w:t>The G1</w:t>
      </w:r>
      <w:r w:rsidR="007D0EFC" w:rsidRPr="00DF0680">
        <w:rPr>
          <w:rFonts w:cs="Times New Roman"/>
        </w:rPr>
        <w:t>/S</w:t>
      </w:r>
      <w:r w:rsidRPr="00DF0680">
        <w:rPr>
          <w:rFonts w:cs="Times New Roman"/>
        </w:rPr>
        <w:t xml:space="preserve"> </w:t>
      </w:r>
      <w:r w:rsidR="00D557E8" w:rsidRPr="00DF0680">
        <w:rPr>
          <w:rFonts w:cs="Times New Roman"/>
        </w:rPr>
        <w:t>checkpoint</w:t>
      </w:r>
      <w:r w:rsidR="0027241A" w:rsidRPr="00DF0680">
        <w:rPr>
          <w:rFonts w:cs="Times New Roman"/>
        </w:rPr>
        <w:t xml:space="preserve"> prevents</w:t>
      </w:r>
      <w:r w:rsidRPr="00DF0680">
        <w:rPr>
          <w:rFonts w:cs="Times New Roman"/>
        </w:rPr>
        <w:t xml:space="preserve"> cells </w:t>
      </w:r>
      <w:r w:rsidR="0027241A" w:rsidRPr="00DF0680">
        <w:rPr>
          <w:rFonts w:cs="Times New Roman"/>
        </w:rPr>
        <w:t xml:space="preserve">from entering </w:t>
      </w:r>
      <w:r w:rsidRPr="00DF0680">
        <w:rPr>
          <w:rFonts w:cs="Times New Roman"/>
        </w:rPr>
        <w:t xml:space="preserve">S phase </w:t>
      </w:r>
      <w:r w:rsidR="0027241A" w:rsidRPr="00DF0680">
        <w:rPr>
          <w:rFonts w:cs="Times New Roman"/>
        </w:rPr>
        <w:t xml:space="preserve">and starting replication, giving the cell more time to repair any DNA damage. The checkpoint </w:t>
      </w:r>
      <w:r w:rsidR="00D557E8" w:rsidRPr="00DF0680">
        <w:rPr>
          <w:rFonts w:cs="Times New Roman"/>
        </w:rPr>
        <w:t>is</w:t>
      </w:r>
      <w:r w:rsidR="00023C1B" w:rsidRPr="00DF0680">
        <w:rPr>
          <w:rFonts w:cs="Times New Roman"/>
        </w:rPr>
        <w:t xml:space="preserve"> controlled by the levels of p53, which as mentioned above, is phosphorylated by </w:t>
      </w:r>
      <w:r w:rsidR="0078128C" w:rsidRPr="00DF0680">
        <w:rPr>
          <w:rFonts w:cs="Times New Roman"/>
        </w:rPr>
        <w:t>ATM</w:t>
      </w:r>
      <w:r w:rsidR="00023C1B" w:rsidRPr="00DF0680">
        <w:rPr>
          <w:rFonts w:cs="Times New Roman"/>
        </w:rPr>
        <w:t xml:space="preserve"> and ATR</w:t>
      </w:r>
      <w:r w:rsidR="0078128C" w:rsidRPr="00DF0680">
        <w:rPr>
          <w:rFonts w:cs="Times New Roman"/>
        </w:rPr>
        <w:t xml:space="preserve">, as well as their downstream targets CHK1 and CHK2 </w:t>
      </w:r>
      <w:r w:rsidR="007D0EFC" w:rsidRPr="00DF0680">
        <w:rPr>
          <w:rFonts w:cs="Times New Roman"/>
        </w:rPr>
        <w:t xml:space="preserve">upon DNA damage </w:t>
      </w:r>
      <w:r w:rsidR="00F20EC0" w:rsidRPr="00DF0680">
        <w:rPr>
          <w:rFonts w:cs="Times New Roman"/>
        </w:rPr>
        <w:fldChar w:fldCharType="begin" w:fldLock="1"/>
      </w:r>
      <w:r w:rsidR="00E1608C" w:rsidRPr="00DF0680">
        <w:rPr>
          <w:rFonts w:cs="Times New Roman"/>
        </w:rPr>
        <w:instrText>ADDIN CSL_CITATION { "citationItems" : [ { "id" : "ITEM-1", "itemData" : { "ISSN" : "1535-6108", "PMID" : "12781359", "abstract" : "Accumulation of mutations and chromosomal aberrations is one of the hallmarks of cancer cells. This enhanced genetic instability is fueled by defects in the genome maintenance mechanisms including DNA repair and cell cycle checkpoint pathways. Here, we discuss the emerging roles of the mammalian Chk1 and Chk2 kinases as key signal transducers within the complex network of genome integrity checkpoints, as candidate tumor suppressors disrupted in sporadic as well as some hereditary malignancies and as potential targets of new anticancer therapies.", "author" : [ { "dropping-particle" : "", "family" : "Bartek", "given" : "Jiri", "non-dropping-particle" : "", "parse-names" : false, "suffix" : "" }, { "dropping-particle" : "", "family" : "Lukas", "given" : "Jiri", "non-dropping-particle" : "", "parse-names" : false, "suffix" : "" } ], "container-title" : "Cancer Cell", "id" : "ITEM-1", "issue" : "5", "issued" : { "date-parts" : [ [ "2003", "5" ] ] }, "page" : "421-9", "title" : "Chk1 and Chk2 kinases in checkpoint control and cancer.", "type" : "article-journal", "volume" : "3" }, "uris" : [ "http://www.mendeley.com/documents/?uuid=e79ebce7-e48b-4ceb-ac17-3a7b1653ca29" ] }, { "id" : "ITEM-2", "itemData" : { "DOI" : "10.1126/science.281.5383.1677", "author" : [ { "dropping-particle" : "", "family" : "Canman", "given" : "C. E.", "non-dropping-particle" : "", "parse-names" : false, "suffix" : "" }, { "dropping-particle" : "", "family" : "Lim", "given" : "DS", "non-dropping-particle" : "", "parse-names" : false, "suffix" : "" }, { "dropping-particle" : "", "family" : "Cimprich", "given" : "K. A.", "non-dropping-particle" : "", "parse-names" : false, "suffix" : "" }, { "dropping-particle" : "", "family" : "Taya", "given" : "Y", "non-dropping-particle" : "", "parse-names" : false, "suffix" : "" }, { "dropping-particle" : "", "family" : "Tamai", "given" : "K", "non-dropping-particle" : "", "parse-names" : false, "suffix" : "" }, { "dropping-particle" : "", "family" : "Sakaguchi", "given" : "K", "non-dropping-particle" : "", "parse-names" : false, "suffix" : "" }, { "dropping-particle" : "", "family" : "Appella", "given" : "E", "non-dropping-particle" : "", "parse-names" : false, "suffix" : "" }, { "dropping-particle" : "", "family" : "Kastan", "given" : "M. B.", "non-dropping-particle" : "", "parse-names" : false, "suffix" : "" }, { "dropping-particle" : "", "family" : "Siliciano", "given" : "J. D.", "non-dropping-particle" : "", "parse-names" : false, "suffix" : "" } ], "container-title" : "Science", "id" : "ITEM-2", "issue" : "5383", "issued" : { "date-parts" : [ [ "1998", "9", "11" ] ] }, "page" : "1677-1679", "title" : "Activation of the ATM Kinase by Ionizing Radiation and Phosphorylation of p53", "type" : "article-journal", "volume" : "281" }, "uris" : [ "http://www.mendeley.com/documents/?uuid=2dda854c-6b3f-43b6-a58f-974c72fa6ed6" ] }, { "id" : "ITEM-3", "itemData" : { "author" : [ { "dropping-particle" : "", "family" : "Tibbetts", "given" : "RS", "non-dropping-particle" : "", "parse-names" : false, "suffix" : "" }, { "dropping-particle" : "", "family" : "Brumbaugh", "given" : "KM", "non-dropping-particle" : "", "parse-names" : false, "suffix" : "" } ], "container-title" : "Genes &amp; Development", "id" : "ITEM-3", "issue" : "2", "issued" : { "date-parts" : [ [ "1999" ] ] }, "page" : "152-157", "title" : "A role for ATR in the DNA damage-induced phosphorylation of p53", "type" : "article-journal", "volume" : "13" }, "uris" : [ "http://www.mendeley.com/documents/?uuid=91bb951e-4916-48b4-90ae-befe39e1bf0a" ] }, { "id" : "ITEM-4", "itemData" : { "DOI" : "10.1038/sj.embor.embor901", "ISSN" : "1469-221X", "PMID" : "12897801", "abstract" : "The tumour suppressor p53 is a tetrameric protein that is phosphorylated in its BOX-I transactivation domain by checkpoint kinase 2 (CHK2) in response to DNA damage. CHK2 cannot phosphorylate small peptide fragments of p53 containing the BOX-I motif, indicating that undefined determinants in the p53 tetramer mediate CHK2 recognition. Two peptides derived from the DNA-binding domain of p53 bind to CHK2 and stimulate phosphorylation of full-length p53 at Thr 18 and Ser 20, thus identifying CHK2-docking sites. CHK2 can be fully activated in trans by the two p53 DNA-binding-domain peptides, and can phosphorylate BOX-I transactivation-domain fragments of p53 at Thr 18 and Ser 20. Although CHK2 has a basal Ser 20 kinase activity that is predominantly activated towards Thr 18, CHK1 has constitutive Thr 18 kinase activity that is predominantly activated in trans towards Ser 20. Cell division cycle 25C (CDC25C) phosphorylation by CHK2 is unaffected by the p53 DNA-binding-domain peptides. The CHK2-docking site in the BOX-V motif is the smallest of the two CHK2 binding sites, and mutating certain amino acids in the BOX-V peptide prevents CHK2 activation. A database search identified a p53 BOX-I-homology motif in p21(WAF1) and although CHK2 is inactive towards this protein, the p53 DNA-binding-domain peptides induce phosphorylation of p21(WAF1) at Ser 146. This provides evidence that CHK2 can be activated allosterically towards some substrates by a novel docking interaction, and identify a potential regulatory switch that may channel CHK2 into distinct signalling pathways in vivo.", "author" : [ { "dropping-particle" : "", "family" : "Craig", "given" : "Ashley", "non-dropping-particle" : "", "parse-names" : false, "suffix" : "" }, { "dropping-particle" : "", "family" : "Scott", "given" : "Mary", "non-dropping-particle" : "", "parse-names" : false, "suffix" : "" }, { "dropping-particle" : "", "family" : "Burch", "given" : "Lindsay", "non-dropping-particle" : "", "parse-names" : false, "suffix" : "" }, { "dropping-particle" : "", "family" : "Smith", "given" : "Graeme", "non-dropping-particle" : "", "parse-names" : false, "suffix" : "" }, { "dropping-particle" : "", "family" : "Ball", "given" : "Kathryn", "non-dropping-particle" : "", "parse-names" : false, "suffix" : "" }, { "dropping-particle" : "", "family" : "Hupp", "given" : "Ted", "non-dropping-particle" : "", "parse-names" : false, "suffix" : "" } ], "container-title" : "EMBO Reports", "id" : "ITEM-4", "issue" : "8", "issued" : { "date-parts" : [ [ "2003", "8" ] ] }, "page" : "787-92", "title" : "Allosteric effects mediate CHK2 phosphorylation of the p53 transactivation domain.", "type" : "article-journal", "volume" : "4" }, "uris" : [ "http://www.mendeley.com/documents/?uuid=fce4b51a-5fe7-4e24-974f-41baad947ba0" ] } ], "mendeley" : { "formattedCitation" : "(Bartek &amp; Lukas 2003; Canman et al. 1998; Tibbetts &amp; Brumbaugh 1999; Craig et al. 2003)", "plainTextFormattedCitation" : "(Bartek &amp; Lukas 2003; Canman et al. 1998; Tibbetts &amp; Brumbaugh 1999; Craig et al. 2003)", "previouslyFormattedCitation" : "(Bartek &amp; Lukas 2003; Canman et al. 1998; Tibbetts &amp; Brumbaugh 1999; Craig et al. 2003)" }, "properties" : { "noteIndex" : 0 }, "schema" : "https://github.com/citation-style-language/schema/raw/master/csl-citation.json" }</w:instrText>
      </w:r>
      <w:r w:rsidR="00F20EC0" w:rsidRPr="00DF0680">
        <w:rPr>
          <w:rFonts w:cs="Times New Roman"/>
        </w:rPr>
        <w:fldChar w:fldCharType="separate"/>
      </w:r>
      <w:r w:rsidR="00791F96" w:rsidRPr="00DF0680">
        <w:rPr>
          <w:rFonts w:cs="Times New Roman"/>
        </w:rPr>
        <w:t>(Bartek &amp; Lukas 2003; Canman et al. 1998; Tibbetts &amp; Brumbaugh 1999; Craig et al. 2003)</w:t>
      </w:r>
      <w:r w:rsidR="00F20EC0" w:rsidRPr="00DF0680">
        <w:rPr>
          <w:rFonts w:cs="Times New Roman"/>
        </w:rPr>
        <w:fldChar w:fldCharType="end"/>
      </w:r>
      <w:r w:rsidR="00023C1B" w:rsidRPr="00DF0680">
        <w:rPr>
          <w:rFonts w:cs="Times New Roman"/>
        </w:rPr>
        <w:t xml:space="preserve">. </w:t>
      </w:r>
      <w:r w:rsidR="00D679D4" w:rsidRPr="00DF0680">
        <w:rPr>
          <w:rFonts w:cs="Times New Roman"/>
        </w:rPr>
        <w:t xml:space="preserve">These kinases also phosphorylate and inactivate the ubiquitin ligase Mdm2, which can then no longer cause rapid degradation of p53 </w:t>
      </w:r>
      <w:r w:rsidR="00F20EC0" w:rsidRPr="00DF0680">
        <w:rPr>
          <w:rFonts w:cs="Times New Roman"/>
        </w:rPr>
        <w:fldChar w:fldCharType="begin" w:fldLock="1"/>
      </w:r>
      <w:r w:rsidR="00332613" w:rsidRPr="00DF0680">
        <w:rPr>
          <w:rFonts w:cs="Times New Roman"/>
        </w:rPr>
        <w:instrText>ADDIN CSL_CITATION { "citationItems" : [ { "id" : "ITEM-1", "itemData" : { "DOI" : "10.1101/gad.886901", "ISSN" : "0890-9369", "PMID" : "11331603", "abstract" : "The p53 tumor suppressor protein, a key regulator of cellular responses to genotoxic stress, is stabilized and activated after DNA damage. The rapid activation of p53 by ionizing radiation and radiomimetic agents is largely dependent on the ATM kinase. p53 is phosphorylated by ATM shortly after DNA damage, resulting in enhanced stability and activity of p53. The Mdm2 oncoprotein is a pivotal negative regulator of p53. In response to ionizing radiation and radiomimetic drugs, Mdm2 undergoes rapid ATM-dependent phosphorylation prior to p53 accumulation. This results in a decrease in its reactivity with the 2A10 monoclonal antibody. Phage display analysis identified a consensus 2A10 recognition sequence, possessing the core motif DYS. Unexpectedly, this motif appears twice within the human Mdm2 molecule, at positions corresponding to residues 258-260 and 393-395. Both putative 2A10 epitopes are highly conserved and encompass potential phosphorylation sites. Serine 395, residing within the carboxy-terminal 2A10 epitope, is the major target on Mdm2 for phosphorylation by ATM in vitro. Mutational analysis supports the conclusion that Mdm2 undergoes ATM-dependent phosphorylation on serine 395 in vivo in response to DNA damage. The data further suggests that phosphorylated Mdm2 may be less capable of promoting the nucleo-cytoplasmic shuttling of p53 and its subsequent degradation, thereby enabling p53 accumulation. Our findings imply that activation of p53 by DNA damage is achieved, in part, through attenuation of the p53-inhibitory potential of Mdm2.", "author" : [ { "dropping-particle" : "", "family" : "Maya", "given" : "R", "non-dropping-particle" : "", "parse-names" : false, "suffix" : "" }, { "dropping-particle" : "", "family" : "Balass", "given" : "M", "non-dropping-particle" : "", "parse-names" : false, "suffix" : "" }, { "dropping-particle" : "", "family" : "Kim", "given" : "S T", "non-dropping-particle" : "", "parse-names" : false, "suffix" : "" }, { "dropping-particle" : "", "family" : "Shkedy", "given" : "D", "non-dropping-particle" : "", "parse-names" : false, "suffix" : "" }, { "dropping-particle" : "", "family" : "Leal", "given" : "J F", "non-dropping-particle" : "", "parse-names" : false, "suffix" : "" }, { "dropping-particle" : "", "family" : "Shifman", "given" : "O", "non-dropping-particle" : "", "parse-names" : false, "suffix" : "" }, { "dropping-particle" : "", "family" : "Moas", "given" : "M", "non-dropping-particle" : "", "parse-names" : false, "suffix" : "" }, { "dropping-particle" : "", "family" : "Buschmann", "given" : "T", "non-dropping-particle" : "", "parse-names" : false, "suffix" : "" }, { "dropping-particle" : "", "family" : "Ronai", "given" : "Z", "non-dropping-particle" : "", "parse-names" : false, "suffix" : "" }, { "dropping-particle" : "", "family" : "Shiloh", "given" : "Y", "non-dropping-particle" : "", "parse-names" : false, "suffix" : "" }, { "dropping-particle" : "", "family" : "Kastan", "given" : "M B", "non-dropping-particle" : "", "parse-names" : false, "suffix" : "" }, { "dropping-particle" : "", "family" : "Katzir", "given" : "E", "non-dropping-particle" : "", "parse-names" : false, "suffix" : "" }, { "dropping-particle" : "", "family" : "Oren", "given" : "M", "non-dropping-particle" : "", "parse-names" : false, "suffix" : "" } ], "container-title" : "Genes &amp; Development", "id" : "ITEM-1", "issue" : "9", "issued" : { "date-parts" : [ [ "2001", "5", "1" ] ] }, "page" : "1067-77", "title" : "ATM-dependent phosphorylation of Mdm2 on serine 395: role in p53 activation by DNA damage.", "type" : "article-journal", "volume" : "15" }, "uris" : [ "http://www.mendeley.com/documents/?uuid=02118919-6e69-4405-b77a-c91d77902036" ] } ], "mendeley" : { "formattedCitation" : "(Maya et al. 2001)", "plainTextFormattedCitation" : "(Maya et al. 2001)", "previouslyFormattedCitation" : "(Maya et al. 2001)"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(Maya et al. 2001)</w:t>
      </w:r>
      <w:r w:rsidR="00F20EC0" w:rsidRPr="00DF0680">
        <w:rPr>
          <w:rFonts w:cs="Times New Roman"/>
        </w:rPr>
        <w:fldChar w:fldCharType="end"/>
      </w:r>
      <w:r w:rsidR="00D679D4" w:rsidRPr="00DF0680">
        <w:rPr>
          <w:rFonts w:cs="Times New Roman"/>
        </w:rPr>
        <w:t xml:space="preserve">. </w:t>
      </w:r>
      <w:r w:rsidR="00061B26" w:rsidRPr="00DF0680">
        <w:rPr>
          <w:rFonts w:cs="Times New Roman"/>
        </w:rPr>
        <w:t>This then allows p53 to accumulate and become more active as a transcription factor, up</w:t>
      </w:r>
      <w:r w:rsidR="00E52DD8" w:rsidRPr="00DF0680">
        <w:rPr>
          <w:rFonts w:cs="Times New Roman"/>
        </w:rPr>
        <w:t>-</w:t>
      </w:r>
      <w:r w:rsidR="00061B26" w:rsidRPr="00DF0680">
        <w:rPr>
          <w:rFonts w:cs="Times New Roman"/>
        </w:rPr>
        <w:t>regulating genes such as p21</w:t>
      </w:r>
      <w:r w:rsidR="00061B26" w:rsidRPr="00DF0680">
        <w:rPr>
          <w:rFonts w:cs="Times New Roman"/>
          <w:vertAlign w:val="superscript"/>
        </w:rPr>
        <w:t>WAF1/CIP1</w:t>
      </w:r>
      <w:r w:rsidR="00110E98" w:rsidRPr="00DF0680">
        <w:rPr>
          <w:rFonts w:cs="Times New Roman"/>
        </w:rPr>
        <w:t xml:space="preserve"> which inhibit</w:t>
      </w:r>
      <w:r w:rsidR="00061B26" w:rsidRPr="00DF0680">
        <w:rPr>
          <w:rFonts w:cs="Times New Roman"/>
        </w:rPr>
        <w:t xml:space="preserve"> cyclin-dependent kinases</w:t>
      </w:r>
      <w:r w:rsidR="00D13836" w:rsidRPr="00DF0680">
        <w:rPr>
          <w:rFonts w:cs="Times New Roman"/>
        </w:rPr>
        <w:t xml:space="preserve"> including the G1/S promoting</w:t>
      </w:r>
      <w:r w:rsidR="003E429A" w:rsidRPr="00DF0680">
        <w:rPr>
          <w:rFonts w:cs="Times New Roman"/>
        </w:rPr>
        <w:t xml:space="preserve"> Cyclin E / Cdk2</w:t>
      </w:r>
      <w:r w:rsidR="00061B26" w:rsidRPr="00DF0680">
        <w:rPr>
          <w:rFonts w:cs="Times New Roman"/>
        </w:rPr>
        <w:t xml:space="preserve"> </w:t>
      </w:r>
      <w:r w:rsidR="00E60EE4" w:rsidRPr="00DF0680">
        <w:rPr>
          <w:rFonts w:cs="Times New Roman"/>
        </w:rPr>
        <w:t xml:space="preserve">and Cyclin D / Cdk4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"Harper", "given" : "JW", "non-dropping-particle" : "", "parse-names" : false, "suffix" : "" }, { "dropping-particle" : "", "family" : "Elledge", "given" : "SJ", "non-dropping-particle" : "", "parse-names" : false, "suffix" : "" } ], "container-title" : "Molecular Biology of the Cell", "id" : "ITEM-1", "issue" : "4", "issued" : { "date-parts" : [ [ "1995" ] ] }, "page" : "387-400", "title" : "Inhibition of cyclin-dependent kinases by p21.", "type" : "article-journal", "volume" : "6" }, "uris" : [ "http://www.mendeley.com/documents/?uuid=01eaed56-6e65-4c13-85d0-8473ff73a29c" ] }, { "id" : "ITEM-2", "itemData" : { "ISSN" : "0092-8674", "PMID" : "8242752", "abstract" : "The ability of p53 to activate transcription from specific sequences suggests that genes induced by p53 may mediate its biological role as a tumor suppressor. Using a subtractive hybridization approach, we identified a gene, named WAF1, whose induction was associated with wild-type but not mutant p53 gene expression in a human brain tumor cell line. The WAF1 gene was localized to chromosome 6p21.2, and its sequence, structure, and activation by p53 was conserved in rodents. Introduction of WAF1 cDNA suppressed the growth of human brain, lung, and colon tumor cells in culture. Using a yeast enhancer trap, a p53-binding site was identified 2.4 kb upstream of WAF1 coding sequences. The WAF1 promoter, including this p53-binding site, conferred p53-dependent inducibility upon a heterologous reporter gene. These studies define a gene whose expression is directly induced by p53 and that could be an important mediator of p53-dependent tumor growth suppression.", "author" : [ { "dropping-particle" : "", "family" : "el-Deiry", "given" : "W S", "non-dropping-particle" : "", "parse-names" : false, "suffix" : "" }, { "dropping-particle" : "", "family" : "Tokino", "given" : "T", "non-dropping-particle" : "", "parse-names" : false, "suffix" : "" }, { "dropping-particle" : "", "family" : "Velculescu", "given" : "V E", "non-dropping-particle" : "", "parse-names" : false, "suffix" : "" }, { "dropping-particle" : "", "family" : "Levy", "given" : "D B", "non-dropping-particle" : "", "parse-names" : false, "suffix" : "" }, { "dropping-particle" : "", "family" : "Parsons", "given" : "R", "non-dropping-particle" : "", "parse-names" : false, "suffix" : "" }, { "dropping-particle" : "", "family" : "Trent", "given" : "J M", "non-dropping-particle" : "", "parse-names" : false, "suffix" : "" }, { "dropping-particle" : "", "family" : "Lin", "given" : "D", "non-dropping-particle" : "", "parse-names" : false, "suffix" : "" }, { "dropping-particle" : "", "family" : "Mercer", "given" : "W E", "non-dropping-particle" : "", "parse-names" : false, "suffix" : "" }, { "dropping-particle" : "", "family" : "Kinzler", "given" : "K W", "non-dropping-particle" : "", "parse-names" : false, "suffix" : "" }, { "dropping-particle" : "", "family" : "Vogelstein", "given" : "B", "non-dropping-particle" : "", "parse-names" : false, "suffix" : "" } ], "container-title" : "Cell", "id" : "ITEM-2", "issue" : "4", "issued" : { "date-parts" : [ [ "1993", "11", "19" ] ] }, "page" : "817-25", "title" : "WAF1, a potential mediator of p53 tumor suppression.", "type" : "article-journal", "volume" : "75" }, "uris" : [ "http://www.mendeley.com/documents/?uuid=fa8de3fc-9bdb-4c63-82aa-1cccf7573e01" ] }, { "id" : "ITEM-3", "itemData" : { "author" : [ { "dropping-particle" : "", "family" : "Ohtsubo", "given" : "Motoaki", "non-dropping-particle" : "", "parse-names" : false, "suffix" : "" }, { "dropping-particle" : "", "family" : "Theodoras", "given" : "AM", "non-dropping-particle" : "", "parse-names" : false, "suffix" : "" } ], "container-title" : "Molecular and Cellular Biology", "id" : "ITEM-3", "issue" : "5", "issued" : { "date-parts" : [ [ "1995" ] ] }, "page" : "2612-24", "title" : "Human cyclin E, a nuclear protein essential for the G1-to-S phase transition.", "type" : "article-journal", "volume" : "15" }, "uris" : [ "http://www.mendeley.com/documents/?uuid=c91b3b90-34aa-4c7b-bd25-3b6d22b78c41" ] } ], "mendeley" : { "formattedCitation" : "(Harper &amp; Elledge 1995; el-Deiry et al. 1993; Ohtsubo &amp; Theodoras 1995)", "plainTextFormattedCitation" : "(Harper &amp; Elledge 1995; el-Deiry et al. 1993; Ohtsubo &amp; Theodoras 1995)", "previouslyFormattedCitation" : "(Harper &amp; Elledge 1995; el-Deiry et al. 1993; Ohtsubo &amp; Theodoras 1995)"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(Harper &amp; Elledge 1995; el-Deiry et al. 1993; Ohtsubo &amp; Theodoras 1995)</w:t>
      </w:r>
      <w:r w:rsidR="00F20EC0" w:rsidRPr="00DF0680">
        <w:rPr>
          <w:rFonts w:cs="Times New Roman"/>
        </w:rPr>
        <w:fldChar w:fldCharType="end"/>
      </w:r>
      <w:r w:rsidR="00061B26" w:rsidRPr="00DF0680">
        <w:rPr>
          <w:rFonts w:cs="Times New Roman"/>
        </w:rPr>
        <w:t xml:space="preserve">. </w:t>
      </w:r>
      <w:r w:rsidR="00A61E65" w:rsidRPr="00DF0680">
        <w:rPr>
          <w:rFonts w:cs="Times New Roman"/>
        </w:rPr>
        <w:t>This also inhibits the phosphorylation of the tumour suppressor protein Retinoblastoma (pRb), which when phosphorylated</w:t>
      </w:r>
      <w:r w:rsidR="0013597E" w:rsidRPr="00DF0680">
        <w:rPr>
          <w:rFonts w:cs="Times New Roman"/>
        </w:rPr>
        <w:t xml:space="preserve"> by cyclin dependent kinases</w:t>
      </w:r>
      <w:r w:rsidR="00A61E65" w:rsidRPr="00DF0680">
        <w:rPr>
          <w:rFonts w:cs="Times New Roman"/>
        </w:rPr>
        <w:t xml:space="preserve">, releases the bound E2F, another transcription factor that promotes the transcription of S phase </w:t>
      </w:r>
      <w:r w:rsidR="00D94668" w:rsidRPr="00DF0680">
        <w:rPr>
          <w:rFonts w:cs="Times New Roman"/>
        </w:rPr>
        <w:t xml:space="preserve">associated </w:t>
      </w:r>
      <w:r w:rsidR="00A61E65" w:rsidRPr="00DF0680">
        <w:rPr>
          <w:rFonts w:cs="Times New Roman"/>
        </w:rPr>
        <w:t xml:space="preserve">genes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"Chellappan", "given" : "SP", "non-dropping-particle" : "", "parse-names" : false, "suffix" : "" }, { "dropping-particle" : "", "family" : "Hiebert", "given" : "Scott", "non-dropping-particle" : "", "parse-names" : false, "suffix" : "" }, { "dropping-particle" : "", "family" : "Mudryj", "given" : "Maria", "non-dropping-particle" : "", "parse-names" : false, "suffix" : "" } ], "container-title" : "Cell", "id" : "ITEM-1", "issue" : "6", "issued" : { "date-parts" : [ [ "1991" ] ] }, "page" : "1053-1061", "title" : "The E2F transcription factor is a cellular target for the RB protein", "type" : "article-journal", "volume" : "65" }, "uris" : [ "http://www.mendeley.com/documents/?uuid=179977df-02e5-44b6-b842-552a858d8335" ] }, { "id" : "ITEM-2", "itemData" : { "ISSN" : "0092-8674", "PMID" : "2673543", "abstract" : "p105-RB is the product of the retinoblastoma tumor suppressor gene. It is a nuclear phosphoprotein hypothesized to act as an inhibitor of cellular proliferation, yet surprisingly it is present in actively dividing cells. To look for changes in p105-RB that may regulate its activity during the cell cycle, we generated synchronized cell populations and followed their progression through the cell cycle. p105-RB is synthesized throughout the cycle, but is phosphorylated in a phase-specific manner. In the G0 and G1 phases of the cell cycle, an unphosphorylated species of the protein is the only detectable form, whereas in the S and G2/M phases, multiple phosphorylated species of p105-RB are detected.", "author" : [ { "dropping-particle" : "", "family" : "Buchkovich", "given" : "K", "non-dropping-particle" : "", "parse-names" : false, "suffix" : "" }, { "dropping-particle" : "", "family" : "Duffy", "given" : "L a", "non-dropping-particle" : "", "parse-names" : false, "suffix" : "" }, { "dropping-particle" : "", "family" : "Harlow", "given" : "E", "non-dropping-particle" : "", "parse-names" : false, "suffix" : "" } ], "container-title" : "Cell", "id" : "ITEM-2", "issue" : "6", "issued" : { "date-parts" : [ [ "1989", "9", "22" ] ] }, "page" : "1097-105", "title" : "The retinoblastoma protein is phosphorylated during specific phases of the cell cycle.", "type" : "article-journal", "volume" : "58" }, "uris" : [ "http://www.mendeley.com/documents/?uuid=62801f73-5d48-4d55-a992-b49a2215c237" ] } ], "mendeley" : { "formattedCitation" : "(Chellappan et al. 1991; Buchkovich et al. 1989)", "plainTextFormattedCitation" : "(Chellappan et al. 1991; Buchkovich et al. 1989)", "previouslyFormattedCitation" : "(Chellappan et al. 1991; Buchkovich et al. 1989)"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(Chellappan et al. 1991; Buchkovich et al. 1989)</w:t>
      </w:r>
      <w:r w:rsidR="00F20EC0" w:rsidRPr="00DF0680">
        <w:rPr>
          <w:rFonts w:cs="Times New Roman"/>
        </w:rPr>
        <w:fldChar w:fldCharType="end"/>
      </w:r>
      <w:r w:rsidR="00A61E65" w:rsidRPr="00DF0680">
        <w:rPr>
          <w:rFonts w:cs="Times New Roman"/>
        </w:rPr>
        <w:t xml:space="preserve">. </w:t>
      </w:r>
      <w:r w:rsidR="00D7495A" w:rsidRPr="00DF0680">
        <w:rPr>
          <w:rFonts w:cs="Times New Roman"/>
        </w:rPr>
        <w:t xml:space="preserve">This </w:t>
      </w:r>
      <w:r w:rsidR="00A61E65" w:rsidRPr="00DF0680">
        <w:rPr>
          <w:rFonts w:cs="Times New Roman"/>
        </w:rPr>
        <w:t>causes the cell to arrest in G1</w:t>
      </w:r>
      <w:r w:rsidR="00110E98" w:rsidRPr="00DF0680">
        <w:rPr>
          <w:rFonts w:cs="Times New Roman"/>
        </w:rPr>
        <w:t>, halting cell cycle progre</w:t>
      </w:r>
      <w:r w:rsidR="00B1693D" w:rsidRPr="00DF0680">
        <w:rPr>
          <w:rFonts w:cs="Times New Roman"/>
        </w:rPr>
        <w:t xml:space="preserve">ssion before </w:t>
      </w:r>
      <w:r w:rsidR="00B1693D" w:rsidRPr="00DF0680">
        <w:rPr>
          <w:rFonts w:cs="Times New Roman"/>
        </w:rPr>
        <w:lastRenderedPageBreak/>
        <w:t>replication begins.</w:t>
      </w:r>
      <w:r w:rsidR="00A61E65" w:rsidRPr="00DF0680">
        <w:rPr>
          <w:rFonts w:cs="Times New Roman"/>
        </w:rPr>
        <w:t xml:space="preserve"> </w:t>
      </w:r>
      <w:r w:rsidR="00B1693D" w:rsidRPr="00DF0680">
        <w:rPr>
          <w:rFonts w:cs="Times New Roman"/>
        </w:rPr>
        <w:t>T</w:t>
      </w:r>
      <w:r w:rsidR="00360CE3" w:rsidRPr="00DF0680">
        <w:rPr>
          <w:rFonts w:cs="Times New Roman"/>
        </w:rPr>
        <w:t>h</w:t>
      </w:r>
      <w:r w:rsidR="00A61E65" w:rsidRPr="00DF0680">
        <w:rPr>
          <w:rFonts w:cs="Times New Roman"/>
        </w:rPr>
        <w:t xml:space="preserve">is mechanism </w:t>
      </w:r>
      <w:r w:rsidR="00360CE3" w:rsidRPr="00DF0680">
        <w:rPr>
          <w:rFonts w:cs="Times New Roman"/>
        </w:rPr>
        <w:t xml:space="preserve">is </w:t>
      </w:r>
      <w:r w:rsidR="00A61E65" w:rsidRPr="00DF0680">
        <w:rPr>
          <w:rFonts w:cs="Times New Roman"/>
        </w:rPr>
        <w:t xml:space="preserve">often </w:t>
      </w:r>
      <w:r w:rsidR="00110E98" w:rsidRPr="00DF0680">
        <w:rPr>
          <w:rFonts w:cs="Times New Roman"/>
        </w:rPr>
        <w:t>overcome</w:t>
      </w:r>
      <w:r w:rsidR="00A61E65" w:rsidRPr="00DF0680">
        <w:rPr>
          <w:rFonts w:cs="Times New Roman"/>
        </w:rPr>
        <w:t xml:space="preserve"> in cancer cells, seen by the high number</w:t>
      </w:r>
      <w:r w:rsidR="00CF1DE6" w:rsidRPr="00DF0680">
        <w:rPr>
          <w:rFonts w:cs="Times New Roman"/>
        </w:rPr>
        <w:t xml:space="preserve"> of mutations found in p53 and </w:t>
      </w:r>
      <w:r w:rsidR="00A61E65" w:rsidRPr="00DF0680">
        <w:rPr>
          <w:rFonts w:cs="Times New Roman"/>
        </w:rPr>
        <w:t xml:space="preserve">Rb </w:t>
      </w:r>
      <w:r w:rsidR="00CF1DE6" w:rsidRPr="00DF0680">
        <w:rPr>
          <w:rFonts w:cs="Times New Roman"/>
        </w:rPr>
        <w:t xml:space="preserve">genes </w:t>
      </w:r>
      <w:r w:rsidR="00A61E65" w:rsidRPr="00DF0680">
        <w:rPr>
          <w:rFonts w:cs="Times New Roman"/>
        </w:rPr>
        <w:t>in cancer patients.</w:t>
      </w:r>
    </w:p>
    <w:p w:rsidR="00E33624" w:rsidRPr="00DF0680" w:rsidRDefault="006E4CFF" w:rsidP="00495B5A">
      <w:pPr>
        <w:rPr>
          <w:rFonts w:cs="Times New Roman"/>
        </w:rPr>
      </w:pPr>
      <w:r w:rsidRPr="00DF0680">
        <w:rPr>
          <w:rFonts w:cs="Times New Roman"/>
        </w:rPr>
        <w:t xml:space="preserve">The </w:t>
      </w:r>
      <w:r w:rsidR="00E33624" w:rsidRPr="00DF0680">
        <w:rPr>
          <w:rFonts w:cs="Times New Roman"/>
        </w:rPr>
        <w:t xml:space="preserve">S </w:t>
      </w:r>
      <w:r w:rsidRPr="00DF0680">
        <w:rPr>
          <w:rFonts w:cs="Times New Roman"/>
        </w:rPr>
        <w:t>phase checkpoint aims to reduce replication origin firing and slow replication speed</w:t>
      </w:r>
      <w:r w:rsidR="0027241A" w:rsidRPr="00DF0680">
        <w:rPr>
          <w:rFonts w:cs="Times New Roman"/>
        </w:rPr>
        <w:t>, in order that cells with any DNA damage do not undergo any further DNA replication</w:t>
      </w:r>
      <w:r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"10.1128/MCB.02278-06", "ISSN" : "0270-7306", "PMID" : "17515603", "abstract" : "To investigate the contribution of DNA replication initiation and elongation to the intra-S-phase checkpoint, we examined cells treated with the specific topoisomerase I inhibitor camptothecin. Camptothecin is a potent anticancer agent producing well-characterized replication-mediated DNA double-strand breaks through the collision of replication forks with topoisomerase I cleavage complexes. After a short dose of camptothecin in human colon carcinoma HT29 cells, DNA replication was inhibited rapidly and did not recover for several hours following drug removal. That inhibition occurred preferentially in late-S-phase, compared to early-S-phase, cells and was due to both an inhibition of initiation and elongation, as determined by pulse-labeling nucleotide incorporation in replication foci and DNA fibers. DNA replication was actively inhibited by checkpoint activation since 7-hydroxystaurosporine (UCN-01), the specific Chk1 inhibitor CHIR-124, or transfection with small interfering RNA targeting Chk1 restored both initiation and elongation. Abrogation of the checkpoint markedly enhanced camptothecin-induced DNA damage at replication sites where histone gamma-H2AX colocalized with replication foci. Together, our study demonstrates that the intra-S-phase checkpoint is exerted by Chk1 not only upon replication initiation but also upon DNA elongation.", "author" : [ { "dropping-particle" : "", "family" : "Seiler", "given" : "Jennifer a", "non-dropping-particle" : "", "parse-names" : false, "suffix" : "" }, { "dropping-particle" : "", "family" : "Conti", "given" : "Chiara", "non-dropping-particle" : "", "parse-names" : false, "suffix" : "" }, { "dropping-particle" : "", "family" : "Syed", "given" : "Ali", "non-dropping-particle" : "", "parse-names" : false, "suffix" : "" }, { "dropping-particle" : "", "family" : "Aladjem", "given" : "Mirit I", "non-dropping-particle" : "", "parse-names" : false, "suffix" : "" }, { "dropping-particle" : "", "family" : "Pommier", "given" : "Yves", "non-dropping-particle" : "", "parse-names" : false, "suffix" : "" } ], "container-title" : "Molecular and Cellular Biology", "id" : "ITEM-1", "issue" : "16", "issued" : { "date-parts" : [ [ "2007", "8" ] ] }, "page" : "5806-18", "title" : "The intra-S-phase checkpoint affects both DNA replication initiation and elongation: single-cell and -DNA fiber analyses.", "type" : "article-journal", "volume" : "27" }, "uris" : [ "http://www.mendeley.com/documents/?uuid=4611bbc0-b7fd-4793-bde9-9e8c26b8b731" ] }, { "id" : "ITEM-2", "itemData" : { "DOI" : "10.1038/ng845", "ISSN" : "1061-4036", "PMID" : "11850621", "abstract" : "To preserve genetic integrity, mammalian cells exposed to ionizing radiation activate the ATM kinase, which initiates a complex response-including the S-phase checkpoint pathways-to delay DNA replication. Defects in ATM or its substrates Nbs1 or Chk2 (ref. 3), the Nbs1-interacting Mre11 protein, or the Chk2-regulated Cdc25A-Cdk2 cascade all cause radio-resistant DNA synthesis (RDS). It is unknown, however, whether these proteins operate in a common signaling cascade. Here we show that experimental blockade of either the Nbs1-Mre11 function or the Chk2-triggered events leads to a partial RDS phenotype in human cells. In contrast, concomitant interference with Nbs1-Mre11 and the Chk2-Cdc25A-Cdk2 pathways entirely abolishes inhibition of DNA synthesis induced by ionizing radiation, resulting in complete RDS analogous to that caused by defective ATM. In addition, Cdk2-dependent loading of Cdc45 onto replication origins, a prerequisite for recruitment of DNA polymerase, was prevented upon irradiation of normal or Nbs1/Mre11-defective cells but not cells with defective ATM. We conclude that in response to ionizing radiation, phosphorylations of Nbs1 and Chk2 by ATM trigger two parallel branches of the DNA damage-dependent S-phase checkpoint that cooperate by inhibiting distinct steps of DNA replication.", "author" : [ { "dropping-particle" : "", "family" : "Falck", "given" : "Jacob", "non-dropping-particle" : "", "parse-names" : false, "suffix" : "" }, { "dropping-particle" : "", "family" : "Petrini", "given" : "John H J", "non-dropping-particle" : "", "parse-names" : false, "suffix" : "" }, { "dropping-particle" : "", "family" : "Williams", "given" : "Bret R", "non-dropping-particle" : "", "parse-names" : false, "suffix" : "" }, { "dropping-particle" : "", "family" : "Lukas", "given" : "Jiri", "non-dropping-particle" : "", "parse-names" : false, "suffix" : "" }, { "dropping-particle" : "", "family" : "Bartek", "given" : "Jiri", "non-dropping-particle" : "", "parse-names" : false, "suffix" : "" } ], "container-title" : "Nature Genetics", "id" : "ITEM-2", "issue" : "3", "issued" : { "date-parts" : [ [ "2002", "3" ] ] }, "page" : "290-4", "title" : "The DNA damage-dependent intra-S phase checkpoint is regulated by parallel pathways.", "type" : "article-journal", "volume" : "30" }, "uris" : [ "http://www.mendeley.com/documents/?uuid=04034a79-18e5-482f-856f-e2955b7edbea" ] } ], "mendeley" : { "formattedCitation" : "(Seiler et al. 2007; Falck et al. 2002)", "plainTextFormattedCitation" : "(Seiler et al. 2007; Falck et al. 2002)", "previouslyFormattedCitation" : "(Seiler et al. 2007; Falck et al. 2002)"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(Seiler et al. 2007; Falck et al. 2002)</w:t>
      </w:r>
      <w:r w:rsidR="00F20EC0" w:rsidRPr="00DF0680">
        <w:rPr>
          <w:rFonts w:cs="Times New Roman"/>
        </w:rPr>
        <w:fldChar w:fldCharType="end"/>
      </w:r>
      <w:r w:rsidRPr="00DF0680">
        <w:rPr>
          <w:rFonts w:cs="Times New Roman"/>
        </w:rPr>
        <w:t xml:space="preserve">. </w:t>
      </w:r>
      <w:r w:rsidR="00E33624" w:rsidRPr="00DF0680">
        <w:rPr>
          <w:rFonts w:cs="Times New Roman"/>
        </w:rPr>
        <w:t>Cdc45</w:t>
      </w:r>
      <w:r w:rsidRPr="00DF0680">
        <w:rPr>
          <w:rFonts w:cs="Times New Roman"/>
        </w:rPr>
        <w:t xml:space="preserve"> is a protein required </w:t>
      </w:r>
      <w:r w:rsidR="003D60E9" w:rsidRPr="00DF0680">
        <w:rPr>
          <w:rFonts w:cs="Times New Roman"/>
        </w:rPr>
        <w:t>to form pre-initiation complexes in S phase and does so in a cyclin</w:t>
      </w:r>
      <w:r w:rsidR="00837040" w:rsidRPr="00DF0680">
        <w:rPr>
          <w:rFonts w:cs="Times New Roman"/>
        </w:rPr>
        <w:t>-</w:t>
      </w:r>
      <w:r w:rsidR="003D60E9" w:rsidRPr="00DF0680">
        <w:rPr>
          <w:rFonts w:cs="Times New Roman"/>
        </w:rPr>
        <w:t>CDK</w:t>
      </w:r>
      <w:r w:rsidR="00837040" w:rsidRPr="00DF0680">
        <w:rPr>
          <w:rFonts w:cs="Times New Roman"/>
        </w:rPr>
        <w:t xml:space="preserve"> dependant manner </w:t>
      </w:r>
      <w:r w:rsidR="00F20EC0" w:rsidRPr="00DF0680">
        <w:rPr>
          <w:rFonts w:cs="Times New Roman"/>
        </w:rPr>
        <w:fldChar w:fldCharType="begin" w:fldLock="1"/>
      </w:r>
      <w:r w:rsidR="00332613" w:rsidRPr="00DF0680">
        <w:rPr>
          <w:rFonts w:cs="Times New Roman"/>
        </w:rPr>
        <w:instrText>ADDIN CSL_CITATION { "citationItems" : [ { "id" : "ITEM-1", "itemData" : { "DOI" : "10.1128/MCB.20.9.3086-3096.2000.Updated", "author" : [ { "dropping-particle" : "", "family" : "Zou", "given" : "Lee", "non-dropping-particle" : "", "parse-names" : false, "suffix" : "" }, { "dropping-particle" : "", "family" : "Stillman", "given" : "Bruce", "non-dropping-particle" : "", "parse-names" : false, "suffix" : "" } ], "container-title" : "Molecular and Cellular Biology", "id" : "ITEM-1", "issue" : "9", "issued" : { "date-parts" : [ [ "2000" ] ] }, "page" : "3086-96", "title" : "Assembly of a complex containing Cdc45p, replication protein A, and Mcm2p at replication origins controlled by S-phase cyclin-dependent kinases and Cdc7p-Dbf4p", "type" : "article-journal", "volume" : "20" }, "uris" : [ "http://www.mendeley.com/documents/?uuid=7536400b-ea56-4dc5-81a5-f7468ecb23a3" ] }, { "id" : "ITEM-2", "itemData" : { "DOI" : "10.1126/science.280.5363.593", "ISSN" : "00368075", "author" : [ { "dropping-particle" : "", "family" : "Zou", "given" : "L.", "non-dropping-particle" : "", "parse-names" : false, "suffix" : "" } ], "container-title" : "Science", "id" : "ITEM-2", "issue" : "5363", "issued" : { "date-parts" : [ [ "1998", "4", "24" ] ] }, "page" : "593-596", "title" : "Formation of a Preinitiation Complex by S-phase Cyclin CDK-Dependent Loading of Cdc45p onto Chromatin", "type" : "article-journal", "volume" : "280" }, "uris" : [ "http://www.mendeley.com/documents/?uuid=8e5b5132-a676-4b9d-b85d-dbe39952dccf" ] } ], "mendeley" : { "formattedCitation" : "(Zou &amp; Stillman 2000; Zou 1998)", "plainTextFormattedCitation" : "(Zou &amp; Stillman 2000; Zou 1998)", "previouslyFormattedCitation" : "(Zou &amp; Stillman 2000; Zou 1998)"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(Zou &amp; Stillman 2000; Zou 1998)</w:t>
      </w:r>
      <w:r w:rsidR="00F20EC0" w:rsidRPr="00DF0680">
        <w:rPr>
          <w:rFonts w:cs="Times New Roman"/>
        </w:rPr>
        <w:fldChar w:fldCharType="end"/>
      </w:r>
      <w:r w:rsidR="00837040" w:rsidRPr="00DF0680">
        <w:rPr>
          <w:rFonts w:cs="Times New Roman"/>
        </w:rPr>
        <w:t xml:space="preserve">. </w:t>
      </w:r>
      <w:r w:rsidR="00B1693D" w:rsidRPr="00DF0680">
        <w:rPr>
          <w:rFonts w:cs="Times New Roman"/>
        </w:rPr>
        <w:t xml:space="preserve">Upon DNA damage, </w:t>
      </w:r>
      <w:r w:rsidR="00CC6604" w:rsidRPr="00DF0680">
        <w:rPr>
          <w:rFonts w:cs="Times New Roman"/>
        </w:rPr>
        <w:t>Cdk2/CyclinE is phosphorylated on tyrosine 15 through an ATM mediated signalling pathway, which prevents the loading of Cdc45</w:t>
      </w:r>
      <w:r w:rsidR="00360CE3" w:rsidRPr="00DF0680">
        <w:rPr>
          <w:rFonts w:cs="Times New Roman"/>
        </w:rPr>
        <w:t xml:space="preserve"> to origins</w:t>
      </w:r>
      <w:r w:rsidR="00CC6604" w:rsidRPr="00DF0680">
        <w:rPr>
          <w:rFonts w:cs="Times New Roman"/>
        </w:rPr>
        <w:t xml:space="preserve"> and thus inhibits replication initiation </w:t>
      </w:r>
      <w:r w:rsidR="00F20EC0" w:rsidRPr="00DF0680">
        <w:rPr>
          <w:rFonts w:cs="Times New Roman"/>
        </w:rPr>
        <w:fldChar w:fldCharType="begin" w:fldLock="1"/>
      </w:r>
      <w:r w:rsidR="00332613" w:rsidRPr="00DF0680">
        <w:rPr>
          <w:rFonts w:cs="Times New Roman"/>
        </w:rPr>
        <w:instrText>ADDIN CSL_CITATION { "citationItems" : [ { "id" : "ITEM-1", "itemData" : { "ISSN" : "1097-2765", "PMID" : "11030344", "abstract" : "Cell cycle checkpoints lead to the inhibition of cell cycle progression following DNA damage. A cell-free system derived from Xenopus eggs has been established that reconstitutes the checkpoint pathway inhibiting DNA replication initiation. DNA containing double-strand breaks inhibits replication initiation in a dose-dependent manner. Upon checkpoint activation, a prereplicative complex is assembled that contains ORC, Cdc6, Cdc7, and MCM proteins but lacks Cdc45. The checkpoint is ATM dependent. Cdk2/CyclinE acts downstream of ATM and is downregulated by Cdk2 phosphorylation on tyrosine 15. Cdk2AF/CyclinE is refractory to checkpoint signaling, and Cdc25A overrides the checkpoint and restores DNA replication. This report provides the description of a DNA damage checkpoint pathway that prevents the onset of S phase independently of the transcriptional function of p53 in a vertebrate organism.", "author" : [ { "dropping-particle" : "", "family" : "Costanzo", "given" : "V", "non-dropping-particle" : "", "parse-names" : false, "suffix" : "" }, { "dropping-particle" : "", "family" : "Robertson", "given" : "K", "non-dropping-particle" : "", "parse-names" : false, "suffix" : "" }, { "dropping-particle" : "", "family" : "Ying", "given" : "C Y", "non-dropping-particle" : "", "parse-names" : false, "suffix" : "" }, { "dropping-particle" : "", "family" : "Kim", "given" : "E", "non-dropping-particle" : "", "parse-names" : false, "suffix" : "" }, { "dropping-particle" : "", "family" : "Avvedimento", "given" : "E", "non-dropping-particle" : "", "parse-names" : false, "suffix" : "" }, { "dropping-particle" : "", "family" : "Gottesman", "given" : "M", "non-dropping-particle" : "", "parse-names" : false, "suffix" : "" }, { "dropping-particle" : "", "family" : "Grieco", "given" : "D", "non-dropping-particle" : "", "parse-names" : false, "suffix" : "" }, { "dropping-particle" : "", "family" : "Gautier", "given" : "J", "non-dropping-particle" : "", "parse-names" : false, "suffix" : "" } ], "container-title" : "Molecular Cell", "id" : "ITEM-1", "issue" : "3", "issued" : { "date-parts" : [ [ "2000", "9" ] ] }, "page" : "649-59", "title" : "Reconstitution of an ATM-dependent checkpoint that inhibits chromosomal DNA replication following DNA damage.", "type" : "article-journal", "volume" : "6" }, "uris" : [ "http://www.mendeley.com/documents/?uuid=a7ea2ec5-c5b9-4f1a-b965-5b8342a0afef" ] } ], "mendeley" : { "formattedCitation" : "(Costanzo et al. 2000)", "plainTextFormattedCitation" : "(Costanzo et al. 2000)", "previouslyFormattedCitation" : "(Costanzo et al.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(Costanzo et al. 2000)</w:t>
      </w:r>
      <w:r w:rsidR="00F20EC0" w:rsidRPr="00DF0680">
        <w:rPr>
          <w:rFonts w:cs="Times New Roman"/>
        </w:rPr>
        <w:fldChar w:fldCharType="end"/>
      </w:r>
      <w:r w:rsidR="00CC6604" w:rsidRPr="00DF0680">
        <w:rPr>
          <w:rFonts w:cs="Times New Roman"/>
        </w:rPr>
        <w:t xml:space="preserve">. </w:t>
      </w:r>
      <w:r w:rsidR="00B1693D" w:rsidRPr="00DF0680">
        <w:rPr>
          <w:rFonts w:cs="Times New Roman"/>
        </w:rPr>
        <w:t>There is also evidence that Cdc45 is</w:t>
      </w:r>
      <w:r w:rsidR="00E77926" w:rsidRPr="00DF0680">
        <w:rPr>
          <w:rFonts w:cs="Times New Roman"/>
        </w:rPr>
        <w:t xml:space="preserve"> affected </w:t>
      </w:r>
      <w:r w:rsidR="00B1693D" w:rsidRPr="00DF0680">
        <w:rPr>
          <w:rFonts w:cs="Times New Roman"/>
        </w:rPr>
        <w:t>by</w:t>
      </w:r>
      <w:r w:rsidR="00E77926" w:rsidRPr="00DF0680">
        <w:rPr>
          <w:rFonts w:cs="Times New Roman"/>
        </w:rPr>
        <w:t xml:space="preserve"> replication stress, a</w:t>
      </w:r>
      <w:r w:rsidR="008443B8" w:rsidRPr="00DF0680">
        <w:rPr>
          <w:rFonts w:cs="Times New Roman"/>
        </w:rPr>
        <w:t>s th</w:t>
      </w:r>
      <w:r w:rsidR="00E77926" w:rsidRPr="00DF0680">
        <w:rPr>
          <w:rFonts w:cs="Times New Roman"/>
        </w:rPr>
        <w:t xml:space="preserve">e complex formation with claspin, which is required for normal replication rates </w:t>
      </w:r>
      <w:r w:rsidR="00F20EC0" w:rsidRPr="00DF0680">
        <w:rPr>
          <w:rFonts w:cs="Times New Roman"/>
        </w:rPr>
        <w:fldChar w:fldCharType="begin" w:fldLock="1"/>
      </w:r>
      <w:r w:rsidR="00332613" w:rsidRPr="00DF0680">
        <w:rPr>
          <w:rFonts w:cs="Times New Roman"/>
        </w:rPr>
        <w:instrText>ADDIN CSL_CITATION { "citationItems" : [ { "id" : "ITEM-1", "itemData" : { "DOI" : "10.1091/mbc.E07", "author" : [ { "dropping-particle" : "", "family" : "Petermann", "given" : "Eva", "non-dropping-particle" : "", "parse-names" : false, "suffix" : "" } ], "container-title" : "Molecular Biology of the Cell", "id" : "ITEM-1", "issue" : "6", "issued" : { "date-parts" : [ [ "2008" ] ] }, "page" : "2373-2378", "title" : "Claspin promotes normal replication fork rates in human cells", "type" : "article-journal", "volume" : "19" }, "uris" : [ "http://www.mendeley.com/documents/?uuid=f427d708-7e8f-47b4-b997-d7df5d4b3d68" ] } ], "mendeley" : { "formattedCitation" : "(Petermann 2008)", "plainTextFormattedCitation" : "(Petermann 2008)", "previouslyFormattedCitation" : "(Petermann 2008)" }, "properties" : { "noteIndex" : 0 }, "schema" : "https://github.com/citation-style-language/schema/raw/master/csl-citation.json" }</w:instrText>
      </w:r>
      <w:r w:rsidR="00F20EC0" w:rsidRPr="00DF0680">
        <w:rPr>
          <w:rFonts w:cs="Times New Roman"/>
        </w:rPr>
        <w:fldChar w:fldCharType="separate"/>
      </w:r>
      <w:r w:rsidR="00E77926" w:rsidRPr="00DF0680">
        <w:rPr>
          <w:rFonts w:cs="Times New Roman"/>
        </w:rPr>
        <w:t>(Petermann 2008)</w:t>
      </w:r>
      <w:r w:rsidR="00F20EC0" w:rsidRPr="00DF0680">
        <w:rPr>
          <w:rFonts w:cs="Times New Roman"/>
        </w:rPr>
        <w:fldChar w:fldCharType="end"/>
      </w:r>
      <w:r w:rsidR="00E77926" w:rsidRPr="00DF0680">
        <w:rPr>
          <w:rFonts w:cs="Times New Roman"/>
        </w:rPr>
        <w:t xml:space="preserve">, is reduced when cells are exposed to UVC induced DNA damage </w:t>
      </w:r>
      <w:r w:rsidR="00F20EC0" w:rsidRPr="00DF0680">
        <w:rPr>
          <w:rFonts w:cs="Times New Roman"/>
        </w:rPr>
        <w:fldChar w:fldCharType="begin" w:fldLock="1"/>
      </w:r>
      <w:r w:rsidR="00332613" w:rsidRPr="00DF0680">
        <w:rPr>
          <w:rFonts w:cs="Times New Roman"/>
        </w:rPr>
        <w:instrText>ADDIN CSL_CITATION { "citationItems" : [ { "id" : "ITEM-1", "itemData" : { "DOI" : "10.1111/febs.12465", "ISSN" : "1742-4658", "PMID" : "23910567", "abstract" : "The replication factor Cdc45 has essential functions in the initiation and elongation steps of eukaryotic DNA replication and plays an important role in the intra-S-phase checkpoint. Its interactions with other replication proteins during the cell cycle and after intra-S-phase checkpoint activation are only partially characterized. In the present study, we show that the C terminal part of Cdc45 may mediate its interactions with Claspin. The interactions of human Cdc45 with the three replication factors Claspin, replication protein A and DNA polymerase \u03b4 are maximal during the S phase. Following UVC-induced DNA damage, Cdc45-Claspin complex formation is reduced, whereas the binding of Cdc45 to replication protein A is not affected. We also show that treatment of cells with UCN-01 and phosphatidylinositol 3-kinase-like kinase inhibitors does not rescue the UV-induced destabilization of Cdc45-Claspin interactions, suggesting that the loss of the interaction between Cdc45 and Claspin occurs upstream of ataxia telangiectasia and Rad 3-related activation in the intra-S-phase checkpoint.", "author" : [ { "dropping-particle" : "", "family" : "Broderick", "given" : "Ronan", "non-dropping-particle" : "", "parse-names" : false, "suffix" : "" }, { "dropping-particle" : "", "family" : "Rainey", "given" : "Michael D", "non-dropping-particle" : "", "parse-names" : false, "suffix" : "" }, { "dropping-particle" : "", "family" : "Santocanale", "given" : "Corrado", "non-dropping-particle" : "", "parse-names" : false, "suffix" : "" }, { "dropping-particle" : "", "family" : "Nasheuer", "given" : "Heinz P", "non-dropping-particle" : "", "parse-names" : false, "suffix" : "" } ], "container-title" : "The FEBS Journal", "id" : "ITEM-1", "issue" : "19", "issued" : { "date-parts" : [ [ "2013", "10" ] ] }, "page" : "4888-902", "title" : "Cell cycle-dependent formation of Cdc45-Claspin complexes in human cells is compromized by UV-mediated DNA damage.", "type" : "article-journal", "volume" : "280" }, "uris" : [ "http://www.mendeley.com/documents/?uuid=4d73c4f6-85e0-45c2-8093-85d5b3914d02" ] } ], "mendeley" : { "formattedCitation" : "(Broderick et al. 2013)", "plainTextFormattedCitation" : "(Broderick et al. 2013)", "previouslyFormattedCitation" : "(Broderick et al. 2013)" }, "properties" : { "noteIndex" : 0 }, "schema" : "https://github.com/citation-style-language/schema/raw/master/csl-citation.json" }</w:instrText>
      </w:r>
      <w:r w:rsidR="00F20EC0" w:rsidRPr="00DF0680">
        <w:rPr>
          <w:rFonts w:cs="Times New Roman"/>
        </w:rPr>
        <w:fldChar w:fldCharType="separate"/>
      </w:r>
      <w:r w:rsidR="00E77926" w:rsidRPr="00DF0680">
        <w:rPr>
          <w:rFonts w:cs="Times New Roman"/>
        </w:rPr>
        <w:t>(Broderick et al. 2013)</w:t>
      </w:r>
      <w:r w:rsidR="00F20EC0" w:rsidRPr="00DF0680">
        <w:rPr>
          <w:rFonts w:cs="Times New Roman"/>
        </w:rPr>
        <w:fldChar w:fldCharType="end"/>
      </w:r>
      <w:r w:rsidR="00E77926" w:rsidRPr="00DF0680">
        <w:rPr>
          <w:rFonts w:cs="Times New Roman"/>
        </w:rPr>
        <w:t xml:space="preserve">. </w:t>
      </w:r>
      <w:r w:rsidR="00B1693D" w:rsidRPr="00DF0680">
        <w:rPr>
          <w:rFonts w:cs="Times New Roman"/>
        </w:rPr>
        <w:t>This is supported by w</w:t>
      </w:r>
      <w:r w:rsidR="009F479C" w:rsidRPr="00DF0680">
        <w:rPr>
          <w:rFonts w:cs="Times New Roman"/>
        </w:rPr>
        <w:t xml:space="preserve">ork in yeast </w:t>
      </w:r>
      <w:r w:rsidR="00B1693D" w:rsidRPr="00DF0680">
        <w:rPr>
          <w:rFonts w:cs="Times New Roman"/>
        </w:rPr>
        <w:t xml:space="preserve">that demonstrates </w:t>
      </w:r>
      <w:r w:rsidR="009F479C" w:rsidRPr="00DF0680">
        <w:rPr>
          <w:rFonts w:cs="Times New Roman"/>
        </w:rPr>
        <w:t xml:space="preserve">the binding of Cdc45 to single stranded DNA is responsible for inhibiting MCM helicase activity under replication stress, thus preventing uncoupling of helicase and polymerase </w:t>
      </w:r>
      <w:r w:rsidR="00F20EC0" w:rsidRPr="00DF0680">
        <w:rPr>
          <w:rFonts w:cs="Times New Roman"/>
        </w:rPr>
        <w:fldChar w:fldCharType="begin" w:fldLock="1"/>
      </w:r>
      <w:r w:rsidR="00332613" w:rsidRPr="00DF0680">
        <w:rPr>
          <w:rFonts w:cs="Times New Roman"/>
        </w:rPr>
        <w:instrText>ADDIN CSL_CITATION { "citationItems" : [ { "id" : "ITEM-1", "itemData" : { "DOI" : "10.1074/jbc.M112.440941", "ISSN" : "1083-351X", "PMID" : "23382391", "abstract" : "Replicative polymerase stalling is coordinated with replicative helicase stalling in eukaryotes, but the mechanism underlying this coordination is not known. Cdc45 activates the Mcm2-7 helicase. We report here that Cdc45 from budding yeast binds tightly to long (\u2265 40 nucleotides) genomic single-stranded DNA (ssDNA) and that 60mer ssDNA specifically disrupts the interaction between Cdc45 and Mcm2-7. We identified a mutant of Cdc45 that does not bind to ssDNA. When this mutant of cdc45 is expressed in budding yeast cells exposed to hydroxyurea, cell growth is severely inhibited, and excess RPA accumulates at or near an origin. Chromatin immunoprecipitation suggests that helicase movement is uncoupled from polymerase movement for mutant cells exposed to hydroxyurea. These data suggest that Cdc45-ssDNA interaction is important for stalling the helicase during replication stress.", "author" : [ { "dropping-particle" : "", "family" : "Bruck", "given" : "Irina", "non-dropping-particle" : "", "parse-names" : false, "suffix" : "" }, { "dropping-particle" : "", "family" : "Kaplan", "given" : "Daniel L", "non-dropping-particle" : "", "parse-names" : false, "suffix" : "" } ], "container-title" : "The Journal of Biological Chemistry", "id" : "ITEM-1", "issue" : "11", "issued" : { "date-parts" : [ [ "2013", "3", "15" ] ] }, "page" : "7550-63", "title" : "Cdc45 protein-single-stranded DNA interaction is important for stalling the helicase during replication stress.", "type" : "article-journal", "volume" : "288" }, "uris" : [ "http://www.mendeley.com/documents/?uuid=6409f90a-0dca-4329-a59d-17e81562cb22" ] } ], "mendeley" : { "formattedCitation" : "(Bruck &amp; Kaplan 2013)", "plainTextFormattedCitation" : "(Bruck &amp; Kaplan 2013)", "previouslyFormattedCitation" : "(Bruck &amp; Kaplan 2013)" }, "properties" : { "noteIndex" : 0 }, "schema" : "https://github.com/citation-style-language/schema/raw/master/csl-citation.json" }</w:instrText>
      </w:r>
      <w:r w:rsidR="00F20EC0" w:rsidRPr="00DF0680">
        <w:rPr>
          <w:rFonts w:cs="Times New Roman"/>
        </w:rPr>
        <w:fldChar w:fldCharType="separate"/>
      </w:r>
      <w:r w:rsidR="009F479C" w:rsidRPr="00DF0680">
        <w:rPr>
          <w:rFonts w:cs="Times New Roman"/>
        </w:rPr>
        <w:t>(Bruck &amp; Kaplan 2013)</w:t>
      </w:r>
      <w:r w:rsidR="00F20EC0" w:rsidRPr="00DF0680">
        <w:rPr>
          <w:rFonts w:cs="Times New Roman"/>
        </w:rPr>
        <w:fldChar w:fldCharType="end"/>
      </w:r>
      <w:r w:rsidR="009F479C" w:rsidRPr="00DF0680">
        <w:rPr>
          <w:rFonts w:cs="Times New Roman"/>
        </w:rPr>
        <w:t xml:space="preserve">. </w:t>
      </w:r>
      <w:r w:rsidR="005B4AFA" w:rsidRPr="00DF0680">
        <w:rPr>
          <w:rFonts w:cs="Times New Roman"/>
        </w:rPr>
        <w:t xml:space="preserve">The Cdc7-Dbf4 protein kinase complex is another complex critical for the initiation of DNA replication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"Jiang", "given" : "Wei", "non-dropping-particle" : "", "parse-names" : false, "suffix" : "" }, { "dropping-particle" : "", "family" : "McDonald", "given" : "D", "non-dropping-particle" : "", "parse-names" : false, "suffix" : "" }, { "dropping-particle" : "", "family" : "Hope", "given" : "TJ", "non-dropping-particle" : "", "parse-names" : false, "suffix" : "" }, { "dropping-particle" : "", "family" : "Hunter", "given" : "Tony", "non-dropping-particle" : "", "parse-names" : false, "suffix" : "" } ], "container-title" : "The EMBO Journal", "id" : "ITEM-1", "issue" : "20", "issued" : { "date-parts" : [ [ "1999" ] ] }, "page" : "5703-5713", "title" : "Mammalian Cdc7\u2013Dbf4 protein kinase complex is essential for initiation of DNA replication", "type" : "article-journal", "volume" : "18" }, "uris" : [ "http://www.mendeley.com/documents/?uuid=adf0dc7e-b23a-4528-ac82-6934288c5381" ] } ], "mendeley" : { "formattedCitation" : "(Jiang et al. 1999)", "plainTextFormattedCitation" : "(Jiang et al. 1999)", "previouslyFormattedCitation" : "(Jiang et al. 1999)" }, "properties" : { "noteIndex" : 0 }, "schema" : "https://github.com/citation-style-language/schema/raw/master/csl-citation.json" }</w:instrText>
      </w:r>
      <w:r w:rsidR="00F20EC0" w:rsidRPr="00DF0680">
        <w:rPr>
          <w:rFonts w:cs="Times New Roman"/>
        </w:rPr>
        <w:fldChar w:fldCharType="separate"/>
      </w:r>
      <w:r w:rsidR="005B4AFA" w:rsidRPr="00DF0680">
        <w:rPr>
          <w:rFonts w:cs="Times New Roman"/>
        </w:rPr>
        <w:t>(Jiang et al. 1999)</w:t>
      </w:r>
      <w:r w:rsidR="00F20EC0" w:rsidRPr="00DF0680">
        <w:rPr>
          <w:rFonts w:cs="Times New Roman"/>
        </w:rPr>
        <w:fldChar w:fldCharType="end"/>
      </w:r>
      <w:r w:rsidR="005B4AFA" w:rsidRPr="00DF0680">
        <w:rPr>
          <w:rFonts w:cs="Times New Roman"/>
        </w:rPr>
        <w:t xml:space="preserve">. This kinase complex phosphorylates the MCM proteins to facilitate an interaction with Cdc45, allowing activation of replication origins </w:t>
      </w:r>
      <w:r w:rsidR="00F20EC0" w:rsidRPr="00DF0680">
        <w:rPr>
          <w:rFonts w:cs="Times New Roman"/>
        </w:rPr>
        <w:fldChar w:fldCharType="begin" w:fldLock="1"/>
      </w:r>
      <w:r w:rsidR="00332613" w:rsidRPr="00DF0680">
        <w:rPr>
          <w:rFonts w:cs="Times New Roman"/>
        </w:rPr>
        <w:instrText>ADDIN CSL_CITATION { "citationItems" : [ { "id" : "ITEM-1", "itemData" : { "DOI" : "10.1016/j.molcel.2006.07.033", "ISSN" : "1097-2765", "PMID" : "17018296", "abstract" : "Origins of DNA replication are licensed in G1 by recruiting the minichromosome maintenance (MCM) proteins to form a prereplicative complex (pre-RC). Prior to initiation of DNA synthesis from each origin, a preinitiation complex (pre-IC) containing Cdc45 and other proteins is formed. We report that Cdc7-Dbf4 protein kinase (DDK) promotes assembly of a stable Cdc45-MCM complex exclusively on chromatin in S phase. In this complex, Mcm4 is hyperphosphorylated. Studies in vitro using purified DDK and Mcm4 demonstrate that hyperphosphorylation occurs at the Mcm4 N terminus. However, the DDK substrate specificity is conferred by an adjacent DDK-docking domain (DDD), sufficient for facilitating efficient phosphorylation of artificial phosphoacceptors in cis. Genetic evidence suggests that phosphorylation of Mcm4 by DDK is important for timely S phase progression and for cell viability upon overproduction of Cdc45. We suggest that DDK docks on and phosphorylates MCM proteins at licensed origins to promote proper assembly of pre-IC.", "author" : [ { "dropping-particle" : "", "family" : "Sheu", "given" : "Yi-Jun", "non-dropping-particle" : "", "parse-names" : false, "suffix" : "" }, { "dropping-particle" : "", "family" : "Stillman", "given" : "Bruce", "non-dropping-particle" : "", "parse-names" : false, "suffix" : "" } ], "container-title" : "Molecular Cell", "id" : "ITEM-1", "issue" : "1", "issued" : { "date-parts" : [ [ "2006", "10", "6" ] ] }, "page" : "101-13", "title" : "Cdc7-Dbf4 phosphorylates MCM proteins via a docking site-mediated mechanism to promote S phase progression.", "type" : "article-journal", "volume" : "24" }, "uris" : [ "http://www.mendeley.com/documents/?uuid=21b9e451-06b6-487f-bd1e-7e9f81f1319b" ] }, { "id" : "ITEM-2", "itemData" : { "DOI" : "10.1074/jbc.M512921200", "ISSN" : "0021-9258", "PMID" : "16446360", "abstract" : "Minichromosome maintenance 2-7 proteins play a pivotal role in replication of the genome in eukaryotic organisms. Upon entry into S-phase several subunits of the MCM hexameric complex are phosphorylated. It is thought that phosphorylation activates the intrinsic MCM DNA helicase activity, thus allowing formation of active replication forks. Cdc7, Cdk2, and ataxia telangiectasia and Rad3-related kinases regulate S-phase entry and S-phase progression and are known to phosphorylate the Mcm2 subunit. In this work, by in vitro kinase reactions and mass spectrometry analysis of the products, we have mapped phosphorylation sites in the N terminus of Mcm2 by Cdc7, Cdk2, Cdk1, and CK2. We found that Cdc7 phosphorylates Mcm2 in at least three different sites, one of which corresponds to a site also reported to be phosphorylated by ataxia telangiectasia and Rad3-related. Three serine/proline sites were identified for Cdk2 and Cdk1, and a unique site was phosphorylated by CK2. We raised specific anti-phosphopeptide antibodies and found that all the sites identified in vitro are also phosphorylated in cells. Importantly, although all the Cdc7-dependent Mcm2 phosphosites fluctuate during the cell cycle with kinetics similar to Cdc7 kinase activity and Cdc7 protein levels, phosphorylation of Mcm2 in the putative cyclin-dependent kinase (Cdk) consensus sites is constant during the cell cycle. Furthermore, our analysis indicates that the majority of the Mcm2 isoforms phosphorylated by Cdc7 are not stably associated with chromatin. This study forms the basis for understanding how MCM functions are regulated by multiple kinases within the cell cycle and in response to external perturbations.", "author" : [ { "dropping-particle" : "", "family" : "Montagnoli", "given" : "Alessia", "non-dropping-particle" : "", "parse-names" : false, "suffix" : "" }, { "dropping-particle" : "", "family" : "Valsasina", "given" : "Barbara", "non-dropping-particle" : "", "parse-names" : false, "suffix" : "" }, { "dropping-particle" : "", "family" : "Brotherton", "given" : "Deborah", "non-dropping-particle" : "", "parse-names" : false, "suffix" : "" }, { "dropping-particle" : "", "family" : "Troiani", "given" : "Sonia", "non-dropping-particle" : "", "parse-names" : false, "suffix" : "" }, { "dropping-particle" : "", "family" : "Rainoldi", "given" : "Sonia", "non-dropping-particle" : "", "parse-names" : false, "suffix" : "" }, { "dropping-particle" : "", "family" : "Tenca", "given" : "Pierluigi", "non-dropping-particle" : "", "parse-names" : false, "suffix" : "" }, { "dropping-particle" : "", "family" : "Molinari", "given" : "Antonio", "non-dropping-particle" : "", "parse-names" : false, "suffix" : "" }, { "dropping-particle" : "", "family" : "Santocanale", "given" : "Corrado", "non-dropping-particle" : "", "parse-names" : false, "suffix" : "" } ], "container-title" : "The Journal of Biological Chemistry", "id" : "ITEM-2", "issue" : "15", "issued" : { "date-parts" : [ [ "2006", "4", "14" ] ] }, "page" : "10281-90", "title" : "Identification of Mcm2 phosphorylation sites by S-phase-regulating kinases.", "type" : "article-journal", "volume" : "281" }, "uris" : [ "http://www.mendeley.com/documents/?uuid=7f4cb5ea-7305-4779-9887-390ff2d13b2c" ] }, { "id" : "ITEM-3", "itemData" : { "DOI" : "10.1074/jbc.M608935200", "ISSN" : "0021-9258", "PMID" : "17046832", "abstract" : "Cdc7 kinase, conserved from yeasts to human, plays important roles in DNA replication. However, the mechanisms by which it stimulates initiation of DNA replication remain largely unclear. We have analyzed phosphorylation of MCM subunits during cell cycle by examining mobility shift on SDS-PAGE. MCM4 on the chromatin undergoes specific phosphorylation during S phase. Cdc7 phosphorylates MCM4 in the MCM complexes as well as the MCM4 N-terminal polypeptide. Experiments with phospho-amino acid-specific antibodies indicate that the S phase-specific mobility shift is due to the phosphorylation at specific N-terminal (S/T)(S/T)P residues of the MCM4 protein. These specific phosphorylation events are not observed in mouse ES cells deficient in Cdc7 or are reduced in the cells treated with siRNA specific to Cdc7, suggesting that they are mediated by Cdc7 kinase. The N-terminal phosphorylation of MCM4 stimulates association of Cdc45 with the chromatin, suggesting that it may be an important phosphorylation event by Cdc7 for activation of replication origins. Deletion of the N-terminal non-conserved 150 amino acids of MCM4 results in growth inhibition, and addition of amino acids carrying putative Cdc7 target sequences partially restores the growth. Furthermore, combination of MCM4 N-terminal deletion with alanine substitution and deletion of the N-terminal segments of MCM2 and MCM6, respectively, which contain clusters of serine/threonine and are also likely targets of Cdc7, led to an apparent nonviable phenotype. These results are consistent with the notion that the N-terminal phosphorylation of MCM2, MCM4, and MCM6 may play functionally redundant but essential roles in initiation of DNA replication.", "author" : [ { "dropping-particle" : "", "family" : "Masai", "given" : "Hisao", "non-dropping-particle" : "", "parse-names" : false, "suffix" : "" }, { "dropping-particle" : "", "family" : "Taniyama", "given" : "Chika", "non-dropping-particle" : "", "parse-names" : false, "suffix" : "" }, { "dropping-particle" : "", "family" : "Ogino", "given" : "Keiko", "non-dropping-particle" : "", "parse-names" : false, "suffix" : "" }, { "dropping-particle" : "", "family" : "Matsui", "given" : "Etsuko", "non-dropping-particle" : "", "parse-names" : false, "suffix" : "" }, { "dropping-particle" : "", "family" : "Kakusho", "given" : "Naoko", "non-dropping-particle" : "", "parse-names" : false, "suffix" : "" }, { "dropping-particle" : "", "family" : "Matsumoto", "given" : "Seiji", "non-dropping-particle" : "", "parse-names" : false, "suffix" : "" }, { "dropping-particle" : "", "family" : "Kim", "given" : "Jung-Min", "non-dropping-particle" : "", "parse-names" : false, "suffix" : "" }, { "dropping-particle" : "", "family" : "Ishii", "given" : "Ai", "non-dropping-particle" : "", "parse-names" : false, "suffix" : "" }, { "dropping-particle" : "", "family" : "Tanaka", "given" : "Taku", "non-dropping-particle" : "", "parse-names" : false, "suffix" : "" }, { "dropping-particle" : "", "family" : "Kobayashi", "given" : "Toshiko", "non-dropping-particle" : "", "parse-names" : false, "suffix" : "" }, { "dropping-particle" : "", "family" : "Tamai", "given" : "Katsuyuki", "non-dropping-particle" : "", "parse-names" : false, "suffix" : "" }, { "dropping-particle" : "", "family" : "Ohtani", "given" : "Kiyoshi", "non-dropping-particle" : "", "parse-names" : false, "suffix" : "" }, { "dropping-particle" : "", "family" : "Arai", "given" : "Ken-Ichi", "non-dropping-particle" : "", "parse-names" : false, "suffix" : "" } ], "container-title" : "The Journal of Biological Chemistry", "id" : "ITEM-3", "issue" : "51", "issued" : { "date-parts" : [ [ "2006", "12", "22" ] ] }, "page" : "39249-61", "title" : "Phosphorylation of MCM4 by Cdc7 kinase facilitates its interaction with Cdc45 on the chromatin.", "type" : "article-journal", "volume" : "281" }, "uris" : [ "http://www.mendeley.com/documents/?uuid=73d7c550-3fcd-4ce8-b9ee-e3fa4d9b4425" ] } ], "mendeley" : { "formattedCitation" : "(Sheu &amp; Stillman 2006; Montagnoli et al. 2006; Masai et al. 2006)", "plainTextFormattedCitation" : "(Sheu &amp; Stillman 2006; Montagnoli et al. 2006; Masai et al. 2006)", "previouslyFormattedCitation" : "(Sheu &amp; Stillman 2006; Montagnoli et al. 2006; Masai et al. 2006)" }, "properties" : { "noteIndex" : 0 }, "schema" : "https://github.com/citation-style-language/schema/raw/master/csl-citation.json" }</w:instrText>
      </w:r>
      <w:r w:rsidR="00F20EC0" w:rsidRPr="00DF0680">
        <w:rPr>
          <w:rFonts w:cs="Times New Roman"/>
        </w:rPr>
        <w:fldChar w:fldCharType="separate"/>
      </w:r>
      <w:r w:rsidR="005B4AFA" w:rsidRPr="00DF0680">
        <w:rPr>
          <w:rFonts w:cs="Times New Roman"/>
        </w:rPr>
        <w:t>(Sheu &amp; Stillman 2006; Montagnoli et al. 2006; Masai et al. 2006)</w:t>
      </w:r>
      <w:r w:rsidR="00F20EC0" w:rsidRPr="00DF0680">
        <w:rPr>
          <w:rFonts w:cs="Times New Roman"/>
        </w:rPr>
        <w:fldChar w:fldCharType="end"/>
      </w:r>
      <w:r w:rsidR="005B4AFA" w:rsidRPr="00DF0680">
        <w:rPr>
          <w:rFonts w:cs="Times New Roman"/>
        </w:rPr>
        <w:t xml:space="preserve">. </w:t>
      </w:r>
      <w:r w:rsidR="00967FAF" w:rsidRPr="00DF0680">
        <w:rPr>
          <w:rFonts w:cs="Times New Roman"/>
        </w:rPr>
        <w:t>Dbf4 is targeted</w:t>
      </w:r>
      <w:r w:rsidR="00FD4F6C" w:rsidRPr="00DF0680">
        <w:rPr>
          <w:rFonts w:cs="Times New Roman"/>
        </w:rPr>
        <w:t xml:space="preserve"> </w:t>
      </w:r>
      <w:r w:rsidR="00967FAF" w:rsidRPr="00DF0680">
        <w:rPr>
          <w:rFonts w:cs="Times New Roman"/>
        </w:rPr>
        <w:t>by</w:t>
      </w:r>
      <w:r w:rsidR="00FD4F6C" w:rsidRPr="00DF0680">
        <w:rPr>
          <w:rFonts w:cs="Times New Roman"/>
        </w:rPr>
        <w:t xml:space="preserve"> both ATM and ATR in response to DNA damage and replication stress </w:t>
      </w:r>
      <w:r w:rsidR="008443B8" w:rsidRPr="00DF0680">
        <w:rPr>
          <w:rFonts w:cs="Times New Roman"/>
        </w:rPr>
        <w:t>and is important for the regulation of the S phase checkpoint</w:t>
      </w:r>
      <w:r w:rsidR="00E77926"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"10.1074/jbc.M111.291104", "ISBN" : "8863758646", "ISSN" : "1083-351X", "PMID" : "22123827", "abstract" : "Dbf4/Cdc7 (Dbf4-dependent kinase (DDK)) is activated at the onset of S-phase, and its kinase activity is required for DNA replication initiation from each origin. We showed that DDK is an important target for the S-phase checkpoint in mammalian cells to suppress replication initiation and to protect replication forks. We demonstrated that ataxia telangiectasia mutated (ATM) and ataxia telangiectasia and Rad3-related (ATR) proteins directly phosphorylate Dbf4 in response to ionizing radiation and replication stress. We identified novel ATM/ATR phosphorylation sites on Dbf4 and showed that ATM/ATR-mediated phosphorylation of Dbf4 is critical for the intra-S-phase checkpoint to inhibit DNA replication. The kinase activity of DDK, which is not suppressed upon DNA damage, is required for fork protection under replication stress. We further demonstrated that ATM/ATR-mediated phosphorylation of Dbf4 is important for preventing DNA rereplication upon loss of replication licensing through the activation of the S-phase checkpoint. These studies indicate that DDK is a direct substrate of ATM and ATR to mediate the intra-S-phase checkpoint in mammalian cells.", "author" : [ { "dropping-particle" : "", "family" : "Lee", "given" : "Alan Yueh-Luen", "non-dropping-particle" : "", "parse-names" : false, "suffix" : "" }, { "dropping-particle" : "", "family" : "Chiba", "given" : "Takuya", "non-dropping-particle" : "", "parse-names" : false, "suffix" : "" }, { "dropping-particle" : "", "family" : "Truong", "given" : "Lan N", "non-dropping-particle" : "", "parse-names" : false, "suffix" : "" }, { "dropping-particle" : "", "family" : "Cheng", "given" : "An Ning", "non-dropping-particle" : "", "parse-names" : false, "suffix" : "" }, { "dropping-particle" : "", "family" : "Do", "given" : "Johnny", "non-dropping-particle" : "", "parse-names" : false, "suffix" : "" }, { "dropping-particle" : "", "family" : "Cho", "given" : "Michael Jeffrey", "non-dropping-particle" : "", "parse-names" : false, "suffix" : "" }, { "dropping-particle" : "", "family" : "Chen", "given" : "Longchuan", "non-dropping-particle" : "", "parse-names" : false, "suffix" : "" }, { "dropping-particle" : "", "family" : "Wu", "given" : "Xiaohua", "non-dropping-particle" : "", "parse-names" : false, "suffix" : "" } ], "container-title" : "The Journal of Biological Chemistry", "id" : "ITEM-1", "issue" : "4", "issued" : { "date-parts" : [ [ "2012", "1", "20" ] ] }, "page" : "2531-43", "title" : "Dbf4 is direct downstream target of ataxia telangiectasia mutated (ATM) and ataxia telangiectasia and Rad3-related (ATR) protein to regulate intra-S-phase checkpoint.", "type" : "article-journal", "volume" : "287" }, "uris" : [ "http://www.mendeley.com/documents/?uuid=898a05cb-4986-4611-9396-fdac200dcbf0" ] } ], "mendeley" : { "formattedCitation" : "(Lee et al. 2012)", "plainTextFormattedCitation" : "(Lee et al. 2012)", "previouslyFormattedCitation" : "(Lee et al. 2012)" }, "properties" : { "noteIndex" : 0 }, "schema" : "https://github.com/citation-style-language/schema/raw/master/csl-citation.json" }</w:instrText>
      </w:r>
      <w:r w:rsidR="00F20EC0" w:rsidRPr="00DF0680">
        <w:rPr>
          <w:rFonts w:cs="Times New Roman"/>
        </w:rPr>
        <w:fldChar w:fldCharType="separate"/>
      </w:r>
      <w:r w:rsidR="008443B8" w:rsidRPr="00DF0680">
        <w:rPr>
          <w:rFonts w:cs="Times New Roman"/>
        </w:rPr>
        <w:t>(Lee et al. 2012)</w:t>
      </w:r>
      <w:r w:rsidR="00F20EC0" w:rsidRPr="00DF0680">
        <w:rPr>
          <w:rFonts w:cs="Times New Roman"/>
        </w:rPr>
        <w:fldChar w:fldCharType="end"/>
      </w:r>
      <w:r w:rsidR="008443B8" w:rsidRPr="00DF0680">
        <w:rPr>
          <w:rFonts w:cs="Times New Roman"/>
        </w:rPr>
        <w:t xml:space="preserve">. </w:t>
      </w:r>
      <w:r w:rsidR="003C0D90" w:rsidRPr="00DF0680">
        <w:rPr>
          <w:rFonts w:cs="Times New Roman"/>
        </w:rPr>
        <w:t xml:space="preserve">Phosphorylation by ATM and ATR does not inhibit Cdc7-Dbf4’s phosphorylation activity, which was suggested to be important for protecting replication fork integrity, yet phosphorylation mutants were able to undergo radio-resistant DNA synthesis </w:t>
      </w:r>
      <w:r w:rsidR="00F20EC0" w:rsidRPr="00DF0680">
        <w:rPr>
          <w:rFonts w:cs="Times New Roman"/>
        </w:rPr>
        <w:fldChar w:fldCharType="begin" w:fldLock="1"/>
      </w:r>
      <w:r w:rsidR="00332613" w:rsidRPr="00DF0680">
        <w:rPr>
          <w:rFonts w:cs="Times New Roman"/>
        </w:rPr>
        <w:instrText>ADDIN CSL_CITATION { "citationItems" : [ { "id" : "ITEM-1", "itemData" : { "DOI" : "10.1074/jbc.M111.291104", "ISBN" : "8863758646", "ISSN" : "1083-351X", "PMID" : "22123827", "abstract" : "Dbf4/Cdc7 (Dbf4-dependent kinase (DDK)) is activated at the onset of S-phase, and its kinase activity is required for DNA replication initiation from each origin. We showed that DDK is an important target for the S-phase checkpoint in mammalian cells to suppress replication initiation and to protect replication forks. We demonstrated that ataxia telangiectasia mutated (ATM) and ataxia telangiectasia and Rad3-related (ATR) proteins directly phosphorylate Dbf4 in response to ionizing radiation and replication stress. We identified novel ATM/ATR phosphorylation sites on Dbf4 and showed that ATM/ATR-mediated phosphorylation of Dbf4 is critical for the intra-S-phase checkpoint to inhibit DNA replication. The kinase activity of DDK, which is not suppressed upon DNA damage, is required for fork protection under replication stress. We further demonstrated that ATM/ATR-mediated phosphorylation of Dbf4 is important for preventing DNA rereplication upon loss of replication licensing through the activation of the S-phase checkpoint. These studies indicate that DDK is a direct substrate of ATM and ATR to mediate the intra-S-phase checkpoint in mammalian cells.", "author" : [ { "dropping-particle" : "", "family" : "Lee", "given" : "Alan Yueh-Luen", "non-dropping-particle" : "", "parse-names" : false, "suffix" : "" }, { "dropping-particle" : "", "family" : "Chiba", "given" : "Takuya", "non-dropping-particle" : "", "parse-names" : false, "suffix" : "" }, { "dropping-particle" : "", "family" : "Truong", "given" : "Lan N", "non-dropping-particle" : "", "parse-names" : false, "suffix" : "" }, { "dropping-particle" : "", "family" : "Cheng", "given" : "An Ning", "non-dropping-particle" : "", "parse-names" : false, "suffix" : "" }, { "dropping-particle" : "", "family" : "Do", "given" : "Johnny", "non-dropping-particle" : "", "parse-names" : false, "suffix" : "" }, { "dropping-particle" : "", "family" : "Cho", "given" : "Michael Jeffrey", "non-dropping-particle" : "", "parse-names" : false, "suffix" : "" }, { "dropping-particle" : "", "family" : "Chen", "given" : "Longchuan", "non-dropping-particle" : "", "parse-names" : false, "suffix" : "" }, { "dropping-particle" : "", "family" : "Wu", "given" : "Xiaohua", "non-dropping-particle" : "", "parse-names" : false, "suffix" : "" } ], "container-title" : "The Journal of Biological Chemistry", "id" : "ITEM-1", "issue" : "4", "issued" : { "date-parts" : [ [ "2012", "1", "20" ] ] }, "page" : "2531-43", "title" : "Dbf4 is direct downstream target of ataxia telangiectasia mutated (ATM) and ataxia telangiectasia and Rad3-related (ATR) protein to regulate intra-S-phase checkpoint.", "type" : "article-journal", "volume" : "287" }, "uris" : [ "http://www.mendeley.com/documents/?uuid=898a05cb-4986-4611-9396-fdac200dcbf0" ] } ], "mendeley" : { "formattedCitation" : "(Lee et al. 2012)", "plainTextFormattedCitation" : "(Lee et al. 2012)", "previouslyFormattedCitation" : "(Lee et al. 2012)" }, "properties" : { "noteIndex" : 0 }, "schema" : "https://github.com/citation-style-language/schema/raw/master/csl-citation.json" }</w:instrText>
      </w:r>
      <w:r w:rsidR="00F20EC0" w:rsidRPr="00DF0680">
        <w:rPr>
          <w:rFonts w:cs="Times New Roman"/>
        </w:rPr>
        <w:fldChar w:fldCharType="separate"/>
      </w:r>
      <w:r w:rsidR="003C0D90" w:rsidRPr="00DF0680">
        <w:rPr>
          <w:rFonts w:cs="Times New Roman"/>
        </w:rPr>
        <w:t>(Lee et al. 2012)</w:t>
      </w:r>
      <w:r w:rsidR="00F20EC0" w:rsidRPr="00DF0680">
        <w:rPr>
          <w:rFonts w:cs="Times New Roman"/>
        </w:rPr>
        <w:fldChar w:fldCharType="end"/>
      </w:r>
      <w:r w:rsidR="003C0D90" w:rsidRPr="00DF0680">
        <w:rPr>
          <w:rFonts w:cs="Times New Roman"/>
        </w:rPr>
        <w:t xml:space="preserve">. Work in yeast and </w:t>
      </w:r>
      <w:r w:rsidR="003C0D90" w:rsidRPr="00DF0680">
        <w:rPr>
          <w:rFonts w:cs="Times New Roman"/>
          <w:i/>
        </w:rPr>
        <w:t>Xenopus</w:t>
      </w:r>
      <w:r w:rsidR="003C0D90" w:rsidRPr="00DF0680">
        <w:rPr>
          <w:rFonts w:cs="Times New Roman"/>
          <w:color w:val="FF0000"/>
        </w:rPr>
        <w:t xml:space="preserve"> </w:t>
      </w:r>
      <w:r w:rsidR="003C0D90" w:rsidRPr="00DF0680">
        <w:rPr>
          <w:rFonts w:cs="Times New Roman"/>
          <w:color w:val="auto"/>
        </w:rPr>
        <w:t xml:space="preserve">has shown a role for Cdc7-Dbf4 in </w:t>
      </w:r>
      <w:r w:rsidR="00967FAF" w:rsidRPr="00DF0680">
        <w:rPr>
          <w:rFonts w:cs="Times New Roman"/>
          <w:color w:val="auto"/>
        </w:rPr>
        <w:t xml:space="preserve">triggering DNA replication re-initiation, </w:t>
      </w:r>
      <w:r w:rsidR="003C0D90" w:rsidRPr="00DF0680">
        <w:rPr>
          <w:rFonts w:cs="Times New Roman"/>
          <w:color w:val="auto"/>
        </w:rPr>
        <w:t>releasing the 9-1-1 complex from sites of replication stress</w:t>
      </w:r>
      <w:r w:rsidR="00967FAF" w:rsidRPr="00DF0680">
        <w:rPr>
          <w:rFonts w:cs="Times New Roman"/>
          <w:color w:val="auto"/>
        </w:rPr>
        <w:t xml:space="preserv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"10.1016/j.molcel.2008.12.005", "ISSN" : "1097-4164", "PMID" : "19111665", "abstract" : "The Dbf4/Drf1-dependent S-phase-promoting kinase Cdc7 (Ddk) is thought to be an essential target inactivated by the S-phase checkpoint machinery that inhibits DNA replication. However, we show here that the complex formation, chromatin association, and kinase activity of Ddk are not inhibited during the DNA-damage-induced S-phase checkpoint response in Xenopus egg extracts and mammalian cells. Instead, we find that Ddk plays an active role in regulating S-phase checkpoint signaling. Addition of purified Ddk to Xenopus egg extracts or overexpression of Dbf4 in HeLa cells downregulates ATR-Chk1 checkpoint signaling and overrides the inhibition of DNA replication and cell-cycle progression induced by DNA-damaging agents. These results indicate that Ddk functions as an upstream regulator to monitor S-phase checkpoint signaling. We propose that Ddk modulates the S-phase checkpoint control by attenuating checkpoint signaling and triggering DNA replication reinitiation during the S-phase checkpoint recovery.", "author" : [ { "dropping-particle" : "", "family" : "Tsuji", "given" : "Toshiya", "non-dropping-particle" : "", "parse-names" : false, "suffix" : "" }, { "dropping-particle" : "", "family" : "Lau", "given" : "Eric", "non-dropping-particle" : "", "parse-names" : false, "suffix" : "" }, { "dropping-particle" : "", "family" : "Chiang", "given" : "Gary G", "non-dropping-particle" : "", "parse-names" : false, "suffix" : "" }, { "dropping-particle" : "", "family" : "Jiang", "given" : "Wei", "non-dropping-particle" : "", "parse-names" : false, "suffix" : "" } ], "container-title" : "Molecular Cell", "id" : "ITEM-1", "issue" : "6", "issued" : { "date-parts" : [ [ "2008", "12", "26" ] ] }, "page" : "862-9", "publisher" : "Elsevier Ltd", "title" : "The role of Dbf4/Drf1-dependent kinase Cdc7 in DNA-damage checkpoint control.", "type" : "article-journal", "volume" : "32" }, "uris" : [ "http://www.mendeley.com/documents/?uuid=4fb3581e-627c-41ec-99fd-d6df03e5e463" ] }, { "id" : "ITEM-2", "itemData" : { "DOI" : "10.1016/j.molcel.2010.10.026", "ISSN" : "1097-4164", "PMID" : "21095590", "abstract" : "When inappropriate DNA structures arise, they are sensed by DNA structure-dependent checkpoint pathways and subsequently repaired. Recruitment of checkpoint proteins to such structures precedes recruitment of proteins involved in DNA metabolism. Thus, checkpoints can regulate DNA metabolism. We show that fission yeast Rad9, a 9-1-1 heterotrimeric checkpoint-clamp component, is phosphorylated by Hsk1(Cdc7), the Schizosaccharomyces pombe\u00a0Dbf4-dependent kinase (DDK) homolog, in response to replication-induced DNA damage. Phosphorylation of Rad9 disrupts its interaction with replication protein A (RPA) and is dependent on 9-1-1 chromatin loading, the Rad9-associated protein Rad4/Cut5(TopBP1), and prior phosphorylation by Rad3(ATR). rad9 mutants defective in DDK phosphorylation show wild-type checkpoint responses but abnormal DNA repair protein foci and decreased viability after replication stress. We propose that Rad9 phosphorylation by DDK releases Rad9 from DNA damage sites to facilitate DNA repair.", "author" : [ { "dropping-particle" : "", "family" : "Furuya", "given" : "Kanji", "non-dropping-particle" : "", "parse-names" : false, "suffix" : "" }, { "dropping-particle" : "", "family" : "Miyabe", "given" : "Izumi", "non-dropping-particle" : "", "parse-names" : false, "suffix" : "" }, { "dropping-particle" : "", "family" : "Tsutsui", "given" : "Yasuhiro", "non-dropping-particle" : "", "parse-names" : false, "suffix" : "" }, { "dropping-particle" : "", "family" : "Paderi", "given" : "Francesca", "non-dropping-particle" : "", "parse-names" : false, "suffix" : "" }, { "dropping-particle" : "", "family" : "Kakusho", "given" : "Naoko", "non-dropping-particle" : "", "parse-names" : false, "suffix" : "" }, { "dropping-particle" : "", "family" : "Masai", "given" : "Hisao", "non-dropping-particle" : "", "parse-names" : false, "suffix" : "" }, { "dropping-particle" : "", "family" : "Niki", "given" : "Hironori", "non-dropping-particle" : "", "parse-names" : false, "suffix" : "" }, { "dropping-particle" : "", "family" : "Carr", "given" : "Antony M", "non-dropping-particle" : "", "parse-names" : false, "suffix" : "" } ], "container-title" : "Molecular Cell", "id" : "ITEM-2", "issue" : "4", "issued" : { "date-parts" : [ [ "2010", "11", "24" ] ] }, "page" : "606-18", "publisher" : "Elsevier Inc.", "title" : "DDK phosphorylates checkpoint clamp component Rad9 and promotes its release from damaged chromatin.", "type" : "article-journal", "volume" : "40" }, "uris" : [ "http://www.mendeley.com/documents/?uuid=1fef1620-1b9a-4ffe-a96d-61b3cb95ea5b" ] } ], "mendeley" : { "formattedCitation" : "(Tsuji et al. 2008; Furuya et al. 2010)", "plainTextFormattedCitation" : "(Tsuji et al. 2008; Furuya et al. 2010)", "previouslyFormattedCitation" : "(Tsuji et al. 2008; Furuya et al. 2010)" }, "properties" : { "noteIndex" : 0 }, "schema" : "https://github.com/citation-style-language/schema/raw/master/csl-citation.json" }</w:instrText>
      </w:r>
      <w:r w:rsidR="00F20EC0" w:rsidRPr="00DF0680">
        <w:rPr>
          <w:rFonts w:cs="Times New Roman"/>
          <w:color w:val="auto"/>
        </w:rPr>
        <w:fldChar w:fldCharType="separate"/>
      </w:r>
      <w:r w:rsidR="009F479C" w:rsidRPr="00DF0680">
        <w:rPr>
          <w:rFonts w:cs="Times New Roman"/>
          <w:color w:val="auto"/>
        </w:rPr>
        <w:t>(Tsuji et al. 2008; Furuya et al. 2010)</w:t>
      </w:r>
      <w:r w:rsidR="00F20EC0" w:rsidRPr="00DF0680">
        <w:rPr>
          <w:rFonts w:cs="Times New Roman"/>
          <w:color w:val="auto"/>
        </w:rPr>
        <w:fldChar w:fldCharType="end"/>
      </w:r>
      <w:r w:rsidR="003C0D90" w:rsidRPr="00DF0680">
        <w:rPr>
          <w:rFonts w:cs="Times New Roman"/>
          <w:color w:val="auto"/>
        </w:rPr>
        <w:t>.</w:t>
      </w:r>
      <w:r w:rsidR="003C0D90" w:rsidRPr="00DF0680">
        <w:rPr>
          <w:rFonts w:cs="Times New Roman"/>
        </w:rPr>
        <w:t xml:space="preserve"> </w:t>
      </w:r>
      <w:r w:rsidR="004A0B6B" w:rsidRPr="00DF0680">
        <w:rPr>
          <w:rFonts w:cs="Times New Roman"/>
        </w:rPr>
        <w:t xml:space="preserve">A parallel mechanism for S-phase checkpoint activation has been shown to involve </w:t>
      </w:r>
      <w:r w:rsidR="007D0EFC" w:rsidRPr="00DF0680">
        <w:rPr>
          <w:rFonts w:cs="Times New Roman"/>
        </w:rPr>
        <w:t>the M</w:t>
      </w:r>
      <w:r w:rsidR="004A0B6B" w:rsidRPr="00DF0680">
        <w:rPr>
          <w:rFonts w:cs="Times New Roman"/>
        </w:rPr>
        <w:t>RN complex</w:t>
      </w:r>
      <w:r w:rsidR="007D0EFC" w:rsidRPr="00DF0680">
        <w:rPr>
          <w:rFonts w:cs="Times New Roman"/>
        </w:rPr>
        <w:t xml:space="preserve"> protein</w:t>
      </w:r>
      <w:r w:rsidR="004A0B6B" w:rsidRPr="00DF0680">
        <w:rPr>
          <w:rFonts w:cs="Times New Roman"/>
        </w:rPr>
        <w:t xml:space="preserve"> Nbs1 which is phosphorylated in S phase by both ATM and ATR upon ionizing radiation and stalled forks respectively </w:t>
      </w:r>
      <w:r w:rsidR="00F20EC0" w:rsidRPr="00DF0680">
        <w:rPr>
          <w:rFonts w:cs="Times New Roman"/>
        </w:rPr>
        <w:fldChar w:fldCharType="begin" w:fldLock="1"/>
      </w:r>
      <w:r w:rsidR="00332613" w:rsidRPr="00DF0680">
        <w:rPr>
          <w:rFonts w:cs="Times New Roman"/>
        </w:rPr>
        <w:instrText>ADDIN CSL_CITATION { "citationItems" : [ { "id" : "ITEM-1", "itemData" : { "DOI" : "10.1074/jbc.M702162200", "ISBN" : "2293922952", "ISSN" : "0021-9258", "PMID" : "17526493", "abstract" : "The Mre11-Rad50-Nbs1 (MRN) complex is required for mediating the S-phase checkpoint following UV treatment, but the underlying mechanism is not clear. Here we demonstrate that at least two mechanisms are involved in regulating the S-phase checkpoint in an MRN-dependent manner following UV treatment. First, when replication forks are stalled, MRN is required upstream of ataxia telangiectasia mutated and Rad3-related protein (ATR) to facilitate ATR activation in a substrate and dosage-dependent manner. In particular, MRN is required for ATR-directed phosphorylation of RPA2, a critical event in mediating the S-phase checkpoint following UV treatment. Second, MRN is a downstream substrate of ATR. Nbs1 is phosphorylated by ATR at Ser-343 when replication forks are stalled, and this phosphorylation event is also important for down-regulating DNA replication following UV treatment. Moreover, we demonstrate that MRN and ATR/ATR-interacting protein (TRIP) interact with each other, and the forkhead-associated/breast cancer C-terminal domains (FHA/BRCT) of Nbs1 play a significant role in mediating this interaction. Mutations in the FHA/BRCT domains do not prevent ATR activation but specifically impair ATR-mediated Nbs1 phosphorylation at Ser-343, which results in a defect in the S-phase checkpoint. These data suggest that MRN plays critical roles both upstream and downstream of ATR to regulate the S-phase checkpoint when replication forks are stalled.", "author" : [ { "dropping-particle" : "", "family" : "Olson", "given" : "Erin", "non-dropping-particle" : "", "parse-names" : false, "suffix" : "" }, { "dropping-particle" : "", "family" : "Nievera", "given" : "Christian J", "non-dropping-particle" : "", "parse-names" : false, "suffix" : "" }, { "dropping-particle" : "", "family" : "Lee", "given" : "Alan Yueh-Luen", "non-dropping-particle" : "", "parse-names" : false, "suffix" : "" }, { "dropping-particle" : "", "family" : "Chen", "given" : "Longchuan", "non-dropping-particle" : "", "parse-names" : false, "suffix" : "" }, { "dropping-particle" : "", "family" : "Wu", "given" : "Xiaohua", "non-dropping-particle" : "", "parse-names" : false, "suffix" : "" } ], "container-title" : "The Journal of Biological Chemistry", "id" : "ITEM-1", "issue" : "31", "issued" : { "date-parts" : [ [ "2007", "8", "3" ] ] }, "page" : "22939-52", "title" : "The Mre11-Rad50-Nbs1 complex acts both upstream and downstream of ataxia telangiectasia mutated and Rad3-related protein (ATR) to regulate the S-phase checkpoint following UV treatment.", "type" : "article-journal", "volume" : "282" }, "uris" : [ "http://www.mendeley.com/documents/?uuid=f59285d6-d3ef-4479-86de-19c51b598a99" ] }, { "id" : "ITEM-2", "itemData" : { "author" : [ { "dropping-particle" : "", "family" : "Lim", "given" : "DS", "non-dropping-particle" : "", "parse-names" : false, "suffix" : "" }, { "dropping-particle" : "", "family" : "Kim", "given" : "ST", "non-dropping-particle" : "", "parse-names" : false, "suffix" : "" }, { "dropping-particle" : "", "family" : "Xu", "given" : "Bo", "non-dropping-particle" : "", "parse-names" : false, "suffix" : "" }, { "dropping-particle" : "", "family" : "Maser", "given" : "RS", "non-dropping-particle" : "", "parse-names" : false, "suffix" : "" }, { "dropping-particle" : "", "family" : "Lin", "given" : "J", "non-dropping-particle" : "", "parse-names" : false, "suffix" : "" } ], "container-title" : "Nature", "id" : "ITEM-2", "issue" : "6778", "issued" : { "date-parts" : [ [ "2000" ] ] }, "page" : "613-617", "title" : "ATM phosphorylates p95/nbs1 in an S-phase checkpoint pathway", "type" : "article-journal", "volume" : "404" }, "uris" : [ "http://www.mendeley.com/documents/?uuid=058b74d5-ee7c-4a08-8351-f8abb831a185" ] } ], "mendeley" : { "formattedCitation" : "(Olson et al. 2007; Lim et al. 2000)", "plainTextFormattedCitation" : "(Olson et al. 2007; Lim et al. 2000)", "previouslyFormattedCitation" : "(Olson et al. 2007; Lim et al.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(Olson et al. 2007; Lim et al. 2000)</w:t>
      </w:r>
      <w:r w:rsidR="00F20EC0" w:rsidRPr="00DF0680">
        <w:rPr>
          <w:rFonts w:cs="Times New Roman"/>
        </w:rPr>
        <w:fldChar w:fldCharType="end"/>
      </w:r>
      <w:r w:rsidR="004A0B6B" w:rsidRPr="00DF0680">
        <w:rPr>
          <w:rFonts w:cs="Times New Roman"/>
        </w:rPr>
        <w:t>.</w:t>
      </w:r>
      <w:r w:rsidR="00967FAF" w:rsidRPr="00DF0680">
        <w:rPr>
          <w:rFonts w:cs="Times New Roman"/>
        </w:rPr>
        <w:t xml:space="preserve"> </w:t>
      </w:r>
    </w:p>
    <w:p w:rsidR="00753E8B" w:rsidRPr="00DF0680" w:rsidRDefault="00881576" w:rsidP="00495B5A">
      <w:pPr>
        <w:rPr>
          <w:rFonts w:cs="Times New Roman"/>
        </w:rPr>
      </w:pPr>
      <w:r w:rsidRPr="00DF0680">
        <w:rPr>
          <w:rFonts w:cs="Times New Roman"/>
        </w:rPr>
        <w:t xml:space="preserve">The checkpoint at </w:t>
      </w:r>
      <w:r w:rsidR="00581401" w:rsidRPr="00DF0680">
        <w:rPr>
          <w:rFonts w:cs="Times New Roman"/>
        </w:rPr>
        <w:t xml:space="preserve">the </w:t>
      </w:r>
      <w:r w:rsidRPr="00DF0680">
        <w:rPr>
          <w:rFonts w:cs="Times New Roman"/>
        </w:rPr>
        <w:t xml:space="preserve">G2/M </w:t>
      </w:r>
      <w:r w:rsidR="00581401" w:rsidRPr="00DF0680">
        <w:rPr>
          <w:rFonts w:cs="Times New Roman"/>
        </w:rPr>
        <w:t xml:space="preserve">border </w:t>
      </w:r>
      <w:r w:rsidRPr="00DF0680">
        <w:rPr>
          <w:rFonts w:cs="Times New Roman"/>
        </w:rPr>
        <w:t xml:space="preserve">acts to ensure </w:t>
      </w:r>
      <w:r w:rsidR="00581401" w:rsidRPr="00DF0680">
        <w:rPr>
          <w:rFonts w:cs="Times New Roman"/>
        </w:rPr>
        <w:t>that</w:t>
      </w:r>
      <w:r w:rsidRPr="00DF0680">
        <w:rPr>
          <w:rFonts w:cs="Times New Roman"/>
        </w:rPr>
        <w:t xml:space="preserve"> no </w:t>
      </w:r>
      <w:r w:rsidR="00581401" w:rsidRPr="00DF0680">
        <w:rPr>
          <w:rFonts w:cs="Times New Roman"/>
        </w:rPr>
        <w:t>cells with existing damage pass</w:t>
      </w:r>
      <w:r w:rsidRPr="00DF0680">
        <w:rPr>
          <w:rFonts w:cs="Times New Roman"/>
        </w:rPr>
        <w:t xml:space="preserve"> through to mitosis. This damage may have occurred during G2 phase or in S phase </w:t>
      </w:r>
      <w:r w:rsidRPr="00DF0680">
        <w:rPr>
          <w:rFonts w:cs="Times New Roman"/>
        </w:rPr>
        <w:lastRenderedPageBreak/>
        <w:t xml:space="preserve">where the checkpoint has been bypassed. </w:t>
      </w:r>
      <w:r w:rsidR="0034618B" w:rsidRPr="00DF0680">
        <w:rPr>
          <w:rFonts w:cs="Times New Roman"/>
        </w:rPr>
        <w:t>Upon replication stress, Cdc25A</w:t>
      </w:r>
      <w:r w:rsidR="0020000A" w:rsidRPr="00DF0680">
        <w:rPr>
          <w:rFonts w:cs="Times New Roman"/>
        </w:rPr>
        <w:t xml:space="preserve"> is phosphorylated by Chk1 which allows the 14-3-3 proteins to bind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"Chen", "given" : "MS", "non-dropping-particle" : "", "parse-names" : false, "suffix" : "" } ], "container-title" : "Molecular and Cellular Biology", "id" : "ITEM-1", "issue" : "21", "issued" : { "date-parts" : [ [ "2003" ] ] }, "page" : "7488-97", "title" : "Chk1 kinase negatively regulates mitotic function of Cdc25A phosphatase through 14-3-3 binding", "type" : "article-journal", "volume" : "23" }, "uris" : [ "http://www.mendeley.com/documents/?uuid=19470c62-83cb-46cd-b388-a29e966920f6" ] } ], "mendeley" : { "formattedCitation" : "(Chen 2003)", "plainTextFormattedCitation" : "(Chen 2003)", "previouslyFormattedCitation" : "(Chen 2003)" }, "properties" : { "noteIndex" : 0 }, "schema" : "https://github.com/citation-style-language/schema/raw/master/csl-citation.json" }</w:instrText>
      </w:r>
      <w:r w:rsidR="00F20EC0" w:rsidRPr="00DF0680">
        <w:rPr>
          <w:rFonts w:cs="Times New Roman"/>
        </w:rPr>
        <w:fldChar w:fldCharType="separate"/>
      </w:r>
      <w:r w:rsidR="0020000A" w:rsidRPr="00DF0680">
        <w:rPr>
          <w:rFonts w:cs="Times New Roman"/>
        </w:rPr>
        <w:t>(Chen 2003)</w:t>
      </w:r>
      <w:r w:rsidR="00F20EC0" w:rsidRPr="00DF0680">
        <w:rPr>
          <w:rFonts w:cs="Times New Roman"/>
        </w:rPr>
        <w:fldChar w:fldCharType="end"/>
      </w:r>
      <w:r w:rsidR="0020000A" w:rsidRPr="00DF0680">
        <w:rPr>
          <w:rFonts w:cs="Times New Roman"/>
        </w:rPr>
        <w:t>. This inhibits the de</w:t>
      </w:r>
      <w:r w:rsidR="00E52DD8" w:rsidRPr="00DF0680">
        <w:rPr>
          <w:rFonts w:cs="Times New Roman"/>
        </w:rPr>
        <w:t>-</w:t>
      </w:r>
      <w:r w:rsidR="0020000A" w:rsidRPr="00DF0680">
        <w:rPr>
          <w:rFonts w:cs="Times New Roman"/>
        </w:rPr>
        <w:t xml:space="preserve">phosphorylation of Cdk1, meaning the Cyclin B1/Cdk1 complex is not active and cannot promote mitosis. </w:t>
      </w:r>
      <w:r w:rsidR="00984EA8" w:rsidRPr="00DF0680">
        <w:rPr>
          <w:rFonts w:cs="Times New Roman"/>
        </w:rPr>
        <w:t>The kinase wee1</w:t>
      </w:r>
      <w:r w:rsidR="0034012C" w:rsidRPr="00DF0680">
        <w:rPr>
          <w:rFonts w:cs="Times New Roman"/>
        </w:rPr>
        <w:t>, regulated by Chk1,</w:t>
      </w:r>
      <w:r w:rsidR="00984EA8" w:rsidRPr="00DF0680">
        <w:rPr>
          <w:rFonts w:cs="Times New Roman"/>
        </w:rPr>
        <w:t xml:space="preserve"> also phosphorylates Cdk1 in an inhibiting manner to prevent transcription of mitosis associate</w:t>
      </w:r>
      <w:r w:rsidR="00F15BB8" w:rsidRPr="00DF0680">
        <w:rPr>
          <w:rFonts w:cs="Times New Roman"/>
        </w:rPr>
        <w:t xml:space="preserve">d genes </w:t>
      </w:r>
      <w:r w:rsidR="00F20EC0" w:rsidRPr="00DF0680">
        <w:rPr>
          <w:rFonts w:cs="Times New Roman"/>
        </w:rPr>
        <w:fldChar w:fldCharType="begin" w:fldLock="1"/>
      </w:r>
      <w:r w:rsidR="00902269" w:rsidRPr="00DF0680">
        <w:rPr>
          <w:rFonts w:cs="Times New Roman"/>
        </w:rPr>
        <w:instrText>ADDIN CSL_CITATION { "citationItems" : [ { "id" : "ITEM-1", "itemData" : { "author" : [ { "dropping-particle" : "", "family" : "Heald", "given" : "Rebecca", "non-dropping-particle" : "", "parse-names" : false, "suffix" : "" }, { "dropping-particle" : "", "family" : "McLoughlin", "given" : "M", "non-dropping-particle" : "", "parse-names" : false, "suffix" : "" }, { "dropping-particle" : "", "family" : "McKeon", "given" : "F", "non-dropping-particle" : "", "parse-names" : false, "suffix" : "" } ], "container-title" : "Cell", "id" : "ITEM-1", "issue" : "3", "issued" : { "date-parts" : [ [ "1993" ] ] }, "page" : "463-474", "title" : "Human wee1 maintains mitotic timing by protecting the nucleus from cytoplasmically activated Cdc2 kinase", "type" : "article-journal", "volume" : "74" }, "uris" : [ "http://www.mendeley.com/documents/?uuid=0bd510b7-fd1a-4a9c-90e4-597a2b2f968e" ] }, { "id" : "ITEM-2", "itemData" : { "author" : [ { "dropping-particle" : "", "family" : "Parker", "given" : "LL", "non-dropping-particle" : "", "parse-names" : false, "suffix" : "" }, { "dropping-particle" : "", "family" : "Piwnica-Worms", "given" : "H", "non-dropping-particle" : "", "parse-names" : false, "suffix" : "" } ], "container-title" : "Science", "id" : "ITEM-2", "issue" : "5078", "issued" : { "date-parts" : [ [ "1992" ] ] }, "page" : "1955-1957", "title" : "Inactivation of the p34cdc2-cyclin B complex by the human WEE1 tyrosine kinase", "type" : "article-journal", "volume" : "257" }, "uris" : [ "http://www.mendeley.com/documents/?uuid=1187ed6c-9c8e-4c69-bca0-66b3b048befb" ] }, { "id" : "ITEM-3", "itemData" : { "author" : [ { "dropping-particle" : "", "family" : "Lundgren", "given" : "Karen", "non-dropping-particle" : "", "parse-names" : false, "suffix" : "" }, { "dropping-particle" : "", "family" : "Walworth", "given" : "Nancy", "non-dropping-particle" : "", "parse-names" : false, "suffix" : "" }, { "dropping-particle" : "", "family" : "Booher", "given" : "Robert", "non-dropping-particle" : "", "parse-names" : false, "suffix" : "" } ], "container-title" : "Cell", "id" : "ITEM-3", "issue" : "6", "issued" : { "date-parts" : [ [ "1991" ] ] }, "page" : "1111-22", "title" : "mik1 and wee1 cooperate in the inhibitory tyrosine phosphorylation of cdc2", "type" : "article-journal", "volume" : "64" }, "uris" : [ "http://www.mendeley.com/documents/?uuid=62c3e611-1526-4717-8432-8fdb9aebc5a3" ] }, { "id" : "ITEM-4", "itemData" : { "ISBN" : "1059-1524 (Print)\\r1059-1524 (Linking)", "ISSN" : "1059-1524", "PMID" : "11251070", "abstract" : "Wee1 inactivates the Cdc2-cyclin B complex during interphase by phosphorylating Cdc2 on Tyr-15. The activity of Wee1 is highly regulated during the cell cycle. In frog egg extracts, it has been established previously that Xenopus Wee1 (Xwee1) is present in a hypophosphorylated, active form during interphase and undergoes down-regulation by extensive phosphorylation at M-phase. We report that Xwee1 is also regulated by association with 14-3-3 proteins. Binding of 14-3-3 to Xwee1 occurs during interphase, but not M-phase, and requires phosphorylation of Xwee1 on Ser-549. A mutant of Xwee1 (S549A) that cannot bind 14-3-3 is substantially less active than wild-type Xwee1 in its ability to phosphorylate Cdc2. This mutation also affects the intranuclear distribution of Xwee1. In cell-free kinase assays, Xchk1 phosphorylates Xwee1 on Ser-549. The results of experiments in which Xwee1, Xchk1, or both were immunodepleted from Xenopus egg extracts suggested that these two enzymes are involved in a common pathway in the DNA replication checkpoint response. Replacement of endogenous Xwee1 with recombinant Xwee1-S549A in egg extracts attenuated the cell cycle delay induced by addition of excess recombinant Xchk1. Taken together, these results suggest that Xchk1 and 14-3-3 proteins act together as positive regulators of Xwee1.", "author" : [ { "dropping-particle" : "", "family" : "Lee", "given" : "J", "non-dropping-particle" : "", "parse-names" : false, "suffix" : "" }, { "dropping-particle" : "", "family" : "Kumagai", "given" : "a", "non-dropping-particle" : "", "parse-names" : false, "suffix" : "" }, { "dropping-particle" : "", "family" : "Dunphy", "given" : "W G", "non-dropping-particle" : "", "parse-names" : false, "suffix" : "" } ], "container-title" : "Molecular biology of the cell", "id" : "ITEM-4", "issue" : "3", "issued" : { "date-parts" : [ [ "2001" ] ] }, "page" : "551-563", "title" : "Positive regulation of Wee1 by Chk1 and 14-3-3 proteins.", "type" : "article-journal", "volume" : "12" }, "uris" : [ "http://www.mendeley.com/documents/?uuid=f7b60361-7478-4b24-98b3-c21dd5ef1f38" ] } ], "mendeley" : { "formattedCitation" : "(Heald et al. 1993; Parker &amp; Piwnica-Worms 1992; Lundgren et al. 1991; Lee et al. 2001)", "plainTextFormattedCitation" : "(Heald et al. 1993; Parker &amp; Piwnica-Worms 1992; Lundgren et al. 1991; Lee et al. 2001)", "previouslyFormattedCitation" : "(Heald et al. 1993; Parker &amp; Piwnica-Worms 1992; Lundgren et al. 1991; Lee et al. 2001)" }, "properties" : { "noteIndex" : 0 }, "schema" : "https://github.com/citation-style-language/schema/raw/master/csl-citation.json" }</w:instrText>
      </w:r>
      <w:r w:rsidR="00F20EC0" w:rsidRPr="00DF0680">
        <w:rPr>
          <w:rFonts w:cs="Times New Roman"/>
        </w:rPr>
        <w:fldChar w:fldCharType="separate"/>
      </w:r>
      <w:r w:rsidR="0034012C" w:rsidRPr="00DF0680">
        <w:rPr>
          <w:rFonts w:cs="Times New Roman"/>
        </w:rPr>
        <w:t>(Heald et al. 1993; Parker &amp; Piwnica-Worms 1992; Lundgren et al. 1991; Lee et al. 2001)</w:t>
      </w:r>
      <w:r w:rsidR="00F20EC0" w:rsidRPr="00DF0680">
        <w:rPr>
          <w:rFonts w:cs="Times New Roman"/>
        </w:rPr>
        <w:fldChar w:fldCharType="end"/>
      </w:r>
      <w:r w:rsidR="00F15BB8" w:rsidRPr="00DF0680">
        <w:rPr>
          <w:rFonts w:cs="Times New Roman"/>
        </w:rPr>
        <w:t>.</w:t>
      </w:r>
    </w:p>
    <w:p w:rsidR="00495B5A" w:rsidRPr="00DF0680" w:rsidRDefault="00753E8B" w:rsidP="00495B5A">
      <w:pPr>
        <w:rPr>
          <w:rFonts w:cs="Times New Roman"/>
        </w:rPr>
      </w:pPr>
      <w:r w:rsidRPr="00DF0680">
        <w:rPr>
          <w:rFonts w:cs="Times New Roman"/>
        </w:rPr>
        <w:t>A</w:t>
      </w:r>
      <w:r w:rsidR="00621B02" w:rsidRPr="00DF0680">
        <w:rPr>
          <w:rFonts w:cs="Times New Roman"/>
        </w:rPr>
        <w:t>nother</w:t>
      </w:r>
      <w:r w:rsidR="00881576" w:rsidRPr="00DF0680">
        <w:rPr>
          <w:rFonts w:cs="Times New Roman"/>
        </w:rPr>
        <w:t xml:space="preserve"> way in which the cell controls the entry into mito</w:t>
      </w:r>
      <w:r w:rsidR="00A87F40" w:rsidRPr="00DF0680">
        <w:rPr>
          <w:rFonts w:cs="Times New Roman"/>
        </w:rPr>
        <w:t xml:space="preserve">sis is through </w:t>
      </w:r>
      <w:r w:rsidR="00E75D8F" w:rsidRPr="00DF0680">
        <w:rPr>
          <w:rFonts w:cs="Times New Roman"/>
        </w:rPr>
        <w:t xml:space="preserve">the </w:t>
      </w:r>
      <w:r w:rsidR="00A87F40" w:rsidRPr="00DF0680">
        <w:rPr>
          <w:rFonts w:cs="Times New Roman"/>
        </w:rPr>
        <w:t>mitotic spindle</w:t>
      </w:r>
      <w:r w:rsidRPr="00DF0680">
        <w:rPr>
          <w:rFonts w:cs="Times New Roman"/>
        </w:rPr>
        <w:t xml:space="preserve"> checkpoint</w:t>
      </w:r>
      <w:r w:rsidR="00621B02" w:rsidRPr="00DF0680">
        <w:rPr>
          <w:rFonts w:cs="Times New Roman"/>
        </w:rPr>
        <w:t>.</w:t>
      </w:r>
      <w:r w:rsidR="00A87F40" w:rsidRPr="00DF0680">
        <w:rPr>
          <w:rFonts w:cs="Times New Roman"/>
        </w:rPr>
        <w:t xml:space="preserve"> </w:t>
      </w:r>
      <w:r w:rsidR="00621B02" w:rsidRPr="00DF0680">
        <w:rPr>
          <w:rFonts w:cs="Times New Roman"/>
        </w:rPr>
        <w:t>A</w:t>
      </w:r>
      <w:r w:rsidR="00A87F40" w:rsidRPr="00DF0680">
        <w:rPr>
          <w:rFonts w:cs="Times New Roman"/>
        </w:rPr>
        <w:t xml:space="preserve"> key</w:t>
      </w:r>
      <w:r w:rsidR="00881576" w:rsidRPr="00DF0680">
        <w:rPr>
          <w:rFonts w:cs="Times New Roman"/>
        </w:rPr>
        <w:t xml:space="preserve"> </w:t>
      </w:r>
      <w:r w:rsidR="00A87F40" w:rsidRPr="00DF0680">
        <w:rPr>
          <w:rFonts w:cs="Times New Roman"/>
        </w:rPr>
        <w:t>protein</w:t>
      </w:r>
      <w:r w:rsidR="00881576" w:rsidRPr="00DF0680">
        <w:rPr>
          <w:rFonts w:cs="Times New Roman"/>
        </w:rPr>
        <w:t xml:space="preserve"> involved in this regulation is survivin. </w:t>
      </w:r>
      <w:r w:rsidR="00BB335A" w:rsidRPr="00DF0680">
        <w:rPr>
          <w:rFonts w:cs="Times New Roman"/>
        </w:rPr>
        <w:t xml:space="preserve">By associating with the microtubules of the spindle, survivin inhibits caspase-3’s apoptotic activity, protecting the cell from death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"Li", "given" : "F", "non-dropping-particle" : "", "parse-names" : false, "suffix" : "" }, { "dropping-particle" : "", "family" : "Ambrosini", "given" : "G", "non-dropping-particle" : "", "parse-names" : false, "suffix" : "" }, { "dropping-particle" : "", "family" : "Chu", "given" : "EY", "non-dropping-particle" : "", "parse-names" : false, "suffix" : "" }, { "dropping-particle" : "", "family" : "Plescia", "given" : "J", "non-dropping-particle" : "", "parse-names" : false, "suffix" : "" } ], "container-title" : "Nature", "id" : "ITEM-1", "issue" : "6711", "issued" : { "date-parts" : [ [ "1998" ] ] }, "page" : "580-4", "title" : "Control of apoptosis and mitotic spindle checkpoint by survivin", "type" : "article-journal", "volume" : "396" }, "uris" : [ "http://www.mendeley.com/documents/?uuid=947478f8-2b0f-4e98-90b5-3e8e89e18981" ] } ], "mendeley" : { "formattedCitation" : "(Li et al. 1998)", "plainTextFormattedCitation" : "(Li et al. 1998)", "previouslyFormattedCitation" : "(Li et al. 1998)"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(Li et al. 1998)</w:t>
      </w:r>
      <w:r w:rsidR="00F20EC0" w:rsidRPr="00DF0680">
        <w:rPr>
          <w:rFonts w:cs="Times New Roman"/>
        </w:rPr>
        <w:fldChar w:fldCharType="end"/>
      </w:r>
      <w:r w:rsidR="00BB335A" w:rsidRPr="00DF0680">
        <w:rPr>
          <w:rFonts w:cs="Times New Roman"/>
        </w:rPr>
        <w:t xml:space="preserve">. </w:t>
      </w:r>
      <w:r w:rsidR="00A87F40" w:rsidRPr="00DF0680">
        <w:rPr>
          <w:rFonts w:cs="Times New Roman"/>
        </w:rPr>
        <w:t>As with many anti-apoptotic genes, survivin expression is repressed by p53, and</w:t>
      </w:r>
      <w:r w:rsidR="00360CE3" w:rsidRPr="00DF0680">
        <w:rPr>
          <w:rFonts w:cs="Times New Roman"/>
        </w:rPr>
        <w:t xml:space="preserve"> inhibiting this repression</w:t>
      </w:r>
      <w:r w:rsidR="00A87F40" w:rsidRPr="00DF0680">
        <w:rPr>
          <w:rFonts w:cs="Times New Roman"/>
        </w:rPr>
        <w:t xml:space="preserve"> is a common mechanism for cancer cells to avoid apoptosis </w:t>
      </w:r>
      <w:r w:rsidR="00F20EC0" w:rsidRPr="00DF0680">
        <w:rPr>
          <w:rFonts w:cs="Times New Roman"/>
        </w:rPr>
        <w:fldChar w:fldCharType="begin" w:fldLock="1"/>
      </w:r>
      <w:r w:rsidR="00332613" w:rsidRPr="00DF0680">
        <w:rPr>
          <w:rFonts w:cs="Times New Roman"/>
        </w:rPr>
        <w:instrText>ADDIN CSL_CITATION { "citationItems" : [ { "id" : "ITEM-1", "itemData" : { "DOI" : "10.1074/jbc.M106643200", "ISSN" : "0021-9258", "PMID" : "11714700", "abstract" : "Survivin is a member of the inhibitor of apoptosis family. This apoptosis inhibitor also has an evolutionarily conserved role as a mitotic spindle checkpoint protein. Previous studies on p53-repressed genes have implicated several genes involved in the G(2)/M transition of the cell cycle as targets of negative regulation by p53. However, few targets of p53 repression that are anti-apoptotic have been identified. This study identifies the anti-apoptotic survivin gene as a p53-repressed gene. Notably, Survivin repression by p53 is shown to be distinct from p53-dependent growth arrest. Chromatin immunoprecipitations indicate that p53 binds the survivin promoter in vivo; immunobinding studies indicate that this site overlaps with a binding site for E2F transcription factors and is subtly distinct from a canonical p53-transactivating element. The survivin-binding site contains a 3-nucleotide spacer between the two decamer \"half-sites\" of the p53 consensus element; deletion of this spacer is sufficient to convert the survivin site into a transactivating element. Finally, we show that overexpression of Survivin in cells sensitive to p53-dependent cell death markedly inhibits apoptosis induced by ultraviolet light. The identification of survivin as a p53 repressed gene should aid in the elucidation of the contribution of transcriptional repression to p53-dependent apoptosis.", "author" : [ { "dropping-particle" : "", "family" : "Hoffman", "given" : "William H", "non-dropping-particle" : "", "parse-names" : false, "suffix" : "" }, { "dropping-particle" : "", "family" : "Biade", "given" : "Siham", "non-dropping-particle" : "", "parse-names" : false, "suffix" : "" }, { "dropping-particle" : "", "family" : "Zilfou", "given" : "Jack T", "non-dropping-particle" : "", "parse-names" : false, "suffix" : "" }, { "dropping-particle" : "", "family" : "Chen", "given" : "Jiandong", "non-dropping-particle" : "", "parse-names" : false, "suffix" : "" }, { "dropping-particle" : "", "family" : "Murphy", "given" : "Maureen", "non-dropping-particle" : "", "parse-names" : false, "suffix" : "" } ], "container-title" : "The Journal of Biological Chemistry", "id" : "ITEM-1", "issue" : "5", "issued" : { "date-parts" : [ [ "2002", "2", "1" ] ] }, "page" : "3247-57", "title" : "Transcriptional repression of the anti-apoptotic survivin gene by wild type p53.", "type" : "article-journal", "volume" : "277" }, "uris" : [ "http://www.mendeley.com/documents/?uuid=4d728861-a4fc-40a5-8ce9-3b489023c833" ] }, { "id" : "ITEM-2", "itemData" : { "author" : [ { "dropping-particle" : "", "family" : "Olie", "given" : "RA", "non-dropping-particle" : "", "parse-names" : false, "suffix" : "" }, { "dropping-particle" : "", "family" : "Sim\u00f5es-W\u00fcst", "given" : "AP", "non-dropping-particle" : "", "parse-names" : false, "suffix" : "" }, { "dropping-particle" : "", "family" : "Baumann", "given" : "Bettina", "non-dropping-particle" : "", "parse-names" : false, "suffix" : "" } ], "container-title" : "Cancer Research", "id" : "ITEM-2", "issue" : "11", "issued" : { "date-parts" : [ [ "2000" ] ] }, "page" : "2805-2809", "title" : "A novel antisense oligonucleotide targeting survivin expression induces apoptosis and sensitizes lung cancer cells to chemotherapy", "type" : "article-journal", "volume" : "60" }, "uris" : [ "http://www.mendeley.com/documents/?uuid=6f9c3dc1-d94c-4fbe-9bfa-d97ec3bb0d9d" ] } ], "mendeley" : { "formattedCitation" : "(Hoffman et al. 2002; Olie et al. 2000)", "plainTextFormattedCitation" : "(Hoffman et al. 2002; Olie et al. 2000)", "previouslyFormattedCitation" : "(Hoffman et al. 2002; Olie et al.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(Hoffman et al. 2002; Olie et al. 2000)</w:t>
      </w:r>
      <w:r w:rsidR="00F20EC0" w:rsidRPr="00DF0680">
        <w:rPr>
          <w:rFonts w:cs="Times New Roman"/>
        </w:rPr>
        <w:fldChar w:fldCharType="end"/>
      </w:r>
      <w:r w:rsidR="00A87F40" w:rsidRPr="00DF0680">
        <w:rPr>
          <w:rFonts w:cs="Times New Roman"/>
        </w:rPr>
        <w:t>.</w:t>
      </w:r>
    </w:p>
    <w:p w:rsidR="00BD33F3" w:rsidRPr="00DF0680" w:rsidRDefault="00323F30" w:rsidP="00323F30">
      <w:pPr>
        <w:rPr>
          <w:rFonts w:cs="Times New Roman"/>
        </w:rPr>
      </w:pPr>
      <w:r w:rsidRPr="00DF0680">
        <w:rPr>
          <w:rFonts w:cs="Times New Roman"/>
        </w:rPr>
        <w:t xml:space="preserve">Cdc25A phosphatase is an important determinant of the cell cycle checkpoints </w:t>
      </w:r>
      <w:r w:rsidR="000C63BB" w:rsidRPr="00DF0680">
        <w:rPr>
          <w:rFonts w:cs="Times New Roman"/>
        </w:rPr>
        <w:t xml:space="preserve">G1/S, S and G2/M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"Jinno", "given" : "Shigeki", "non-dropping-particle" : "", "parse-names" : false, "suffix" : "" }, { "dropping-particle" : "", "family" : "Suto", "given" : "K", "non-dropping-particle" : "", "parse-names" : false, "suffix" : "" }, { "dropping-particle" : "", "family" : "Nagata", "given" : "Akihisa", "non-dropping-particle" : "", "parse-names" : false, "suffix" : "" } ], "container-title" : "The EMBO Journal", "id" : "ITEM-1", "issue" : "7", "issued" : { "date-parts" : [ [ "1994" ] ] }, "page" : "1549-1556", "title" : "Cdc25A is a novel phosphatase functioning early in the cell cycle.", "type" : "article-journal", "volume" : "13" }, "uris" : [ "http://www.mendeley.com/documents/?uuid=2f217394-30aa-40ec-a44a-95c07b8ed1c9" ] }, { "id" : "ITEM-2", "itemData" : { "DOI" : "10.1074/jbc.M300229200", "ISSN" : "0021-9258", "PMID" : "12676925", "abstract" : "UV and ionizing radiation (IR) activate DNA damage checkpoints and induce Cdc25A degradation (Mailand, N., Falck, J., Lukas, C., Syljuasen, R. G., Welcker, M., Bartek, J., and Lukas, J. (2000) Science 288, 1425-1429; Falck, J., Mailand, N., Syljuasen, R. G., Bartek, J., and Lukas J. (2001) Nature 410, 842-847). The degradation of Cdc25A is abrogated by caffeine, which implicates Chk1 as the potential mediator (Mailand, N., Falck, J., Lukas, C., Syljuasen, R. G., Welcker, M., Bartek, J., and Lukas, J. (2000) Science 288, 1425-1429). However, the involvement of Chk1 is far from clear, because caffeine is a rather nonspecific inhibitor of the ATR/Chk1 signaling pathway. Additionally, it is not known whether DNA-damaging drugs commonly used in chemotherapy, which may activate different signal transduction pathways than UV or IR, also confer Cdc25A degradation. Herein, we show that camptothecin and doxorubicin, two widely used topoisomerase inhibitors conferring S and G2 arrest, respectively, cause the degradation of Cdc25A. Using a small interfering RNA that enables the specific elimination of Chk1 expression, we show that the observed proteolysis of Cdc25A is mediated through Chk1. Moreover, Cdc25A overexpression abrogates the Chk1-mediated degradation and overcomes the doxorubicin-induced G2 arrest through dephosphorylation and activation of Cdc2/Cdk1 in a dose-dependent manner. These results suggest that: (a) Cdc25A is involved in the G2/M transition in addition to its commonly accepted effect on G1/S progression, and (b) Chk1 mediates both S and G2 checkpoint and is thus a more ubiquitous cell cycle checkpoint mediator than previously thought.", "author" : [ { "dropping-particle" : "", "family" : "Xiao", "given" : "Zhan", "non-dropping-particle" : "", "parse-names" : false, "suffix" : "" }, { "dropping-particle" : "", "family" : "Chen", "given" : "Zehan", "non-dropping-particle" : "", "parse-names" : false, "suffix" : "" }, { "dropping-particle" : "", "family" : "Gunasekera", "given" : "Angelo H", "non-dropping-particle" : "", "parse-names" : false, "suffix" : "" }, { "dropping-particle" : "", "family" : "Sowin", "given" : "Thomas J", "non-dropping-particle" : "", "parse-names" : false, "suffix" : "" }, { "dropping-particle" : "", "family" : "Rosenberg", "given" : "Saul H", "non-dropping-particle" : "", "parse-names" : false, "suffix" : "" }, { "dropping-particle" : "", "family" : "Fesik", "given" : "Steve", "non-dropping-particle" : "", "parse-names" : false, "suffix" : "" }, { "dropping-particle" : "", "family" : "Zhang", "given" : "Haiying", "non-dropping-particle" : "", "parse-names" : false, "suffix" : "" } ], "container-title" : "The Journal of Biological Chemistry", "id" : "ITEM-2", "issue" : "24", "issued" : { "date-parts" : [ [ "2003", "6", "13" ] ] }, "page" : "21767-73", "title" : "Chk1 mediates S and G2 arrests through Cdc25A degradation in response to DNA-damaging agents.", "type" : "article-journal", "volume" : "278" }, "uris" : [ "http://www.mendeley.com/documents/?uuid=2fac0d37-102e-4136-b6ad-819eea35045a" ] }, { "id" : "ITEM-3", "itemData" : { "author" : [ { "dropping-particle" : "", "family" : "Mailand", "given" : "Niels", "non-dropping-particle" : "", "parse-names" : false, "suffix" : "" }, { "dropping-particle" : "", "family" : "Podtelejnikov", "given" : "AV", "non-dropping-particle" : "", "parse-names" : false, "suffix" : "" } ], "container-title" : "The EMBO Journal", "id" : "ITEM-3", "issue" : "21", "issued" : { "date-parts" : [ [ "2002" ] ] }, "title" : "Regulation of G2/M events by Cdc25A through phosphorylation\u2010dependent modulation of its stability", "type" : "article-journal", "volume" : "21" }, "uris" : [ "http://www.mendeley.com/documents/?uuid=9b7fac64-5e3c-497e-9acc-23ae47a26bb4" ] } ], "mendeley" : { "formattedCitation" : "(Jinno et al. 1994; Xiao et al. 2003; Mailand &amp; Podtelejnikov 2002)", "plainTextFormattedCitation" : "(Jinno et al. 1994; Xiao et al. 2003; Mailand &amp; Podtelejnikov 2002)", "previouslyFormattedCitation" : "(Jinno et al. 1994; Xiao et al. 2003; Mailand &amp; Podtelejnikov 2002)" }, "properties" : { "noteIndex" : 0 }, "schema" : "https://github.com/citation-style-language/schema/raw/master/csl-citation.json" }</w:instrText>
      </w:r>
      <w:r w:rsidR="00F20EC0" w:rsidRPr="00DF0680">
        <w:rPr>
          <w:rFonts w:cs="Times New Roman"/>
        </w:rPr>
        <w:fldChar w:fldCharType="separate"/>
      </w:r>
      <w:r w:rsidR="000C63BB" w:rsidRPr="00DF0680">
        <w:rPr>
          <w:rFonts w:cs="Times New Roman"/>
        </w:rPr>
        <w:t>(Jinno et al. 1994; Xiao et al. 2003; Mailand &amp; Podtelejnikov 2002)</w:t>
      </w:r>
      <w:r w:rsidR="00F20EC0" w:rsidRPr="00DF0680">
        <w:rPr>
          <w:rFonts w:cs="Times New Roman"/>
        </w:rPr>
        <w:fldChar w:fldCharType="end"/>
      </w:r>
      <w:r w:rsidRPr="00DF0680">
        <w:rPr>
          <w:rFonts w:cs="Times New Roman"/>
        </w:rPr>
        <w:t>. Upon DNA damage</w:t>
      </w:r>
      <w:r w:rsidR="00753E8B" w:rsidRPr="00DF0680">
        <w:rPr>
          <w:rFonts w:cs="Times New Roman"/>
        </w:rPr>
        <w:t xml:space="preserve"> or replication stress, Chk2 or Chk1</w:t>
      </w:r>
      <w:r w:rsidRPr="00DF0680">
        <w:rPr>
          <w:rFonts w:cs="Times New Roman"/>
        </w:rPr>
        <w:t xml:space="preserve"> is phosphorylated which subsequently phosphorylates Cdc25A. This accelerates proteolysis of Cdc25A </w:t>
      </w:r>
      <w:r w:rsidR="00F20EC0" w:rsidRPr="00DF0680">
        <w:rPr>
          <w:rFonts w:cs="Times New Roman"/>
        </w:rPr>
        <w:fldChar w:fldCharType="begin" w:fldLock="1"/>
      </w:r>
      <w:r w:rsidR="00332613" w:rsidRPr="00DF0680">
        <w:rPr>
          <w:rFonts w:cs="Times New Roman"/>
        </w:rPr>
        <w:instrText>ADDIN CSL_CITATION { "citationItems" : [ { "id" : "ITEM-1", "itemData" : { "ISSN" : "1535-6108", "PMID" : "12676583", "abstract" : "Chk1 kinase coordinates cell cycle progression and preserves genome integrity. Here, we show that chemical or genetic ablation of human Chk1 triggered supraphysiological accumulation of the S phase-promoting Cdc25A phosphatase, prevented ionizing radiation (IR)-induced degradation of Cdc25A, and caused radioresistant DNA synthesis (RDS). The basal turnover of Cdc25A operating in unperturbed S phase required Chk1-dependent phosphorylation of serines 123, 178, 278, and 292. IR-induced acceleration of Cdc25A proteolysis correlated with increased phosphate incorporation into these residues generated by a combined action of Chk1 and Chk2 kinases. Finally, phosphorylation of Chk1 by ATM was required to fully accelerate the IR-induced degradation of Cdc25A. Our results provide evidence that the mammalian S phase checkpoint functions via amplification of physiologically operating, Chk1-dependent mechanisms.", "author" : [ { "dropping-particle" : "", "family" : "S\u00f8rensen", "given" : "Claus Storgaard", "non-dropping-particle" : "", "parse-names" : false, "suffix" : "" }, { "dropping-particle" : "", "family" : "Sylju\u00e5sen", "given" : "Randi G", "non-dropping-particle" : "", "parse-names" : false, "suffix" : "" }, { "dropping-particle" : "", "family" : "Falck", "given" : "Jacob", "non-dropping-particle" : "", "parse-names" : false, "suffix" : "" }, { "dropping-particle" : "", "family" : "Schroeder", "given" : "Tine", "non-dropping-particle" : "", "parse-names" : false, "suffix" : "" }, { "dropping-particle" : "", "family" : "R\u00f6nnstrand", "given" : "Lars", "non-dropping-particle" : "", "parse-names" : false, "suffix" : "" }, { "dropping-particle" : "", "family" : "Khanna", "given" : "Kum Kum", "non-dropping-particle" : "", "parse-names" : false, "suffix" : "" }, { "dropping-particle" : "", "family" : "Zhou", "given" : "Bin-Bing", "non-dropping-particle" : "", "parse-names" : false, "suffix" : "" }, { "dropping-particle" : "", "family" : "Bartek", "given" : "Jiri", "non-dropping-particle" : "", "parse-names" : false, "suffix" : "" }, { "dropping-particle" : "", "family" : "Lukas", "given" : "Jiri", "non-dropping-particle" : "", "parse-names" : false, "suffix" : "" } ], "container-title" : "Cancer Cell", "id" : "ITEM-1", "issue" : "3", "issued" : { "date-parts" : [ [ "2003", "3" ] ] }, "page" : "247-58", "title" : "Chk1 regulates the S phase checkpoint by coupling the physiological turnover and ionizing radiation-induced accelerated proteolysis of Cdc25A.", "type" : "article-journal", "volume" : "3" }, "uris" : [ "http://www.mendeley.com/documents/?uuid=43edcdac-6bbc-4d98-9bfc-0331b295c2fe" ] } ], "mendeley" : { "formattedCitation" : "(S\u00f8rensen et al. 2003)", "plainTextFormattedCitation" : "(S\u00f8rensen et al. 2003)", "previouslyFormattedCitation" : "(S\u00f8rensen et al. 2003)"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(Sørensen et al. 2003)</w:t>
      </w:r>
      <w:r w:rsidR="00F20EC0" w:rsidRPr="00DF0680">
        <w:rPr>
          <w:rFonts w:cs="Times New Roman"/>
        </w:rPr>
        <w:fldChar w:fldCharType="end"/>
      </w:r>
      <w:r w:rsidRPr="00DF0680">
        <w:rPr>
          <w:rFonts w:cs="Times New Roman"/>
        </w:rPr>
        <w:t>, which then can no longer activate cell cycle kinases to promote cell cycle progression</w:t>
      </w:r>
      <w:r w:rsidR="003D1C54"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"10.1073/pnas.182557299", "ISSN" : "0027-8424", "PMID" : "12399544", "abstract" : "Checkpoint kinase (Chk)1 is an evolutionarily conserved protein kinase that was first identified in fission yeast as an essential component of the DNA damage checkpoint. In mice, Chk1 provides an essential function in the absence of environmentally imposed genotoxic stress. Here we show that human cells lacking Chk1 exhibit defects in both the ionizing radiation (IR)-induced S and G(2) checkpoints. In addition, loss of Chk1 resulted in the accumulation of a hypophosphorylated form of the Cdc25A protein phosphatase, and Chk1-deficient cells failed to degrade Cdc25A after IR. The IR-induced S and G(2) checkpoints were partially restored in Chk1-deficient cells when Cdc25A accumulation was interfered with. Finally, Cdc25A was phosphorylated by Chk1 in vitro on similar sites phosphorylated in vivo, including serine-123. These findings indicate that Chk1 directly phosphorylates Cdc25A during an unperturbed cell cycle, and that phosphorylation of Cdc25A by Chk1 is required for cells to delay cell cycle progression in response to double-strand DNA breaks.", "author" : [ { "dropping-particle" : "", "family" : "Zhao", "given" : "Hui", "non-dropping-particle" : "", "parse-names" : false, "suffix" : "" }, { "dropping-particle" : "", "family" : "Watkins", "given" : "Janis L", "non-dropping-particle" : "", "parse-names" : false, "suffix" : "" }, { "dropping-particle" : "", "family" : "Piwnica-Worms", "given" : "Helen", "non-dropping-particle" : "", "parse-names" : false, "suffix" : "" } ], "container-title" : "Proceedings of the National Academy of Sciences", "id" : "ITEM-1", "issue" : "23", "issued" : { "date-parts" : [ [ "2002", "11", "12" ] ] }, "page" : "14795-800", "title" : "Disruption of the checkpoint kinase 1/cell division cycle 25A pathway abrogates ionizing radiation-induced S and G2 checkpoints.", "type" : "article-journal", "volume" : "99" }, "uris" : [ "http://www.mendeley.com/documents/?uuid=e69f7a05-a377-4766-8954-eff759c3865f" ] }, { "id" : "ITEM-2", "itemData" : { "DOI" : "10.1074/jbc.M300229200", "ISSN" : "0021-9258", "PMID" : "12676925", "abstract" : "UV and ionizing radiation (IR) activate DNA damage checkpoints and induce Cdc25A degradation (Mailand, N., Falck, J., Lukas, C., Syljuasen, R. G., Welcker, M., Bartek, J., and Lukas, J. (2000) Science 288, 1425-1429; Falck, J., Mailand, N., Syljuasen, R. G., Bartek, J., and Lukas J. (2001) Nature 410, 842-847). The degradation of Cdc25A is abrogated by caffeine, which implicates Chk1 as the potential mediator (Mailand, N., Falck, J., Lukas, C., Syljuasen, R. G., Welcker, M., Bartek, J., and Lukas, J. (2000) Science 288, 1425-1429). However, the involvement of Chk1 is far from clear, because caffeine is a rather nonspecific inhibitor of the ATR/Chk1 signaling pathway. Additionally, it is not known whether DNA-damaging drugs commonly used in chemotherapy, which may activate different signal transduction pathways than UV or IR, also confer Cdc25A degradation. Herein, we show that camptothecin and doxorubicin, two widely used topoisomerase inhibitors conferring S and G2 arrest, respectively, cause the degradation of Cdc25A. Using a small interfering RNA that enables the specific elimination of Chk1 expression, we show that the observed proteolysis of Cdc25A is mediated through Chk1. Moreover, Cdc25A overexpression abrogates the Chk1-mediated degradation and overcomes the doxorubicin-induced G2 arrest through dephosphorylation and activation of Cdc2/Cdk1 in a dose-dependent manner. These results suggest that: (a) Cdc25A is involved in the G2/M transition in addition to its commonly accepted effect on G1/S progression, and (b) Chk1 mediates both S and G2 checkpoint and is thus a more ubiquitous cell cycle checkpoint mediator than previously thought.", "author" : [ { "dropping-particle" : "", "family" : "Xiao", "given" : "Zhan", "non-dropping-particle" : "", "parse-names" : false, "suffix" : "" }, { "dropping-particle" : "", "family" : "Chen", "given" : "Zehan", "non-dropping-particle" : "", "parse-names" : false, "suffix" : "" }, { "dropping-particle" : "", "family" : "Gunasekera", "given" : "Angelo H", "non-dropping-particle" : "", "parse-names" : false, "suffix" : "" }, { "dropping-particle" : "", "family" : "Sowin", "given" : "Thomas J", "non-dropping-particle" : "", "parse-names" : false, "suffix" : "" }, { "dropping-particle" : "", "family" : "Rosenberg", "given" : "Saul H", "non-dropping-particle" : "", "parse-names" : false, "suffix" : "" }, { "dropping-particle" : "", "family" : "Fesik", "given" : "Steve", "non-dropping-particle" : "", "parse-names" : false, "suffix" : "" }, { "dropping-particle" : "", "family" : "Zhang", "given" : "Haiying", "non-dropping-particle" : "", "parse-names" : false, "suffix" : "" } ], "container-title" : "The Journal of Biological Chemistry", "id" : "ITEM-2", "issue" : "24", "issued" : { "date-parts" : [ [ "2003", "6", "13" ] ] }, "page" : "21767-73", "title" : "Chk1 mediates S and G2 arrests through Cdc25A degradation in response to DNA-damaging agents.", "type" : "article-journal", "volume" : "278" }, "uris" : [ "http://www.mendeley.com/documents/?uuid=2fac0d37-102e-4136-b6ad-819eea35045a" ] }, { "id" : "ITEM-3", "itemData" : { "ISSN" : "1535-6108", "PMID" : "12676583", "abstract" : "Chk1 kinase coordinates cell cycle progression and preserves genome integrity. Here, we show that chemical or genetic ablation of human Chk1 triggered supraphysiological accumulation of the S phase-promoting Cdc25A phosphatase, prevented ionizing radiation (IR)-induced degradation of Cdc25A, and caused radioresistant DNA synthesis (RDS). The basal turnover of Cdc25A operating in unperturbed S phase required Chk1-dependent phosphorylation of serines 123, 178, 278, and 292. IR-induced acceleration of Cdc25A proteolysis correlated with increased phosphate incorporation into these residues generated by a combined action of Chk1 and Chk2 kinases. Finally, phosphorylation of Chk1 by ATM was required to fully accelerate the IR-induced degradation of Cdc25A. Our results provide evidence that the mammalian S phase checkpoint functions via amplification of physiologically operating, Chk1-dependent mechanisms.", "author" : [ { "dropping-particle" : "", "family" : "S\u00f8rensen", "given" : "Claus Storgaard", "non-dropping-particle" : "", "parse-names" : false, "suffix" : "" }, { "dropping-particle" : "", "family" : "Sylju\u00e5sen", "given" : "Randi G", "non-dropping-particle" : "", "parse-names" : false, "suffix" : "" }, { "dropping-particle" : "", "family" : "Falck", "given" : "Jacob", "non-dropping-particle" : "", "parse-names" : false, "suffix" : "" }, { "dropping-particle" : "", "family" : "Schroeder", "given" : "Tine", "non-dropping-particle" : "", "parse-names" : false, "suffix" : "" }, { "dropping-particle" : "", "family" : "R\u00f6nnstrand", "given" : "Lars", "non-dropping-particle" : "", "parse-names" : false, "suffix" : "" }, { "dropping-particle" : "", "family" : "Khanna", "given" : "Kum Kum", "non-dropping-particle" : "", "parse-names" : false, "suffix" : "" }, { "dropping-particle" : "", "family" : "Zhou", "given" : "Bin-Bing", "non-dropping-particle" : "", "parse-names" : false, "suffix" : "" }, { "dropping-particle" : "", "family" : "Bartek", "given" : "Jiri", "non-dropping-particle" : "", "parse-names" : false, "suffix" : "" }, { "dropping-particle" : "", "family" : "Lukas", "given" : "Jiri", "non-dropping-particle" : "", "parse-names" : false, "suffix" : "" } ], "container-title" : "Cancer Cell", "id" : "ITEM-3", "issue" : "3", "issued" : { "date-parts" : [ [ "2003", "3" ] ] }, "page" : "247-58", "title" : "Chk1 regulates the S phase checkpoint by coupling the physiological turnover and ionizing radiation-induced accelerated proteolysis of Cdc25A.", "type" : "article-journal", "volume" : "3" }, "uris" : [ "http://www.mendeley.com/documents/?uuid=43edcdac-6bbc-4d98-9bfc-0331b295c2fe" ] }, { "id" : "ITEM-4", "itemData" : { "DOI" : "10.1038/35071124", "ISSN" : "0028-0836", "PMID" : "11298456", "abstract" : "When exposed to ionizing radiation (IR), eukaryotic cells activate checkpoint pathways to delay the progression of the cell cycle. Defects in the IR-induced S-phase checkpoint cause 'radioresistant DNA synthesis', a phenomenon that has been identified in cancer-prone patients suffering from ataxia-telangiectasia, a disease caused by mutations in the ATM gene. The Cdc25A phosphatase activates the cyclin-dependent kinase 2 (Cdk2) needed for DNA synthesis, but becomes degraded in response to DNA damage or stalled replication. Here we report a functional link between ATM, the checkpoint signalling kinase Chk2/Cds1 (Chk2) and Cdc25A, and implicate this mechanism in controlling the S-phase checkpoint. We show that IR-induced destruction of Cdc25A requires both ATM and the Chk2-mediated phosphorylation of Cdc25A on serine 123. An IR-induced loss of Cdc25A protein prevents dephosphorylation of Cdk2 and leads to a transient blockade of DNA replication. We also show that tumour-associated Chk2 alleles cannot bind or phosphorylate Cdc25A, and that cells expressing these Chk2 alleles, elevated Cdc25A or a Cdk2 mutant unable to undergo inhibitory phosphorylation (Cdk2AF) fail to inhibit DNA synthesis when irradiated. These results support Chk2 as a candidate tumour suppressor, and identify the ATM-Chk2-Cdc25A-Cdk2 pathway as a genomic integrity checkpoint that prevents radioresistant DNA synthesis.", "author" : [ { "dropping-particle" : "", "family" : "Falck", "given" : "J", "non-dropping-particle" : "", "parse-names" : false, "suffix" : "" }, { "dropping-particle" : "", "family" : "Mailand", "given" : "N", "non-dropping-particle" : "", "parse-names" : false, "suffix" : "" }, { "dropping-particle" : "", "family" : "Sylju\u00e5sen", "given" : "R G", "non-dropping-particle" : "", "parse-names" : false, "suffix" : "" }, { "dropping-particle" : "", "family" : "Bartek", "given" : "J", "non-dropping-particle" : "", "parse-names" : false, "suffix" : "" }, { "dropping-particle" : "", "family" : "Lukas", "given" : "J", "non-dropping-particle" : "", "parse-names" : false, "suffix" : "" } ], "container-title" : "Nature", "id" : "ITEM-4", "issue" : "6830", "issued" : { "date-parts" : [ [ "2001", "4", "12" ] ] }, "page" : "842-7", "title" : "The ATM-Chk2-Cdc25A checkpoint pathway guards against radioresistant DNA synthesis.", "type" : "article-journal", "volume" : "410" }, "uris" : [ "http://www.mendeley.com/documents/?uuid=d17a9f9c-04a2-407c-9cd5-e47c8c1899b5" ] }, { "id" : "ITEM-5", "itemData" : { "author" : [ { "dropping-particle" : "", "family" : "Jinno", "given" : "Shigeki", "non-dropping-particle" : "", "parse-names" : false, "suffix" : "" }, { "dropping-particle" : "", "family" : "Suto", "given" : "K", "non-dropping-particle" : "", "parse-names" : false, "suffix" : "" }, { "dropping-particle" : "", "family" : "Nagata", "given" : "Akihisa", "non-dropping-particle" : "", "parse-names" : false, "suffix" : "" } ], "container-title" : "The EMBO Journal", "id" : "ITEM-5", "issue" : "7", "issued" : { "date-parts" : [ [ "1994" ] ] }, "page" : "1549-1556", "title" : "Cdc25A is a novel phosphatase functioning early in the cell cycle.", "type" : "article-journal", "volume" : "13" }, "uris" : [ "http://www.mendeley.com/documents/?uuid=2f217394-30aa-40ec-a44a-95c07b8ed1c9" ] }, { "id" : "ITEM-6", "itemData" : { "author" : [ { "dropping-particle" : "", "family" : "Mailand", "given" : "Niels", "non-dropping-particle" : "", "parse-names" : false, "suffix" : "" }, { "dropping-particle" : "", "family" : "Podtelejnikov", "given" : "AV", "non-dropping-particle" : "", "parse-names" : false, "suffix" : "" } ], "container-title" : "The EMBO Journal", "id" : "ITEM-6", "issue" : "21", "issued" : { "date-parts" : [ [ "2002" ] ] }, "title" : "Regulation of G2/M events by Cdc25A through phosphorylation\u2010dependent modulation of its stability", "type" : "article-journal", "volume" : "21" }, "uris" : [ "http://www.mendeley.com/documents/?uuid=9b7fac64-5e3c-497e-9acc-23ae47a26bb4" ] } ], "mendeley" : { "formattedCitation" : "(Zhao et al. 2002; Xiao et al. 2003; S\u00f8rensen et al. 2003; Falck et al. 2001; Jinno et al. 1994; Mailand &amp; Podtelejnikov 2002)", "plainTextFormattedCitation" : "(Zhao et al. 2002; Xiao et al. 2003; S\u00f8rensen et al. 2003; Falck et al. 2001; Jinno et al. 1994; Mailand &amp; Podtelejnikov 2002)", "previouslyFormattedCitation" : "(Zhao et al. 2002; Xiao et al. 2003; S\u00f8rensen et al. 2003; Falck et al. 2001; Jinno et al. 1994; Mailand &amp; Podtelejnikov 2002)" }, "properties" : { "noteIndex" : 0 }, "schema" : "https://github.com/citation-style-language/schema/raw/master/csl-citation.json" }</w:instrText>
      </w:r>
      <w:r w:rsidR="00F20EC0" w:rsidRPr="00DF0680">
        <w:rPr>
          <w:rFonts w:cs="Times New Roman"/>
        </w:rPr>
        <w:fldChar w:fldCharType="separate"/>
      </w:r>
      <w:r w:rsidR="003D1C54" w:rsidRPr="00DF0680">
        <w:rPr>
          <w:rFonts w:cs="Times New Roman"/>
        </w:rPr>
        <w:t>(Zhao et al. 2002; Xiao et al. 2003; Sørensen et al. 2003; Falck et al. 2001; Jinno et al. 1994; Mailand &amp; Podtelejnikov 2002)</w:t>
      </w:r>
      <w:r w:rsidR="00F20EC0" w:rsidRPr="00DF0680">
        <w:rPr>
          <w:rFonts w:cs="Times New Roman"/>
        </w:rPr>
        <w:fldChar w:fldCharType="end"/>
      </w:r>
      <w:r w:rsidR="003D1C54" w:rsidRPr="00DF0680">
        <w:rPr>
          <w:rFonts w:cs="Times New Roman"/>
        </w:rPr>
        <w:t>.</w:t>
      </w:r>
    </w:p>
    <w:p w:rsidR="002D5579" w:rsidRPr="00DF0680" w:rsidRDefault="00B57DC4" w:rsidP="00D13A5F">
      <w:pPr>
        <w:pStyle w:val="Heading3"/>
      </w:pPr>
      <w:bookmarkStart w:id="63" w:name="_Toc417204089"/>
      <w:bookmarkStart w:id="64" w:name="_Toc417674326"/>
      <w:r w:rsidRPr="00DF0680">
        <w:t xml:space="preserve">Effects on </w:t>
      </w:r>
      <w:r w:rsidR="00CE6110" w:rsidRPr="00DF0680">
        <w:t>a</w:t>
      </w:r>
      <w:r w:rsidR="002D5579" w:rsidRPr="00DF0680">
        <w:t>poptosis</w:t>
      </w:r>
      <w:r w:rsidR="00EB2410" w:rsidRPr="00DF0680">
        <w:t xml:space="preserve"> and </w:t>
      </w:r>
      <w:r w:rsidR="00CE6110" w:rsidRPr="00DF0680">
        <w:t>s</w:t>
      </w:r>
      <w:r w:rsidR="00EB2410" w:rsidRPr="00DF0680">
        <w:t>enescence</w:t>
      </w:r>
      <w:bookmarkEnd w:id="63"/>
      <w:bookmarkEnd w:id="64"/>
    </w:p>
    <w:p w:rsidR="00495B5A" w:rsidRPr="00DF0680" w:rsidRDefault="00A95B30" w:rsidP="00495B5A">
      <w:pPr>
        <w:rPr>
          <w:rFonts w:cs="Times New Roman"/>
        </w:rPr>
      </w:pPr>
      <w:r w:rsidRPr="00DF0680">
        <w:rPr>
          <w:rFonts w:cs="Times New Roman"/>
        </w:rPr>
        <w:t xml:space="preserve">Programmed cell death, or apoptosis, is a mechanism used to destroy cells </w:t>
      </w:r>
      <w:r w:rsidR="00360CE3" w:rsidRPr="00DF0680">
        <w:rPr>
          <w:rFonts w:cs="Times New Roman"/>
        </w:rPr>
        <w:t>that cannot recover from damage</w:t>
      </w:r>
      <w:r w:rsidRPr="00DF0680">
        <w:rPr>
          <w:rFonts w:cs="Times New Roman"/>
        </w:rPr>
        <w:t xml:space="preserve"> and may become harmful to the body. If cells cannot repair damage to DNA, it can cause genomic instability, which as described above, acts as an enabler to the cell to acquire more cancer hallmarks. It is in these cases that it is better to lose the cell through carefully programmed cell death. </w:t>
      </w:r>
      <w:r w:rsidR="00557B14" w:rsidRPr="00DF0680">
        <w:rPr>
          <w:rFonts w:cs="Times New Roman"/>
        </w:rPr>
        <w:t xml:space="preserve">The presence of DNA damage or stress is signalled through p53, and this causes up-regulation of genes involved in apoptosis such as PUMA and Bax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"Nakano", "given" : "Katsunori", "non-dropping-particle" : "", "parse-names" : false, "suffix" : "" }, { "dropping-particle" : "", "family" : "Vousden", "given" : "KH", "non-dropping-particle" : "", "parse-names" : false, "suffix" : "" } ], "container-title" : "Molecular Cell", "id" : "ITEM-1", "issue" : "3", "issued" : { "date-parts" : [ [ "2001" ] ] }, "page" : "683-694", "title" : "PUMA, a Novel Proapoptotic Gene, Is Induced by p53", "type" : "article-journal", "volume" : "7" }, "uris" : [ "http://www.mendeley.com/documents/?uuid=3fa2c0ab-db2f-4901-aec3-4423d0b5d7a1" ] }, { "id" : "ITEM-2", "itemData" : { "ISSN" : "0092-8674", "PMID" : "7834749", "abstract" : "The bax gene promoter region contains four motifs with homology to consensus p53-binding sites. In cotransfection assays using p53-deficient tumor cell lines, wild-type but not mutant p53 expression plasmids transactivated a reporter gene plasmid that utilized the bax gene promoter to drive transcription of chloramphenicol acetyltransferase. In addition, wild-type p53 transactivated reporter gene constructs containing a heterologous minimal promoter and a 39-bp region from the bax gene promoter in which the p53-binding site consensus sequences reside. Introduction of mutations into the consensus p53-binding site sequences abolished p53 responsiveness of reporter gene plasmids. Wild-type but not mutant p53 protein bound to oligonucleotides corresponding to this region of the bax promoter, based on gel retardation assays. Taken together, the results suggest that bax is a p53 primary-response gene, presumably involved in a p53-regulated pathway for induction of apoptosis.", "author" : [ { "dropping-particle" : "", "family" : "Miyashita", "given" : "T", "non-dropping-particle" : "", "parse-names" : false, "suffix" : "" }, { "dropping-particle" : "", "family" : "Reed", "given" : "J C", "non-dropping-particle" : "", "parse-names" : false, "suffix" : "" } ], "container-title" : "Cell", "id" : "ITEM-2", "issue" : "2", "issued" : { "date-parts" : [ [ "1995", "1", "27" ] ] }, "page" : "293-9", "title" : "Tumor suppressor p53 is a direct transcriptional activator of the human bax gene.", "type" : "article-journal", "volume" : "80" }, "uris" : [ "http://www.mendeley.com/documents/?uuid=9c4edbd8-f5ed-4260-a6ac-25b85f96e405" ] } ], "mendeley" : { "formattedCitation" : "(Nakano &amp; Vousden 2001; Miyashita &amp; Reed 1995)", "plainTextFormattedCitation" : "(Nakano &amp; Vousden 2001; Miyashita &amp; Reed 1995)", "previouslyFormattedCitation" : "(Nakano &amp; Vousden 2001; Miyashita &amp; Reed 1995)"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(Nakano &amp; Vousden 2001; Miyashita &amp; Reed 1995)</w:t>
      </w:r>
      <w:r w:rsidR="00F20EC0" w:rsidRPr="00DF0680">
        <w:rPr>
          <w:rFonts w:cs="Times New Roman"/>
        </w:rPr>
        <w:fldChar w:fldCharType="end"/>
      </w:r>
      <w:r w:rsidR="00557B14" w:rsidRPr="00DF0680">
        <w:rPr>
          <w:rFonts w:cs="Times New Roman"/>
        </w:rPr>
        <w:t>. The effectors of the apoptotic pathway are the caspases that catalytically cleave several cellular proteins, to either activate them, or inactiv</w:t>
      </w:r>
      <w:r w:rsidR="0019403E" w:rsidRPr="00DF0680">
        <w:rPr>
          <w:rFonts w:cs="Times New Roman"/>
        </w:rPr>
        <w:t>at</w:t>
      </w:r>
      <w:r w:rsidR="00557B14" w:rsidRPr="00DF0680">
        <w:rPr>
          <w:rFonts w:cs="Times New Roman"/>
        </w:rPr>
        <w:t>e them</w:t>
      </w:r>
      <w:r w:rsidR="005C02EA" w:rsidRPr="00DF0680">
        <w:rPr>
          <w:rFonts w:cs="Times New Roman"/>
        </w:rPr>
        <w:t>. This then, in turn,</w:t>
      </w:r>
      <w:r w:rsidR="00557B14" w:rsidRPr="00DF0680">
        <w:rPr>
          <w:rFonts w:cs="Times New Roman"/>
        </w:rPr>
        <w:t xml:space="preserve"> </w:t>
      </w:r>
      <w:r w:rsidR="005C02EA" w:rsidRPr="00DF0680">
        <w:rPr>
          <w:rFonts w:cs="Times New Roman"/>
        </w:rPr>
        <w:t xml:space="preserve">causes nuclear shrinkage, cell structure collapse, and the release of pro-engulfment signals </w:t>
      </w:r>
      <w:r w:rsidR="00F20EC0" w:rsidRPr="00DF0680">
        <w:rPr>
          <w:rFonts w:cs="Times New Roman"/>
        </w:rPr>
        <w:fldChar w:fldCharType="begin" w:fldLock="1"/>
      </w:r>
      <w:r w:rsidR="00525765" w:rsidRPr="00DF0680">
        <w:rPr>
          <w:rFonts w:cs="Times New Roman"/>
        </w:rPr>
        <w:instrText>ADDIN CSL_CITATION { "citationItems" : [ { "id" : "ITEM-1", "itemData" : { "DOI" : "10.1038/35037710", "ISSN" : "0028-0836", "PMID" : "11048727", "abstract" : "Apoptosis--the regulated destruction of a cell--is a complicated process. The decision to die cannot be taken lightly, and the activity of many genes influence a cell's likelihood of activating its self-destruction programme. Once the decision is taken, proper execution of the apoptotic programme requires the coordinated activation and execution of multiple subprogrammes. Here I review the basic components of the death machinery, describe how they interact to regulate apoptosis in a coordinated manner, and discuss the main pathways that are used to activate cell death.", "author" : [ { "dropping-particle" : "", "family" : "Hengartner", "given" : "M O", "non-dropping-particle" : "", "parse-names" : false, "suffix" : "" } ], "container-title" : "Nature", "id" : "ITEM-1", "issue" : "6805", "issued" : { "date-parts" : [ [ "2000", "10", "12" ] ] }, "page" : "770-6", "title" : "The biochemistry of apoptosis.", "type" : "article-journal", "volume" : "407" }, "uris" : [ "http://www.mendeley.com/documents/?uuid=c4b7c18c-0041-447a-aa45-53b9c2ca8ebb" ] } ], "mendeley" : { "formattedCitation" : "(Hengartner 2000)", "plainTextFormattedCitation" : "(Hengartner 2000)", "previouslyFormattedCitation" : "(Hengartner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(Hengartner 2000)</w:t>
      </w:r>
      <w:r w:rsidR="00F20EC0" w:rsidRPr="00DF0680">
        <w:rPr>
          <w:rFonts w:cs="Times New Roman"/>
        </w:rPr>
        <w:fldChar w:fldCharType="end"/>
      </w:r>
      <w:r w:rsidR="005C02EA" w:rsidRPr="00DF0680">
        <w:rPr>
          <w:rFonts w:cs="Times New Roman"/>
        </w:rPr>
        <w:t xml:space="preserve">. </w:t>
      </w:r>
      <w:r w:rsidR="00DE1E29" w:rsidRPr="00DF0680">
        <w:rPr>
          <w:rFonts w:cs="Times New Roman"/>
        </w:rPr>
        <w:t xml:space="preserve">Apoptosis has been shown to occur in cells with p53 mutations </w:t>
      </w:r>
      <w:r w:rsidR="00DE1E29" w:rsidRPr="00DF0680">
        <w:rPr>
          <w:rFonts w:cs="Times New Roman"/>
        </w:rPr>
        <w:lastRenderedPageBreak/>
        <w:t xml:space="preserve">through a p53-independent mechanism </w:t>
      </w:r>
      <w:r w:rsidR="00F20EC0" w:rsidRPr="00DF0680">
        <w:rPr>
          <w:rFonts w:cs="Times New Roman"/>
        </w:rPr>
        <w:fldChar w:fldCharType="begin" w:fldLock="1"/>
      </w:r>
      <w:r w:rsidR="00332613" w:rsidRPr="00DF0680">
        <w:rPr>
          <w:rFonts w:cs="Times New Roman"/>
        </w:rPr>
        <w:instrText>ADDIN CSL_CITATION { "citationItems" : [ { "id" : "ITEM-1", "itemData" : { "DOI" : "10.1016/j.canlet.2010.04.018", "ISSN" : "1872-7980", "PMID" : "20472336", "abstract" : "Curcumin from the rhizome of theCurcuma longa plant has chemopreventative activity and inhibits the growth of neoplastic cells. Since p53 has been suggested to be important for anticancer activity by curcumin, we investigated curcumin-induced cytotoxicity in cultures of p53(+/+) and p53(-/-) HCT-116 colon cancer cells, as well as mutant p53 HT-29 colon cancer cells. Curcumin killed wild-type p53 HCT-116 cells and mutant p53 HT-29 cells in a dose- and time-dependent manner. In addition, curcumin-treated p53(+/+) HCT-116 cells and mutant p53 HT-29 cells showed upregulation of total and activated p53, as well as increased expression of p53-regulated p21, PUMA (p53 upregulated modulator of apoptosis), and Bax; however, an equivalent cytotoxic effect by curcumin was observed in p53(+/+) and p53(-/-) HCT-116 cells, demonstrating that curcumin-induced cytotoxicity was independent of p53 status. Similar results were obtained when the cytotoxic effect of curcumin was assessed in wild-type p53 HCT-116 cells after siRNA-mediated p53 knockdown. Chromatin condensation, poly (ADP-ribose) polymerase-1 cleavage and reduced pro-caspase-3 levels in curcumin-treated p53(+/+) and p53(-/-) HCT-116 cells suggested that curcumin caused apoptosis. In addition, exposure to curcumin resulted in superoxide anion production and phosphorylation of oxidative stress proteins in p53(+/+) and p53(-/-) HCT-116 cells. Collectively, our results indicate that, despite p53 upregulation and activation, curcumin-induced apoptosis in colon cancer cells was independent of p53 status and involved oxidative stress. Curcumin may therefore have therapeutic potential in the management of colon cancer, especially in tumorsthatare resistant to conventional chemotherapydue todefects inp53 expression or function.", "author" : [ { "dropping-particle" : "", "family" : "Watson", "given" : "Jane L", "non-dropping-particle" : "", "parse-names" : false, "suffix" : "" }, { "dropping-particle" : "", "family" : "Hill", "given" : "Richard", "non-dropping-particle" : "", "parse-names" : false, "suffix" : "" }, { "dropping-particle" : "", "family" : "Yaffe", "given" : "Paul B", "non-dropping-particle" : "", "parse-names" : false, "suffix" : "" }, { "dropping-particle" : "", "family" : "Greenshields", "given" : "Anna", "non-dropping-particle" : "", "parse-names" : false, "suffix" : "" }, { "dropping-particle" : "", "family" : "Walsh", "given" : "Mark", "non-dropping-particle" : "", "parse-names" : false, "suffix" : "" }, { "dropping-particle" : "", "family" : "Lee", "given" : "Patrick W", "non-dropping-particle" : "", "parse-names" : false, "suffix" : "" }, { "dropping-particle" : "", "family" : "Giacomantonio", "given" : "Carman a", "non-dropping-particle" : "", "parse-names" : false, "suffix" : "" }, { "dropping-particle" : "", "family" : "Hoskin", "given" : "David W", "non-dropping-particle" : "", "parse-names" : false, "suffix" : "" } ], "container-title" : "Cancer Letters", "id" : "ITEM-1", "issue" : "1", "issued" : { "date-parts" : [ [ "2010", "11", "1" ] ] }, "page" : "1-8", "publisher" : "Elsevier Ireland Ltd", "title" : "Curcumin causes superoxide anion production and p53-independent apoptosis in human colon cancer cells.", "type" : "article-journal", "volume" : "297" }, "uris" : [ "http://www.mendeley.com/documents/?uuid=60fc15bd-799b-468c-8d90-1591059a47ea" ] }, { "id" : "ITEM-2", "itemData" : { "DOI" : "10.3892/or.2012.1855", "ISSN" : "1791-2431", "PMID" : "22710790", "abstract" : "The mammalian target of rapamycin (mTOR) is a key kinase acting downstream of growth factor receptor PI3K and AKT signaling, leading to processes resulting in increased cell size and proliferation through translation control. Rapamycin, a specific inhibitor of mTOR, results predominately in G1 cell cycle arrest through translation control and occasionally, cell type-dependent apoptosis by an unknown mechanism. In this study, we investigated the effect and mechanism of action of rapamycin on non-small cell lung cancer (NSCLC) cell lines with p53 mutations. Cell proliferation was evaluated by modified MTT assay. The apoptotic effect of rapamycin was measured by caspase-3 activation and flow cytometric analysis of Annexin V binding. The expression of Bcl-2 and the release of cytochrome\u00a0c from mitochondria were evaluated by western blotting. We found that rapamycin induced apoptosis in NSCLC cell lines with p53 mutations. Western blot analysis demonstrated that rapamycin downregulates the expression levels of Bcl-2, which leads to increased cytochrome c release from mitochondria and subsequent activation of caspase cascades. These findings suggest that rapamycin induces p53-independent apoptosis through downregulation of Bcl-2 and the mitochondrial pathway in NSCLC cell lines as a novel antitumor mechanism.", "author" : [ { "dropping-particle" : "", "family" : "Miyake", "given" : "Naomi", "non-dropping-particle" : "", "parse-names" : false, "suffix" : "" }, { "dropping-particle" : "", "family" : "Chikumi", "given" : "Hiroki", "non-dropping-particle" : "", "parse-names" : false, "suffix" : "" }, { "dropping-particle" : "", "family" : "Takata", "given" : "Miyako", "non-dropping-particle" : "", "parse-names" : false, "suffix" : "" }, { "dropping-particle" : "", "family" : "Nakamoto", "given" : "Masaki", "non-dropping-particle" : "", "parse-names" : false, "suffix" : "" }, { "dropping-particle" : "", "family" : "Igishi", "given" : "Tadashi", "non-dropping-particle" : "", "parse-names" : false, "suffix" : "" }, { "dropping-particle" : "", "family" : "Shimizu", "given" : "Eiji", "non-dropping-particle" : "", "parse-names" : false, "suffix" : "" } ], "container-title" : "Oncology Reports", "id" : "ITEM-2", "issue" : "3", "issued" : { "date-parts" : [ [ "2012", "9" ] ] }, "page" : "848-54", "title" : "Rapamycin induces p53-independent apoptosis through the mitochondrial pathway in non-small cell lung cancer cells.", "type" : "article-journal", "volume" : "28" }, "uris" : [ "http://www.mendeley.com/documents/?uuid=0a703d90-61de-4bc9-a605-305172769f36" ] } ], "mendeley" : { "formattedCitation" : "(Watson et al. 2010; Miyake et al. 2012)", "plainTextFormattedCitation" : "(Watson et al. 2010; Miyake et al. 2012)", "previouslyFormattedCitation" : "(Watson et al. 2010; Miyake et al. 2012)" }, "properties" : { "noteIndex" : 0 }, "schema" : "https://github.com/citation-style-language/schema/raw/master/csl-citation.json" }</w:instrText>
      </w:r>
      <w:r w:rsidR="00F20EC0" w:rsidRPr="00DF0680">
        <w:rPr>
          <w:rFonts w:cs="Times New Roman"/>
        </w:rPr>
        <w:fldChar w:fldCharType="separate"/>
      </w:r>
      <w:r w:rsidR="00DE1E29" w:rsidRPr="00DF0680">
        <w:rPr>
          <w:rFonts w:cs="Times New Roman"/>
        </w:rPr>
        <w:t>(Watson et al. 2010; Miyake et al. 2012)</w:t>
      </w:r>
      <w:r w:rsidR="00F20EC0" w:rsidRPr="00DF0680">
        <w:rPr>
          <w:rFonts w:cs="Times New Roman"/>
        </w:rPr>
        <w:fldChar w:fldCharType="end"/>
      </w:r>
      <w:r w:rsidR="00DE1E29" w:rsidRPr="00DF0680">
        <w:rPr>
          <w:rFonts w:cs="Times New Roman"/>
        </w:rPr>
        <w:t xml:space="preserve">. Apoptosis associated genes that are usually under the control of p53 can still be </w:t>
      </w:r>
      <w:r w:rsidR="0054187C" w:rsidRPr="00DF0680">
        <w:rPr>
          <w:rFonts w:cs="Times New Roman"/>
        </w:rPr>
        <w:t>up-</w:t>
      </w:r>
      <w:r w:rsidR="00DE1E29" w:rsidRPr="00DF0680">
        <w:rPr>
          <w:rFonts w:cs="Times New Roman"/>
        </w:rPr>
        <w:t>re</w:t>
      </w:r>
      <w:r w:rsidR="0054187C" w:rsidRPr="00DF0680">
        <w:rPr>
          <w:rFonts w:cs="Times New Roman"/>
        </w:rPr>
        <w:t>gulated in these pathways and</w:t>
      </w:r>
      <w:r w:rsidR="00DE1E29" w:rsidRPr="00DF0680">
        <w:rPr>
          <w:rFonts w:cs="Times New Roman"/>
        </w:rPr>
        <w:t xml:space="preserve"> the induction of these genes are mediated by proteins </w:t>
      </w:r>
      <w:r w:rsidR="0054187C" w:rsidRPr="00DF0680">
        <w:rPr>
          <w:rFonts w:cs="Times New Roman"/>
        </w:rPr>
        <w:t>directly under</w:t>
      </w:r>
      <w:r w:rsidR="00DE1E29" w:rsidRPr="00DF0680">
        <w:rPr>
          <w:rFonts w:cs="Times New Roman"/>
        </w:rPr>
        <w:t xml:space="preserve"> p53 control such as p14</w:t>
      </w:r>
      <w:r w:rsidR="00DE1E29" w:rsidRPr="00DF0680">
        <w:rPr>
          <w:rFonts w:cs="Times New Roman"/>
          <w:vertAlign w:val="superscript"/>
        </w:rPr>
        <w:t>ARF</w:t>
      </w:r>
      <w:r w:rsidR="00DE1E29" w:rsidRPr="00DF0680">
        <w:rPr>
          <w:rFonts w:cs="Times New Roman"/>
        </w:rPr>
        <w:t xml:space="preserve"> and </w:t>
      </w:r>
      <w:r w:rsidR="0054187C" w:rsidRPr="00DF0680">
        <w:rPr>
          <w:rFonts w:cs="Times New Roman"/>
        </w:rPr>
        <w:t>p21</w:t>
      </w:r>
      <w:r w:rsidR="0054187C" w:rsidRPr="00DF0680">
        <w:rPr>
          <w:rFonts w:cs="Times New Roman"/>
          <w:vertAlign w:val="superscript"/>
        </w:rPr>
        <w:t>WAF1/CIP1</w:t>
      </w:r>
      <w:r w:rsidR="0054187C"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"Michieli", "given" : "P", "non-dropping-particle" : "", "parse-names" : false, "suffix" : "" }, { "dropping-particle" : "", "family" : "Chedid", "given" : "Marcio", "non-dropping-particle" : "", "parse-names" : false, "suffix" : "" }, { "dropping-particle" : "", "family" : "Lin", "given" : "David", "non-dropping-particle" : "", "parse-names" : false, "suffix" : "" }, { "dropping-particle" : "", "family" : "Pierce", "given" : "JH", "non-dropping-particle" : "", "parse-names" : false, "suffix" : "" } ], "container-title" : "Cancer Research", "id" : "ITEM-1", "issue" : "13", "issued" : { "date-parts" : [ [ "1994" ] ] }, "page" : "3391-3395", "title" : "Induction of WAF1/CIP1 by a p53-independent pathway", "type" : "article-journal", "volume" : "54" }, "uris" : [ "http://www.mendeley.com/documents/?uuid=276dda54-3bb9-40e3-939c-1f7b4e53790c" ] }, { "id" : "ITEM-2", "itemData" : { "DOI" : "10.1111/j.1471-4159.2007.05115.x", "ISSN" : "1471-4159", "PMID" : "17996028", "abstract" : "Mitochondrial alterations have been associated with the cytotoxic effect of 6-hydroxydopamine (6-OHDA), a widely used toxin to study Parkinson's disease. In previous work, we have demonstrated that 6-OHDA increases mitochondrial membrane permeability leading to cytochrome c release, but the precise mechanisms involved in this process remain unknown. Herein we studied the mechanism of increased mitochondrial permeability of SH-SY5Y neuroblastoma cells in response to 6-OHDA. Cytochrome c release induced by 6-OHDA occurred, in both SH-SY5Y cells and primary cultures, in the absence of mitochondrial swelling or a decrease in mitochondrial calcein fluorescence, suggesting little involvement of the mitochondrial permeability transition pore in this process. In contrast, 6-OHDA-induced cell death was associated with a significant translocation of the pro-apoptotic Bax protein from the cytosol to mitochondria and with a significant induction of the BH3-only protein PUMA. Experiments in mouse embryonic fibroblasts deficient in Bax or PUMA demonstrated a role for both proteins in 6-OHDA-induced apoptosis. Although 6-OHDA elevated both total and nuclear p53 protein levels, activation of p53 was not essential for subsequent cell death. In contrast, we found that p38 mitogen-activated protein kinase (MAPK) was activated early during 6-OHDA-induced apoptosis, and that treatment with the p38 MAPK inhibitor SKF86002 potently inhibited PUMA induction, green fluorescent protein-Bax redistribution and apoptosis in response to 6-OHDA. These data demonstrate a critical involvement of p38 MAPK, PUMA, and Bax in 6-OHDA-induced apoptosis.", "author" : [ { "dropping-particle" : "", "family" : "Gomez-Lazaro", "given" : "Maria", "non-dropping-particle" : "", "parse-names" : false, "suffix" : "" }, { "dropping-particle" : "", "family" : "Galindo", "given" : "Maria F", "non-dropping-particle" : "", "parse-names" : false, "suffix" : "" }, { "dropping-particle" : "", "family" : "Concannon", "given" : "Caoimh\u00edn G", "non-dropping-particle" : "", "parse-names" : false, "suffix" : "" }, { "dropping-particle" : "", "family" : "Segura", "given" : "Miguel F", "non-dropping-particle" : "", "parse-names" : false, "suffix" : "" }, { "dropping-particle" : "", "family" : "Fernandez-Gomez", "given" : "Francisco J", "non-dropping-particle" : "", "parse-names" : false, "suffix" : "" }, { "dropping-particle" : "", "family" : "Llecha", "given" : "Nuria", "non-dropping-particle" : "", "parse-names" : false, "suffix" : "" }, { "dropping-particle" : "", "family" : "Comella", "given" : "Joan X", "non-dropping-particle" : "", "parse-names" : false, "suffix" : "" }, { "dropping-particle" : "", "family" : "Prehn", "given" : "Jochen H M", "non-dropping-particle" : "", "parse-names" : false, "suffix" : "" }, { "dropping-particle" : "", "family" : "Jordan", "given" : "Joaquin", "non-dropping-particle" : "", "parse-names" : false, "suffix" : "" } ], "container-title" : "Journal of Neurochemistry", "id" : "ITEM-2", "issue" : "6", "issued" : { "date-parts" : [ [ "2008", "3" ] ] }, "page" : "1599-612", "title" : "6-Hydroxydopamine activates the mitochondrial apoptosis pathway through p38 MAPK-mediated, p53-independent activation of Bax and PUMA.", "type" : "article-journal", "volume" : "104" }, "uris" : [ "http://www.mendeley.com/documents/?uuid=161ecd35-4795-48e3-97b1-f9a9c1b91070" ] }, { "id" : "ITEM-3", "itemData" : { "DOI" : "10.1182/blood-2005-05-2091", "ISBN" : "2004503351", "ISSN" : "0006-4971", "PMID" : "16166592", "abstract" : "Mantle-cell lymphoma (MCL) is a mature B-cell lymphoma with an aggressive course and generally poor prognosis. Conventional chemotherapy has little efficacy. Bortezomib is a novel, reversible, and highly specific proteasome inhibitor that appears as a new hope for MCL treatment. We have analyzed the in vitro sensitivity to bortezomib in 4 MCL cell lines and in primary tumor cells from 10 MCL patients. Bortezomib induced phosphatidylserine exposure, mitochondrial depolarization, ROS generation, Bax and Bak conformational changes, and caspase activation. In addition, ROS scavengers, but not pancaspase inhibitors, blocked all apoptosis hallmarks. Protein and mRNA-expression analysis, revealed marked up-regulation of the BH3-only protein Noxa, between 4 to 6 hours after bortezomib addition, independent of p53 status. However, this up-regulation was faster and higher in cells with functional p53. Noxa RNA interference markedly decreased sensitivity to bortezomib, pointing to this protein as a key mediator between proteasome inhibition and mitochondrial depolarization in MCL cells. Noxa interacts with the antiapoptotic protein Mcl-1 and promotes Bak release from Mcl-1, suggesting that up-regulation of Noxa might counteract Mcl-1 accumulation after bortezomib treatment. These findings should be useful to extend the therapeutic strategies in MCL patients and to improve their prognosis.", "author" : [ { "dropping-particle" : "", "family" : "P\u00e9rez-Gal\u00e1n", "given" : "Patricia", "non-dropping-particle" : "", "parse-names" : false, "suffix" : "" }, { "dropping-particle" : "", "family" : "Rou\u00e9", "given" : "Ga\u00ebl", "non-dropping-particle" : "", "parse-names" : false, "suffix" : "" }, { "dropping-particle" : "", "family" : "Villamor", "given" : "Neus", "non-dropping-particle" : "", "parse-names" : false, "suffix" : "" }, { "dropping-particle" : "", "family" : "Montserrat", "given" : "Emili", "non-dropping-particle" : "", "parse-names" : false, "suffix" : "" }, { "dropping-particle" : "", "family" : "Campo", "given" : "Elias", "non-dropping-particle" : "", "parse-names" : false, "suffix" : "" }, { "dropping-particle" : "", "family" : "Colomer", "given" : "Dolors", "non-dropping-particle" : "", "parse-names" : false, "suffix" : "" } ], "container-title" : "Blood", "id" : "ITEM-3", "issue" : "1", "issued" : { "date-parts" : [ [ "2006", "1", "1" ] ] }, "page" : "257-64", "title" : "The proteasome inhibitor bortezomib induces apoptosis in mantle-cell lymphoma through generation of ROS and Noxa activation independent of p53 status.", "type" : "article-journal", "volume" : "107" }, "uris" : [ "http://www.mendeley.com/documents/?uuid=fcd84089-9c97-4d40-9447-be59ca33c578" ] }, { "id" : "ITEM-4", "itemData" : { "DOI" : "10.1074/jbc.M111.314898", "ISSN" : "1083-351X", "PMID" : "22354970", "abstract" : "The p14(ARF) tumor suppressor plays a central role in regulating cell cycle arrest and apoptosis. We reported previously that p14(ARF) is capable of triggering apoptosis in a p53-independent manner. However, the mechanism remained unclear. Here we demonstrate that the p53-independent activation of the mitochondrial apoptosis pathway by p14(ARF) is primarily mediated by the pro-apoptotic Bax-homolog Bak. Expression of p14(ARF) exclusively triggers a N-terminal conformational switch of Bak, but not Bax, which allows for mitochondrial permeability shift, release of cytochrome c, activation of caspases, and subsequent fragmentation of genomic DNA. Although forced expression of Bak markedly sensitizes toward p14(ARF)-induced apoptosis, re-expression of Bax has no effect. Vice versa, knockdown of Bak by RNA interference attenuates p14(ARF)-induced apoptosis, whereas down-regulation of Bax has no effect. Bak activation coincides with a prominent, caspase-independent deprivation of the endogenous Bak inhibitors Mcl-1 and Bcl-x(L). In turn, mitochondrial apoptosis is fully blocked by overexpression of either Mcl-1 or Bcl-x(L). Taken together, these data indicate that in the absence of functional p53 and Bax, p14(ARF) triggers mitochondrial apoptosis signaling by activating Bak, which is facilitated by down-regulating anti-apoptotic Mcl-1 and Bcl-x(L). Moreover, our data suggest that the simultaneous inhibition of two central endogenous Bak inhibitors, i.e. Mcl-1 and Bcl-x(L), may be sufficient to activate mitochondrial apoptosis in the absence of BH3-only protein regulation.", "author" : [ { "dropping-particle" : "", "family" : "M\u00fcer", "given" : "Annika", "non-dropping-particle" : "", "parse-names" : false, "suffix" : "" }, { "dropping-particle" : "", "family" : "Overkamp", "given" : "Tim", "non-dropping-particle" : "", "parse-names" : false, "suffix" : "" }, { "dropping-particle" : "", "family" : "Gillissen", "given" : "Bernd", "non-dropping-particle" : "", "parse-names" : false, "suffix" : "" }, { "dropping-particle" : "", "family" : "Richter", "given" : "Antje", "non-dropping-particle" : "", "parse-names" : false, "suffix" : "" }, { "dropping-particle" : "", "family" : "Pretzsch", "given" : "Thomas", "non-dropping-particle" : "", "parse-names" : false, "suffix" : "" }, { "dropping-particle" : "", "family" : "Milojkovic", "given" : "Ana", "non-dropping-particle" : "", "parse-names" : false, "suffix" : "" }, { "dropping-particle" : "", "family" : "D\u00f6rken", "given" : "Bernd", "non-dropping-particle" : "", "parse-names" : false, "suffix" : "" }, { "dropping-particle" : "", "family" : "Daniel", "given" : "Peter T", "non-dropping-particle" : "", "parse-names" : false, "suffix" : "" }, { "dropping-particle" : "", "family" : "Hemmati", "given" : "Philipp", "non-dropping-particle" : "", "parse-names" : false, "suffix" : "" } ], "container-title" : "The Journal of Biological Chemistry", "id" : "ITEM-4", "issue" : "21", "issued" : { "date-parts" : [ [ "2012", "5", "18" ] ] }, "page" : "17343-52", "title" : "p14(ARF)-induced apoptosis in p53 protein-deficient cells is mediated by BH3-only protein-independent derepression of Bak protein through down-regulation of Mcl-1 and Bcl-xL proteins.", "type" : "article-journal", "volume" : "287" }, "uris" : [ "http://www.mendeley.com/documents/?uuid=102c1bc7-2351-4ae3-bbf5-552f07b6aa83" ] } ], "mendeley" : { "formattedCitation" : "(Michieli et al. 1994; Gomez-Lazaro et al. 2008; P\u00e9rez-Gal\u00e1n et al. 2006; M\u00fcer et al. 2012)", "plainTextFormattedCitation" : "(Michieli et al. 1994; Gomez-Lazaro et al. 2008; P\u00e9rez-Gal\u00e1n et al. 2006; M\u00fcer et al. 2012)", "previouslyFormattedCitation" : "(Michieli et al. 1994; Gomez-Lazaro et al. 2008; P\u00e9rez-Gal\u00e1n et al. 2006; M\u00fcer et al. 2012)" }, "properties" : { "noteIndex" : 0 }, "schema" : "https://github.com/citation-style-language/schema/raw/master/csl-citation.json" }</w:instrText>
      </w:r>
      <w:r w:rsidR="00F20EC0" w:rsidRPr="00DF0680">
        <w:rPr>
          <w:rFonts w:cs="Times New Roman"/>
        </w:rPr>
        <w:fldChar w:fldCharType="separate"/>
      </w:r>
      <w:r w:rsidR="0054187C" w:rsidRPr="00DF0680">
        <w:rPr>
          <w:rFonts w:cs="Times New Roman"/>
        </w:rPr>
        <w:t>(Michieli et al. 1994; Gomez-Lazaro et al. 2008; Pérez-Galán et al. 2006; Müer et al. 2012)</w:t>
      </w:r>
      <w:r w:rsidR="00F20EC0" w:rsidRPr="00DF0680">
        <w:rPr>
          <w:rFonts w:cs="Times New Roman"/>
        </w:rPr>
        <w:fldChar w:fldCharType="end"/>
      </w:r>
      <w:r w:rsidR="0054187C" w:rsidRPr="00DF0680">
        <w:rPr>
          <w:rFonts w:cs="Times New Roman"/>
        </w:rPr>
        <w:t xml:space="preserve">. </w:t>
      </w:r>
      <w:r w:rsidR="00DA55C6" w:rsidRPr="00DF0680">
        <w:rPr>
          <w:rFonts w:cs="Times New Roman"/>
        </w:rPr>
        <w:t>This is thought to be mediated through a c-Myc-ARF interaction, which inhibits transcription by c-Myc, to induce hyper-proliferation driven apoptosis</w:t>
      </w:r>
      <w:r w:rsidR="00A901EA" w:rsidRPr="00DF0680">
        <w:rPr>
          <w:rFonts w:cs="Times New Roman"/>
        </w:rPr>
        <w:t xml:space="preserve"> </w:t>
      </w:r>
      <w:r w:rsidR="00F20EC0" w:rsidRPr="00DF0680">
        <w:rPr>
          <w:rFonts w:cs="Times New Roman"/>
        </w:rPr>
        <w:fldChar w:fldCharType="begin" w:fldLock="1"/>
      </w:r>
      <w:r w:rsidR="00DA6E78" w:rsidRPr="00DF0680">
        <w:rPr>
          <w:rFonts w:cs="Times New Roman"/>
        </w:rPr>
        <w:instrText>ADDIN CSL_CITATION { "citationItems" : [ { "id" : "ITEM-1", "itemData" : { "DOI" : "10.1038/nature02962.Published", "author" : [ { "dropping-particle" : "", "family" : "Qi", "given" : "Ying", "non-dropping-particle" : "", "parse-names" : false, "suffix" : "" }, { "dropping-particle" : "", "family" : "Gregory", "given" : "MA", "non-dropping-particle" : "", "parse-names" : false, "suffix" : "" }, { "dropping-particle" : "", "family" : "Li", "given" : "Zhaoliang", "non-dropping-particle" : "", "parse-names" : false, "suffix" : "" }, { "dropping-particle" : "", "family" : "Brousal", "given" : "JP", "non-dropping-particle" : "", "parse-names" : false, "suffix" : "" }, { "dropping-particle" : "", "family" : "West", "given" : "Kimberly", "non-dropping-particle" : "", "parse-names" : false, "suffix" : "" }, { "dropping-particle" : "", "family" : "Hann", "given" : "SR", "non-dropping-particle" : "", "parse-names" : false, "suffix" : "" } ], "container-title" : "Nature", "id" : "ITEM-1", "issue" : "7009", "issued" : { "date-parts" : [ [ "2004" ] ] }, "page" : "712-7", "title" : "p19ARF directly and differentially controls the functions of c-Myc independently of p53", "type" : "article-journal", "volume" : "431" }, "uris" : [ "http://www.mendeley.com/documents/?uuid=cd543a88-98de-4d8c-bc92-1bdfb8e7b8d1" ] } ], "mendeley" : { "formattedCitation" : "(Qi et al. 2004)", "plainTextFormattedCitation" : "(Qi et al. 2004)", "previouslyFormattedCitation" : "(Qi et al. 2004)" }, "properties" : { "noteIndex" : 0 }, "schema" : "https://github.com/citation-style-language/schema/raw/master/csl-citation.json" }</w:instrText>
      </w:r>
      <w:r w:rsidR="00F20EC0" w:rsidRPr="00DF0680">
        <w:rPr>
          <w:rFonts w:cs="Times New Roman"/>
        </w:rPr>
        <w:fldChar w:fldCharType="separate"/>
      </w:r>
      <w:r w:rsidR="00DA55C6" w:rsidRPr="00DF0680">
        <w:rPr>
          <w:rFonts w:cs="Times New Roman"/>
        </w:rPr>
        <w:t>(Qi et al. 2004)</w:t>
      </w:r>
      <w:r w:rsidR="00F20EC0" w:rsidRPr="00DF0680">
        <w:rPr>
          <w:rFonts w:cs="Times New Roman"/>
        </w:rPr>
        <w:fldChar w:fldCharType="end"/>
      </w:r>
      <w:r w:rsidR="00DA55C6" w:rsidRPr="00DF0680">
        <w:rPr>
          <w:rFonts w:cs="Times New Roman"/>
        </w:rPr>
        <w:t xml:space="preserve">. </w:t>
      </w:r>
      <w:r w:rsidR="005C02EA" w:rsidRPr="00DF0680">
        <w:rPr>
          <w:rFonts w:cs="Times New Roman"/>
        </w:rPr>
        <w:t xml:space="preserve">Avoiding apoptosis is of benefit to cancer cells and the anti-apoptotic Bcl-2 proteins </w:t>
      </w:r>
      <w:r w:rsidR="00D776C7" w:rsidRPr="00DF0680">
        <w:rPr>
          <w:rFonts w:cs="Times New Roman"/>
        </w:rPr>
        <w:t xml:space="preserve">have been shown to provide many cancers with chemotherapy resistance and as such have been studied as a potential target for therapy </w:t>
      </w:r>
      <w:r w:rsidR="00F20EC0" w:rsidRPr="00DF0680">
        <w:rPr>
          <w:rFonts w:cs="Times New Roman"/>
        </w:rPr>
        <w:fldChar w:fldCharType="begin" w:fldLock="1"/>
      </w:r>
      <w:r w:rsidR="00332613" w:rsidRPr="00DF0680">
        <w:rPr>
          <w:rFonts w:cs="Times New Roman"/>
        </w:rPr>
        <w:instrText>ADDIN CSL_CITATION { "citationItems" : [ { "id" : "ITEM-1", "itemData" : { "DOI" : "10.1016/j.molcel.2010.01.025", "ISSN" : "1097-4164", "PMID" : "20159550", "abstract" : "B cell CLL/lymphoma-2 (BCL-2) and its relatives comprise the BCL-2 family of proteins, which were originally characterized with respect to their roles in controlling outer mitochondrial membrane integrity and apoptosis. Current observations expand BCL-2 family function to include numerous cellular pathways. Here we will discuss the mechanisms and functions of the BCL-2 family in the context of these pathways, highlighting the complex integration and regulation of the BCL-2 family in cell fate decisions.", "author" : [ { "dropping-particle" : "", "family" : "Chipuk", "given" : "Jerry E", "non-dropping-particle" : "", "parse-names" : false, "suffix" : "" }, { "dropping-particle" : "", "family" : "Moldoveanu", "given" : "Tudor", "non-dropping-particle" : "", "parse-names" : false, "suffix" : "" }, { "dropping-particle" : "", "family" : "Llambi", "given" : "Fabien", "non-dropping-particle" : "", "parse-names" : false, "suffix" : "" }, { "dropping-particle" : "", "family" : "Parsons", "given" : "Melissa J", "non-dropping-particle" : "", "parse-names" : false, "suffix" : "" }, { "dropping-particle" : "", "family" : "Green", "given" : "Douglas R", "non-dropping-particle" : "", "parse-names" : false, "suffix" : "" } ], "container-title" : "Molecular Cell", "id" : "ITEM-1", "issue" : "3", "issued" : { "date-parts" : [ [ "2010", "2", "12" ] ] }, "page" : "299-310", "publisher" : "Elsevier Inc.", "title" : "The BCL-2 family reunion.", "type" : "article-journal", "volume" : "37" }, "uris" : [ "http://www.mendeley.com/documents/?uuid=947e8b13-9cc3-445b-ac60-7ce43c8a2941" ] }, { "id" : "ITEM-2", "itemData" : { "DOI" : "10.1158/1078-0432.CCR-08-0144", "ISBN" : "8067431558", "ISSN" : "1078-0432", "PMID" : "19228717", "abstract" : "Defects in apoptotic pathways can promote cancer cell survival and also confer resistance to antineoplastic drugs. One pathway being targeted for antineoplastic therapy is the anti-apoptotic B-cell lymphoma-2 (Bcl-2) family of proteins (Bcl-2, Bcl-XL, Bcl-w, Mcl-1, Bfl1/A-1, and Bcl-B) that bind to and inactivate BH3-domain pro-apoptotic proteins. Signals transmitted by cellular damage (including antineoplastic drugs) or cytokine deprivation can initiate apoptosis via the intrinsic apoptotic pathway. It is controversial whether some BH3-domain proteins (Bim or tBid) directly activate multidomain pro-apoptotic proteins (e.g., Bax and Bak) or act via inhibition of those anti-apoptotic Bcl-2 proteins (Bcl-2, Bcl-XL, Bcl-w, Mcl-1, Bfl1/A-1, and Bcl-B) that stabilize pro-apoptotic proteins. Overexpression of anti-apoptotic Bcl-2 family members has been associated with chemotherapy resistance in various human cancers, and preclinical studies have shown that agents targeting anti-apoptotic Bcl-2 family members have preclinical activity as single agents and in combination with other antineoplastic agents. Clinical trials of several investigational drugs targeting the Bcl-2 family (oblimersen sodium, AT-101, ABT-263, GX15-070) are ongoing. Here, we review the role of the Bcl-2 family in apoptotic pathways and those agents that are known and/or designed to inhibit the anti-apoptotic Bcl-2 family of proteins.", "author" : [ { "dropping-particle" : "", "family" : "Kang", "given" : "Min H", "non-dropping-particle" : "", "parse-names" : false, "suffix" : "" }, { "dropping-particle" : "", "family" : "Reynolds", "given" : "C Patrick", "non-dropping-particle" : "", "parse-names" : false, "suffix" : "" } ], "container-title" : "Clinical Cancer Research", "id" : "ITEM-2", "issue" : "4", "issued" : { "date-parts" : [ [ "2009", "2", "15" ] ] }, "page" : "1126-32", "title" : "Bcl-2 inhibitors: targeting mitochondrial apoptotic pathways in cancer therapy.", "type" : "article-journal", "volume" : "15" }, "uris" : [ "http://www.mendeley.com/documents/?uuid=a6d029da-0629-4c2c-80c7-ab118414cc6d" ] } ], "mendeley" : { "formattedCitation" : "(Chipuk et al. 2010; Kang &amp; Reynolds 2009)", "plainTextFormattedCitation" : "(Chipuk et al. 2010; Kang &amp; Reynolds 2009)", "previouslyFormattedCitation" : "(Chipuk et al. 2010; Kang &amp; Reynolds 2009)"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(Chipuk et al. 2010; Kang &amp; Reynolds 2009)</w:t>
      </w:r>
      <w:r w:rsidR="00F20EC0" w:rsidRPr="00DF0680">
        <w:rPr>
          <w:rFonts w:cs="Times New Roman"/>
        </w:rPr>
        <w:fldChar w:fldCharType="end"/>
      </w:r>
      <w:r w:rsidR="00D776C7" w:rsidRPr="00DF0680">
        <w:rPr>
          <w:rFonts w:cs="Times New Roman"/>
        </w:rPr>
        <w:t>.</w:t>
      </w:r>
    </w:p>
    <w:p w:rsidR="009E3E35" w:rsidRPr="00DF0680" w:rsidRDefault="00B57DC4" w:rsidP="00495B5A">
      <w:pPr>
        <w:rPr>
          <w:rFonts w:cs="Times New Roman"/>
          <w:color w:val="auto"/>
        </w:rPr>
      </w:pPr>
      <w:r w:rsidRPr="00DF0680">
        <w:rPr>
          <w:rFonts w:cs="Times New Roman"/>
          <w:color w:val="auto"/>
        </w:rPr>
        <w:t>Senescence</w:t>
      </w:r>
      <w:r w:rsidR="001B5333" w:rsidRPr="00DF0680">
        <w:rPr>
          <w:rFonts w:cs="Times New Roman"/>
          <w:color w:val="auto"/>
        </w:rPr>
        <w:t xml:space="preserve"> is </w:t>
      </w:r>
      <w:r w:rsidR="00935588" w:rsidRPr="00DF0680">
        <w:rPr>
          <w:rFonts w:cs="Times New Roman"/>
          <w:color w:val="auto"/>
        </w:rPr>
        <w:t xml:space="preserve">the permanent arrest of cell growth, without cell death, that can be induced by DNA damage, telomere shortening and the de-repression of the ARF/INK4a genes </w:t>
      </w:r>
      <w:r w:rsidR="00F20EC0" w:rsidRPr="00DF0680">
        <w:rPr>
          <w:rFonts w:cs="Times New Roman"/>
          <w:color w:val="auto"/>
        </w:rPr>
        <w:fldChar w:fldCharType="begin" w:fldLock="1"/>
      </w:r>
      <w:r w:rsidR="00594401" w:rsidRPr="00DF0680">
        <w:rPr>
          <w:rFonts w:cs="Times New Roman"/>
          <w:color w:val="auto"/>
        </w:rPr>
        <w:instrText>ADDIN CSL_CITATION { "citationItems" : [ { "id" : "ITEM-1", "itemData" : { "DOI" : "10.1016/j.cell.2007.07.003", "ISSN" : "0092-8674", "PMID" : "17662938", "abstract" : "Cellular senescence, a state of irreversible growth arrest, can be triggered by multiple mechanisms including telomere shortening, the epigenetic derepression of the INK4a/ARF locus, and DNA damage. Together these mechanisms limit excessive or aberrant cellular proliferation, and so the state of senescence protects against the development of cancer. Recent evidence suggests that cellular senescence also may be involved in aging.", "author" : [ { "dropping-particle" : "", "family" : "Collado", "given" : "Manuel", "non-dropping-particle" : "", "parse-names" : false, "suffix" : "" }, { "dropping-particle" : "", "family" : "Blasco", "given" : "Maria a", "non-dropping-particle" : "", "parse-names" : false, "suffix" : "" }, { "dropping-particle" : "", "family" : "Serrano", "given" : "Manuel", "non-dropping-particle" : "", "parse-names" : false, "suffix" : "" } ], "container-title" : "Cell", "id" : "ITEM-1", "issue" : "2", "issued" : { "date-parts" : [ [ "2007", "7", "27" ] ] }, "page" : "223-33", "title" : "Cellular senescence in cancer and aging.", "type" : "article-journal", "volume" : "130" }, "uris" : [ "http://www.mendeley.com/documents/?uuid=4294d03a-cab6-4581-b82c-1dcb78f3ff5e" ] } ], "mendeley" : { "formattedCitation" : "(Collado et al. 2007)", "plainTextFormattedCitation" : "(Collado et al. 2007)", "previouslyFormattedCitation" : "(Collado et al. 2007)" }, "properties" : { "noteIndex" : 0 }, "schema" : "https://github.com/citation-style-language/schema/raw/master/csl-citation.json" }</w:instrText>
      </w:r>
      <w:r w:rsidR="00F20EC0" w:rsidRPr="00DF0680">
        <w:rPr>
          <w:rFonts w:cs="Times New Roman"/>
          <w:color w:val="auto"/>
        </w:rPr>
        <w:fldChar w:fldCharType="separate"/>
      </w:r>
      <w:r w:rsidR="00935588" w:rsidRPr="00DF0680">
        <w:rPr>
          <w:rFonts w:cs="Times New Roman"/>
          <w:color w:val="auto"/>
        </w:rPr>
        <w:t>(Collado et al. 2007)</w:t>
      </w:r>
      <w:r w:rsidR="00F20EC0" w:rsidRPr="00DF0680">
        <w:rPr>
          <w:rFonts w:cs="Times New Roman"/>
          <w:color w:val="auto"/>
        </w:rPr>
        <w:fldChar w:fldCharType="end"/>
      </w:r>
      <w:r w:rsidR="00935588" w:rsidRPr="00DF0680">
        <w:rPr>
          <w:rFonts w:cs="Times New Roman"/>
          <w:color w:val="auto"/>
        </w:rPr>
        <w:t xml:space="preserve">. </w:t>
      </w:r>
      <w:r w:rsidR="00F73A8F" w:rsidRPr="00DF0680">
        <w:rPr>
          <w:rFonts w:cs="Times New Roman"/>
          <w:color w:val="auto"/>
        </w:rPr>
        <w:t xml:space="preserve">It is another mechanism that ensures cells that have unrepaired DNA damage are not proliferating. </w:t>
      </w:r>
      <w:r w:rsidR="00594401" w:rsidRPr="00DF0680">
        <w:rPr>
          <w:rFonts w:cs="Times New Roman"/>
          <w:color w:val="auto"/>
        </w:rPr>
        <w:t xml:space="preserve">It is caused by the activation of the cyclin-dependent kinase inhibitors p16 and p21 which keep </w:t>
      </w:r>
      <w:r w:rsidR="00A901EA" w:rsidRPr="00DF0680">
        <w:rPr>
          <w:rFonts w:cs="Times New Roman"/>
          <w:color w:val="auto"/>
        </w:rPr>
        <w:t>p</w:t>
      </w:r>
      <w:r w:rsidR="00594401" w:rsidRPr="00DF0680">
        <w:rPr>
          <w:rFonts w:cs="Times New Roman"/>
          <w:color w:val="auto"/>
        </w:rPr>
        <w:t xml:space="preserve">RB in an unphosphorylated form, preventing progression of the cell cycle </w:t>
      </w:r>
      <w:r w:rsidR="00F20EC0" w:rsidRPr="00DF0680">
        <w:rPr>
          <w:rFonts w:cs="Times New Roman"/>
          <w:color w:val="auto"/>
        </w:rPr>
        <w:fldChar w:fldCharType="begin" w:fldLock="1"/>
      </w:r>
      <w:r w:rsidR="00DA6E78" w:rsidRPr="00DF0680">
        <w:rPr>
          <w:rFonts w:cs="Times New Roman"/>
          <w:color w:val="auto"/>
        </w:rPr>
        <w:instrText>ADDIN CSL_CITATION { "citationItems" : [ { "id" : "ITEM-1", "itemData" : { "author" : [ { "dropping-particle" : "", "family" : "Jacobs", "given" : "JJL", "non-dropping-particle" : "", "parse-names" : false, "suffix" : "" }, { "dropping-particle" : "", "family" : "Kieboom", "given" : "Karin", "non-dropping-particle" : "", "parse-names" : false, "suffix" : "" }, { "dropping-particle" : "", "family" : "Marino", "given" : "Silvia", "non-dropping-particle" : "", "parse-names" : false, "suffix" : "" } ], "container-title" : "Nature", "id" : "ITEM-1", "issue" : "6715", "issued" : { "date-parts" : [ [ "1999" ] ] }, "page" : "164-168", "title" : "The oncogene and Polycomb-group gene bmi-1 regulates cell proliferation and senescence through the ink4a locus", "type" : "article-journal", "volume" : "397" }, "uris" : [ "http://www.mendeley.com/documents/?uuid=462af6af-95e9-40cb-bc1d-732ccc2d73aa" ] }, { "id" : "ITEM-2", "itemData" : { "author" : [ { "dropping-particle" : "", "family" : "Brown", "given" : "JP", "non-dropping-particle" : "", "parse-names" : false, "suffix" : "" }, { "dropping-particle" : "", "family" : "Wei", "given" : "Wenyi", "non-dropping-particle" : "", "parse-names" : false, "suffix" : "" }, { "dropping-particle" : "", "family" : "Sedivy", "given" : "JM", "non-dropping-particle" : "", "parse-names" : false, "suffix" : "" } ], "container-title" : "Science", "id" : "ITEM-2", "issue" : "5327", "issued" : { "date-parts" : [ [ "1997" ] ] }, "page" : "831-4", "title" : "Bypass of senescence after disruption of p21CIP1/WAF1 gene in normal diploid human fibroblasts", "type" : "article-journal", "volume" : "277" }, "uris" : [ "http://www.mendeley.com/documents/?uuid=dedb1ac7-14cf-4b9c-83a5-153833c3291a" ] }, { "id" : "ITEM-3", "itemData" : { "author" : [ { "dropping-particle" : "", "family" : "Kiyono", "given" : "Tohru", "non-dropping-particle" : "", "parse-names" : false, "suffix" : "" }, { "dropping-particle" : "", "family" : "Foster", "given" : "SA", "non-dropping-particle" : "", "parse-names" : false, "suffix" : "" }, { "dropping-particle" : "", "family" : "Koop", "given" : "JI", "non-dropping-particle" : "", "parse-names" : false, "suffix" : "" } ], "container-title" : "Nature", "id" : "ITEM-3", "issue" : "6706", "issued" : { "date-parts" : [ [ "1998" ] ] }, "page" : "84-8", "title" : "Both Rb/p16INK4a inactivation and telomerase activity are required to immortalize human epithelial cells", "type" : "article-journal", "volume" : "396" }, "uris" : [ "http://www.mendeley.com/documents/?uuid=d5f96bc7-7c9e-49c1-bc74-53eb9faf892b" ] } ], "mendeley" : { "formattedCitation" : "(Jacobs et al. 1999; Brown et al. 1997; Kiyono et al. 1998)", "plainTextFormattedCitation" : "(Jacobs et al. 1999; Brown et al. 1997; Kiyono et al. 1998)", "previouslyFormattedCitation" : "(Jacobs et al. 1999; Brown et al. 1997; Kiyono et al. 1998)" }, "properties" : { "noteIndex" : 0 }, "schema" : "https://github.com/citation-style-language/schema/raw/master/csl-citation.json" }</w:instrText>
      </w:r>
      <w:r w:rsidR="00F20EC0" w:rsidRPr="00DF0680">
        <w:rPr>
          <w:rFonts w:cs="Times New Roman"/>
          <w:color w:val="auto"/>
        </w:rPr>
        <w:fldChar w:fldCharType="separate"/>
      </w:r>
      <w:r w:rsidR="00F855B3" w:rsidRPr="00DF0680">
        <w:rPr>
          <w:rFonts w:cs="Times New Roman"/>
          <w:color w:val="auto"/>
        </w:rPr>
        <w:t>(Jacobs et al. 1999; Brown et al. 1997; Kiyono et al. 1998)</w:t>
      </w:r>
      <w:r w:rsidR="00F20EC0" w:rsidRPr="00DF0680">
        <w:rPr>
          <w:rFonts w:cs="Times New Roman"/>
          <w:color w:val="auto"/>
        </w:rPr>
        <w:fldChar w:fldCharType="end"/>
      </w:r>
      <w:r w:rsidR="00594401" w:rsidRPr="00DF0680">
        <w:rPr>
          <w:rFonts w:cs="Times New Roman"/>
          <w:color w:val="auto"/>
        </w:rPr>
        <w:t xml:space="preserve">. These inhibitors are up-regulated in the presence of DNA damage, </w:t>
      </w:r>
      <w:r w:rsidR="00F73A8F" w:rsidRPr="00DF0680">
        <w:rPr>
          <w:rFonts w:cs="Times New Roman"/>
          <w:color w:val="auto"/>
        </w:rPr>
        <w:t>through oncogene expression and p</w:t>
      </w:r>
      <w:r w:rsidR="00594401" w:rsidRPr="00DF0680">
        <w:rPr>
          <w:rFonts w:cs="Times New Roman"/>
          <w:color w:val="auto"/>
        </w:rPr>
        <w:t>53</w:t>
      </w:r>
      <w:r w:rsidR="00F73A8F" w:rsidRPr="00DF0680">
        <w:rPr>
          <w:rFonts w:cs="Times New Roman"/>
          <w:color w:val="auto"/>
        </w:rPr>
        <w:t xml:space="preserve"> respectively </w:t>
      </w:r>
      <w:r w:rsidR="00F20EC0" w:rsidRPr="00DF0680">
        <w:rPr>
          <w:rFonts w:cs="Times New Roman"/>
          <w:color w:val="auto"/>
        </w:rPr>
        <w:fldChar w:fldCharType="begin" w:fldLock="1"/>
      </w:r>
      <w:r w:rsidR="00F855B3" w:rsidRPr="00DF0680">
        <w:rPr>
          <w:rFonts w:cs="Times New Roman"/>
          <w:color w:val="auto"/>
        </w:rPr>
        <w:instrText>ADDIN CSL_CITATION { "citationItems" : [ { "id" : "ITEM-1", "itemData" : { "DOI" : "10.1038/nature03890", "ISSN" : "1476-4687", "PMID" : "16079850", "abstract" : "Most normal mammalian cells have a finite lifespan, thought to constitute a protective mechanism against unlimited proliferation. This phenomenon, called senescence, is driven by telomere attrition, which triggers the induction of tumour suppressors including p16(INK4a) (ref. 5). In cultured cells, senescence can be elicited prematurely by oncogenes; however, whether such oncogene-induced senescence represents a physiological process has long been debated. Human naevi (moles) are benign tumours of melanocytes that frequently harbour oncogenic mutations (predominantly V600E, where valine is substituted for glutamic acid) in BRAF, a protein kinase and downstream effector of Ras. Nonetheless, naevi typically remain in a growth-arrested state for decades and only rarely progress into malignancy (melanoma). This raises the question of whether naevi undergo BRAF(V600E)-induced senescence. Here we show that sustained BRAF(V600E) expression in human melanocytes induces cell cycle arrest, which is accompanied by the induction of both p16(INK4a) and senescence-associated acidic beta-galactosidase (SA-beta-Gal) activity, a commonly used senescence marker. Validating these results in vivo, congenital naevi are invariably positive for SA-beta-Gal, demonstrating the presence of this classical senescence-associated marker in a largely growth-arrested, neoplastic human lesion. In growth-arrested melanocytes, both in vitro and in situ, we observed a marked mosaic induction of p16(INK4a), suggesting that factors other than p16(INK4a) contribute to protection against BRAF(V600E)-driven proliferation. Naevi do not appear to suffer from telomere attrition, arguing in favour of an active oncogene-driven senescence process, rather than a loss of replicative potential. Thus, both in vitro and in vivo, BRAF(V600E)-expressing melanocytes display classical hallmarks of senescence, suggesting that oncogene-induced senescence represents a genuine protective physiological process.", "author" : [ { "dropping-particle" : "", "family" : "Michaloglou", "given" : "Chrysiis", "non-dropping-particle" : "", "parse-names" : false, "suffix" : "" }, { "dropping-particle" : "", "family" : "Vredeveld", "given" : "Liesbeth C W", "non-dropping-particle" : "", "parse-names" : false, "suffix" : "" }, { "dropping-particle" : "", "family" : "Soengas", "given" : "Maria S", "non-dropping-particle" : "", "parse-names" : false, "suffix" : "" }, { "dropping-particle" : "", "family" : "Denoyelle", "given" : "Christophe", "non-dropping-particle" : "", "parse-names" : false, "suffix" : "" }, { "dropping-particle" : "", "family" : "Kuilman", "given" : "Thomas", "non-dropping-particle" : "", "parse-names" : false, "suffix" : "" }, { "dropping-particle" : "", "family" : "Horst", "given" : "Chantal M a M", "non-dropping-particle" : "van der", "parse-names" : false, "suffix" : "" }, { "dropping-particle" : "", "family" : "Majoor", "given" : "Donn\u00e9 M", "non-dropping-particle" : "", "parse-names" : false, "suffix" : "" }, { "dropping-particle" : "", "family" : "Shay", "given" : "Jerry W", "non-dropping-particle" : "", "parse-names" : false, "suffix" : "" }, { "dropping-particle" : "", "family" : "Mooi", "given" : "Wolter J", "non-dropping-particle" : "", "parse-names" : false, "suffix" : "" }, { "dropping-particle" : "", "family" : "Peeper", "given" : "Daniel S", "non-dropping-particle" : "", "parse-names" : false, "suffix" : "" } ], "container-title" : "Nature", "id" : "ITEM-1", "issue" : "7051", "issued" : { "date-parts" : [ [ "2005", "8", "4" ] ] }, "page" : "720-4", "title" : "BRAFE600-associated senescence-like cell cycle arrest of human naevi.", "type" : "article-journal", "volume" : "436" }, "uris" : [ "http://www.mendeley.com/documents/?uuid=967133d8-4614-4e38-9b54-18c4dc26fc67" ] }, { "id" : "ITEM-2", "itemData" : { "ISSN" : "0092-8674", "PMID" : "8242752", "abstract" : "The ability of p53 to activate transcription from specific sequences suggests that genes induced by p53 may mediate its biological role as a tumor suppressor. Using a subtractive hybridization approach, we identified a gene, named WAF1, whose induction was associated with wild-type but not mutant p53 gene expression in a human brain tumor cell line. The WAF1 gene was localized to chromosome 6p21.2, and its sequence, structure, and activation by p53 was conserved in rodents. Introduction of WAF1 cDNA suppressed the growth of human brain, lung, and colon tumor cells in culture. Using a yeast enhancer trap, a p53-binding site was identified 2.4 kb upstream of WAF1 coding sequences. The WAF1 promoter, including this p53-binding site, conferred p53-dependent inducibility upon a heterologous reporter gene. These studies define a gene whose expression is directly induced by p53 and that could be an important mediator of p53-dependent tumor growth suppression.", "author" : [ { "dropping-particle" : "", "family" : "el-Deiry", "given" : "W S", "non-dropping-particle" : "", "parse-names" : false, "suffix" : "" }, { "dropping-particle" : "", "family" : "Tokino", "given" : "T", "non-dropping-particle" : "", "parse-names" : false, "suffix" : "" }, { "dropping-particle" : "", "family" : "Velculescu", "given" : "V E", "non-dropping-particle" : "", "parse-names" : false, "suffix" : "" }, { "dropping-particle" : "", "family" : "Levy", "given" : "D B", "non-dropping-particle" : "", "parse-names" : false, "suffix" : "" }, { "dropping-particle" : "", "family" : "Parsons", "given" : "R", "non-dropping-particle" : "", "parse-names" : false, "suffix" : "" }, { "dropping-particle" : "", "family" : "Trent", "given" : "J M", "non-dropping-particle" : "", "parse-names" : false, "suffix" : "" }, { "dropping-particle" : "", "family" : "Lin", "given" : "D", "non-dropping-particle" : "", "parse-names" : false, "suffix" : "" }, { "dropping-particle" : "", "family" : "Mercer", "given" : "W E", "non-dropping-particle" : "", "parse-names" : false, "suffix" : "" }, { "dropping-particle" : "", "family" : "Kinzler", "given" : "K W", "non-dropping-particle" : "", "parse-names" : false, "suffix" : "" }, { "dropping-particle" : "", "family" : "Vogelstein", "given" : "B", "non-dropping-particle" : "", "parse-names" : false, "suffix" : "" } ], "container-title" : "Cell", "id" : "ITEM-2", "issue" : "4", "issued" : { "date-parts" : [ [ "1993", "11", "19" ] ] }, "page" : "817-25", "title" : "WAF1, a potential mediator of p53 tumor suppression.", "type" : "article-journal", "volume" : "75" }, "uris" : [ "http://www.mendeley.com/documents/?uuid=fa8de3fc-9bdb-4c63-82aa-1cccf7573e01" ] } ], "mendeley" : { "formattedCitation" : "(Michaloglou et al. 2005; el-Deiry et al. 1993)", "plainTextFormattedCitation" : "(Michaloglou et al. 2005; el-Deiry et al. 1993)", "previouslyFormattedCitation" : "(Michaloglou et al. 2005; el-Deiry et al. 1993)" }, "properties" : { "noteIndex" : 0 }, "schema" : "https://github.com/citation-style-language/schema/raw/master/csl-citation.json" }</w:instrText>
      </w:r>
      <w:r w:rsidR="00F20EC0" w:rsidRPr="00DF0680">
        <w:rPr>
          <w:rFonts w:cs="Times New Roman"/>
          <w:color w:val="auto"/>
        </w:rPr>
        <w:fldChar w:fldCharType="separate"/>
      </w:r>
      <w:r w:rsidR="00F73A8F" w:rsidRPr="00DF0680">
        <w:rPr>
          <w:rFonts w:cs="Times New Roman"/>
          <w:color w:val="auto"/>
        </w:rPr>
        <w:t>(Michaloglou et al. 2005; el-Deiry et al. 1993)</w:t>
      </w:r>
      <w:r w:rsidR="00F20EC0" w:rsidRPr="00DF0680">
        <w:rPr>
          <w:rFonts w:cs="Times New Roman"/>
          <w:color w:val="auto"/>
        </w:rPr>
        <w:fldChar w:fldCharType="end"/>
      </w:r>
      <w:r w:rsidR="00594401" w:rsidRPr="00DF0680">
        <w:rPr>
          <w:rFonts w:cs="Times New Roman"/>
          <w:color w:val="auto"/>
        </w:rPr>
        <w:t>, an</w:t>
      </w:r>
      <w:r w:rsidR="00F73A8F" w:rsidRPr="00DF0680">
        <w:rPr>
          <w:rFonts w:cs="Times New Roman"/>
          <w:color w:val="auto"/>
        </w:rPr>
        <w:t>d although activation of the p53 pathway can be reversed, maintained activation of the p16 pathway</w:t>
      </w:r>
      <w:r w:rsidR="00594401" w:rsidRPr="00DF0680">
        <w:rPr>
          <w:rFonts w:cs="Times New Roman"/>
          <w:color w:val="auto"/>
        </w:rPr>
        <w:t xml:space="preserve"> leads to irreversible growth suppression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"author" : [ { "dropping-particle" : "", "family" : "Beaus\u00e9jour", "given" : "CM", "non-dropping-particle" : "", "parse-names" : false, "suffix" : "" }, { "dropping-particle" : "", "family" : "Krtolica", "given" : "Ana", "non-dropping-particle" : "", "parse-names" : false, "suffix" : "" }, { "dropping-particle" : "", "family" : "Galimi", "given" : "Francesco", "non-dropping-particle" : "", "parse-names" : false, "suffix" : "" } ], "container-title" : "The EMBO Journal", "id" : "ITEM-1", "issue" : "16", "issued" : { "date-parts" : [ [ "2003" ] ] }, "page" : "4212-22", "title" : "Reversal of human cellular senescence: roles of the p53 and p16 pathways", "type" : "article-journal", "volume" : "22" }, "uris" : [ "http://www.mendeley.com/documents/?uuid=c05e9ab2-9a52-4f6c-9289-81707ccdf054" ] } ], "mendeley" : { "formattedCitation" : "(Beaus\u00e9jour et al. 2003)", "plainTextFormattedCitation" : "(Beaus\u00e9jour et al. 2003)", "previouslyFormattedCitation" : "(Beaus\u00e9jour et al. 2003)" }, "properties" : { "noteIndex" : 0 }, "schema" : "https://github.com/citation-style-language/schema/raw/master/csl-citation.json" }</w:instrText>
      </w:r>
      <w:r w:rsidR="00F20EC0" w:rsidRPr="00DF0680">
        <w:rPr>
          <w:rFonts w:cs="Times New Roman"/>
          <w:color w:val="auto"/>
        </w:rPr>
        <w:fldChar w:fldCharType="separate"/>
      </w:r>
      <w:r w:rsidR="00594401" w:rsidRPr="00DF0680">
        <w:rPr>
          <w:rFonts w:cs="Times New Roman"/>
          <w:color w:val="auto"/>
        </w:rPr>
        <w:t>(Beauséjour et al. 2003)</w:t>
      </w:r>
      <w:r w:rsidR="00F20EC0" w:rsidRPr="00DF0680">
        <w:rPr>
          <w:rFonts w:cs="Times New Roman"/>
          <w:color w:val="auto"/>
        </w:rPr>
        <w:fldChar w:fldCharType="end"/>
      </w:r>
      <w:r w:rsidR="00594401" w:rsidRPr="00DF0680">
        <w:rPr>
          <w:rFonts w:cs="Times New Roman"/>
          <w:color w:val="auto"/>
        </w:rPr>
        <w:t xml:space="preserve">. </w:t>
      </w:r>
    </w:p>
    <w:p w:rsidR="001B5E20" w:rsidRPr="00DF0680" w:rsidRDefault="00CE6110" w:rsidP="00577EA5">
      <w:pPr>
        <w:pStyle w:val="Heading3"/>
      </w:pPr>
      <w:bookmarkStart w:id="65" w:name="_Toc417204090"/>
      <w:bookmarkStart w:id="66" w:name="_Toc417674327"/>
      <w:r w:rsidRPr="00DF0680">
        <w:t>DNA d</w:t>
      </w:r>
      <w:r w:rsidR="001B5E20" w:rsidRPr="00DF0680">
        <w:t xml:space="preserve">amage </w:t>
      </w:r>
      <w:r w:rsidRPr="00DF0680">
        <w:t>r</w:t>
      </w:r>
      <w:r w:rsidR="001B5E20" w:rsidRPr="00DF0680">
        <w:t>epair</w:t>
      </w:r>
      <w:bookmarkEnd w:id="65"/>
      <w:bookmarkEnd w:id="66"/>
    </w:p>
    <w:p w:rsidR="001B5E20" w:rsidRPr="00DF0680" w:rsidRDefault="001B5E20" w:rsidP="00577EA5">
      <w:pPr>
        <w:pStyle w:val="Heading4"/>
      </w:pPr>
      <w:bookmarkStart w:id="67" w:name="_Toc417204091"/>
      <w:bookmarkStart w:id="68" w:name="_Toc417674328"/>
      <w:r w:rsidRPr="00DF0680">
        <w:t>B</w:t>
      </w:r>
      <w:r w:rsidR="007F27FC" w:rsidRPr="00DF0680">
        <w:t xml:space="preserve">ase </w:t>
      </w:r>
      <w:r w:rsidR="00CE6110" w:rsidRPr="00DF0680">
        <w:t>e</w:t>
      </w:r>
      <w:r w:rsidR="007F27FC" w:rsidRPr="00DF0680">
        <w:t xml:space="preserve">xcision </w:t>
      </w:r>
      <w:r w:rsidR="00CE6110" w:rsidRPr="00DF0680">
        <w:t>r</w:t>
      </w:r>
      <w:r w:rsidR="007F27FC" w:rsidRPr="00DF0680">
        <w:t>epair</w:t>
      </w:r>
      <w:bookmarkEnd w:id="67"/>
      <w:bookmarkEnd w:id="68"/>
    </w:p>
    <w:p w:rsidR="009E3E35" w:rsidRPr="00DF0680" w:rsidRDefault="00FE701D" w:rsidP="00CD2397">
      <w:pPr>
        <w:keepNext/>
        <w:rPr>
          <w:rFonts w:cs="Times New Roman"/>
          <w:szCs w:val="24"/>
        </w:rPr>
      </w:pPr>
      <w:r w:rsidRPr="00DF0680">
        <w:rPr>
          <w:rFonts w:cs="Times New Roman"/>
          <w:szCs w:val="24"/>
        </w:rPr>
        <w:t xml:space="preserve">Base excision repair (BER) is a repair mechanism used to remove and replace bases damaged by oxidation or hydrolysis. Damaged base specific DNA glycosylases remove the damaged base leaving an apurinic (AP) site. The sugar phosphate backbone is then cleaved and removed by AP-endonucleases. An interaction between DNA polymerase β and AP-endonuclease brings the polymerase to the apurinic site </w:t>
      </w:r>
      <w:r w:rsidR="00F20EC0" w:rsidRPr="00DF0680">
        <w:rPr>
          <w:rFonts w:cs="Times New Roman"/>
          <w:szCs w:val="24"/>
        </w:rPr>
        <w:fldChar w:fldCharType="begin" w:fldLock="1"/>
      </w:r>
      <w:r w:rsidR="001112F6" w:rsidRPr="00DF0680">
        <w:rPr>
          <w:rFonts w:cs="Times New Roman"/>
          <w:szCs w:val="24"/>
        </w:rPr>
        <w:instrText>ADDIN CSL_CITATION { "citationItems" : [ { "id" : "ITEM-1", "itemData" : { "ISSN" : "0027-8424", "PMID" : "9207062", "abstract" : "Mutagenic abasic (AP) sites are generated directly by DNA-damaging agents or by DNA glycosylases acting in base excision repair. AP sites are corrected via incision by AP endonucleases, removal of deoxyribose 5-phosphate, repair synthesis, and ligation. Mammalian DNA polymerase beta (Polbeta) carries out most base excision repair synthesis and also can excise deoxyribose 5-phosphate after AP endonuclease incision. Yeast two-hybrid analysis now indicates protein-protein contact between Polbeta and human AP endonuclease (Ape protein). In vitro, binding of Ape protein to uncleaved AP sites loads Polbeta into a ternary complex with Ape and the AP-DNA. After incision by Ape, only Polbeta exhibits stable DNA binding. Kinetic experiments indicated that Ape accelerates the excision of 5'-terminal deoxyribose 5-phosphate by Polbeta. Thus, the two central players of the base excision repair pathway are coordinated in sequential reactions.", "author" : [ { "dropping-particle" : "", "family" : "Bennett", "given" : "R a", "non-dropping-particle" : "", "parse-names" : false, "suffix" : "" }, { "dropping-particle" : "", "family" : "Wilson", "given" : "D M", "non-dropping-particle" : "", "parse-names" : false, "suffix" : "" }, { "dropping-particle" : "", "family" : "Wong", "given" : "D", "non-dropping-particle" : "", "parse-names" : false, "suffix" : "" }, { "dropping-particle" : "", "family" : "Demple", "given" : "B", "non-dropping-particle" : "", "parse-names" : false, "suffix" : "" } ], "container-title" : "Proceedings of the National Academy of Sciences", "id" : "ITEM-1", "issue" : "14", "issued" : { "date-parts" : [ [ "1997", "7", "8" ] ] }, "page" : "7166-9", "title" : "Interaction of human apurinic endonuclease and DNA polymerase beta in the base excision repair pathway.", "type" : "article-journal", "volume" : "94" }, "uris" : [ "http://www.mendeley.com/documents/?uuid=f48b6fc7-271f-461f-ad1d-17e36e0eabcd" ] } ], "mendeley" : { "formattedCitation" : "(Bennett et al. 1997)", "plainTextFormattedCitation" : "(Bennett et al. 1997)", "previouslyFormattedCitation" : "(Bennett et al. 1997)"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(Bennett et al. 1997)</w:t>
      </w:r>
      <w:r w:rsidR="00F20EC0" w:rsidRPr="00DF0680">
        <w:rPr>
          <w:rFonts w:cs="Times New Roman"/>
          <w:szCs w:val="24"/>
        </w:rPr>
        <w:fldChar w:fldCharType="end"/>
      </w:r>
      <w:r w:rsidRPr="00DF0680">
        <w:rPr>
          <w:rFonts w:cs="Times New Roman"/>
          <w:szCs w:val="24"/>
        </w:rPr>
        <w:t xml:space="preserve"> and with XRCC1 (acting as a scaffold protein) and DNA ligase, the gap is filled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"author" : [ { "dropping-particle" : "", "family" : "Singhal", "given" : "RK", "non-dropping-particle" : "", "parse-names" : false, "suffix" : "" }, { "dropping-particle" : "", "family" : "Prasad", "given" : "R", "non-dropping-particle" : "", "parse-names" : false, "suffix" : "" }, { "dropping-particle" : "", "family" : "Wilson", "given" : "SH", "non-dropping-particle" : "", "parse-names" : false, "suffix" : "" } ], "container-title" : "Journal of Biological Chemistry", "id" : "ITEM-1", "issue" : "2", "issued" : { "date-parts" : [ [ "1995" ] ] }, "page" : "949-57", "title" : "DNA polymerase conducts the gap-filling step in uracil-initiated base excision repair in a bovine testis nuclear extract", "type" : "article-journal", "volume" : "270" }, "uris" : [ "http://www.mendeley.com/documents/?uuid=76259e4d-9c2c-4f60-ac9e-c25ae2ba36fe" ] }, { "id" : "ITEM-2", "itemData" : { "author" : [ { "dropping-particle" : "", "family" : "Kubota", "given" : "Yoshiko", "non-dropping-particle" : "", "parse-names" : false, "suffix" : "" }, { "dropping-particle" : "", "family" : "Nash", "given" : "RA", "non-dropping-particle" : "", "parse-names" : false, "suffix" : "" }, { "dropping-particle" : "", "family" : "Klungland", "given" : "Arne", "non-dropping-particle" : "", "parse-names" : false, "suffix" : "" } ], "container-title" : "The EMBO Journal", "id" : "ITEM-2", "issue" : "23", "issued" : { "date-parts" : [ [ "1996" ] ] }, "page" : "6662-6670", "title" : "Reconstitution of DNA base excision-repair with purified human proteins: interaction between DNA polymerase beta and the XRCC1 protein.", "type" : "article-journal", "volume" : "15" }, "uris" : [ "http://www.mendeley.com/documents/?uuid=60495681-59e4-48f4-baf4-91b242cf16d5" ] } ], "mendeley" : { "formattedCitation" : "(Singhal et al. 1995; Kubota et al. 1996)", "plainTextFormattedCitation" : "(Singhal et al. 1995; Kubota et al. 1996)", "previouslyFormattedCitation" : "(Singhal et al. 1995; Kubota et al. 1996)"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(Singhal et al. 1995; Kubota et al. 1996)</w:t>
      </w:r>
      <w:r w:rsidR="00F20EC0" w:rsidRPr="00DF0680">
        <w:rPr>
          <w:rFonts w:cs="Times New Roman"/>
          <w:szCs w:val="24"/>
        </w:rPr>
        <w:fldChar w:fldCharType="end"/>
      </w:r>
      <w:r w:rsidRPr="00DF0680">
        <w:rPr>
          <w:rFonts w:cs="Times New Roman"/>
          <w:szCs w:val="24"/>
        </w:rPr>
        <w:t xml:space="preserve">. Base excision repair can occur at a single base level (short patch repair) or by removing a short oligonucleotide that includes the abasic site and downstream 3’ nucleotides (long patch repair)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"DOI" : "10.1093/emboj/16.11.3341", "ISSN" : "0261-4189", "PMID" : "9214649", "abstract" : "Two forms of DNA base excision-repair (BER) have been observed: a 'short-patch' BER pathway involving replacement of one nucleotide and a 'long-patch' BER pathway with gap-filling of several nucleotides. The latter mode of repair has been investigated using human cell-free extracts or purified proteins. Correction of a regular abasic site in DNA mainly involves incorporation of a single nucleotide, whereas repair patches of two to six nucleotides in length were found after repair of a reduced or oxidized abasic site. Human AP endonuclease, DNA polymerase beta and a DNA ligase (either III or I) were sufficient for the repair of a regular AP site. In contrast, the structure-specific nuclease DNase IV (FEN1) was essential for repair of a reduced AP site, which occurred through the long-patch BER pathway. DNase IV was required for cleavage of a reaction intermediate generated by template strand displacement during gap-filling. XPG, a related nuclease, could not substitute for DNase IV. The long-patch BER pathway was largely dependent on DNA polymerase beta in cell extracts, but the reaction could be reconstituted with either DNA polymerase beta or delta. Efficient repair of gamma-ray-induced oxidized AP sites in plasmid DNA also required DNase IV. PCNA could promote the Pol beta-dependent long-patch pathway by stimulation of DNase IV.", "author" : [ { "dropping-particle" : "", "family" : "Klungland", "given" : "a", "non-dropping-particle" : "", "parse-names" : false, "suffix" : "" }, { "dropping-particle" : "", "family" : "Lindahl", "given" : "T", "non-dropping-particle" : "", "parse-names" : false, "suffix" : "" } ], "container-title" : "The EMBO Journal", "id" : "ITEM-1", "issue" : "11", "issued" : { "date-parts" : [ [ "1997", "6", "2" ] ] }, "page" : "3341-8", "title" : "Second pathway for completion of human DNA base excision-repair: reconstitution with purified proteins and requirement for DNase IV (FEN1).", "type" : "article-journal", "volume" : "16" }, "uris" : [ "http://www.mendeley.com/documents/?uuid=d2345d4a-7687-410b-9f3e-8228eb2757fc" ] }, { "id" : "ITEM-2", "itemData" : { "ISBN" : "3964440140", "ISSN" : "0021-9258", "PMID" : "8621631", "abstract" : "Abasic sites (apurinic/apyrimidinic, AP sites) are the most common DNA lesions generated by both spontaneous and induced base loss. In a previous study we have shown that circular plasmid molecules containing multiple AP sites are efficiently repaired by Chinese hamster extracts in an in vitro repair assay. An average patch size of 6.6 nucleotides for a single AP site was calculated. To define the exact repair patch, a circular DNA duplex with a single AP site was constructed. The repair synthesis carried out by hamster and human cell extracts was characterized by restriction endonuclease analysis of the area containing the lesion. The results indicate that, besides the repair events involving the incorporation of a single nucleotide at the lesion site, repair synthesis occurred also 3' to the AP site and involved a repair patch of approximately 7 nucleotides. This alternative repair pathway was completely inhibited by the presence in the repair reaction of a polyclonal antibody raised against human proliferating cell nuclear antigen. These data give the first evidence that mammalian cell extracts repair natural AP sites by two distinct pathways: a single nucleotide gap filling reaction targeted at the AP site and a proliferating cell nuclear antigen-dependent pathway that removes a short oligonucleotide containing the abasic site and 3'-flanking nucleotides.", "author" : [ { "dropping-particle" : "", "family" : "Frosina", "given" : "G", "non-dropping-particle" : "", "parse-names" : false, "suffix" : "" }, { "dropping-particle" : "", "family" : "Fortini", "given" : "P", "non-dropping-particle" : "", "parse-names" : false, "suffix" : "" }, { "dropping-particle" : "", "family" : "Rossi", "given" : "O", "non-dropping-particle" : "", "parse-names" : false, "suffix" : "" }, { "dropping-particle" : "", "family" : "Carrozzino", "given" : "F", "non-dropping-particle" : "", "parse-names" : false, "suffix" : "" }, { "dropping-particle" : "", "family" : "Raspaglio", "given" : "G", "non-dropping-particle" : "", "parse-names" : false, "suffix" : "" }, { "dropping-particle" : "", "family" : "Cox", "given" : "L S", "non-dropping-particle" : "", "parse-names" : false, "suffix" : "" }, { "dropping-particle" : "", "family" : "Lane", "given" : "D P", "non-dropping-particle" : "", "parse-names" : false, "suffix" : "" }, { "dropping-particle" : "", "family" : "Abbondandolo", "given" : "a", "non-dropping-particle" : "", "parse-names" : false, "suffix" : "" }, { "dropping-particle" : "", "family" : "Dogliotti", "given" : "E", "non-dropping-particle" : "", "parse-names" : false, "suffix" : "" } ], "container-title" : "The Journal of Biological Chemistry", "id" : "ITEM-2", "issue" : "16", "issued" : { "date-parts" : [ [ "1996", "4", "19" ] ] }, "page" : "9573-8", "title" : "Two pathways for base excision repair in mammalian cells.", "type" : "article-journal", "volume" : "271" }, "uris" : [ "http://www.mendeley.com/documents/?uuid=35de54d3-2c9d-4ac2-b5e6-157cc57b8faf" ] } ], "mendeley" : { "formattedCitation" : "(Klungland &amp; Lindahl 1997; Frosina et al. 1996)", "plainTextFormattedCitation" : "(Klungland &amp; Lindahl 1997; Frosina et al. 1996)", "previouslyFormattedCitation" : "(Klungland &amp; Lindahl 1997; Frosina et al. 1996)"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 xml:space="preserve">(Klungland &amp; Lindahl 1997; </w:t>
      </w:r>
      <w:r w:rsidR="007E40B7" w:rsidRPr="00DF0680">
        <w:rPr>
          <w:rFonts w:cs="Times New Roman"/>
          <w:szCs w:val="24"/>
        </w:rPr>
        <w:lastRenderedPageBreak/>
        <w:t>Frosina et al. 1996)</w:t>
      </w:r>
      <w:r w:rsidR="00F20EC0" w:rsidRPr="00DF0680">
        <w:rPr>
          <w:rFonts w:cs="Times New Roman"/>
          <w:szCs w:val="24"/>
        </w:rPr>
        <w:fldChar w:fldCharType="end"/>
      </w:r>
      <w:r w:rsidRPr="00DF0680">
        <w:rPr>
          <w:rFonts w:cs="Times New Roman"/>
          <w:szCs w:val="24"/>
        </w:rPr>
        <w:t xml:space="preserve">. </w:t>
      </w:r>
      <w:r w:rsidR="0046629A" w:rsidRPr="00DF0680">
        <w:rPr>
          <w:rFonts w:cs="Times New Roman"/>
          <w:szCs w:val="24"/>
        </w:rPr>
        <w:t xml:space="preserve">The base excision repair pathway is important for repair of single strand breaks, such as those induced by oxidation and the replication stressor camptothecin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"DOI" : "10.1093/nar/gkg761", "ISSN" : "1362-4962", "author" : [ { "dropping-particle" : "", "family" : "El-Khamisy", "given" : "S. F.", "non-dropping-particle" : "", "parse-names" : false, "suffix" : "" } ], "container-title" : "Nucleic Acids Research", "id" : "ITEM-1", "issue" : "19", "issued" : { "date-parts" : [ [ "2003", "10", "1" ] ] }, "page" : "5526-5533", "title" : "A requirement for PARP-1 for the assembly or stability of XRCC1 nuclear foci at sites of oxidative DNA damage", "type" : "article-journal", "volume" : "31" }, "uris" : [ "http://www.mendeley.com/documents/?uuid=5a8c6b6e-1206-4d90-81c8-ae38f88e0ba3" ] }, { "id" : "ITEM-2", "itemData" : { "author" : [ { "dropping-particle" : "", "family" : "Whitehouse", "given" : "CJ", "non-dropping-particle" : "", "parse-names" : false, "suffix" : "" }, { "dropping-particle" : "", "family" : "Taylor", "given" : "RM", "non-dropping-particle" : "", "parse-names" : false, "suffix" : "" }, { "dropping-particle" : "", "family" : "Thistlethwaite", "given" : "Angela", "non-dropping-particle" : "", "parse-names" : false, "suffix" : "" } ], "container-title" : "Cell", "id" : "ITEM-2", "issue" : "1", "issued" : { "date-parts" : [ [ "2001" ] ] }, "page" : "107-117", "title" : "XRCC1 stimulates human polynucleotide kinase activity at damaged DNA termini and accelerates DNA single-strand break repair", "type" : "article-journal", "volume" : "104" }, "uris" : [ "http://www.mendeley.com/documents/?uuid=07d9bed1-4ef1-4555-a50b-76e5dc7ca92b" ] }, { "id" : "ITEM-3", "itemData" : { "author" : [ { "dropping-particle" : "", "family" : "Park", "given" : "SY", "non-dropping-particle" : "", "parse-names" : false, "suffix" : "" }, { "dropping-particle" : "", "family" : "Lam", "given" : "Wing", "non-dropping-particle" : "", "parse-names" : false, "suffix" : "" }, { "dropping-particle" : "", "family" : "Cheng", "given" : "Yung-chi", "non-dropping-particle" : "", "parse-names" : false, "suffix" : "" } ], "container-title" : "Cancer Research", "id" : "ITEM-3", "issue" : "2", "issued" : { "date-parts" : [ [ "2002" ] ] }, "page" : "459-465", "title" : "X-ray repair cross-complementing gene I protein plays an important role in camptothecin resistance", "type" : "article-journal", "volume" : "62" }, "uris" : [ "http://www.mendeley.com/documents/?uuid=fa2a310a-5f25-493d-839b-48ad3d76f236" ] }, { "id" : "ITEM-4", "itemData" : { "ISSN" : "0270-7306", "PMID" : "2850477", "abstract" : "The structure of replicating simian virus 40 minichromosomes, extracted from camptothecin-treated infected cells, was investigated by biochemical and electron microscopic methods. We found that camptothecin frequently induced breaks at replication forks close to the replicative growth points. Replication branches were disrupted at about equal frequencies at the leading and the lagging strand sides of the fork. Since camptothecin is known to be a specific inhibitor of type I DNA topoisomerase, we suggest that this enzyme is acting very near the replication forks. This conclusion was supported by experiments with aphidicolin, a drug that blocks replicative fork movement, but did not prevent the camptothecin-induced breakage of replication forks. The drug teniposide, an inhibitor of type II DNA topoisomerase, had only minor effects on the structure of these replicative intermediates.", "author" : [ { "dropping-particle" : "", "family" : "Avemann", "given" : "K", "non-dropping-particle" : "", "parse-names" : false, "suffix" : "" }, { "dropping-particle" : "", "family" : "Knippers", "given" : "R", "non-dropping-particle" : "", "parse-names" : false, "suffix" : "" }, { "dropping-particle" : "", "family" : "Koller", "given" : "T", "non-dropping-particle" : "", "parse-names" : false, "suffix" : "" }, { "dropping-particle" : "", "family" : "Sogo", "given" : "J M", "non-dropping-particle" : "", "parse-names" : false, "suffix" : "" } ], "container-title" : "Molecular and Cellular Biology", "id" : "ITEM-4", "issue" : "8", "issued" : { "date-parts" : [ [ "1988", "8" ] ] }, "page" : "3026-34", "title" : "Camptothecin, a specific inhibitor of type I DNA topoisomerase, induces DNA breakage at replication forks.", "type" : "article-journal", "volume" : "8" }, "uris" : [ "http://www.mendeley.com/documents/?uuid=a5b959ce-91f2-461b-a480-75fee5ca861f" ] } ], "mendeley" : { "formattedCitation" : "(El-Khamisy 2003; Whitehouse et al. 2001; Park et al. 2002; Avemann et al. 1988)", "plainTextFormattedCitation" : "(El-Khamisy 2003; Whitehouse et al. 2001; Park et al. 2002; Avemann et al. 1988)", "previouslyFormattedCitation" : "(El-Khamisy 2003; Whitehouse et al. 2001; Park et al. 2002; Avemann et al. 1988)" }, "properties" : { "noteIndex" : 0 }, "schema" : "https://github.com/citation-style-language/schema/raw/master/csl-citation.json" }</w:instrText>
      </w:r>
      <w:r w:rsidR="00F20EC0" w:rsidRPr="00DF0680">
        <w:rPr>
          <w:rFonts w:cs="Times New Roman"/>
          <w:szCs w:val="24"/>
        </w:rPr>
        <w:fldChar w:fldCharType="separate"/>
      </w:r>
      <w:r w:rsidR="00CC1A2E" w:rsidRPr="00DF0680">
        <w:rPr>
          <w:rFonts w:cs="Times New Roman"/>
          <w:szCs w:val="24"/>
        </w:rPr>
        <w:t>(El-Khamisy 2003; Whitehouse et al. 2001; Park et al. 2002; Avemann et al. 1988)</w:t>
      </w:r>
      <w:r w:rsidR="00F20EC0" w:rsidRPr="00DF0680">
        <w:rPr>
          <w:rFonts w:cs="Times New Roman"/>
          <w:szCs w:val="24"/>
        </w:rPr>
        <w:fldChar w:fldCharType="end"/>
      </w:r>
      <w:r w:rsidR="0046629A" w:rsidRPr="00DF0680">
        <w:rPr>
          <w:rFonts w:cs="Times New Roman"/>
          <w:szCs w:val="24"/>
        </w:rPr>
        <w:t xml:space="preserve">. When these lesions go unrepaired and are reached by a replication fork, they collapse and are instead repaired by homologous recombination. If cells are defective in homologous recombination, </w:t>
      </w:r>
      <w:r w:rsidR="00CC1A2E" w:rsidRPr="00DF0680">
        <w:rPr>
          <w:rFonts w:cs="Times New Roman"/>
          <w:szCs w:val="24"/>
        </w:rPr>
        <w:t xml:space="preserve">they rely even more heavily on proteins that repair single strand breaks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"DOI" : "10.1002/em", "author" : [ { "dropping-particle" : "", "family" : "Fan", "given" : "Jinshui", "non-dropping-particle" : "", "parse-names" : false, "suffix" : "" }, { "dropping-particle" : "", "family" : "Wilson", "given" : "PF", "non-dropping-particle" : "", "parse-names" : false, "suffix" : "" }, { "dropping-particle" : "", "family" : "Wong", "given" : "HK", "non-dropping-particle" : "", "parse-names" : false, "suffix" : "" } ], "container-title" : "Environmental and Molecular Mutagenesis", "id" : "ITEM-1", "issue" : "6", "issued" : { "date-parts" : [ [ "2007" ] ] }, "page" : "491-500", "title" : "XRCC1 down\u2010regulation in human cells leads to DNA\u2010damaging agent hypersensitivity, elevated sister chromatid exchange, and reduced survival of BRCA2 mutant", "type" : "article-journal", "volume" : "48" }, "uris" : [ "http://www.mendeley.com/documents/?uuid=22ed821c-9f78-46a3-b005-acae525094d0" ] }, { "id" : "ITEM-2", "itemData" : { "author" : [ { "dropping-particle" : "", "family" : "Farmer", "given" : "Hannah", "non-dropping-particle" : "", "parse-names" : false, "suffix" : "" }, { "dropping-particle" : "", "family" : "McCabe", "given" : "N", "non-dropping-particle" : "", "parse-names" : false, "suffix" : "" }, { "dropping-particle" : "", "family" : "Lord", "given" : "CJ", "non-dropping-particle" : "", "parse-names" : false, "suffix" : "" }, { "dropping-particle" : "", "family" : "Tutt", "given" : "ANJ", "non-dropping-particle" : "", "parse-names" : false, "suffix" : "" } ], "container-title" : "Nature", "id" : "ITEM-2", "issue" : "1991", "issued" : { "date-parts" : [ [ "2005" ] ] }, "page" : "236-239", "title" : "Targeting the DNA repair defect in BRCA mutant cells as a therapeutic strategy", "type" : "article-journal", "volume" : "239" }, "uris" : [ "http://www.mendeley.com/documents/?uuid=46f32806-a672-40fe-b42b-402329c00545" ] }, { "id" : "ITEM-3", "itemData" : { "DOI" : "10.1038/nature03443", "ISSN" : "1476-4687", "PMID" : "15829966", "abstract" : "Poly(ADP-ribose) polymerase (PARP1) facilitates DNA repair by binding to DNA breaks and attracting DNA repair proteins to the site of damage. Nevertheless, PARP1-/- mice are viable, fertile and do not develop early onset tumours. Here, we show that PARP inhibitors trigger gamma-H2AX and RAD51 foci formation. We propose that, in the absence of PARP1, spontaneous single-strand breaks collapse replication forks and trigger homologous recombination for repair. Furthermore, we show that BRCA2-deficient cells, as a result of their deficiency in homologous recombination, are acutely sensitive to PARP inhibitors, presumably because resultant collapsed replication forks are no longer repaired. Thus, PARP1 activity is essential in homologous recombination-deficient BRCA2 mutant cells. We exploit this requirement in order to kill BRCA2-deficient tumours by PARP inhibition alone. Treatment with PARP inhibitors is likely to be highly tumour specific, because only the tumours (which are BRCA2-/-) in BRCA2+/- patients are defective in homologous recombination. The use of an inhibitor of a DNA repair enzyme alone to selectively kill a tumour, in the absence of an exogenous DNA-damaging agent, represents a new concept in cancer treatment.", "author" : [ { "dropping-particle" : "", "family" : "Bryant", "given" : "Helen E", "non-dropping-particle" : "", "parse-names" : false, "suffix" : "" }, { "dropping-particle" : "", "family" : "Schultz", "given" : "Niklas", "non-dropping-particle" : "", "parse-names" : false, "suffix" : "" }, { "dropping-particle" : "", "family" : "Thomas", "given" : "Huw D", "non-dropping-particle" : "", "parse-names" : false, "suffix" : "" }, { "dropping-particle" : "", "family" : "Parker", "given" : "Kayan M", "non-dropping-particle" : "", "parse-names" : false, "suffix" : "" }, { "dropping-particle" : "", "family" : "Flower", "given" : "Dan", "non-dropping-particle" : "", "parse-names" : false, "suffix" : "" }, { "dropping-particle" : "", "family" : "Lopez", "given" : "Elena", "non-dropping-particle" : "", "parse-names" : false, "suffix" : "" }, { "dropping-particle" : "", "family" : "Kyle", "given" : "Suzanne", "non-dropping-particle" : "", "parse-names" : false, "suffix" : "" }, { "dropping-particle" : "", "family" : "Meuth", "given" : "Mark", "non-dropping-particle" : "", "parse-names" : false, "suffix" : "" }, { "dropping-particle" : "", "family" : "Curtin", "given" : "Nicola J", "non-dropping-particle" : "", "parse-names" : false, "suffix" : "" }, { "dropping-particle" : "", "family" : "Helleday", "given" : "Thomas", "non-dropping-particle" : "", "parse-names" : false, "suffix" : "" } ], "container-title" : "Nature", "id" : "ITEM-3", "issue" : "7035", "issued" : { "date-parts" : [ [ "2005", "4", "14" ] ] }, "page" : "913-7", "title" : "Specific killing of BRCA2-deficient tumours with inhibitors of poly(ADP-ribose) polymerase.", "type" : "article-journal", "volume" : "434" }, "uris" : [ "http://www.mendeley.com/documents/?uuid=4ed5d40f-1ee8-453a-a43a-788e439915fd" ] }, { "id" : "ITEM-4", "itemData" : { "DOI" : "10.1128/MCB.25.16.7158", "author" : [ { "dropping-particle" : "", "family" : "Saleh-Gohari", "given" : "N", "non-dropping-particle" : "", "parse-names" : false, "suffix" : "" }, { "dropping-particle" : "", "family" : "Bryant", "given" : "HE", "non-dropping-particle" : "", "parse-names" : false, "suffix" : "" } ], "container-title" : "Molecular and Cellular Biology", "id" : "ITEM-4", "issue" : "16", "issued" : { "date-parts" : [ [ "2005" ] ] }, "note" : "From Duplicate 1 ( ", "page" : "7158-7169", "title" : "Spontaneous homologous recombination is induced by collapsed replication forks that are caused by endogenous DNA single-strand breaks", "type" : "article-journal", "volume" : "25" }, "uris" : [ "http://www.mendeley.com/documents/?uuid=8ff330f2-92a2-4180-8905-691a8b539aa0" ] } ], "mendeley" : { "formattedCitation" : "(Fan et al. 2007; Farmer et al. 2005; Bryant et al. 2005; Saleh-Gohari &amp; Bryant 2005)", "plainTextFormattedCitation" : "(Fan et al. 2007; Farmer et al. 2005; Bryant et al. 2005; Saleh-Gohari &amp; Bryant 2005)", "previouslyFormattedCitation" : "(Fan et al. 2007; Farmer et al. 2005; Bryant et al. 2005; Saleh-Gohari &amp; Bryant 2005)" }, "properties" : { "noteIndex" : 0 }, "schema" : "https://github.com/citation-style-language/schema/raw/master/csl-citation.json" }</w:instrText>
      </w:r>
      <w:r w:rsidR="00F20EC0" w:rsidRPr="00DF0680">
        <w:rPr>
          <w:rFonts w:cs="Times New Roman"/>
          <w:szCs w:val="24"/>
        </w:rPr>
        <w:fldChar w:fldCharType="separate"/>
      </w:r>
      <w:r w:rsidR="00CC1A2E" w:rsidRPr="00DF0680">
        <w:rPr>
          <w:rFonts w:cs="Times New Roman"/>
          <w:szCs w:val="24"/>
        </w:rPr>
        <w:t>(Fan et al. 2007; Farmer et al. 2005; Bryant et al. 2005; Saleh-Gohari &amp; Bryant 2005)</w:t>
      </w:r>
      <w:r w:rsidR="00F20EC0" w:rsidRPr="00DF0680">
        <w:rPr>
          <w:rFonts w:cs="Times New Roman"/>
          <w:szCs w:val="24"/>
        </w:rPr>
        <w:fldChar w:fldCharType="end"/>
      </w:r>
      <w:r w:rsidR="00CC1A2E" w:rsidRPr="00DF0680">
        <w:rPr>
          <w:rFonts w:cs="Times New Roman"/>
          <w:szCs w:val="24"/>
        </w:rPr>
        <w:t>.</w:t>
      </w:r>
    </w:p>
    <w:p w:rsidR="001B5E20" w:rsidRPr="00DF0680" w:rsidRDefault="001B5E20" w:rsidP="00E664FC">
      <w:pPr>
        <w:pStyle w:val="Heading4"/>
      </w:pPr>
      <w:bookmarkStart w:id="69" w:name="_Toc417204092"/>
      <w:bookmarkStart w:id="70" w:name="_Toc417674329"/>
      <w:r w:rsidRPr="00DF0680">
        <w:t>N</w:t>
      </w:r>
      <w:r w:rsidR="00556EF3" w:rsidRPr="00DF0680">
        <w:t xml:space="preserve">ucleotide </w:t>
      </w:r>
      <w:r w:rsidR="00CE6110" w:rsidRPr="00DF0680">
        <w:t>e</w:t>
      </w:r>
      <w:r w:rsidR="00556EF3" w:rsidRPr="00DF0680">
        <w:t xml:space="preserve">xcision </w:t>
      </w:r>
      <w:r w:rsidR="00CE6110" w:rsidRPr="00DF0680">
        <w:t>r</w:t>
      </w:r>
      <w:r w:rsidR="00556EF3" w:rsidRPr="00DF0680">
        <w:t>epair</w:t>
      </w:r>
      <w:bookmarkEnd w:id="69"/>
      <w:bookmarkEnd w:id="70"/>
    </w:p>
    <w:p w:rsidR="007F27FC" w:rsidRPr="00DF0680" w:rsidRDefault="007F27FC" w:rsidP="007F27FC">
      <w:pPr>
        <w:rPr>
          <w:rFonts w:cs="Times New Roman"/>
          <w:szCs w:val="24"/>
        </w:rPr>
      </w:pPr>
      <w:r w:rsidRPr="00DF0680">
        <w:rPr>
          <w:rFonts w:cs="Times New Roman"/>
          <w:szCs w:val="24"/>
        </w:rPr>
        <w:t xml:space="preserve">Nucleotide excision repair (NER), like BER, is a repair process that involves the enzymatic removal of damaged nucleotides and their replacement by a DNA polymerase. </w:t>
      </w:r>
      <w:r w:rsidR="008D4DE7" w:rsidRPr="00DF0680">
        <w:rPr>
          <w:rFonts w:cs="Times New Roman"/>
          <w:szCs w:val="24"/>
        </w:rPr>
        <w:t>Unlike BER, this is primarily for</w:t>
      </w:r>
      <w:r w:rsidR="008146D4" w:rsidRPr="00DF0680">
        <w:rPr>
          <w:rFonts w:cs="Times New Roman"/>
          <w:szCs w:val="24"/>
        </w:rPr>
        <w:t xml:space="preserve"> removal of “bulky” lesions such as</w:t>
      </w:r>
      <w:r w:rsidR="008D4DE7" w:rsidRPr="00DF0680">
        <w:rPr>
          <w:rFonts w:cs="Times New Roman"/>
          <w:szCs w:val="24"/>
        </w:rPr>
        <w:t xml:space="preserve"> the thymidine dimers caused by ultraviolet light. </w:t>
      </w:r>
      <w:r w:rsidR="00B77100" w:rsidRPr="00DF0680">
        <w:rPr>
          <w:rFonts w:cs="Times New Roman"/>
          <w:i/>
          <w:szCs w:val="24"/>
        </w:rPr>
        <w:t>E. coli</w:t>
      </w:r>
      <w:r w:rsidRPr="00DF0680">
        <w:rPr>
          <w:rFonts w:cs="Times New Roman"/>
          <w:szCs w:val="24"/>
        </w:rPr>
        <w:t xml:space="preserve"> requires only 6 proteins for this repair mechanism: UvrA, UvrB, UvrC, UvrD, </w:t>
      </w:r>
      <w:r w:rsidR="00D13A5F" w:rsidRPr="00DF0680">
        <w:rPr>
          <w:rFonts w:cs="Times New Roman"/>
          <w:szCs w:val="24"/>
        </w:rPr>
        <w:t>P</w:t>
      </w:r>
      <w:r w:rsidRPr="00DF0680">
        <w:rPr>
          <w:rFonts w:cs="Times New Roman"/>
          <w:szCs w:val="24"/>
        </w:rPr>
        <w:t>ol I and Lig</w:t>
      </w:r>
      <w:r w:rsidR="00334207" w:rsidRPr="00DF0680">
        <w:rPr>
          <w:rFonts w:cs="Times New Roman"/>
          <w:szCs w:val="24"/>
        </w:rPr>
        <w:t xml:space="preserve">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"DOI" : "10.1146/annurev.bi.65.070196.000355", "ISSN" : "0066-4154", "PMID" : "8811174", "abstract" : "In nucleotide excision repair DNA damage is removed through incision of the damaged strand on both sides of the lesion, followed by repair synthesis, which fills the gap using the intact strand as a template, and finally ligation. In prokaryotes the damaged base is removed in a 12-13 nucleotide (nt)-long oligomer; in eukaryotes including humans the damage is excised in a 24-32 nt-long fragment. Excision in Escherichia coli is accomplished by three proteins designated UvrA, UvrB, and UvrC. In humans, by contrast, 16 polypeptides including seven xeroderma pigmentosum (XP) proteins, the trimeric replication protein A [RPA, human single-stranded DNA binding protein (HSSB)], and the multisubunit (7-10) general transcription factor TFIIH are required for the dual incisions. Transcribed strands are specifically targeted for excision repair by a transcription-repair coupling factor both in E. coli and in humans. In humans, excision repair is an important defense mechanism against the two major carcinogens, sunlight and cigarette smoke. Individuals defective in excision repair exhibit a high incidence of cancer while individuals with a defect in coupling transcription to repair suffer from neurological and skeletal abnormalities.", "author" : [ { "dropping-particle" : "", "family" : "Sancar", "given" : "A", "non-dropping-particle" : "", "parse-names" : false, "suffix" : "" } ], "container-title" : "Annual Review of Biochemistry", "id" : "ITEM-1", "issued" : { "date-parts" : [ [ "1996", "1" ] ] }, "page" : "43-81", "title" : "DNA excision repair.", "type" : "article-journal", "volume" : "65" }, "uris" : [ "http://www.mendeley.com/documents/?uuid=f09cb1c4-d421-4678-96ee-0d2c6411339d" ] } ], "mendeley" : { "formattedCitation" : "(Sancar 1996)", "plainTextFormattedCitation" : "(Sancar 1996)", "previouslyFormattedCitation" : "(Sancar 1996)"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(Sancar 1996)</w:t>
      </w:r>
      <w:r w:rsidR="00F20EC0" w:rsidRPr="00DF0680">
        <w:rPr>
          <w:rFonts w:cs="Times New Roman"/>
          <w:szCs w:val="24"/>
        </w:rPr>
        <w:fldChar w:fldCharType="end"/>
      </w:r>
      <w:r w:rsidR="00F20EC0" w:rsidRPr="00DF0680">
        <w:rPr>
          <w:rFonts w:cs="Times New Roman"/>
          <w:szCs w:val="24"/>
        </w:rPr>
        <w:fldChar w:fldCharType="begin"/>
      </w:r>
      <w:r w:rsidRPr="00DF0680">
        <w:rPr>
          <w:rFonts w:cs="Times New Roman"/>
          <w:szCs w:val="24"/>
        </w:rPr>
        <w:instrText xml:space="preserve"> ADDIN EN.CITE &lt;EndNote&gt;&lt;Cite&gt;&lt;Author&gt;Sancar&lt;/Author&gt;&lt;Year&gt;1993&lt;/Year&gt;&lt;RecNum&gt;20&lt;/RecNum&gt;&lt;DisplayText&gt;(Sancar and Tang 1993)&lt;/DisplayText&gt;&lt;record&gt;&lt;rec-number&gt;20&lt;/rec-number&gt;&lt;foreign-keys&gt;&lt;key app="EN" db-id="wpf2eztvgsdv0meff22xfzwkp0vdffs2t55w"&gt;20&lt;/key&gt;&lt;/foreign-keys&gt;&lt;ref-type name="Journal Article"&gt;17&lt;/ref-type&gt;&lt;contributors&gt;&lt;authors&gt;&lt;author&gt;Sancar, A.&lt;/author&gt;&lt;author&gt;Tang, M.&lt;/author&gt;&lt;/authors&gt;&lt;/contributors&gt;&lt;auth-address&gt;Department of Biochemistry and Biophysics, University of North Carolina School of Medicine, Chapel Hill 27599.&lt;/auth-address&gt;&lt;titles&gt;&lt;title&gt;Nucleotide excision repair&lt;/title&gt;&lt;secondary-title&gt;Photochemistry and photobiology&lt;/secondary-title&gt;&lt;/titles&gt;&lt;periodical&gt;&lt;full-title&gt;Photochemistry and photobiology&lt;/full-title&gt;&lt;/periodical&gt;&lt;pages&gt;905-926&lt;/pages&gt;&lt;volume&gt;57&lt;/volume&gt;&lt;number&gt;5&lt;/number&gt;&lt;dates&gt;&lt;year&gt;1993&lt;/year&gt;&lt;/dates&gt;&lt;isbn&gt;0031-8655&lt;/isbn&gt;&lt;urls&gt;&lt;/urls&gt;&lt;remote-database-name&gt;Readcube&lt;/remote-database-name&gt;&lt;/record&gt;&lt;/Cite&gt;&lt;/EndNote&gt;</w:instrText>
      </w:r>
      <w:r w:rsidR="00F20EC0" w:rsidRPr="00DF0680">
        <w:rPr>
          <w:rFonts w:cs="Times New Roman"/>
          <w:szCs w:val="24"/>
        </w:rPr>
        <w:fldChar w:fldCharType="end"/>
      </w:r>
      <w:r w:rsidRPr="00DF0680">
        <w:rPr>
          <w:rFonts w:cs="Times New Roman"/>
          <w:szCs w:val="24"/>
        </w:rPr>
        <w:t xml:space="preserve">. In humans however, the process is more complicated, involving an estimated 12 proteins </w:t>
      </w:r>
      <w:r w:rsidR="00F20EC0" w:rsidRPr="00DF0680">
        <w:rPr>
          <w:rFonts w:cs="Times New Roman"/>
          <w:szCs w:val="24"/>
        </w:rPr>
        <w:fldChar w:fldCharType="begin" w:fldLock="1"/>
      </w:r>
      <w:r w:rsidR="00525765" w:rsidRPr="00DF0680">
        <w:rPr>
          <w:rFonts w:cs="Times New Roman"/>
          <w:szCs w:val="24"/>
        </w:rPr>
        <w:instrText>ADDIN CSL_CITATION { "citationItems" : [ { "id" : "ITEM-1", "itemData" : { "ISSN" : "0092-8674", "PMID" : "7697716", "abstract" : "Nucleotide excision repair is the principal way by which human cells remove UV damage from DNA. Human cell extracts were fractionated to locate active components, including xeroderma pigmentosum (XP) and ERCC factors. The incision reaction was then reconstituted with the purified proteins RPA, XPA, TFIIH (containing XPB and XPD), XPC, UV-DDB, XPG, partially purified ERCC1/XPF complex, and a factor designated IF7. UV-DDB (related to XPE protein) stimulated repair but was not essential. ERCC1- and XPF-correcting activity copurified with an ERCC1-binding polypeptide of 110 kDa that was absent in XP-F cell extract. Complete repair synthesis was achieved by combining these factors with DNA polymerase epsilon, RFC, PCNA, and DNA ligase I. The reconstituted core reaction requires about 30 polypeptides.", "author" : [ { "dropping-particle" : "", "family" : "Aboussekhra", "given" : "A", "non-dropping-particle" : "", "parse-names" : false, "suffix" : "" }, { "dropping-particle" : "", "family" : "Biggerstaff", "given" : "M", "non-dropping-particle" : "", "parse-names" : false, "suffix" : "" }, { "dropping-particle" : "", "family" : "Shivji", "given" : "M K", "non-dropping-particle" : "", "parse-names" : false, "suffix" : "" }, { "dropping-particle" : "", "family" : "Vilpo", "given" : "J A", "non-dropping-particle" : "", "parse-names" : false, "suffix" : "" }, { "dropping-particle" : "", "family" : "Moncollin", "given" : "V", "non-dropping-particle" : "", "parse-names" : false, "suffix" : "" }, { "dropping-particle" : "", "family" : "Podust", "given" : "V N", "non-dropping-particle" : "", "parse-names" : false, "suffix" : "" }, { "dropping-particle" : "", "family" : "Proti\u0107", "given" : "M", "non-dropping-particle" : "", "parse-names" : false, "suffix" : "" }, { "dropping-particle" : "", "family" : "H\u00fcbscher", "given" : "U", "non-dropping-particle" : "", "parse-names" : false, "suffix" : "" }, { "dropping-particle" : "", "family" : "Egly", "given" : "J M", "non-dropping-particle" : "", "parse-names" : false, "suffix" : "" }, { "dropping-particle" : "", "family" : "Wood", "given" : "R D", "non-dropping-particle" : "", "parse-names" : false, "suffix" : "" } ], "container-title" : "Cell", "id" : "ITEM-1", "issue" : "6", "issued" : { "date-parts" : [ [ "1995", "3", "24" ] ] }, "page" : "859-68", "title" : "Mammalian DNA nucleotide excision repair reconstituted with purified protein components.", "type" : "article-journal", "volume" : "80" }, "uris" : [ "http://www.mendeley.com/documents/?uuid=103bec0f-5a55-4ced-bcbc-9e2a73f31f78" ] } ], "mendeley" : { "formattedCitation" : "(Aboussekhra et al. 1995)", "plainTextFormattedCitation" : "(Aboussekhra et al. 1995)", "previouslyFormattedCitation" : "(Aboussekhra et al. 1995)"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(Aboussekhra et al. 1995)</w:t>
      </w:r>
      <w:r w:rsidR="00F20EC0" w:rsidRPr="00DF0680">
        <w:rPr>
          <w:rFonts w:cs="Times New Roman"/>
          <w:szCs w:val="24"/>
        </w:rPr>
        <w:fldChar w:fldCharType="end"/>
      </w:r>
      <w:r w:rsidR="00F20EC0" w:rsidRPr="00DF0680">
        <w:rPr>
          <w:rFonts w:cs="Times New Roman"/>
          <w:szCs w:val="24"/>
        </w:rPr>
        <w:fldChar w:fldCharType="begin"/>
      </w:r>
      <w:r w:rsidRPr="00DF0680">
        <w:rPr>
          <w:rFonts w:cs="Times New Roman"/>
          <w:szCs w:val="24"/>
        </w:rPr>
        <w:instrText xml:space="preserve"> ADDIN EN.CITE &lt;EndNote&gt;&lt;Cite&gt;&lt;Author&gt;Aboussekhra&lt;/Author&gt;&lt;Year&gt;1995&lt;/Year&gt;&lt;RecNum&gt;21&lt;/RecNum&gt;&lt;DisplayText&gt;(Aboussekhra, Biggerstaff et al. 1995)&lt;/DisplayText&gt;&lt;record&gt;&lt;rec-number&gt;21&lt;/rec-number&gt;&lt;foreign-keys&gt;&lt;key app="EN" db-id="wpf2eztvgsdv0meff22xfzwkp0vdffs2t55w"&gt;21&lt;/key&gt;&lt;/foreign-keys&gt;&lt;ref-type name="Journal Article"&gt;17&lt;/ref-type&gt;&lt;contributors&gt;&lt;authors&gt;&lt;author&gt;Aboussekhra, A.&lt;/author&gt;&lt;author&gt;Biggerstaff, M.&lt;/author&gt;&lt;author&gt;Shivji, M.&lt;/author&gt;&lt;author&gt;Vilpo, J.&lt;/author&gt;&lt;author&gt;Moncollin, V.&lt;/author&gt;&lt;author&gt;Podust, V.&lt;/author&gt;&lt;author&gt;Protić, M.&lt;/author&gt;&lt;author&gt;Hübscher, U.&lt;/author&gt;&lt;author&gt;Egly, J.&lt;/author&gt;&lt;author&gt;Wood, R.&lt;/author&gt;&lt;/authors&gt;&lt;/contributors&gt;&lt;auth-address&gt;Imperial Cancer Research Fund, Clare Hall Laboratoires, South Mimms, Herts, England.&lt;/auth-address&gt;&lt;titles&gt;&lt;title&gt;Mammalian DNA nucleotide excision repair reconstituted with purified protein components&lt;/title&gt;&lt;secondary-title&gt;Cell&lt;/secondary-title&gt;&lt;/titles&gt;&lt;periodical&gt;&lt;full-title&gt;Cell&lt;/full-title&gt;&lt;/periodical&gt;&lt;pages&gt;859-927&lt;/pages&gt;&lt;volume&gt;80&lt;/volume&gt;&lt;number&gt;6&lt;/number&gt;&lt;dates&gt;&lt;year&gt;1995&lt;/year&gt;&lt;/dates&gt;&lt;isbn&gt;0092-8674&lt;/isbn&gt;&lt;urls&gt;&lt;related-urls&gt;&lt;url&gt;C:\Users\Karl\Documents\ReadCube Media\1995 Cell Wood RD 1995.pdf&lt;/url&gt;&lt;/related-urls&gt;&lt;/urls&gt;&lt;remote-database-name&gt;Readcube&lt;/remote-database-name&gt;&lt;/record&gt;&lt;/Cite&gt;&lt;/EndNote&gt;</w:instrText>
      </w:r>
      <w:r w:rsidR="00F20EC0" w:rsidRPr="00DF0680">
        <w:rPr>
          <w:rFonts w:cs="Times New Roman"/>
          <w:szCs w:val="24"/>
        </w:rPr>
        <w:fldChar w:fldCharType="end"/>
      </w:r>
      <w:r w:rsidRPr="00DF0680">
        <w:rPr>
          <w:rFonts w:cs="Times New Roman"/>
          <w:szCs w:val="24"/>
        </w:rPr>
        <w:t xml:space="preserve">. The majority of proteins required for the initial steps of NER were discovered through complementation studies on cell lines derived from xeroderma pigmentosum (XP) patients. These were used because cells from XP patients are deficient in DNA repair after exposure to UV light </w:t>
      </w:r>
      <w:r w:rsidR="00F20EC0" w:rsidRPr="00DF0680">
        <w:rPr>
          <w:rFonts w:cs="Times New Roman"/>
          <w:szCs w:val="24"/>
        </w:rPr>
        <w:fldChar w:fldCharType="begin" w:fldLock="1"/>
      </w:r>
      <w:r w:rsidR="001112F6" w:rsidRPr="00DF0680">
        <w:rPr>
          <w:rFonts w:cs="Times New Roman"/>
          <w:szCs w:val="24"/>
        </w:rPr>
        <w:instrText>ADDIN CSL_CITATION { "citationItems" : [ { "id" : "ITEM-1", "itemData" : { "ISSN" : "0027-8424", "PMID" : "5257133", "abstract" : "Homozygous xeroderma pigmentosum fibroblasts cannot repair damage to DNA bases, but can repair damage that involves chain breaks. In xeroderma pigmentosum, therefore, there is a defect in an early step in repair at which base damage is recognized and the polynucleotide chain broken enzymatically (by an endonuclease). Heterozygous fibroblasts repair base damage to normal extents. Carcinogenesis in xeroderma pigmentosum, and perhaps in some normal individuals, may be the result of somatic mutations caused by unrepaired damage.", "author" : [ { "dropping-particle" : "", "family" : "Cleaver", "given" : "J E", "non-dropping-particle" : "", "parse-names" : false, "suffix" : "" } ], "container-title" : "Proceedings of the National Academy of Sciences", "id" : "ITEM-1", "issue" : "2", "issued" : { "date-parts" : [ [ "1969", "6" ] ] }, "page" : "428-35", "title" : "Xeroderma pigmentosum: a human disease in which an initial stage of DNA repair is defective.", "type" : "article-journal", "volume" : "63" }, "uris" : [ "http://www.mendeley.com/documents/?uuid=7ca93936-e156-40b1-b36b-84a12fa70591" ] } ], "mendeley" : { "formattedCitation" : "(Cleaver 1969)", "plainTextFormattedCitation" : "(Cleaver 1969)", "previouslyFormattedCitation" : "(Cleaver 1969)"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(Cleaver 1969)</w:t>
      </w:r>
      <w:r w:rsidR="00F20EC0" w:rsidRPr="00DF0680">
        <w:rPr>
          <w:rFonts w:cs="Times New Roman"/>
          <w:szCs w:val="24"/>
        </w:rPr>
        <w:fldChar w:fldCharType="end"/>
      </w:r>
      <w:r w:rsidR="00360CE3" w:rsidRPr="00DF0680">
        <w:rPr>
          <w:rFonts w:cs="Times New Roman"/>
          <w:szCs w:val="24"/>
        </w:rPr>
        <w:t>.</w:t>
      </w:r>
      <w:r w:rsidR="00D9001A" w:rsidRPr="00DF0680">
        <w:rPr>
          <w:rFonts w:cs="Times New Roman"/>
          <w:szCs w:val="24"/>
        </w:rPr>
        <w:t xml:space="preserve"> </w:t>
      </w:r>
      <w:r w:rsidRPr="00DF0680">
        <w:rPr>
          <w:rFonts w:cs="Times New Roman"/>
          <w:szCs w:val="24"/>
        </w:rPr>
        <w:t xml:space="preserve"> Normally, wild type cells use NER to remove the pyrimidine dimers caused by UV radiation. XP cells do so at one tenth the wild-type rate</w:t>
      </w:r>
      <w:r w:rsidR="00556EF3" w:rsidRPr="00DF0680">
        <w:rPr>
          <w:rFonts w:cs="Times New Roman"/>
          <w:szCs w:val="24"/>
        </w:rPr>
        <w:t xml:space="preserve"> </w:t>
      </w:r>
      <w:r w:rsidR="00F20EC0" w:rsidRPr="00DF0680">
        <w:rPr>
          <w:rFonts w:cs="Times New Roman"/>
          <w:szCs w:val="24"/>
        </w:rPr>
        <w:fldChar w:fldCharType="begin" w:fldLock="1"/>
      </w:r>
      <w:r w:rsidR="00DA6E78" w:rsidRPr="00DF0680">
        <w:rPr>
          <w:rFonts w:cs="Times New Roman"/>
          <w:szCs w:val="24"/>
        </w:rPr>
        <w:instrText>ADDIN CSL_CITATION { "citationItems" : [ { "id" : "ITEM-1", "itemData" : { "author" : [ { "dropping-particle" : "", "family" : "Setlow", "given" : "RB", "non-dropping-particle" : "", "parse-names" : false, "suffix" : "" }, { "dropping-particle" : "", "family" : "Regan", "given" : "JD", "non-dropping-particle" : "", "parse-names" : false, "suffix" : "" } ], "container-title" : "Proceedings of the National Academy of Sciences", "id" : "ITEM-1", "issue" : "3", "issued" : { "date-parts" : [ [ "1969" ] ] }, "page" : "1035-41", "title" : "Evidence that xeroderma pigmentosum cells do not perform the first step in the repair of ultraviolet damage to their DNA", "type" : "article-journal", "volume" : "64" }, "uris" : [ "http://www.mendeley.com/documents/?uuid=8d00d217-f0d7-4dd7-9157-f4bfb69ec9e2" ] } ], "mendeley" : { "formattedCitation" : "(Setlow &amp; Regan 1969)", "plainTextFormattedCitation" : "(Setlow &amp; Regan 1969)", "previouslyFormattedCitation" : "(Setlow &amp; Regan 1969)"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(Setlow &amp; Regan 1969)</w:t>
      </w:r>
      <w:r w:rsidR="00F20EC0" w:rsidRPr="00DF0680">
        <w:rPr>
          <w:rFonts w:cs="Times New Roman"/>
          <w:szCs w:val="24"/>
        </w:rPr>
        <w:fldChar w:fldCharType="end"/>
      </w:r>
      <w:r w:rsidRPr="00DF0680">
        <w:rPr>
          <w:rFonts w:cs="Times New Roman"/>
          <w:szCs w:val="24"/>
        </w:rPr>
        <w:t>. The different complementation groups studied were suggested to represent a deficiency in different proteins</w:t>
      </w:r>
      <w:r w:rsidR="00556EF3" w:rsidRPr="00DF0680">
        <w:rPr>
          <w:rFonts w:cs="Times New Roman"/>
          <w:szCs w:val="24"/>
        </w:rPr>
        <w:t xml:space="preserve"> </w:t>
      </w:r>
      <w:r w:rsidR="00F20EC0" w:rsidRPr="00DF0680">
        <w:rPr>
          <w:rFonts w:cs="Times New Roman"/>
          <w:szCs w:val="24"/>
        </w:rPr>
        <w:fldChar w:fldCharType="begin" w:fldLock="1"/>
      </w:r>
      <w:r w:rsidR="00525765" w:rsidRPr="00DF0680">
        <w:rPr>
          <w:rFonts w:cs="Times New Roman"/>
          <w:szCs w:val="24"/>
        </w:rPr>
        <w:instrText>ADDIN CSL_CITATION { "citationItems" : [ { "id" : "ITEM-1", "itemData" : { "ISSN" : "0092-8674", "PMID" : "7116446", "abstract" : "Xeroderma pigmentosum of groups A, C and D shows complementation differing in kinetics, dependence on the dose of wild-type alleles and dependence on protein synthesis. Such differences suggest that XP-A, -C and -D carry mutations at different loci. The product of the first of these loci (factor A) is present in significant excess in normal fibroblasts, seems to turn over rapidly and may be a dimer or higher polymer. The products of the other two loci (factors C and D) do not seem to be present in significant excess in the cytoplasm of normal fibroblasts, but factor C may accumulate abnormally in XP-D. Factors C and D turn over slowly (D more than C) and they do not move freely from the cell nucleus. Factors A and C, at least, seem to act directly and not via gene regulation.", "author" : [ { "dropping-particle" : "", "family" : "Giannelli", "given" : "F", "non-dropping-particle" : "", "parse-names" : false, "suffix" : "" }, { "dropping-particle" : "", "family" : "Pawsey", "given" : "S a", "non-dropping-particle" : "", "parse-names" : false, "suffix" : "" }, { "dropping-particle" : "", "family" : "Avery", "given" : "J a", "non-dropping-particle" : "", "parse-names" : false, "suffix" : "" } ], "container-title" : "Cell", "id" : "ITEM-1", "issue" : "2", "issued" : { "date-parts" : [ [ "1982", "6" ] ] }, "page" : "451-8", "title" : "Differences in patterns of complementation of the more common groups of xeroderma pigmentosum: possible implications.", "type" : "article-journal", "volume" : "29" }, "uris" : [ "http://www.mendeley.com/documents/?uuid=85aa3b75-fac8-4817-8a69-5dc66598a2c1" ] } ], "mendeley" : { "formattedCitation" : "(Giannelli et al. 1982)", "plainTextFormattedCitation" : "(Giannelli et al. 1982)", "previouslyFormattedCitation" : "(Giannelli et al. 1982)"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(Giannelli et al. 1982)</w:t>
      </w:r>
      <w:r w:rsidR="00F20EC0" w:rsidRPr="00DF0680">
        <w:rPr>
          <w:rFonts w:cs="Times New Roman"/>
          <w:szCs w:val="24"/>
        </w:rPr>
        <w:fldChar w:fldCharType="end"/>
      </w:r>
      <w:r w:rsidRPr="00DF0680">
        <w:rPr>
          <w:rFonts w:cs="Times New Roman"/>
          <w:szCs w:val="24"/>
        </w:rPr>
        <w:t xml:space="preserve"> and this gave way to the discovery of the NER proteins – XPA, XPB, XPC, XPD, XPE, XPF and XPG. XPC has been shown to be involved in the initial recognition of the lesion with HHR23B</w:t>
      </w:r>
      <w:r w:rsidR="00556EF3" w:rsidRPr="00DF0680">
        <w:rPr>
          <w:rFonts w:cs="Times New Roman"/>
          <w:szCs w:val="24"/>
        </w:rPr>
        <w:t xml:space="preserve">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"ISSN" : "1097-2765", "PMID" : "9734359", "abstract" : "The XPC-HR23B complex is specifically involved in global genome but not transcription-coupled nucleotide excision repair (NER). Its function is unknown. Using a novel DNA damage recognition-competition assay, we identified XPC-HR23B as the earliest damage detector to initiate NER: it acts before the known damage-binding protein XPA. Coimmunoprecipitation and DNase I footprinting show that XPC-HR23B binds to a variety of NER lesions. These results resolve the function of XPC-HR23B, define the first NER stages, and suggest a two-step mechanism of damage recognition involving damage detection by XPC-HR23B followed by damage verification by XPA. This provides a plausible explanation for the extreme damage specificity exhibited by global genome repair. In analogy, in the transcription-coupled NER subpathway, RNA polymerase II may take the role of XPC. After this subpathway-specific initial lesion detection, XPA may function as a common damage verifier and adaptor to the core of the NER apparatus.", "author" : [ { "dropping-particle" : "", "family" : "Sugasawa", "given" : "K", "non-dropping-particle" : "", "parse-names" : false, "suffix" : "" }, { "dropping-particle" : "", "family" : "Ng", "given" : "J M", "non-dropping-particle" : "", "parse-names" : false, "suffix" : "" }, { "dropping-particle" : "", "family" : "Masutani", "given" : "C", "non-dropping-particle" : "", "parse-names" : false, "suffix" : "" }, { "dropping-particle" : "", "family" : "Iwai", "given" : "S", "non-dropping-particle" : "", "parse-names" : false, "suffix" : "" }, { "dropping-particle" : "", "family" : "Spek", "given" : "P J", "non-dropping-particle" : "van der", "parse-names" : false, "suffix" : "" }, { "dropping-particle" : "", "family" : "Eker", "given" : "a P", "non-dropping-particle" : "", "parse-names" : false, "suffix" : "" }, { "dropping-particle" : "", "family" : "Hanaoka", "given" : "F", "non-dropping-particle" : "", "parse-names" : false, "suffix" : "" }, { "dropping-particle" : "", "family" : "Bootsma", "given" : "D", "non-dropping-particle" : "", "parse-names" : false, "suffix" : "" }, { "dropping-particle" : "", "family" : "Hoeijmakers", "given" : "J H", "non-dropping-particle" : "", "parse-names" : false, "suffix" : "" } ], "container-title" : "Molecular Cell", "id" : "ITEM-1", "issue" : "2", "issued" : { "date-parts" : [ [ "1998", "8" ] ] }, "page" : "223-32", "title" : "Xeroderma pigmentosum group C protein complex is the initiator of global genome nucleotide excision repair.", "type" : "article-journal", "volume" : "2" }, "uris" : [ "http://www.mendeley.com/documents/?uuid=795c18d0-ac28-4f03-9a6b-60f8316f5854" ] } ], "mendeley" : { "formattedCitation" : "(Sugasawa et al. 1998)", "plainTextFormattedCitation" : "(Sugasawa et al. 1998)", "previouslyFormattedCitation" : "(Sugasawa et al. 1998)"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(Sugasawa et al. 1998)</w:t>
      </w:r>
      <w:r w:rsidR="00F20EC0" w:rsidRPr="00DF0680">
        <w:rPr>
          <w:rFonts w:cs="Times New Roman"/>
          <w:szCs w:val="24"/>
        </w:rPr>
        <w:fldChar w:fldCharType="end"/>
      </w:r>
      <w:r w:rsidRPr="00DF0680">
        <w:rPr>
          <w:rFonts w:cs="Times New Roman"/>
          <w:szCs w:val="24"/>
        </w:rPr>
        <w:t xml:space="preserve"> which then recruits the pre-incision complex TFIIH</w:t>
      </w:r>
      <w:r w:rsidR="00556EF3" w:rsidRPr="00DF0680">
        <w:rPr>
          <w:rFonts w:cs="Times New Roman"/>
          <w:szCs w:val="24"/>
        </w:rPr>
        <w:t xml:space="preserve">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"ISSN" : "1097-2765", "PMID" : "11511374", "abstract" : "Here, we describe the assembly of the nucleotide excision repair (NER) complex in normal and repair-deficient (xeroderma pigmentosum) human cells, employing a novel technique of local UV irradiation combined with fluorescent antibody labeling. The damage recognition complex XPC-hHR23B appears to be essential for the recruitment of all subsequent NER factors in the preincision complex, including transcription repair factor TFIIH. XPA associates relatively late, is required for anchoring of ERCC1-XPF, and may be essential for activation of the endonuclease activity of XPG. These findings identify XPC as the earliest known NER factor in the reaction mechanism, give insight into the order of subsequent NER components, provide evidence for a dual role of XPA, and support a concept of sequential assembly of repair proteins at the site of the damage rather than a preassembled repairosome.", "author" : [ { "dropping-particle" : "", "family" : "Volker", "given" : "M", "non-dropping-particle" : "", "parse-names" : false, "suffix" : "" }, { "dropping-particle" : "", "family" : "Mon\u00e9", "given" : "M J", "non-dropping-particle" : "", "parse-names" : false, "suffix" : "" }, { "dropping-particle" : "", "family" : "Karmakar", "given" : "P", "non-dropping-particle" : "", "parse-names" : false, "suffix" : "" }, { "dropping-particle" : "", "family" : "Hoffen", "given" : "a", "non-dropping-particle" : "van", "parse-names" : false, "suffix" : "" }, { "dropping-particle" : "", "family" : "Schul", "given" : "W", "non-dropping-particle" : "", "parse-names" : false, "suffix" : "" }, { "dropping-particle" : "", "family" : "Vermeulen", "given" : "W", "non-dropping-particle" : "", "parse-names" : false, "suffix" : "" }, { "dropping-particle" : "", "family" : "Hoeijmakers", "given" : "J H", "non-dropping-particle" : "", "parse-names" : false, "suffix" : "" }, { "dropping-particle" : "", "family" : "Driel", "given" : "R", "non-dropping-particle" : "van", "parse-names" : false, "suffix" : "" }, { "dropping-particle" : "", "family" : "Zeeland", "given" : "a a", "non-dropping-particle" : "van", "parse-names" : false, "suffix" : "" }, { "dropping-particle" : "", "family" : "Mullenders", "given" : "L H", "non-dropping-particle" : "", "parse-names" : false, "suffix" : "" } ], "container-title" : "Molecular Cell", "id" : "ITEM-1", "issue" : "1", "issued" : { "date-parts" : [ [ "2001", "7" ] ] }, "page" : "213-24", "title" : "Sequential assembly of the nucleotide excision repair factors in vivo.", "type" : "article-journal", "volume" : "8" }, "uris" : [ "http://www.mendeley.com/documents/?uuid=d7ca303f-8279-4ab5-86d3-db1a6fb2c84f" ] } ], "mendeley" : { "formattedCitation" : "(Volker et al. 2001)", "plainTextFormattedCitation" : "(Volker et al. 2001)", "previouslyFormattedCitation" : "(Volker et al. 2001)"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(Volker et al. 2001)</w:t>
      </w:r>
      <w:r w:rsidR="00F20EC0" w:rsidRPr="00DF0680">
        <w:rPr>
          <w:rFonts w:cs="Times New Roman"/>
          <w:szCs w:val="24"/>
        </w:rPr>
        <w:fldChar w:fldCharType="end"/>
      </w:r>
      <w:r w:rsidR="00F20EC0" w:rsidRPr="00DF0680">
        <w:rPr>
          <w:rFonts w:cs="Times New Roman"/>
          <w:szCs w:val="24"/>
        </w:rPr>
        <w:fldChar w:fldCharType="begin"/>
      </w:r>
      <w:r w:rsidRPr="00DF0680">
        <w:rPr>
          <w:rFonts w:cs="Times New Roman"/>
          <w:szCs w:val="24"/>
        </w:rPr>
        <w:instrText xml:space="preserve"> ADDIN EN.CITE &lt;EndNote&gt;&lt;Cite&gt;&lt;Author&gt;Volker&lt;/Author&gt;&lt;Year&gt;2001&lt;/Year&gt;&lt;RecNum&gt;26&lt;/RecNum&gt;&lt;DisplayText&gt;(Volker, Moné et al. 2001)&lt;/DisplayText&gt;&lt;record&gt;&lt;rec-number&gt;26&lt;/rec-number&gt;&lt;foreign-keys&gt;&lt;key app="EN" db-id="wpf2eztvgsdv0meff22xfzwkp0vdffs2t55w"&gt;26&lt;/key&gt;&lt;/foreign-keys&gt;&lt;ref-type name="Journal Article"&gt;17&lt;/ref-type&gt;&lt;contributors&gt;&lt;authors&gt;&lt;author&gt;Volker, M.&lt;/author&gt;&lt;author&gt;Moné, M.&lt;/author&gt;&lt;author&gt;Karmakar, P.&lt;/author&gt;&lt;author&gt;van Hoffen, A.&lt;/author&gt;&lt;author&gt;Schul, W.&lt;/author&gt;&lt;author&gt;Vermeulen, W.&lt;/author&gt;&lt;author&gt;Hoeijmakers, J.&lt;/author&gt;&lt;author&gt;van Driel, R.&lt;/author&gt;&lt;author&gt;van Zeeland, A.&lt;/author&gt;&lt;author&gt;Mullenders, L.&lt;/author&gt;&lt;/authors&gt;&lt;/contributors&gt;&lt;auth-address&gt;Department of Radiation Genetics and Chemical Mutagenesis, Leiden University Medical Center, Wassenaarseweg 72, 2333 AL, Leiden, The Netherlands.&lt;/auth-address&gt;&lt;titles&gt;&lt;title&gt;Sequential assembly of the nucleotide excision repair factors in vivo&lt;/title&gt;&lt;secondary-title&gt;Molecular cell&lt;/secondary-title&gt;&lt;/titles&gt;&lt;periodical&gt;&lt;full-title&gt;Molecular cell&lt;/full-title&gt;&lt;/periodical&gt;&lt;pages&gt;213-237&lt;/pages&gt;&lt;volume&gt;8&lt;/volume&gt;&lt;number&gt;1&lt;/number&gt;&lt;dates&gt;&lt;year&gt;2001&lt;/year&gt;&lt;/dates&gt;&lt;isbn&gt;1097-2765&lt;/isbn&gt;&lt;urls&gt;&lt;related-urls&gt;&lt;url&gt;C:\Users\Karl\Documents\ReadCube Media\2001 Molecular cell Mullenders LH 2001.pdf&lt;/url&gt;&lt;/related-urls&gt;&lt;/urls&gt;&lt;remote-database-name&gt;Readcube&lt;/remote-database-name&gt;&lt;/record&gt;&lt;/Cite&gt;&lt;/EndNote&gt;</w:instrText>
      </w:r>
      <w:r w:rsidR="00F20EC0" w:rsidRPr="00DF0680">
        <w:rPr>
          <w:rFonts w:cs="Times New Roman"/>
          <w:szCs w:val="24"/>
        </w:rPr>
        <w:fldChar w:fldCharType="end"/>
      </w:r>
      <w:r w:rsidRPr="00DF0680">
        <w:rPr>
          <w:rFonts w:cs="Times New Roman"/>
          <w:szCs w:val="24"/>
        </w:rPr>
        <w:t>, containing the helicases XPB and XPD which unwind the DNA. The endonucleases XPG and ERCC1-XPF are recruited</w:t>
      </w:r>
      <w:r w:rsidR="00556EF3" w:rsidRPr="00DF0680">
        <w:rPr>
          <w:rFonts w:cs="Times New Roman"/>
          <w:szCs w:val="24"/>
        </w:rPr>
        <w:t xml:space="preserve">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"ISSN" : "1097-2765", "PMID" : "11511374", "abstract" : "Here, we describe the assembly of the nucleotide excision repair (NER) complex in normal and repair-deficient (xeroderma pigmentosum) human cells, employing a novel technique of local UV irradiation combined with fluorescent antibody labeling. The damage recognition complex XPC-hHR23B appears to be essential for the recruitment of all subsequent NER factors in the preincision complex, including transcription repair factor TFIIH. XPA associates relatively late, is required for anchoring of ERCC1-XPF, and may be essential for activation of the endonuclease activity of XPG. These findings identify XPC as the earliest known NER factor in the reaction mechanism, give insight into the order of subsequent NER components, provide evidence for a dual role of XPA, and support a concept of sequential assembly of repair proteins at the site of the damage rather than a preassembled repairosome.", "author" : [ { "dropping-particle" : "", "family" : "Volker", "given" : "M", "non-dropping-particle" : "", "parse-names" : false, "suffix" : "" }, { "dropping-particle" : "", "family" : "Mon\u00e9", "given" : "M J", "non-dropping-particle" : "", "parse-names" : false, "suffix" : "" }, { "dropping-particle" : "", "family" : "Karmakar", "given" : "P", "non-dropping-particle" : "", "parse-names" : false, "suffix" : "" }, { "dropping-particle" : "", "family" : "Hoffen", "given" : "a", "non-dropping-particle" : "van", "parse-names" : false, "suffix" : "" }, { "dropping-particle" : "", "family" : "Schul", "given" : "W", "non-dropping-particle" : "", "parse-names" : false, "suffix" : "" }, { "dropping-particle" : "", "family" : "Vermeulen", "given" : "W", "non-dropping-particle" : "", "parse-names" : false, "suffix" : "" }, { "dropping-particle" : "", "family" : "Hoeijmakers", "given" : "J H", "non-dropping-particle" : "", "parse-names" : false, "suffix" : "" }, { "dropping-particle" : "", "family" : "Driel", "given" : "R", "non-dropping-particle" : "van", "parse-names" : false, "suffix" : "" }, { "dropping-particle" : "", "family" : "Zeeland", "given" : "a a", "non-dropping-particle" : "van", "parse-names" : false, "suffix" : "" }, { "dropping-particle" : "", "family" : "Mullenders", "given" : "L H", "non-dropping-particle" : "", "parse-names" : false, "suffix" : "" } ], "container-title" : "Molecular Cell", "id" : "ITEM-1", "issue" : "1", "issued" : { "date-parts" : [ [ "2001", "7" ] ] }, "page" : "213-24", "title" : "Sequential assembly of the nucleotide excision repair factors in vivo.", "type" : "article-journal", "volume" : "8" }, "uris" : [ "http://www.mendeley.com/documents/?uuid=d7ca303f-8279-4ab5-86d3-db1a6fb2c84f" ] } ], "mendeley" : { "formattedCitation" : "(Volker et al. 2001)", "plainTextFormattedCitation" : "(Volker et al. 2001)", "previouslyFormattedCitation" : "(Volker et al. 2001)"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(Volker et al. 2001)</w:t>
      </w:r>
      <w:r w:rsidR="00F20EC0" w:rsidRPr="00DF0680">
        <w:rPr>
          <w:rFonts w:cs="Times New Roman"/>
          <w:szCs w:val="24"/>
        </w:rPr>
        <w:fldChar w:fldCharType="end"/>
      </w:r>
      <w:r w:rsidRPr="00DF0680">
        <w:rPr>
          <w:rFonts w:cs="Times New Roman"/>
          <w:szCs w:val="24"/>
        </w:rPr>
        <w:t xml:space="preserve"> </w:t>
      </w:r>
      <w:r w:rsidR="00F20EC0" w:rsidRPr="00DF0680">
        <w:rPr>
          <w:rFonts w:cs="Times New Roman"/>
          <w:szCs w:val="24"/>
        </w:rPr>
        <w:fldChar w:fldCharType="begin"/>
      </w:r>
      <w:r w:rsidRPr="00DF0680">
        <w:rPr>
          <w:rFonts w:cs="Times New Roman"/>
          <w:szCs w:val="24"/>
        </w:rPr>
        <w:instrText xml:space="preserve"> ADDIN EN.CITE &lt;EndNote&gt;&lt;Cite&gt;&lt;Author&gt;Volker&lt;/Author&gt;&lt;Year&gt;2001&lt;/Year&gt;&lt;RecNum&gt;26&lt;/RecNum&gt;&lt;DisplayText&gt;(Volker, Moné et al. 2001)&lt;/DisplayText&gt;&lt;record&gt;&lt;rec-number&gt;26&lt;/rec-number&gt;&lt;foreign-keys&gt;&lt;key app="EN" db-id="wpf2eztvgsdv0meff22xfzwkp0vdffs2t55w"&gt;26&lt;/key&gt;&lt;/foreign-keys&gt;&lt;ref-type name="Journal Article"&gt;17&lt;/ref-type&gt;&lt;contributors&gt;&lt;authors&gt;&lt;author&gt;Volker, M.&lt;/author&gt;&lt;author&gt;Moné, M.&lt;/author&gt;&lt;author&gt;Karmakar, P.&lt;/author&gt;&lt;author&gt;van Hoffen, A.&lt;/author&gt;&lt;author&gt;Schul, W.&lt;/author&gt;&lt;author&gt;Vermeulen, W.&lt;/author&gt;&lt;author&gt;Hoeijmakers, J.&lt;/author&gt;&lt;author&gt;van Driel, R.&lt;/author&gt;&lt;author&gt;van Zeeland, A.&lt;/author&gt;&lt;author&gt;Mullenders, L.&lt;/author&gt;&lt;/authors&gt;&lt;/contributors&gt;&lt;auth-address&gt;Department of Radiation Genetics and Chemical Mutagenesis, Leiden University Medical Center, Wassenaarseweg 72, 2333 AL, Leiden, The Netherlands.&lt;/auth-address&gt;&lt;titles&gt;&lt;title&gt;Sequential assembly of the nucleotide excision repair factors in vivo&lt;/title&gt;&lt;secondary-title&gt;Molecular cell&lt;/secondary-title&gt;&lt;/titles&gt;&lt;periodical&gt;&lt;full-title&gt;Molecular cell&lt;/full-title&gt;&lt;/periodical&gt;&lt;pages&gt;213-237&lt;/pages&gt;&lt;volume&gt;8&lt;/volume&gt;&lt;number&gt;1&lt;/number&gt;&lt;dates&gt;&lt;year&gt;2001&lt;/year&gt;&lt;/dates&gt;&lt;isbn&gt;1097-2765&lt;/isbn&gt;&lt;urls&gt;&lt;related-urls&gt;&lt;url&gt;C:\Users\Karl\Documents\ReadCube Media\2001 Molecular cell Mullenders LH 2001.pdf&lt;/url&gt;&lt;/related-urls&gt;&lt;/urls&gt;&lt;remote-database-name&gt;Readcube&lt;/remote-database-name&gt;&lt;/record&gt;&lt;/Cite&gt;&lt;/EndNote&gt;</w:instrText>
      </w:r>
      <w:r w:rsidR="00F20EC0" w:rsidRPr="00DF0680">
        <w:rPr>
          <w:rFonts w:cs="Times New Roman"/>
          <w:szCs w:val="24"/>
        </w:rPr>
        <w:fldChar w:fldCharType="end"/>
      </w:r>
      <w:r w:rsidRPr="00DF0680">
        <w:rPr>
          <w:rFonts w:cs="Times New Roman"/>
          <w:szCs w:val="24"/>
        </w:rPr>
        <w:t>and after an open complex is formed, they perform a dual incision, 3’ and 5’ of the damaged nucleotides</w:t>
      </w:r>
      <w:r w:rsidR="00556EF3" w:rsidRPr="00DF0680">
        <w:rPr>
          <w:rFonts w:cs="Times New Roman"/>
          <w:szCs w:val="24"/>
        </w:rPr>
        <w:t xml:space="preserve">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"DOI" : "10.1093/emboj/16.21.6559", "ISSN" : "0261-4189", "PMID" : "9351836", "abstract" : "During nucleotide excision repair in human cells, a damaged DNA strand is cleaved by two endonucleases, XPG on the 3' side of the lesion and ERCC1-XPF on the 5' side. These structure-specific enzymes act at junctions between duplex and single-stranded DNA. ATP-dependent formation of an open DNA structure of approximately 25 nt around the adduct precedes this dual incision. We investigated the mechanism of open complex formation and find that mutations in XPB or XPD, the DNA helicase subunits of the transcription and repair factor TFIIH, can completely prevent opening and dual incision in cell-free extracts. A deficiency in XPC protein also prevents opening. The absence of RPA, XPA or XPG activities leads to an intermediate level of strand separation. In contrast, XPF or ERCC1-defective extracts open normally and generate a 3' incision, but fail to form the 5' incision. This same repair defect was observed in extracts from human xeroderma pigmentosum cells with an alteration in the C-terminal domain of XPB, suggesting that XPB has an additional role in facilitating 5' incision by ERCC1-XPF nuclease. These data support a mechanism in which TFIIH-associated helicase activity and XPC protein catalyze initial formation of the key open intermediate, with full extension to the cleavage sites promoted by the other core nucleotide excision repair factors. Opening is followed by dual incision, with the 3' cleavage made first.", "author" : [ { "dropping-particle" : "", "family" : "Evans", "given" : "E", "non-dropping-particle" : "", "parse-names" : false, "suffix" : "" }, { "dropping-particle" : "", "family" : "Moggs", "given" : "J G", "non-dropping-particle" : "", "parse-names" : false, "suffix" : "" }, { "dropping-particle" : "", "family" : "Hwang", "given" : "J R", "non-dropping-particle" : "", "parse-names" : false, "suffix" : "" }, { "dropping-particle" : "", "family" : "Egly", "given" : "J M", "non-dropping-particle" : "", "parse-names" : false, "suffix" : "" }, { "dropping-particle" : "", "family" : "Wood", "given" : "R D", "non-dropping-particle" : "", "parse-names" : false, "suffix" : "" } ], "container-title" : "The EMBO Journal", "id" : "ITEM-1", "issue" : "21", "issued" : { "date-parts" : [ [ "1997", "11", "3" ] ] }, "page" : "6559-73", "title" : "Mechanism of open complex and dual incision formation by human nucleotide excision repair factors.", "type" : "article-journal", "volume" : "16" }, "uris" : [ "http://www.mendeley.com/documents/?uuid=fc116a1e-e027-4cfa-b333-81ed2972ea61" ] } ], "mendeley" : { "formattedCitation" : "(Evans et al. 1997)", "plainTextFormattedCitation" : "(Evans et al. 1997)", "previouslyFormattedCitation" : "(Evans et al. 1997)"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(Evans et al. 1997)</w:t>
      </w:r>
      <w:r w:rsidR="00F20EC0" w:rsidRPr="00DF0680">
        <w:rPr>
          <w:rFonts w:cs="Times New Roman"/>
          <w:szCs w:val="24"/>
        </w:rPr>
        <w:fldChar w:fldCharType="end"/>
      </w:r>
      <w:r w:rsidRPr="00DF0680">
        <w:rPr>
          <w:rFonts w:cs="Times New Roman"/>
          <w:szCs w:val="24"/>
        </w:rPr>
        <w:t>. Finally, polymerase eta completes the process by synthesising new DNA over the excised region</w:t>
      </w:r>
      <w:r w:rsidR="00EA7BA0" w:rsidRPr="00DF0680">
        <w:rPr>
          <w:rFonts w:cs="Times New Roman"/>
          <w:szCs w:val="24"/>
        </w:rPr>
        <w:t xml:space="preserve"> </w:t>
      </w:r>
      <w:r w:rsidR="00F20EC0" w:rsidRPr="00DF0680">
        <w:rPr>
          <w:rFonts w:cs="Times New Roman"/>
          <w:szCs w:val="24"/>
        </w:rPr>
        <w:fldChar w:fldCharType="begin" w:fldLock="1"/>
      </w:r>
      <w:r w:rsidR="00DA6E78" w:rsidRPr="00DF0680">
        <w:rPr>
          <w:rFonts w:cs="Times New Roman"/>
          <w:szCs w:val="24"/>
        </w:rPr>
        <w:instrText>ADDIN CSL_CITATION { "citationItems" : [ { "id" : "ITEM-1", "itemData" : { "author" : [ { "dropping-particle" : "", "family" : "Masutani", "given" : "Chikahide", "non-dropping-particle" : "", "parse-names" : false, "suffix" : "" }, { "dropping-particle" : "", "family" : "Kusumoto", "given" : "Rika", "non-dropping-particle" : "", "parse-names" : false, "suffix" : "" }, { "dropping-particle" : "", "family" : "Yamada", "given" : "Ayumi", "non-dropping-particle" : "", "parse-names" : false, "suffix" : "" } ], "container-title" : "Nature", "id" : "ITEM-1", "issue" : "6737", "issued" : { "date-parts" : [ [ "1999" ] ] }, "page" : "700-704", "title" : "The XPV (xeroderma pigmentosum variant) gene encodes human DNA polymerase \u03b7", "type" : "article-journal", "volume" : "399" }, "uris" : [ "http://www.mendeley.com/documents/?uuid=9a953884-9a19-44b4-a860-901cadd82696" ] } ], "mendeley" : { "formattedCitation" : "(Masutani et al. 1999)", "plainTextFormattedCitation" : "(Masutani et al. 1999)", "previouslyFormattedCitation" : "(Masutani et al. 1999)" }, "properties" : { "noteIndex" : 0 }, "schema" : "https://github.com/citation-style-language/schema/raw/master/csl-citation.json" }</w:instrText>
      </w:r>
      <w:r w:rsidR="00F20EC0" w:rsidRPr="00DF0680">
        <w:rPr>
          <w:rFonts w:cs="Times New Roman"/>
          <w:szCs w:val="24"/>
        </w:rPr>
        <w:fldChar w:fldCharType="separate"/>
      </w:r>
      <w:r w:rsidR="00EA7BA0" w:rsidRPr="00DF0680">
        <w:rPr>
          <w:rFonts w:cs="Times New Roman"/>
          <w:szCs w:val="24"/>
        </w:rPr>
        <w:t>(Masutani et al. 1999)</w:t>
      </w:r>
      <w:r w:rsidR="00F20EC0" w:rsidRPr="00DF0680">
        <w:rPr>
          <w:rFonts w:cs="Times New Roman"/>
          <w:szCs w:val="24"/>
        </w:rPr>
        <w:fldChar w:fldCharType="end"/>
      </w:r>
      <w:r w:rsidRPr="00DF0680">
        <w:rPr>
          <w:rFonts w:cs="Times New Roman"/>
          <w:szCs w:val="24"/>
        </w:rPr>
        <w:t xml:space="preserve">. </w:t>
      </w:r>
      <w:r w:rsidR="00EA7BA0" w:rsidRPr="00DF0680">
        <w:rPr>
          <w:rFonts w:cs="Times New Roman"/>
          <w:szCs w:val="24"/>
        </w:rPr>
        <w:t>Like DNA replication, this</w:t>
      </w:r>
      <w:r w:rsidRPr="00DF0680">
        <w:rPr>
          <w:rFonts w:cs="Times New Roman"/>
          <w:szCs w:val="24"/>
        </w:rPr>
        <w:t xml:space="preserve"> is dependent on PCNA, replication protein A (RPA) and RFC</w:t>
      </w:r>
      <w:r w:rsidR="00556EF3" w:rsidRPr="00DF0680">
        <w:rPr>
          <w:rFonts w:cs="Times New Roman"/>
          <w:szCs w:val="24"/>
        </w:rPr>
        <w:t xml:space="preserve"> </w:t>
      </w:r>
      <w:r w:rsidR="00F20EC0" w:rsidRPr="00DF0680">
        <w:rPr>
          <w:rFonts w:cs="Times New Roman"/>
          <w:szCs w:val="24"/>
        </w:rPr>
        <w:fldChar w:fldCharType="begin" w:fldLock="1"/>
      </w:r>
      <w:r w:rsidR="00DA6E78" w:rsidRPr="00DF0680">
        <w:rPr>
          <w:rFonts w:cs="Times New Roman"/>
          <w:szCs w:val="24"/>
        </w:rPr>
        <w:instrText>ADDIN CSL_CITATION { "citationItems" : [ { "id" : "ITEM-1", "itemData" : { "author" : [ { "dropping-particle" : "", "family" : "Shivji", "given" : "MKK", "non-dropping-particle" : "", "parse-names" : false, "suffix" : "" }, { "dropping-particle" : "", "family" : "Podust", "given" : "VN", "non-dropping-particle" : "", "parse-names" : false, "suffix" : "" }, { "dropping-particle" : "", "family" : "Huebscher", "given" : "U", "non-dropping-particle" : "", "parse-names" : false, "suffix" : "" }, { "dropping-particle" : "", "family" : "Wood", "given" : "RD", "non-dropping-particle" : "", "parse-names" : false, "suffix" : "" } ], "container-title" : "Biochemistry", "id" : "ITEM-1", "issue" : "15", "issued" : { "date-parts" : [ [ "1995" ] ] }, "page" : "5011-7", "title" : "Nucleotide Excision Repair DNA Synthesis by DNA Polymerase. epsilon. in the Presence of PCNA, RFC, and RPA", "type" : "article-journal", "volume" : "34" }, "uris" : [ "http://www.mendeley.com/documents/?uuid=d34e2b27-d1c5-4881-8431-a3e9875d1863" ] } ], "mendeley" : { "formattedCitation" : "(Shivji et al. 1995)", "plainTextFormattedCitation" : "(Shivji et al. 1995)", "previouslyFormattedCitation" : "(Shivji et al. 1995)"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(Shivji et al. 1995)</w:t>
      </w:r>
      <w:r w:rsidR="00F20EC0" w:rsidRPr="00DF0680">
        <w:rPr>
          <w:rFonts w:cs="Times New Roman"/>
          <w:szCs w:val="24"/>
        </w:rPr>
        <w:fldChar w:fldCharType="end"/>
      </w:r>
      <w:r w:rsidR="00F20EC0" w:rsidRPr="00DF0680">
        <w:rPr>
          <w:rFonts w:cs="Times New Roman"/>
          <w:szCs w:val="24"/>
        </w:rPr>
        <w:fldChar w:fldCharType="begin"/>
      </w:r>
      <w:r w:rsidRPr="00DF0680">
        <w:rPr>
          <w:rFonts w:cs="Times New Roman"/>
          <w:szCs w:val="24"/>
        </w:rPr>
        <w:instrText xml:space="preserve"> ADDIN EN.CITE &lt;EndNote&gt;&lt;Cite&gt;&lt;Author&gt;Shivji&lt;/Author&gt;&lt;Year&gt;1995&lt;/Year&gt;&lt;RecNum&gt;28&lt;/RecNum&gt;&lt;DisplayText&gt;(Shivji, Podust et al. 1995)&lt;/DisplayText&gt;&lt;record&gt;&lt;rec-number&gt;28&lt;/rec-number&gt;&lt;foreign-keys&gt;&lt;key app="EN" db-id="wpf2eztvgsdv0meff22xfzwkp0vdffs2t55w"&gt;28&lt;/key&gt;&lt;/foreign-keys&gt;&lt;ref-type name="Journal Article"&gt;17&lt;/ref-type&gt;&lt;contributors&gt;&lt;authors&gt;&lt;author&gt;Shivji, M.&lt;/author&gt;&lt;author&gt;Podust, V.&lt;/author&gt;&lt;author&gt;Hübscher, U.&lt;/author&gt;&lt;author&gt;Wood, R.&lt;/author&gt;&lt;/authors&gt;&lt;/contributors&gt;&lt;auth-address&gt;Imperial Cancer Research Fund, Clare Hall Laboratories, South Mimms, Herts, United Kingdom.&lt;/auth-address&gt;&lt;titles&gt;&lt;title&gt;Nucleotide excision repair DNA synthesis by DNA polymerase epsilon in the presence of PCNA, RFC, and RPA&lt;/title&gt;&lt;secondary-title&gt;Biochemistry&lt;/secondary-title&gt;&lt;/titles&gt;&lt;periodical&gt;&lt;full-title&gt;Biochemistry&lt;/full-title&gt;&lt;/periodical&gt;&lt;pages&gt;5011-5018&lt;/pages&gt;&lt;volume&gt;34&lt;/volume&gt;&lt;number&gt;15&lt;/number&gt;&lt;dates&gt;&lt;year&gt;1995&lt;/year&gt;&lt;/dates&gt;&lt;isbn&gt;0006-2960&lt;/isbn&gt;&lt;urls&gt;&lt;related-urls&gt;&lt;url&gt;C:\Users\Karl\Documents\SheffieldPhD\papers\Nucleotide excision repair DNA synthesis by DNA polymerase epsilon in the presence of PCNA, RFC, and RPA.pdf&lt;/url&gt;&lt;/related-urls&gt;&lt;/urls&gt;&lt;remote-database-name&gt;Readcube&lt;/remote-database-name&gt;&lt;/record&gt;&lt;/Cite&gt;&lt;/EndNote&gt;</w:instrText>
      </w:r>
      <w:r w:rsidR="00F20EC0" w:rsidRPr="00DF0680">
        <w:rPr>
          <w:rFonts w:cs="Times New Roman"/>
          <w:szCs w:val="24"/>
        </w:rPr>
        <w:fldChar w:fldCharType="end"/>
      </w:r>
      <w:r w:rsidRPr="00DF0680">
        <w:rPr>
          <w:rFonts w:cs="Times New Roman"/>
          <w:szCs w:val="24"/>
        </w:rPr>
        <w:t xml:space="preserve">. </w:t>
      </w:r>
    </w:p>
    <w:p w:rsidR="001B5E20" w:rsidRPr="00DF0680" w:rsidRDefault="001B5E20" w:rsidP="00E664FC">
      <w:pPr>
        <w:pStyle w:val="Heading4"/>
      </w:pPr>
      <w:bookmarkStart w:id="71" w:name="_Toc417204093"/>
      <w:bookmarkStart w:id="72" w:name="_Toc417674330"/>
      <w:r w:rsidRPr="00DF0680">
        <w:lastRenderedPageBreak/>
        <w:t>M</w:t>
      </w:r>
      <w:r w:rsidR="00D974B6" w:rsidRPr="00DF0680">
        <w:t xml:space="preserve">is-match </w:t>
      </w:r>
      <w:r w:rsidR="00CE6110" w:rsidRPr="00DF0680">
        <w:t>r</w:t>
      </w:r>
      <w:r w:rsidR="00D974B6" w:rsidRPr="00DF0680">
        <w:t>epair</w:t>
      </w:r>
      <w:bookmarkEnd w:id="71"/>
      <w:bookmarkEnd w:id="72"/>
    </w:p>
    <w:p w:rsidR="00967FAF" w:rsidRPr="00DF0680" w:rsidRDefault="00CB3897" w:rsidP="00CB3897">
      <w:pPr>
        <w:rPr>
          <w:rFonts w:cs="Times New Roman"/>
        </w:rPr>
      </w:pPr>
      <w:r w:rsidRPr="00DF0680">
        <w:rPr>
          <w:rFonts w:cs="Times New Roman"/>
        </w:rPr>
        <w:t xml:space="preserve">Mismatch repair (MMR) is another DNA damage mechanism </w:t>
      </w:r>
      <w:r w:rsidR="00360CE3" w:rsidRPr="00DF0680">
        <w:rPr>
          <w:rFonts w:cs="Times New Roman"/>
        </w:rPr>
        <w:t>that</w:t>
      </w:r>
      <w:r w:rsidRPr="00DF0680">
        <w:rPr>
          <w:rFonts w:cs="Times New Roman"/>
        </w:rPr>
        <w:t xml:space="preserve"> corrects incorrectly paired nucleotide bases</w:t>
      </w:r>
      <w:r w:rsidR="008146D4" w:rsidRPr="00DF0680">
        <w:rPr>
          <w:rFonts w:cs="Times New Roman"/>
        </w:rPr>
        <w:t xml:space="preserve"> but does so</w:t>
      </w:r>
      <w:r w:rsidR="00260E87" w:rsidRPr="00DF0680">
        <w:rPr>
          <w:rFonts w:cs="Times New Roman"/>
        </w:rPr>
        <w:t xml:space="preserve"> post-replication</w:t>
      </w:r>
      <w:r w:rsidR="008146D4" w:rsidRPr="00DF0680">
        <w:rPr>
          <w:rFonts w:cs="Times New Roman"/>
        </w:rPr>
        <w:t xml:space="preserve">. Incorrect base pairing </w:t>
      </w:r>
      <w:r w:rsidRPr="00DF0680">
        <w:rPr>
          <w:rFonts w:cs="Times New Roman"/>
        </w:rPr>
        <w:t xml:space="preserve">can occur during normal DNA biosynthesis. Recognition of these lesions is performed by the heterodimeric proteins MutSα and MutSβ. </w:t>
      </w:r>
      <w:r w:rsidR="00E41AC5" w:rsidRPr="00DF0680">
        <w:rPr>
          <w:rFonts w:cs="Times New Roman"/>
        </w:rPr>
        <w:t xml:space="preserve">These proteins are heterodimers of the MSH family of proteins, named as they are </w:t>
      </w:r>
      <w:r w:rsidR="00E41AC5" w:rsidRPr="00DF0680">
        <w:rPr>
          <w:rFonts w:cs="Times New Roman"/>
          <w:u w:val="single"/>
        </w:rPr>
        <w:t>h</w:t>
      </w:r>
      <w:r w:rsidR="00E41AC5" w:rsidRPr="00DF0680">
        <w:rPr>
          <w:rFonts w:cs="Times New Roman"/>
        </w:rPr>
        <w:t xml:space="preserve">omologs of the prokaryotic </w:t>
      </w:r>
      <w:r w:rsidR="00E41AC5" w:rsidRPr="00DF0680">
        <w:rPr>
          <w:rFonts w:cs="Times New Roman"/>
          <w:u w:val="single"/>
        </w:rPr>
        <w:t>M</w:t>
      </w:r>
      <w:r w:rsidR="00E41AC5" w:rsidRPr="00DF0680">
        <w:rPr>
          <w:rFonts w:cs="Times New Roman"/>
        </w:rPr>
        <w:t>ut</w:t>
      </w:r>
      <w:r w:rsidR="00E41AC5" w:rsidRPr="00DF0680">
        <w:rPr>
          <w:rFonts w:cs="Times New Roman"/>
          <w:u w:val="single"/>
        </w:rPr>
        <w:t>S</w:t>
      </w:r>
      <w:r w:rsidR="00E41AC5" w:rsidRPr="00DF0680">
        <w:rPr>
          <w:rFonts w:cs="Times New Roman"/>
        </w:rPr>
        <w:t xml:space="preserve"> proteins. </w:t>
      </w:r>
      <w:r w:rsidRPr="00DF0680">
        <w:rPr>
          <w:rFonts w:cs="Times New Roman"/>
        </w:rPr>
        <w:t xml:space="preserve">MutSα recognises base-base mismatches and insertion/deletions of one base, whereas MutSβ </w:t>
      </w:r>
      <w:r w:rsidR="00E52DD8" w:rsidRPr="00DF0680">
        <w:rPr>
          <w:rFonts w:cs="Times New Roman"/>
        </w:rPr>
        <w:t>recognises</w:t>
      </w:r>
      <w:r w:rsidRPr="00DF0680">
        <w:rPr>
          <w:rFonts w:cs="Times New Roman"/>
        </w:rPr>
        <w:t xml:space="preserve"> longer insertion/deletion loops between 2-4 nucleotides in length, but does not recognise the base-base mismatches </w:t>
      </w:r>
      <w:r w:rsidR="00F20EC0" w:rsidRPr="00DF0680">
        <w:rPr>
          <w:rFonts w:cs="Times New Roman"/>
        </w:rPr>
        <w:fldChar w:fldCharType="begin" w:fldLock="1"/>
      </w:r>
      <w:r w:rsidR="00332613" w:rsidRPr="00DF0680">
        <w:rPr>
          <w:rFonts w:cs="Times New Roman"/>
        </w:rPr>
        <w:instrText>ADDIN CSL_CITATION { "citationItems" : [ { "id" : "ITEM-1", "itemData" : { "ISSN" : "0027-8424", "PMID" : "8942985", "abstract" : "The genetic and biochemical properties of three human MutS homologues, hMSH2, hMSH3, and hMSH6, have been examined. The full-length hMSH6 cDNA and genomic locus were isolated and characterized, and it was demonstrated that the hMSH6 gene consisted of 10 exons and mapped to chromosome 2p15-16. The hMSH3 cDNA was in some cases found to contain a 27-bp deletion resulting in a loss of nine amino acids, depending on the individual from which the cDNA was isolated. hMSH2, hMSH3, and hMSH6 all showed similar tissue-specific expression patterns. hMSH2 protein formed a complex with both hMSH3 and hMSH6 proteins, similar to protein complexes demonstrated by studies of the Saccharomyces cerevisiae MSH2, MSH3, and MSH6. hMSH2 was also found to form a homomultimer complex, but neither hMSH3 nor hMSH6 appear to interact with themselves or each other. Analysis of the mismatched nucleotide-binding specificity of the hMSH2-hMSH3 and hMSH2-hMSH6 protein complexes showed that they have overlapping but not identical binding specificity. These results help to explain the distribution of mutations in different mismatch-repair genes seen in hereditary nonpolyposis colon cancer.", "author" : [ { "dropping-particle" : "", "family" : "Acharya", "given" : "S", "non-dropping-particle" : "", "parse-names" : false, "suffix" : "" }, { "dropping-particle" : "", "family" : "Wilson", "given" : "T", "non-dropping-particle" : "", "parse-names" : false, "suffix" : "" }, { "dropping-particle" : "", "family" : "Gradia", "given" : "S", "non-dropping-particle" : "", "parse-names" : false, "suffix" : "" }, { "dropping-particle" : "", "family" : "Kane", "given" : "M F", "non-dropping-particle" : "", "parse-names" : false, "suffix" : "" }, { "dropping-particle" : "", "family" : "Guerrette", "given" : "S", "non-dropping-particle" : "", "parse-names" : false, "suffix" : "" }, { "dropping-particle" : "", "family" : "Marsischky", "given" : "G T", "non-dropping-particle" : "", "parse-names" : false, "suffix" : "" }, { "dropping-particle" : "", "family" : "Kolodner", "given" : "R", "non-dropping-particle" : "", "parse-names" : false, "suffix" : "" }, { "dropping-particle" : "", "family" : "Fishel", "given" : "R", "non-dropping-particle" : "", "parse-names" : false, "suffix" : "" } ], "container-title" : "Proceedings of the National Academy of Sciences", "id" : "ITEM-1", "issue" : "24", "issued" : { "date-parts" : [ [ "1996", "11", "26" ] ] }, "page" : "13629-34", "title" : "hMSH2 forms specific mispair-binding complexes with hMSH3 and hMSH6.", "type" : "article-journal", "volume" : "93" }, "uris" : [ "http://www.mendeley.com/documents/?uuid=15338317-5592-467c-8fa7-558543860db8" ] }, { "id" : "ITEM-2", "itemData" : { "ISSN" : "0960-9822", "PMID" : "8805365", "abstract" : "In human cells, mismatch recognition is mediated by a heterodimeric complex, hMutSalpha, comprised of two members of the MutS homolog (MSH) family of proteins, hMSH2 and GTBP [1,2]. Correspondingly, tumour-derived cell lines defective in hMSH2 and GTBP have a mutator phenotype [3,4], and extracts prepared from these cells lack mismatch-binding activity [1]. However, although hMSH2 mutant cell lines showed considerable microsatellite instability in tracts of mononucleotide and dinucleotide repeats [4,5], only mononucleotide repeats were somewhat unstable in GTBP mutants [4,6]. These findings, together with data showing that extracts of cells lacking GTBP are partially proficient in the repair of two-nucleotide loops [2], suggested that loop repair can be GTBP-independent. We show here that hMSH2 can also heterodimerize with a third human MSH family member, hMSH3, and that this complex, hMutSbeta, binds loops of one to four extrahelical bases. Our data further suggest that hMSH3 and GTBP are redundant in loop repair, and help explain why only mutations in hMSH2, and not in GTBP or hMSH3, segregate with hereditary non-polyposis colorectal cancer (HNPCC) [7].", "author" : [ { "dropping-particle" : "", "family" : "Palombo", "given" : "F", "non-dropping-particle" : "", "parse-names" : false, "suffix" : "" }, { "dropping-particle" : "", "family" : "Iaccarino", "given" : "I", "non-dropping-particle" : "", "parse-names" : false, "suffix" : "" }, { "dropping-particle" : "", "family" : "Nakajima", "given" : "E", "non-dropping-particle" : "", "parse-names" : false, "suffix" : "" }, { "dropping-particle" : "", "family" : "Ikejima", "given" : "M", "non-dropping-particle" : "", "parse-names" : false, "suffix" : "" }, { "dropping-particle" : "", "family" : "Shimada", "given" : "T", "non-dropping-particle" : "", "parse-names" : false, "suffix" : "" }, { "dropping-particle" : "", "family" : "Jiricny", "given" : "J", "non-dropping-particle" : "", "parse-names" : false, "suffix" : "" } ], "container-title" : "Current Biology", "id" : "ITEM-2", "issue" : "9", "issued" : { "date-parts" : [ [ "1996", "9", "1" ] ] }, "page" : "1181-4", "title" : "hMutSbeta, a heterodimer of hMSH2 and hMSH3, binds to insertion/deletion loops in DNA.", "type" : "article-journal", "volume" : "6" }, "uris" : [ "http://www.mendeley.com/documents/?uuid=1a140735-70d4-4b0f-a66c-00439b4817ee" ] } ], "mendeley" : { "formattedCitation" : "(Acharya et al. 1996; Palombo et al. 1996)", "plainTextFormattedCitation" : "(Acharya et al. 1996; Palombo et al. 1996)", "previouslyFormattedCitation" : "(Acharya et al. 1996; Palombo et al. 1996)"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(Acharya et al. 1996; Palombo et al. 1996)</w:t>
      </w:r>
      <w:r w:rsidR="00F20EC0" w:rsidRPr="00DF0680">
        <w:rPr>
          <w:rFonts w:cs="Times New Roman"/>
        </w:rPr>
        <w:fldChar w:fldCharType="end"/>
      </w:r>
      <w:r w:rsidRPr="00DF0680">
        <w:rPr>
          <w:rFonts w:cs="Times New Roman"/>
        </w:rPr>
        <w:t>. Both MutLα (another heterodimer</w:t>
      </w:r>
      <w:r w:rsidR="00E41AC5" w:rsidRPr="00DF0680">
        <w:rPr>
          <w:rFonts w:cs="Times New Roman"/>
        </w:rPr>
        <w:t xml:space="preserve"> of MLH proteins [</w:t>
      </w:r>
      <w:r w:rsidR="00E41AC5" w:rsidRPr="00DF0680">
        <w:rPr>
          <w:rFonts w:cs="Times New Roman"/>
          <w:u w:val="single"/>
        </w:rPr>
        <w:t>M</w:t>
      </w:r>
      <w:r w:rsidR="00E41AC5" w:rsidRPr="00DF0680">
        <w:rPr>
          <w:rFonts w:cs="Times New Roman"/>
        </w:rPr>
        <w:t>ut</w:t>
      </w:r>
      <w:r w:rsidR="00E41AC5" w:rsidRPr="00DF0680">
        <w:rPr>
          <w:rFonts w:cs="Times New Roman"/>
          <w:u w:val="single"/>
        </w:rPr>
        <w:t>L</w:t>
      </w:r>
      <w:r w:rsidR="00E41AC5" w:rsidRPr="00DF0680">
        <w:rPr>
          <w:rFonts w:cs="Times New Roman"/>
        </w:rPr>
        <w:t xml:space="preserve"> </w:t>
      </w:r>
      <w:r w:rsidR="00E41AC5" w:rsidRPr="00DF0680">
        <w:rPr>
          <w:rFonts w:cs="Times New Roman"/>
          <w:u w:val="single"/>
        </w:rPr>
        <w:t>h</w:t>
      </w:r>
      <w:r w:rsidR="00E41AC5" w:rsidRPr="00DF0680">
        <w:rPr>
          <w:rFonts w:cs="Times New Roman"/>
        </w:rPr>
        <w:t>omologs]</w:t>
      </w:r>
      <w:r w:rsidRPr="00DF0680">
        <w:rPr>
          <w:rFonts w:cs="Times New Roman"/>
        </w:rPr>
        <w:t xml:space="preserve">) and PCNA are involved in the pre-excision step, bringing in other proteins such as ExoI to make the excision </w:t>
      </w:r>
      <w:r w:rsidR="00F20EC0" w:rsidRPr="00DF0680">
        <w:rPr>
          <w:rFonts w:cs="Times New Roman"/>
        </w:rPr>
        <w:fldChar w:fldCharType="begin" w:fldLock="1"/>
      </w:r>
      <w:r w:rsidR="00332613" w:rsidRPr="00DF0680">
        <w:rPr>
          <w:rFonts w:cs="Times New Roman"/>
        </w:rPr>
        <w:instrText>ADDIN CSL_CITATION { "citationItems" : [ { "id" : "ITEM-1", "itemData" : { "ISSN" : "0027-8424", "PMID" : "7892206", "abstract" : "Hypermutable H6 colorectal tumor cells are defective in strand-specific mismatch repair and bear defects in both alleles of the hMLH1 gene. We have purified to near homogeneity an activity from HeLa cells that complements H6 nuclear extracts to restore repair proficiency on a set of heteroduplex DNAs representing the eight base-base mismatches as well as a number of slipped-strand, insertion/deletion mispairs. This activity behaves as a single species during fractionation and copurifies with proteins of 85 and 110 kDa. Microsequence analysis demonstrated both of these proteins to be homologs of bacterial MutL, with the former corresponding to the hMLH1 product and the latter to the product of hPMS2 or a closely related gene. The 1:1 molar stoichiometry of the two polypeptides and their hydrodynamic behavior indicate formation of a heterodimer, which we have designated hMutL alpha. These observations indicate that interactions between members of the family of human MutL homologs may be restricted.", "author" : [ { "dropping-particle" : "", "family" : "Li", "given" : "G M", "non-dropping-particle" : "", "parse-names" : false, "suffix" : "" }, { "dropping-particle" : "", "family" : "Modrich", "given" : "P", "non-dropping-particle" : "", "parse-names" : false, "suffix" : "" } ], "container-title" : "Proceedings of the National Academy of Sciences", "id" : "ITEM-1", "issue" : "6", "issued" : { "date-parts" : [ [ "1995", "3", "14" ] ] }, "page" : "1950-4", "title" : "Restoration of mismatch repair to nuclear extracts of H6 colorectal tumor cells by a heterodimer of human MutL homologs.", "type" : "article-journal", "volume" : "92" }, "uris" : [ "http://www.mendeley.com/documents/?uuid=01e44301-dd65-4503-94c5-d9eae715594a" ] }, { "id" : "ITEM-2", "itemData" : { "ISSN" : "0092-8674", "PMID" : "8858149", "abstract" : "A two-hybrid system was used to screen yeast and human expression libraries for proteins that interact with mismatch repair proteins. PCNA was recovered from both libraries and shown in the case of yeast to interact with both MLH1 and MSH2. A yeast strain containing a mutation in the PCNA gene had a strongly elevated mutation rate in a dinucleotide repeat, and the rate was not further elevated in a strain also containing a mutation in MLH1. Mismatch repair activity was examined in human cell extracts using an assay that does not require DNA repair synthesis. Activity was inhibited by p21WAF1 or a p21 peptide, both of which bind to PCNA, and activity was restored to inhibited reactions by addition of PCNA. The data suggest a PCNA requirement in mismatch repair at a step preceding DNA resynthesis. The ability of PCNA to bind to MLH1 and MSH2 may reflect linkage between mismatch repair and replication and may be relevant to the roles of mismatch repair proteins in other DNA transactions.", "author" : [ { "dropping-particle" : "", "family" : "Umar", "given" : "a", "non-dropping-particle" : "", "parse-names" : false, "suffix" : "" }, { "dropping-particle" : "", "family" : "Buermeyer", "given" : "a B", "non-dropping-particle" : "", "parse-names" : false, "suffix" : "" }, { "dropping-particle" : "", "family" : "Simon", "given" : "J a", "non-dropping-particle" : "", "parse-names" : false, "suffix" : "" }, { "dropping-particle" : "", "family" : "Thomas", "given" : "D C", "non-dropping-particle" : "", "parse-names" : false, "suffix" : "" }, { "dropping-particle" : "", "family" : "Clark", "given" : "a B", "non-dropping-particle" : "", "parse-names" : false, "suffix" : "" }, { "dropping-particle" : "", "family" : "Liskay", "given" : "R M", "non-dropping-particle" : "", "parse-names" : false, "suffix" : "" }, { "dropping-particle" : "", "family" : "Kunkel", "given" : "T a", "non-dropping-particle" : "", "parse-names" : false, "suffix" : "" } ], "container-title" : "Cell", "id" : "ITEM-2", "issue" : "1", "issued" : { "date-parts" : [ [ "1996", "10", "4" ] ] }, "page" : "65-73", "title" : "Requirement for PCNA in DNA mismatch repair at a step preceding DNA resynthesis.", "type" : "article-journal", "volume" : "87" }, "uris" : [ "http://www.mendeley.com/documents/?uuid=7512b570-2d62-4417-83cc-6fe7911d5047" ] }, { "id" : "ITEM-3", "itemData" : { "DOI" : "10.1074/jbc.M111854200", "ISSN" : "0021-9258", "PMID" : "11809771", "abstract" : "We have partially purified a human activity that restores mismatch-dependent, bi-directional excision to a human nuclear extract fraction depleted for one or more mismatch repair excision activities. Human EXOI co-purifies with the excision activity, and the purified activity can be replaced by near homogeneous recombinant hEXOI. Despite the reported 5' to 3' hydrolytic polarity of this activity, hEXOI participates in mismatch-provoked excision directed by a strand break located either 5' or 3' to the mispair. When the strand break that directs repair is located 3' to the mispair, hEXOI- and mismatch-dependent gap formation in excision-depleted extracts requires both hMutSalpha and hMutLalpha. However, excision directed by a 5' strand break requires hMutSalpha but can occur in absence of hMutLalpha. In systems comprised of pure components, the 5' to 3' hydrolytic activity of hEXOI is activated by hMutSalpha in a mismatch-dependent manner. These observations indicate a hydrolytic function for hEXOI in 5'-heteroduplex correction. The involvement of hEXOI in 3'-heteroduplex repair suggests that it has a regulatory/structural role in assembly of the 3'-excision complex or that the protein possesses a cryptic 3' to 5' hydrolytic activity.", "author" : [ { "dropping-particle" : "", "family" : "Genschel", "given" : "Jochen", "non-dropping-particle" : "", "parse-names" : false, "suffix" : "" }, { "dropping-particle" : "", "family" : "Bazemore", "given" : "Laura R", "non-dropping-particle" : "", "parse-names" : false, "suffix" : "" }, { "dropping-particle" : "", "family" : "Modrich", "given" : "Paul", "non-dropping-particle" : "", "parse-names" : false, "suffix" : "" } ], "container-title" : "The Journal of Biological Chemistry", "id" : "ITEM-3", "issue" : "15", "issued" : { "date-parts" : [ [ "2002", "4", "12" ] ] }, "page" : "13302-11", "title" : "Human exonuclease I is required for 5' and 3' mismatch repair.", "type" : "article-journal", "volume" : "277" }, "uris" : [ "http://www.mendeley.com/documents/?uuid=ad6c5d3b-d5dc-426f-8d84-ba36e6af0fdf" ] } ], "mendeley" : { "formattedCitation" : "(Li &amp; Modrich 1995; Umar et al. 1996; Genschel et al. 2002)", "plainTextFormattedCitation" : "(Li &amp; Modrich 1995; Umar et al. 1996; Genschel et al. 2002)", "previouslyFormattedCitation" : "(Li &amp; Modrich 1995; Umar et al. 1996; Genschel et al. 2002)"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(Li &amp; Modrich 1995; Umar et al. 1996; Genschel et al. 2002)</w:t>
      </w:r>
      <w:r w:rsidR="00F20EC0" w:rsidRPr="00DF0680">
        <w:rPr>
          <w:rFonts w:cs="Times New Roman"/>
        </w:rPr>
        <w:fldChar w:fldCharType="end"/>
      </w:r>
      <w:r w:rsidRPr="00DF0680">
        <w:rPr>
          <w:rFonts w:cs="Times New Roman"/>
        </w:rPr>
        <w:t xml:space="preserve">. The gap produced is filled using polymerase δ and PCNA </w:t>
      </w:r>
      <w:r w:rsidR="00F20EC0" w:rsidRPr="00DF0680">
        <w:rPr>
          <w:rFonts w:cs="Times New Roman"/>
        </w:rPr>
        <w:fldChar w:fldCharType="begin" w:fldLock="1"/>
      </w:r>
      <w:r w:rsidR="00332613" w:rsidRPr="00DF0680">
        <w:rPr>
          <w:rFonts w:cs="Times New Roman"/>
        </w:rPr>
        <w:instrText>ADDIN CSL_CITATION { "citationItems" : [ { "id" : "ITEM-1", "itemData" : { "ISSN" : "0021-9258", "PMID" : "9099749", "abstract" : "HeLa nuclear extract was resolved into a depleted fraction incapable of supporting mismatch repair in vitro, and repair activity was restored upon the addition of a purified fraction isolated from HeLa cells by in vitro complementation assay. The highly enriched complementing activity copurified with a DNA polymerase, and the most pure fraction contained DNA polymerase delta but was free of detectable DNA polymerases alpha and epsilon. Calf thymus DNA polymerase delta also fully restored mismatch repair to the depleted extract, indicating DNA polymerase delta is required for mismatch repair in human cells. However, due to the presence of DNA polymerases alpha and epsilon in the depleted extract, potential involvement of one or both of these activities in the reaction cannot be excluded.", "author" : [ { "dropping-particle" : "", "family" : "Longley", "given" : "M J", "non-dropping-particle" : "", "parse-names" : false, "suffix" : "" }, { "dropping-particle" : "", "family" : "Pierce", "given" : "a J", "non-dropping-particle" : "", "parse-names" : false, "suffix" : "" }, { "dropping-particle" : "", "family" : "Modrich", "given" : "P", "non-dropping-particle" : "", "parse-names" : false, "suffix" : "" } ], "container-title" : "The Journal of Biological Chemistry", "id" : "ITEM-1", "issue" : "16", "issued" : { "date-parts" : [ [ "1997", "4", "18" ] ] }, "page" : "10917-21", "title" : "DNA polymerase delta is required for human mismatch repair in vitro", "type" : "article-journal", "volume" : "272" }, "uris" : [ "http://www.mendeley.com/documents/?uuid=2bd6f06e-f675-4624-8f77-112faa1e0bd3" ] }, { "id" : "ITEM-2", "itemData" : { "ISSN" : "0305-1048", "PMID" : "9469823", "abstract" : "DNA mismatch repair ensures genomic stability by correcting biosynthetic errors and by blocking homologous recombination. MutS-like and MutL-like proteins play important roles in these processes. In Escherichia coli and yeast these two types of proteins form a repair initiation complex that binds to mismatched DNA. However, whether human MutS and MutL homologs interact to form a complex has not been elucidated. Using immunoprecipitation and Western blot analysis we show here that human MSH2, MLH1, PMS2 and proliferating cell nuclear antigen (PCNA) can be co-immunoprecipitated, suggesting formation of a repair initiation complex among these proteins. Formation of the initiation complex is dependent on ATP hydrolysis and at least functional MSH2 and MLH1 proteins, because the complex could not be detected in tumor cells that produce truncated MLH1 or MSH2 protein. We also demonstrate that PCNA is required in human mismatch repair not only at the step of repair initiation, but also at the step of repair DNA re-synthesis.", "author" : [ { "dropping-particle" : "", "family" : "Gu", "given" : "L", "non-dropping-particle" : "", "parse-names" : false, "suffix" : "" }, { "dropping-particle" : "", "family" : "Hong", "given" : "Y", "non-dropping-particle" : "", "parse-names" : false, "suffix" : "" }, { "dropping-particle" : "", "family" : "McCulloch", "given" : "S", "non-dropping-particle" : "", "parse-names" : false, "suffix" : "" }, { "dropping-particle" : "", "family" : "Watanabe", "given" : "H", "non-dropping-particle" : "", "parse-names" : false, "suffix" : "" }, { "dropping-particle" : "", "family" : "Li", "given" : "G M", "non-dropping-particle" : "", "parse-names" : false, "suffix" : "" } ], "container-title" : "Nucleic Acids Research", "id" : "ITEM-2", "issue" : "5", "issued" : { "date-parts" : [ [ "1998", "3", "1" ] ] }, "page" : "1173-8", "title" : "ATP-dependent interaction of human mismatch repair proteins and dual role of PCNA in mismatch repair.", "type" : "article-journal", "volume" : "26" }, "uris" : [ "http://www.mendeley.com/documents/?uuid=a7fccac5-a360-4abf-943b-78833e256408" ] } ], "mendeley" : { "formattedCitation" : "(Longley et al. 1997; Gu et al. 1998)", "plainTextFormattedCitation" : "(Longley et al. 1997; Gu et al. 1998)", "previouslyFormattedCitation" : "(Longley et al. 1997; Gu et al. 1998)"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(Longley et al. 1997; Gu et al. 1998)</w:t>
      </w:r>
      <w:r w:rsidR="00F20EC0" w:rsidRPr="00DF0680">
        <w:rPr>
          <w:rFonts w:cs="Times New Roman"/>
        </w:rPr>
        <w:fldChar w:fldCharType="end"/>
      </w:r>
      <w:r w:rsidR="00D13A5F" w:rsidRPr="00DF0680">
        <w:rPr>
          <w:rFonts w:cs="Times New Roman"/>
        </w:rPr>
        <w:t xml:space="preserve">. </w:t>
      </w:r>
    </w:p>
    <w:p w:rsidR="00356EF1" w:rsidRPr="00DF0680" w:rsidRDefault="00CE6110" w:rsidP="00E664FC">
      <w:pPr>
        <w:pStyle w:val="Heading4"/>
      </w:pPr>
      <w:bookmarkStart w:id="73" w:name="_Toc417204094"/>
      <w:bookmarkStart w:id="74" w:name="_Toc417674331"/>
      <w:r w:rsidRPr="00DF0680">
        <w:t>Cross-link r</w:t>
      </w:r>
      <w:r w:rsidR="00356EF1" w:rsidRPr="00DF0680">
        <w:t>epair</w:t>
      </w:r>
      <w:bookmarkEnd w:id="73"/>
      <w:bookmarkEnd w:id="74"/>
    </w:p>
    <w:p w:rsidR="00195CC4" w:rsidRPr="00DF0680" w:rsidRDefault="006B3CC2" w:rsidP="00172C0C">
      <w:pPr>
        <w:rPr>
          <w:rFonts w:cs="Times New Roman"/>
        </w:rPr>
      </w:pPr>
      <w:r w:rsidRPr="00DF0680">
        <w:rPr>
          <w:rFonts w:cs="Times New Roman"/>
        </w:rPr>
        <w:t>The recruitment of repair proteins after FANCD2 monoubiquitinylation promotes the repair pathways translesion synthesi</w:t>
      </w:r>
      <w:r w:rsidR="00676F58" w:rsidRPr="00DF0680">
        <w:rPr>
          <w:rFonts w:cs="Times New Roman"/>
        </w:rPr>
        <w:t xml:space="preserve">s </w:t>
      </w:r>
      <w:r w:rsidR="00360CE3" w:rsidRPr="00DF0680">
        <w:rPr>
          <w:rFonts w:cs="Times New Roman"/>
        </w:rPr>
        <w:t xml:space="preserve">(TLS) </w:t>
      </w:r>
      <w:r w:rsidR="00676F58" w:rsidRPr="00DF0680">
        <w:rPr>
          <w:rFonts w:cs="Times New Roman"/>
        </w:rPr>
        <w:t>and homologous recombination</w:t>
      </w:r>
      <w:r w:rsidR="00360CE3" w:rsidRPr="00DF0680">
        <w:rPr>
          <w:rFonts w:cs="Times New Roman"/>
        </w:rPr>
        <w:t xml:space="preserve"> (HR)</w:t>
      </w:r>
      <w:r w:rsidR="00676F58" w:rsidRPr="00DF0680">
        <w:rPr>
          <w:rFonts w:cs="Times New Roman"/>
        </w:rPr>
        <w:t xml:space="preserve">. Mono-ubiquitinylated FAND2 has been shown to recruit the nuclease FAN1 and polymerase </w:t>
      </w:r>
      <w:r w:rsidR="001D522D" w:rsidRPr="00DF0680">
        <w:rPr>
          <w:rFonts w:cs="Times New Roman"/>
        </w:rPr>
        <w:t>ν (also known as POLN)</w:t>
      </w:r>
      <w:r w:rsidR="00676F58" w:rsidRPr="00DF0680">
        <w:rPr>
          <w:rFonts w:cs="Times New Roman"/>
        </w:rPr>
        <w:t xml:space="preserve"> </w:t>
      </w:r>
      <w:r w:rsidR="00F20EC0" w:rsidRPr="00DF0680">
        <w:rPr>
          <w:rFonts w:cs="Times New Roman"/>
        </w:rPr>
        <w:fldChar w:fldCharType="begin" w:fldLock="1"/>
      </w:r>
      <w:r w:rsidR="00F45F54" w:rsidRPr="00DF0680">
        <w:rPr>
          <w:rFonts w:cs="Times New Roman"/>
        </w:rPr>
        <w:instrText>ADDIN CSL_CITATION { "citationItems" : [ { "id" : "ITEM-1", "itemData" : { "DOI" : "10.1126/science.1192656", "ISSN" : "1095-9203", "PMID" : "20671156", "abstract" : "Fanconi anemia (FA) is caused by mutations in 13 Fanc genes and renders cells hypersensitive to DNA interstrand cross-linking (ICL) agents. A central event in the FA pathway is mono-ubiquitylation of the FANCI-FANCD2 (ID) protein complex. Here, we characterize a previously unrecognized nuclease, Fanconi anemia-associated nuclease 1 (FAN1), that promotes ICL repair in a manner strictly dependent on its ability to accumulate at or near sites of DNA damage and that relies on mono-ubiquitylation of the ID complex. Thus, the mono-ubiquitylated ID complex recruits the downstream repair protein FAN1 and facilitates the repair of DNA interstrand cross-links.", "author" : [ { "dropping-particle" : "", "family" : "Liu", "given" : "Ting", "non-dropping-particle" : "", "parse-names" : false, "suffix" : "" }, { "dropping-particle" : "", "family" : "Ghosal", "given" : "Gargi", "non-dropping-particle" : "", "parse-names" : false, "suffix" : "" }, { "dropping-particle" : "", "family" : "Yuan", "given" : "Jingsong", "non-dropping-particle" : "", "parse-names" : false, "suffix" : "" }, { "dropping-particle" : "", "family" : "Chen", "given" : "Junjie", "non-dropping-particle" : "", "parse-names" : false, "suffix" : "" }, { "dropping-particle" : "", "family" : "Huang", "given" : "Jun", "non-dropping-particle" : "", "parse-names" : false, "suffix" : "" } ], "container-title" : "Science", "id" : "ITEM-1", "issue" : "5992", "issued" : { "date-parts" : [ [ "2010", "8", "6" ] ] }, "page" : "693-6", "title" : "FAN1 acts with FANCI-FANCD2 to promote DNA interstrand cross-link repair.", "type" : "article-journal", "volume" : "329" }, "uris" : [ "http://www.mendeley.com/documents/?uuid=2e88febe-773c-48e7-96d7-9cd3f98e1c22" ] }, { "id" : "ITEM-2", "itemData" : { "DOI" : "10.1128/MCB.01124-09", "ISSN" : "1098-5549", "PMID" : "19995904", "abstract" : "All cells rely on DNA polymerases to duplicate their genetic material and to repair or bypass DNA lesions. In humans, 16 polymerases have been identified, and each bears specific functions in genome maintenance. We identified here the recently discovered polymerase POLN to be involved in repair of DNA cross-links. Such DNA lesions are highly toxic and are believed to be repaired by the sequential activity of nucleotide excision repair, translesion synthesis, and homologous recombination mechanisms. By functionally assaying its role in these processes, we unraveled an unexpected involvement of POLN in homologous recombination. Moreover, we obtained evidence for physical and functional interaction of POLN with factors belonging to the Fanconi anemia pathway, a master regulator of cross-link repair. Finally, we show that POLN interacts and cooperates in DNA repair with the helicase HEL308, which shares a common origin with POLN in the Drosophila mus308 gene. Our data indicate that this novel polymerase-helicase complex participates in homologous recombination repair and is essential for cellular protection against DNA cross-links.", "author" : [ { "dropping-particle" : "", "family" : "Moldovan", "given" : "George-Lucian", "non-dropping-particle" : "", "parse-names" : false, "suffix" : "" }, { "dropping-particle" : "V", "family" : "Madhavan", "given" : "Mahesh", "non-dropping-particle" : "", "parse-names" : false, "suffix" : "" }, { "dropping-particle" : "", "family" : "Mirchandani", "given" : "Kanchan D", "non-dropping-particle" : "", "parse-names" : false, "suffix" : "" }, { "dropping-particle" : "", "family" : "McCaffrey", "given" : "Ryan M", "non-dropping-particle" : "", "parse-names" : false, "suffix" : "" }, { "dropping-particle" : "", "family" : "Vinciguerra", "given" : "Patrizia", "non-dropping-particle" : "", "parse-names" : false, "suffix" : "" }, { "dropping-particle" : "", "family" : "D'Andrea", "given" : "Alan D", "non-dropping-particle" : "", "parse-names" : false, "suffix" : "" } ], "container-title" : "Molecular and Cellular Biology", "id" : "ITEM-2", "issue" : "4", "issued" : { "date-parts" : [ [ "2010", "2" ] ] }, "page" : "1088-96", "title" : "DNA polymerase POLN participates in cross-link repair and homologous recombination.", "type" : "article-journal", "volume" : "30" }, "uris" : [ "http://www.mendeley.com/documents/?uuid=8456f68d-3c85-454c-be8c-ad5acb025377" ] }, { "id" : "ITEM-3", "itemData" : { "DOI" : "10.1016/j.molcel.2010.06.023", "ISSN" : "1097-2765", "abstract" : "The Fanconi anemia (FA) pathway is responsible for interstrand crosslink repair. At the heart of this pathway is the FANCI-FAND2 (ID) complex, which, upon ubiquitination by the FA core complex, travels to sites of damage to coordinate repair that includes nucleolytic modification of the DNA surrounding the lesion and translesion synthesis. How the ID complex regulates these events is unknown. Here we describe a shRNA screen that led to the identification of two nucleases necessary for crosslink repair, FAN1 (KIAA1018) and EXDL2. FAN1 colocalizes at sites of DNA damage with the ID complex in a manner dependent on FAN1's ubiquitin-binding domain (UBZ), the ID complex, and monoubiquitination of FANCD2. FAN1 possesses intrinsic 5'-3' exonuclease activity and endonuclease activity that cleaves nicked and branched structures. We propose that FAN1 is a repair nuclease that is recruited to sites of crosslink damage in part through binding the ubiquitinated ID complex through its UBZ domain.", "author" : [ { "dropping-particle" : "", "family" : "Smogorzewska", "given" : "Agata", "non-dropping-particle" : "", "parse-names" : false, "suffix" : "" }, { "dropping-particle" : "", "family" : "Desetty", "given" : "Rohini", "non-dropping-particle" : "", "parse-names" : false, "suffix" : "" }, { "dropping-particle" : "", "family" : "Saito", "given" : "Takamune T", "non-dropping-particle" : "", "parse-names" : false, "suffix" : "" }, { "dropping-particle" : "", "family" : "Schlabach", "given" : "Michael", "non-dropping-particle" : "", "parse-names" : false, "suffix" : "" }, { "dropping-particle" : "", "family" : "Lach", "given" : "Francis P", "non-dropping-particle" : "", "parse-names" : false, "suffix" : "" }, { "dropping-particle" : "", "family" : "Sowa", "given" : "Mathew E", "non-dropping-particle" : "", "parse-names" : false, "suffix" : "" }, { "dropping-particle" : "", "family" : "Clark", "given" : "Alan B", "non-dropping-particle" : "", "parse-names" : false, "suffix" : "" }, { "dropping-particle" : "", "family" : "Kunkel", "given" : "Thomas A", "non-dropping-particle" : "", "parse-names" : false, "suffix" : "" }, { "dropping-particle" : "", "family" : "Harper", "given" : "J Wade", "non-dropping-particle" : "", "parse-names" : false, "suffix" : "" }, { "dropping-particle" : "", "family" : "Colaiacovo", "given" : "Monica P", "non-dropping-particle" : "", "parse-names" : false, "suffix" : "" }, { "dropping-particle" : "", "family" : "Elledge", "given" : "Stephen J", "non-dropping-particle" : "", "parse-names" : false, "suffix" : "" } ], "container-title" : "Molecular Cell", "id" : "ITEM-3", "issue" : "1", "issued" : { "date-parts" : [ [ "2010", "7" ] ] }, "page" : "36-47", "publisher" : "CELL PRESS", "publisher-place" : "600 TECHNOLOGY SQUARE, 5TH FLOOR, CAMBRIDGE, MA 02139 USA", "title" : "A Genetic Screen Identifies FAN1, a Fanconi Anemia-Associated Nuclease Necessary for DNA Interstrand Crosslink Repair", "type" : "article-journal", "volume" : "39" }, "uris" : [ "http://www.mendeley.com/documents/?uuid=7e3314a8-2676-47f7-a9bc-40a11bd8fc54" ] } ], "mendeley" : { "formattedCitation" : "(Liu et al. 2010; Moldovan et al. 2010; Smogorzewska et al. 2010)", "plainTextFormattedCitation" : "(Liu et al. 2010; Moldovan et al. 2010; Smogorzewska et al. 2010)", "previouslyFormattedCitation" : "(Liu et al. 2010; Moldovan et al. 2010; Smogorzewska et al. 2010)" }, "properties" : { "noteIndex" : 0 }, "schema" : "https://github.com/citation-style-language/schema/raw/master/csl-citation.json" }</w:instrText>
      </w:r>
      <w:r w:rsidR="00F20EC0" w:rsidRPr="00DF0680">
        <w:rPr>
          <w:rFonts w:cs="Times New Roman"/>
        </w:rPr>
        <w:fldChar w:fldCharType="separate"/>
      </w:r>
      <w:r w:rsidR="00902269" w:rsidRPr="00DF0680">
        <w:rPr>
          <w:rFonts w:cs="Times New Roman"/>
        </w:rPr>
        <w:t>(Liu et al. 2010; Moldovan et al. 2010; Smogorzewska et al. 2010)</w:t>
      </w:r>
      <w:r w:rsidR="00F20EC0" w:rsidRPr="00DF0680">
        <w:rPr>
          <w:rFonts w:cs="Times New Roman"/>
        </w:rPr>
        <w:fldChar w:fldCharType="end"/>
      </w:r>
      <w:r w:rsidR="00676F58" w:rsidRPr="00DF0680">
        <w:rPr>
          <w:rFonts w:cs="Times New Roman"/>
        </w:rPr>
        <w:t xml:space="preserve">. </w:t>
      </w:r>
      <w:r w:rsidR="00E77AD1" w:rsidRPr="00DF0680">
        <w:rPr>
          <w:rFonts w:cs="Times New Roman"/>
        </w:rPr>
        <w:t xml:space="preserve">The FANC core complex can also recruit the translesion DNA synthesis polymerase Rev1 </w:t>
      </w:r>
      <w:r w:rsidR="00F20EC0" w:rsidRPr="00DF0680">
        <w:rPr>
          <w:rFonts w:cs="Times New Roman"/>
        </w:rPr>
        <w:fldChar w:fldCharType="begin" w:fldLock="1"/>
      </w:r>
      <w:r w:rsidR="00332613" w:rsidRPr="00DF0680">
        <w:rPr>
          <w:rFonts w:cs="Times New Roman"/>
        </w:rPr>
        <w:instrText>ADDIN CSL_CITATION { "citationItems" : [ { "id" : "ITEM-1", "itemData" : { "DOI" : "10.1016/j.dnarep.2008.03.001", "ISSN" : "1568-7864", "PMID" : "18448394", "abstract" : "Fanconi anemia (FA) is a chromosome instability syndrome characterized by congenital abnormalities, cellular hypersensitivity to DNA crosslinking agents, and heightened cancer risk. Eight of the thirteen identified FA genes encode subunits of a nuclear FA core complex that monoubiquitinates FANCD2 and FANCI to maintain genomic stability in response to replication stress. The FA pathway has been implicated in the regulation of error-prone DNA damage tolerance via an undefined molecular mechanism. Here, we show that the FA core complex is required for efficient spontaneous and UVC-induced point mutagenesis, independently of FANCD2 and FANCI. Consistent with the observed hypomutability of cells deficient in the FA core complex, we also demonstrate that these cells are impaired in the assembly of the error-prone translesion DNA synthesis polymerase Rev1 into nuclear foci. Consistent with a role downstream of the FA core complex and like known FA proteins, Rev1 is required to prevent DNA crosslinker-induced chromosomal aberrations in human cells. Interestingly, proliferating cell nuclear antigen (PCNA) monoubiquitination, known to contribute to Rev1 recruitment, does not require FA core complex function. Our results suggest a role for the FA core complex in regulating Rev1-dependent DNA damage tolerance independently of FANCD2, FANCI, and PCNA monoubiquitination.", "author" : [ { "dropping-particle" : "", "family" : "Mirchandani", "given" : "Kanchan D", "non-dropping-particle" : "", "parse-names" : false, "suffix" : "" }, { "dropping-particle" : "", "family" : "McCaffrey", "given" : "Ryan M", "non-dropping-particle" : "", "parse-names" : false, "suffix" : "" }, { "dropping-particle" : "", "family" : "D'Andrea", "given" : "Alan D", "non-dropping-particle" : "", "parse-names" : false, "suffix" : "" } ], "container-title" : "DNA Repair", "id" : "ITEM-1", "issue" : "6", "issued" : { "date-parts" : [ [ "2008", "6", "1" ] ] }, "page" : "902-11", "title" : "The Fanconi anemia core complex is required for efficient point mutagenesis and Rev1 foci assembly.", "type" : "article-journal", "volume" : "7" }, "uris" : [ "http://www.mendeley.com/documents/?uuid=c9cc8798-b270-4eb9-9a2d-0c283718c09e" ] } ], "mendeley" : { "formattedCitation" : "(Mirchandani et al. 2008)", "plainTextFormattedCitation" : "(Mirchandani et al. 2008)", "previouslyFormattedCitation" : "(Mirchandani et al. 2008)"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(Mirchandani et al. 2008)</w:t>
      </w:r>
      <w:r w:rsidR="00F20EC0" w:rsidRPr="00DF0680">
        <w:rPr>
          <w:rFonts w:cs="Times New Roman"/>
        </w:rPr>
        <w:fldChar w:fldCharType="end"/>
      </w:r>
      <w:r w:rsidR="00E77AD1" w:rsidRPr="00DF0680">
        <w:rPr>
          <w:rFonts w:cs="Times New Roman"/>
        </w:rPr>
        <w:t xml:space="preserve">. </w:t>
      </w:r>
      <w:r w:rsidR="00676F58" w:rsidRPr="00DF0680">
        <w:rPr>
          <w:rFonts w:cs="Times New Roman"/>
        </w:rPr>
        <w:t xml:space="preserve">FAN1 can degrade single-stranded and double-stranded DNA and can cleave 5’ of </w:t>
      </w:r>
      <w:r w:rsidR="00E52DD8" w:rsidRPr="00DF0680">
        <w:rPr>
          <w:rFonts w:cs="Times New Roman"/>
        </w:rPr>
        <w:t>an</w:t>
      </w:r>
      <w:r w:rsidR="00676F58" w:rsidRPr="00DF0680">
        <w:rPr>
          <w:rFonts w:cs="Times New Roman"/>
        </w:rPr>
        <w:t xml:space="preserve"> ssDNA-dsDNA junc</w:t>
      </w:r>
      <w:r w:rsidR="001E1FC3" w:rsidRPr="00DF0680">
        <w:rPr>
          <w:rFonts w:cs="Times New Roman"/>
        </w:rPr>
        <w:t>tion, similar to those found</w:t>
      </w:r>
      <w:r w:rsidR="00676F58" w:rsidRPr="00DF0680">
        <w:rPr>
          <w:rFonts w:cs="Times New Roman"/>
        </w:rPr>
        <w:t xml:space="preserve"> at a stalled replication fork. </w:t>
      </w:r>
      <w:r w:rsidR="001D522D" w:rsidRPr="00DF0680">
        <w:rPr>
          <w:rFonts w:cs="Times New Roman"/>
        </w:rPr>
        <w:t>The most widely supported model for cross-link repair involves cleaving the DNA either side of the cross-link allowing it to be “unhooked” and allow</w:t>
      </w:r>
      <w:r w:rsidR="00EC56A5" w:rsidRPr="00DF0680">
        <w:rPr>
          <w:rFonts w:cs="Times New Roman"/>
        </w:rPr>
        <w:t>ing</w:t>
      </w:r>
      <w:r w:rsidR="001D522D" w:rsidRPr="00DF0680">
        <w:rPr>
          <w:rFonts w:cs="Times New Roman"/>
        </w:rPr>
        <w:t xml:space="preserve"> translesion polymerases to bypass the damage </w:t>
      </w:r>
      <w:r w:rsidR="00F20EC0" w:rsidRPr="00DF0680">
        <w:rPr>
          <w:rFonts w:cs="Times New Roman"/>
        </w:rPr>
        <w:fldChar w:fldCharType="begin" w:fldLock="1"/>
      </w:r>
      <w:r w:rsidR="00332613" w:rsidRPr="00DF0680">
        <w:rPr>
          <w:rFonts w:cs="Times New Roman"/>
        </w:rPr>
        <w:instrText>ADDIN CSL_CITATION { "citationItems" : [ { "id" : "ITEM-1", "itemData" : { "DOI" : "10.1038/nrc3088", "ISSN" : "1474-1768", "PMID" : "21701511", "abstract" : "Interstrand crosslinks (ICLs) are highly toxic DNA lesions that prevent transcription and replication by inhibiting DNA strand separation. Agents that induce ICLs were one of the earliest, and are still the most widely used, forms of chemotherapeutic drug. Only recently, however, have we begun to understand how cells repair these lesions. Important insights have come from studies of individuals with Fanconi anaemia (FA), a rare genetic disorder that leads to ICL sensitivity. Understanding how the FA pathway links nucleases, helicases and other DNA-processing enzymes should lead to more targeted uses of ICL-inducing agents in cancer treatment and could provide novel insights into drug resistance.", "author" : [ { "dropping-particle" : "", "family" : "Deans", "given" : "Andrew J", "non-dropping-particle" : "", "parse-names" : false, "suffix" : "" }, { "dropping-particle" : "", "family" : "West", "given" : "Stephen C", "non-dropping-particle" : "", "parse-names" : false, "suffix" : "" } ], "container-title" : "Nature Reviews. Cancer", "id" : "ITEM-1", "issue" : "7", "issued" : { "date-parts" : [ [ "2011", "7" ] ] }, "page" : "467-80", "publisher" : "Nature Publishing Group", "title" : "DNA interstrand crosslink repair and cancer.", "type" : "article-journal", "volume" : "11" }, "uris" : [ "http://www.mendeley.com/documents/?uuid=23db9db8-8069-43fb-855d-b945a0357470" ] } ], "mendeley" : { "formattedCitation" : "(Deans &amp; West 2011)", "plainTextFormattedCitation" : "(Deans &amp; West 2011)", "previouslyFormattedCitation" : "(Deans &amp; West 2011)"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(Deans &amp; West 2011)</w:t>
      </w:r>
      <w:r w:rsidR="00F20EC0" w:rsidRPr="00DF0680">
        <w:rPr>
          <w:rFonts w:cs="Times New Roman"/>
        </w:rPr>
        <w:fldChar w:fldCharType="end"/>
      </w:r>
      <w:r w:rsidR="001D522D" w:rsidRPr="00DF0680">
        <w:rPr>
          <w:rFonts w:cs="Times New Roman"/>
        </w:rPr>
        <w:t>.</w:t>
      </w:r>
      <w:r w:rsidR="00E77AD1" w:rsidRPr="00DF0680">
        <w:rPr>
          <w:rFonts w:cs="Times New Roman"/>
        </w:rPr>
        <w:t xml:space="preserve"> </w:t>
      </w:r>
      <w:r w:rsidR="00D53813" w:rsidRPr="00DF0680">
        <w:rPr>
          <w:rFonts w:cs="Times New Roman"/>
        </w:rPr>
        <w:t>FANCM can remodel stalled forks into a “chicken-foot” structure, and this</w:t>
      </w:r>
      <w:r w:rsidR="00E1791A" w:rsidRPr="00DF0680">
        <w:rPr>
          <w:rFonts w:cs="Times New Roman"/>
        </w:rPr>
        <w:t>, along with homologous recombination (which is covered below), can</w:t>
      </w:r>
      <w:r w:rsidR="00D53813" w:rsidRPr="00DF0680">
        <w:rPr>
          <w:rFonts w:cs="Times New Roman"/>
        </w:rPr>
        <w:t xml:space="preserve"> stabilise the stalled fork while the damage is being repaired</w:t>
      </w:r>
      <w:r w:rsidR="00064BB2" w:rsidRPr="00DF0680">
        <w:rPr>
          <w:rFonts w:cs="Times New Roman"/>
        </w:rPr>
        <w:t xml:space="preserve"> </w:t>
      </w:r>
      <w:r w:rsidR="00F20EC0" w:rsidRPr="00DF0680">
        <w:rPr>
          <w:rFonts w:cs="Times New Roman"/>
        </w:rPr>
        <w:fldChar w:fldCharType="begin" w:fldLock="1"/>
      </w:r>
      <w:r w:rsidR="00724E72" w:rsidRPr="00DF0680">
        <w:rPr>
          <w:rFonts w:cs="Times New Roman"/>
        </w:rPr>
        <w:instrText>ADDIN CSL_CITATION { "citationItems" : [ { "id" : "ITEM-1", "itemData" : { "author" : [ { "dropping-particle" : "", "family" : "Gari", "given" : "K", "non-dropping-particle" : "", "parse-names" : false, "suffix" : "" }, { "dropping-particle" : "", "family" : "D\u00e9caillet", "given" : "C", "non-dropping-particle" : "", "parse-names" : false, "suffix" : "" }, { "dropping-particle" : "", "family" : "Delannoy", "given" : "M", "non-dropping-particle" : "", "parse-names" : false, "suffix" : "" } ], "container-title" : "Proceedings of the National Academy of Sciences", "id" : "ITEM-1", "issue" : "42", "issued" : { "date-parts" : [ [ "2008" ] ] }, "page" : "16107-12", "title" : "Remodeling of DNA replication structures by the branch point translocase FANCM", "type" : "article-journal", "volume" : "105" }, "uris" : [ "http://www.mendeley.com/documents/?uuid=a8d7363d-3861-440f-9824-d19254d39917" ] }, { "id" : "ITEM-2", "itemData" : { "DOI" : "10.1016/j.molcel.2007.11.032", "ISSN" : "1097-2765", "PMID" : "18206976", "abstract" : "Fanconi anemia (FA) is a genetically heterogeneous cancer-prone disorder associated with chromosomal instability and cellular hypersensitivity to DNA crosslinking agents. The FA pathway is suspected to play a crucial role in the cellular response to DNA replication stress. At a molecular level, however, the function of most of the FA proteins is unknown. FANCM displays DNA-dependent ATPase activity and promotes the dissociation of DNA triplexes, but the physiological significance of this activity remains elusive. Here we show that purified FANCM binds to Holliday junctions and replication forks with high specificity and promotes migration of their junction point in an ATPase-dependent manner. Furthermore, we provide evidence that FANCM can dissociate large recombination intermediates, via branch migration of Holliday junctions through 2.6 kb of DNA. Our data suggest a direct role for FANCM in DNA processing, consistent with the current view that FA proteins coordinate DNA repair at stalled replication forks.", "author" : [ { "dropping-particle" : "", "family" : "Gari", "given" : "K", "non-dropping-particle" : "", "parse-names" : false, "suffix" : "" }, { "dropping-particle" : "", "family" : "D\u00e9caillet", "given" : "C", "non-dropping-particle" : "", "parse-names" : false, "suffix" : "" }, { "dropping-particle" : "", "family" : "Stasiak", "given" : "A Z", "non-dropping-particle" : "", "parse-names" : false, "suffix" : "" }, { "dropping-particle" : "", "family" : "Stasiak", "given" : "A", "non-dropping-particle" : "", "parse-names" : false, "suffix" : "" }, { "dropping-particle" : "", "family" : "Constantinou", "given" : "A", "non-dropping-particle" : "", "parse-names" : false, "suffix" : "" } ], "container-title" : "Molecular Cell", "id" : "ITEM-2", "issue" : "1", "issued" : { "date-parts" : [ [ "2008", "1", "18" ] ] }, "page" : "141-8", "title" : "The Fanconi anemia protein FANCM can promote branch migration of Holliday junctions and replication forks.", "type" : "article-journal", "volume" : "29" }, "uris" : [ "http://www.mendeley.com/documents/?uuid=580726cb-2e8b-42ab-932c-559896be5d33" ] }, { "id" : "ITEM-3", "itemData" : { "DOI" : "10.1016/j.molcel.2009.12.006", "ISSN" : "1097-4164", "PMID" : "20064461", "abstract" : "Fanconi Anemia (FA) and Bloom's Syndrome (BS) are genetic disorders characterized by overlapping phenotypes, including aberrant DNA repair and cancer predisposition. Here, we show that the FANCM gene product, FANCM protein, links FA and BS by acting as a protein anchor and bridge that targets key components of the FA and BS pathways to stalled replication forks, thus linking multiple components that are necessary for efficient DNA repair. Two highly conserved protein:protein interaction motifs in FANCM, designated MM1 and MM2, were identified. MM1 interacts with the FA core complex by binding to FANCF, whereas MM2 interacts with RM1 and topoisomerase IIIalpha, components of the BS complex. The MM1 and MM2 motifs were independently required to activate the FA and BS pathways. Moreover, a common phenotype of BS and FA cells-an elevated frequency of sister chromatid exchanges-was due to a loss of interaction of the two complexes through FANCM.", "author" : [ { "dropping-particle" : "", "family" : "Deans", "given" : "Andrew J", "non-dropping-particle" : "", "parse-names" : false, "suffix" : "" }, { "dropping-particle" : "", "family" : "West", "given" : "Stephen C", "non-dropping-particle" : "", "parse-names" : false, "suffix" : "" } ], "container-title" : "Molecular Cell", "id" : "ITEM-3", "issue" : "6", "issued" : { "date-parts" : [ [ "2009", "12", "25" ] ] }, "page" : "943-53", "publisher" : "Elsevier Ltd", "title" : "FANCM connects the genome instability disorders Bloom's Syndrome and Fanconi Anemia.", "type" : "article-journal", "volume" : "36" }, "uris" : [ "http://www.mendeley.com/documents/?uuid=fd6d27f5-6e21-4dcd-86c4-cd880092474b" ] } ], "mendeley" : { "formattedCitation" : "(Gari et al. 2008a; Gari et al. 2008b; Deans &amp; West 2009)", "plainTextFormattedCitation" : "(Gari et al. 2008a; Gari et al. 2008b; Deans &amp; West 2009)", "previouslyFormattedCitation" : "(Gari et al. 2008a; Gari et al. 2008b; Deans &amp; West 2009)" }, "properties" : { "noteIndex" : 0 }, "schema" : "https://github.com/citation-style-language/schema/raw/master/csl-citation.json" }</w:instrText>
      </w:r>
      <w:r w:rsidR="00F20EC0" w:rsidRPr="00DF0680">
        <w:rPr>
          <w:rFonts w:cs="Times New Roman"/>
        </w:rPr>
        <w:fldChar w:fldCharType="separate"/>
      </w:r>
      <w:r w:rsidR="00EA1B48" w:rsidRPr="00DF0680">
        <w:rPr>
          <w:rFonts w:cs="Times New Roman"/>
        </w:rPr>
        <w:t>(Gari et al. 2008a; Gari et al. 2008b; Deans &amp; West 2009)</w:t>
      </w:r>
      <w:r w:rsidR="00F20EC0" w:rsidRPr="00DF0680">
        <w:rPr>
          <w:rFonts w:cs="Times New Roman"/>
        </w:rPr>
        <w:fldChar w:fldCharType="end"/>
      </w:r>
      <w:r w:rsidR="00D53813" w:rsidRPr="00DF0680">
        <w:rPr>
          <w:rFonts w:cs="Times New Roman"/>
        </w:rPr>
        <w:t>.</w:t>
      </w:r>
      <w:r w:rsidR="00D8148B" w:rsidRPr="00DF0680">
        <w:rPr>
          <w:rFonts w:cs="Times New Roman"/>
        </w:rPr>
        <w:t xml:space="preserve"> Interestingly, along with repairing DNA cross-links, proteins of the Fanconi Anaemia group have been shown to have a role in promoting repair of endogenous, replication-associated double-strand breaks by homologous recombination</w:t>
      </w:r>
      <w:r w:rsidR="00E166E4"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"10.1093/hmg/ddi065", "ISSN" : "0964-6906", "PMID" : "15661754", "abstract" : "Fanconi anemia (FA) is a rare multi-genic, autosomal and X-linked recessive disorder characterized by hematological abnormalities, developmental defects and increased cancer susceptibility. Patient-derived FA cells display heightened sensitivity to DNA cross-linking agents such as mitomycin C (MMC). In response to DNA damaging agents, and during S-phase of the cell cycle, the FA pathway is activated via the mono-ubiquitination of FANCD2 (FANCD2-Ub), signaling its translocation to discrete nuclear foci, where it co-localizes with the central DNA repair proteins BRCA1 and RAD51. However, the exact function of activated FANCD2-Ub remains unclear. Here, we have characterized the role of the FA pathway in response to DNA replicative stress by aphidicolin (APH) and hydroxyurea (HU). The FA pathway is strongly activated in response to both agents. In addition, using patient-derived FA cell lines and siRNA targeting FANCD2, we demonstrate a functional requirement for the FA pathway in response to low doses of APH: a replicative stress treatment known to result in chromosome breakage at common fragile sites. Both the total number of chromosome gaps and breaks and breaks at the specific common fragile sites FRA3B and FRA16D were significantly elevated in the absence of an intact FA pathway. Furthermore, we demonstrate that APH activates the mono-ubiquitination of both FANCD2 and PCNA and the phosphorylation of RPA2, signaling processive DNA replication arrest. Following APH treatment, FANCD2-Ub co-localizes with PCNA (early) and RPA2 (late) in discrete nuclear foci. Our results demonstrate an integral role for the FA pathway in the DNA replication stress response.", "author" : [ { "dropping-particle" : "", "family" : "Howlett", "given" : "Niall G", "non-dropping-particle" : "", "parse-names" : false, "suffix" : "" }, { "dropping-particle" : "", "family" : "Taniguchi", "given" : "Toshiyasu", "non-dropping-particle" : "", "parse-names" : false, "suffix" : "" }, { "dropping-particle" : "", "family" : "Durkin", "given" : "Sandra G", "non-dropping-particle" : "", "parse-names" : false, "suffix" : "" }, { "dropping-particle" : "", "family" : "D'Andrea", "given" : "Alan D", "non-dropping-particle" : "", "parse-names" : false, "suffix" : "" }, { "dropping-particle" : "", "family" : "Glover", "given" : "Thomas W", "non-dropping-particle" : "", "parse-names" : false, "suffix" : "" } ], "container-title" : "Human Molecular Genetics", "id" : "ITEM-1", "issue" : "5", "issued" : { "date-parts" : [ [ "2005", "3", "1" ] ] }, "page" : "693-701", "title" : "The Fanconi anemia pathway is required for the DNA replication stress response and for the regulation of common fragile site stability.", "type" : "article-journal", "volume" : "14" }, "uris" : [ "http://www.mendeley.com/documents/?uuid=8229bcc6-9d47-4a61-9d60-fef24e6e1a51" ] }, { "id" : "ITEM-2", "itemData" : { "DOI" : "10.1182/blood-2002-01-0278", "ISSN" : "0006-4971", "PMID" : "12239151", "abstract" : "Fanconi anemia (FA) is a human autosomal recessive cancer susceptibility disorder characterized by cellular sensitivity to mitomycin C and defective cell-cycle progression. Six FA genes (corresponding to subtypes A, C, D2, E, F, and G) have been cloned, and the encoded FA proteins interact in a common pathway. DNA damage activates this pathway, leading to monoubiquitination of the downstream FANCD2 protein and targeting to nuclear foci containing BRCA1. In the current study, we demonstrate that FANCD2 also undergoes monoubiquitination during S phase of the cell cycle. Monoubiquitinated FANCD2 colocalizes with BRCA1 and RAD51 in S-phase-specific nuclear foci. Monoubiquitination of FANCD2 is required for normal cell-cycle progression following cellular exposure to mitomycin C. Our data indicate that the monoubiquitination of FANCD2 is highly regulated, and they suggest that FANCD2/BRCA1 complexes and FANCD2/RAD51 complexes participate in an S-phase-specific cellular process, such as DNA repair by homologous recombination.", "author" : [ { "dropping-particle" : "", "family" : "Taniguchi", "given" : "Toshiyasu", "non-dropping-particle" : "", "parse-names" : false, "suffix" : "" }, { "dropping-particle" : "", "family" : "Garcia-Higuera", "given" : "Irene", "non-dropping-particle" : "", "parse-names" : false, "suffix" : "" }, { "dropping-particle" : "", "family" : "Andreassen", "given" : "Paul R", "non-dropping-particle" : "", "parse-names" : false, "suffix" : "" }, { "dropping-particle" : "", "family" : "Gregory", "given" : "Richard C", "non-dropping-particle" : "", "parse-names" : false, "suffix" : "" }, { "dropping-particle" : "", "family" : "Grompe", "given" : "Markus", "non-dropping-particle" : "", "parse-names" : false, "suffix" : "" }, { "dropping-particle" : "", "family" : "D'Andrea", "given" : "Alan D", "non-dropping-particle" : "", "parse-names" : false, "suffix" : "" } ], "container-title" : "Blood", "id" : "ITEM-2", "issue" : "7", "issued" : { "date-parts" : [ [ "2002", "10", "1" ] ] }, "page" : "2414-20", "title" : "S-phase-specific interaction of the Fanconi anemia protein, FANCD2, with BRCA1 and RAD51.", "type" : "article-journal", "volume" : "100" }, "uris" : [ "http://www.mendeley.com/documents/?uuid=8a68d059-c530-4dc2-aad8-d1f1fa4aaee5" ] }, { "id" : "ITEM-3", "itemData" : { "ISSN" : "1097-2765", "PMID" : "11239454", "abstract" : "Fanconi anemia (FA) is a human autosomal recessive cancer susceptibility disorder characterized by cellular sensitivity to mitomycin C and ionizing radiation. Although six FA genes (for subtypes A, C, D2, E, F, and G) have been cloned, their relationship to DNA repair remains unknown. In the current study, we show that a nuclear complex containing the FANCA, FANCC, FANCF, and FANCG proteins is required for the activation of the FANCD2 protein to a monoubiquitinated isoform. In normal (non-FA) cells, FANCD2 is monoubiquitinated in response to DNA damage and is targeted to nuclear foci (dots). Activated FANCD2 protein colocalizes with the breast cancer susceptibility protein, BRCA1, in ionizing radiation-induced foci and in synaptonemal complexes of meiotic chromosomes. The FANCD2 protein, therefore, provides the missing link between the FA protein complex and the cellular BRCA1 repair machinery. Disruption of this pathway results in the cellular and clinical phenotype common to all FA subtypes.", "author" : [ { "dropping-particle" : "", "family" : "Garcia-Higuera", "given" : "I", "non-dropping-particle" : "", "parse-names" : false, "suffix" : "" }, { "dropping-particle" : "", "family" : "Taniguchi", "given" : "T", "non-dropping-particle" : "", "parse-names" : false, "suffix" : "" }, { "dropping-particle" : "", "family" : "Ganesan", "given" : "S", "non-dropping-particle" : "", "parse-names" : false, "suffix" : "" }, { "dropping-particle" : "", "family" : "Meyn", "given" : "M S", "non-dropping-particle" : "", "parse-names" : false, "suffix" : "" }, { "dropping-particle" : "", "family" : "Timmers", "given" : "C", "non-dropping-particle" : "", "parse-names" : false, "suffix" : "" }, { "dropping-particle" : "", "family" : "Hejna", "given" : "J", "non-dropping-particle" : "", "parse-names" : false, "suffix" : "" }, { "dropping-particle" : "", "family" : "Grompe", "given" : "M", "non-dropping-particle" : "", "parse-names" : false, "suffix" : "" }, { "dropping-particle" : "", "family" : "D'Andrea", "given" : "a D", "non-dropping-particle" : "", "parse-names" : false, "suffix" : "" } ], "container-title" : "Molecular Cell", "id" : "ITEM-3", "issue" : "2", "issued" : { "date-parts" : [ [ "2001", "2" ] ] }, "page" : "249-62", "title" : "Interaction of the Fanconi anemia proteins and BRCA1 in a common pathway.", "type" : "article-journal", "volume" : "7" }, "uris" : [ "http://www.mendeley.com/documents/?uuid=c649a8e7-3d5b-45e0-9650-2a4582f237d8" ] }, { "id" : "ITEM-4", "itemData" : { "DOI" : "10.1038/onc.2012.627", "ISSN" : "1476-5594", "PMID" : "23318456", "abstract" : "Uveal melanoma (UM) is unique among cancers in displaying reduced endogenous levels of sister chromatid exchange (SCE). Here we demonstrate that FANCD2 expression is reduced in UM and that ectopic expression of FANCD2 increased SCE. Similarly, FANCD2-deficient fibroblasts (PD20) derived from Fanconi anaemia patients displayed reduced spontaneous SCE formation relative to their FANCD2-complemented counterparts, suggesting that this observation is not specific to UM. In addition, spontaneous RAD51 foci were reduced in UM and PD20 cells compared with FANCD2-proficient cells. This is consistent with a model where spontaneous SCEs are the end product of endogenous recombination events and implicates FANCD2 in the promotion of recombination-mediated repair of endogenous DNA damage and in SCE formation during normal DNA replication. In both UM and PD20 cells, low SCE was reversed by inhibiting DNA-PKcs (DNA-dependent protein kinase, catalytic subunit). Finally, we demonstrate that both PD20 and UM are sensitive to acetaldehyde, supporting a role for FANCD2 in repair of lesions induced by such endogenous metabolites. Together, these data suggest FANCD2 may promote spontaneous SCE by influencing which double-strand break repair pathway predominates during normal S-phase progression.", "author" : [ { "dropping-particle" : "", "family" : "Gravells", "given" : "P", "non-dropping-particle" : "", "parse-names" : false, "suffix" : "" }, { "dropping-particle" : "", "family" : "Hoh", "given" : "L", "non-dropping-particle" : "", "parse-names" : false, "suffix" : "" }, { "dropping-particle" : "", "family" : "Solovieva", "given" : "S", "non-dropping-particle" : "", "parse-names" : false, "suffix" : "" }, { "dropping-particle" : "", "family" : "Patil", "given" : "a", "non-dropping-particle" : "", "parse-names" : false, "suffix" : "" }, { "dropping-particle" : "", "family" : "Dudziec", "given" : "E", "non-dropping-particle" : "", "parse-names" : false, "suffix" : "" }, { "dropping-particle" : "", "family" : "Rennie", "given" : "I G", "non-dropping-particle" : "", "parse-names" : false, "suffix" : "" }, { "dropping-particle" : "", "family" : "Sisley", "given" : "K", "non-dropping-particle" : "", "parse-names" : false, "suffix" : "" }, { "dropping-particle" : "", "family" : "Bryant", "given" : "H E", "non-dropping-particle" : "", "parse-names" : false, "suffix" : "" } ], "container-title" : "Oncogene", "id" : "ITEM-4", "issue" : "46", "issued" : { "date-parts" : [ [ "2013", "11", "14" ] ] }, "page" : "5338-46", "publisher" : "Nature Publishing Group", "title" : "Reduced FANCD2 influences spontaneous SCE and RAD51 foci formation in uveal melanoma and Fanconi anaemia.", "type" : "article-journal", "volume" : "32" }, "uris" : [ "http://www.mendeley.com/documents/?uuid=470e7087-33f4-41de-bfc1-99aa4012736a" ] }, { "id" : "ITEM-5", "itemData" : { "DOI" : "10.1128/MCB.26.2.425-437.2006", "ISSN" : "0270-7306", "PMID" : "16382135", "abstract" : "Fanconi anemia (FA) is a multigene cancer susceptibility disorder characterized by cellular hypersensitivity to DNA interstrand cross-linking agents such as mitomycin C (MMC). FA proteins are suspected to function at the interface between cell cycle checkpoints, DNA repair, and DNA replication. Using replicating extracts from Xenopus eggs, we developed cell-free assays for FA proteins (xFA). Recruitment of the xFA core complex and xFANCD2 to chromatin is strictly dependent on replication initiation, even in the presence of MMC indicating specific recruitment to DNA lesions encountered by the replication machinery. The increase in xFA chromatin binding following treatment with MMC is part of a caffeine-sensitive S-phase checkpoint that is controlled by xATR. Recruitment of xFANCD2, but not xFANCA, is dependent on the xATR-xATR-interacting protein (xATRIP) complex. Immunodepletion of either xFANCA or xFANCD2 from egg extracts results in accumulation of chromosomal DNA breaks during replicative synthesis. Our results suggest coordinated chromatin recruitment of xFA proteins in response to replication-associated DNA lesions and indicate that xFA proteins function to prevent the accumulation of DNA breaks that arise during unperturbed replication.", "author" : [ { "dropping-particle" : "", "family" : "Sobeck", "given" : "Alexandra", "non-dropping-particle" : "", "parse-names" : false, "suffix" : "" }, { "dropping-particle" : "", "family" : "Stone", "given" : "Stacie", "non-dropping-particle" : "", "parse-names" : false, "suffix" : "" }, { "dropping-particle" : "", "family" : "Costanzo", "given" : "Vincenzo", "non-dropping-particle" : "", "parse-names" : false, "suffix" : "" }, { "dropping-particle" : "", "family" : "Graaf", "given" : "Bendert", "non-dropping-particle" : "de", "parse-names" : false, "suffix" : "" }, { "dropping-particle" : "", "family" : "Reuter", "given" : "Tanja", "non-dropping-particle" : "", "parse-names" : false, "suffix" : "" }, { "dropping-particle" : "", "family" : "Winter", "given" : "Johan", "non-dropping-particle" : "de", "parse-names" : false, "suffix" : "" }, { "dropping-particle" : "", "family" : "Wallisch", "given" : "Michael", "non-dropping-particle" : "", "parse-names" : false, "suffix" : "" }, { "dropping-particle" : "", "family" : "Akkari", "given" : "Yassmine", "non-dropping-particle" : "", "parse-names" : false, "suffix" : "" }, { "dropping-particle" : "", "family" : "Olson", "given" : "Susan", "non-dropping-particle" : "", "parse-names" : false, "suffix" : "" }, { "dropping-particle" : "", "family" : "Wang", "given" : "Weidong", "non-dropping-particle" : "", "parse-names" : false, "suffix" : "" }, { "dropping-particle" : "", "family" : "Joenje", "given" : "Hans", "non-dropping-particle" : "", "parse-names" : false, "suffix" : "" }, { "dropping-particle" : "", "family" : "Christian", "given" : "Jan L", "non-dropping-particle" : "", "parse-names" : false, "suffix" : "" }, { "dropping-particle" : "", "family" : "Lupardus", "given" : "Patrick J", "non-dropping-particle" : "", "parse-names" : false, "suffix" : "" }, { "dropping-particle" : "", "family" : "Cimprich", "given" : "Karlene a", "non-dropping-particle" : "", "parse-names" : false, "suffix" : "" }, { "dropping-particle" : "", "family" : "Gautier", "given" : "Jean", "non-dropping-particle" : "", "parse-names" : false, "suffix" : "" }, { "dropping-particle" : "", "family" : "Hoatlin", "given" : "Maureen E", "non-dropping-particle" : "", "parse-names" : false, "suffix" : "" } ], "container-title" : "Molecular and Cellular Biology", "id" : "ITEM-5", "issue" : "2", "issued" : { "date-parts" : [ [ "2006", "1" ] ] }, "page" : "425-37", "title" : "Fanconi anemia proteins are required to prevent accumulation of replication-associated DNA double-strand breaks.", "type" : "article-journal", "volume" : "26" }, "uris" : [ "http://www.mendeley.com/documents/?uuid=3e33fb60-9c8f-4aee-8757-dbdaabfa7ac4" ] } ], "mendeley" : { "formattedCitation" : "(Howlett et al. 2005; Taniguchi et al. 2002; Garcia-Higuera et al. 2001; Gravells et al. 2013; Sobeck et al. 2006)", "plainTextFormattedCitation" : "(Howlett et al. 2005; Taniguchi et al. 2002; Garcia-Higuera et al. 2001; Gravells et al. 2013; Sobeck et al. 2006)", "previouslyFormattedCitation" : "(Howlett et al. 2005; Taniguchi et al. 2002; Garcia-Higuera et al. 2001; Gravells et al. 2013; Sobeck et al. 2006)" }, "properties" : { "noteIndex" : 0 }, "schema" : "https://github.com/citation-style-language/schema/raw/master/csl-citation.json" }</w:instrText>
      </w:r>
      <w:r w:rsidR="00F20EC0" w:rsidRPr="00DF0680">
        <w:rPr>
          <w:rFonts w:cs="Times New Roman"/>
        </w:rPr>
        <w:fldChar w:fldCharType="separate"/>
      </w:r>
      <w:r w:rsidR="00E166E4" w:rsidRPr="00DF0680">
        <w:rPr>
          <w:rFonts w:cs="Times New Roman"/>
        </w:rPr>
        <w:t>(Howlett et al. 2005; Taniguchi et al. 2002; Garcia-Higuera et al. 2001; Gravells et al. 2013; Sobeck et al. 2006)</w:t>
      </w:r>
      <w:r w:rsidR="00F20EC0" w:rsidRPr="00DF0680">
        <w:rPr>
          <w:rFonts w:cs="Times New Roman"/>
        </w:rPr>
        <w:fldChar w:fldCharType="end"/>
      </w:r>
      <w:r w:rsidR="00D8148B" w:rsidRPr="00DF0680">
        <w:rPr>
          <w:rFonts w:cs="Times New Roman"/>
        </w:rPr>
        <w:t xml:space="preserve">. </w:t>
      </w:r>
    </w:p>
    <w:p w:rsidR="00700888" w:rsidRPr="00DF0680" w:rsidRDefault="00CE6110" w:rsidP="00E664FC">
      <w:pPr>
        <w:pStyle w:val="Heading4"/>
      </w:pPr>
      <w:bookmarkStart w:id="75" w:name="_Toc417204095"/>
      <w:bookmarkStart w:id="76" w:name="_Toc417674332"/>
      <w:r w:rsidRPr="00DF0680">
        <w:lastRenderedPageBreak/>
        <w:t>Translesion s</w:t>
      </w:r>
      <w:r w:rsidR="00700888" w:rsidRPr="00DF0680">
        <w:t>ynthesis</w:t>
      </w:r>
      <w:bookmarkEnd w:id="75"/>
      <w:bookmarkEnd w:id="76"/>
    </w:p>
    <w:p w:rsidR="00CD2397" w:rsidRPr="00DF0680" w:rsidRDefault="002A57CF" w:rsidP="00507244">
      <w:pPr>
        <w:rPr>
          <w:rFonts w:cs="Times New Roman"/>
        </w:rPr>
      </w:pPr>
      <w:r w:rsidRPr="00DF0680">
        <w:rPr>
          <w:rFonts w:cs="Times New Roman"/>
        </w:rPr>
        <w:t>The replicative, p</w:t>
      </w:r>
      <w:r w:rsidR="00B66603" w:rsidRPr="00DF0680">
        <w:rPr>
          <w:rFonts w:cs="Times New Roman"/>
        </w:rPr>
        <w:t xml:space="preserve">rocessive polymerases </w:t>
      </w:r>
      <w:r w:rsidRPr="00DF0680">
        <w:rPr>
          <w:rFonts w:cs="Times New Roman"/>
        </w:rPr>
        <w:t>usually used to complete</w:t>
      </w:r>
      <w:r w:rsidR="00B66603" w:rsidRPr="00DF0680">
        <w:rPr>
          <w:rFonts w:cs="Times New Roman"/>
        </w:rPr>
        <w:t xml:space="preserve"> DNA synthesis cannot bypass DNA lesions</w:t>
      </w:r>
      <w:r w:rsidR="003D2339" w:rsidRPr="00DF0680">
        <w:rPr>
          <w:rFonts w:cs="Times New Roman"/>
        </w:rPr>
        <w:t xml:space="preserve"> or bulky adducts</w:t>
      </w:r>
      <w:r w:rsidR="00B66603" w:rsidRPr="00DF0680">
        <w:rPr>
          <w:rFonts w:cs="Times New Roman"/>
        </w:rPr>
        <w:t xml:space="preserve">. </w:t>
      </w:r>
      <w:r w:rsidRPr="00DF0680">
        <w:rPr>
          <w:rFonts w:cs="Times New Roman"/>
        </w:rPr>
        <w:t>Thus, w</w:t>
      </w:r>
      <w:r w:rsidR="00B66603" w:rsidRPr="00DF0680">
        <w:rPr>
          <w:rFonts w:cs="Times New Roman"/>
        </w:rPr>
        <w:t xml:space="preserve">hen </w:t>
      </w:r>
      <w:r w:rsidRPr="00DF0680">
        <w:rPr>
          <w:rFonts w:cs="Times New Roman"/>
        </w:rPr>
        <w:t>a</w:t>
      </w:r>
      <w:r w:rsidR="00B66603" w:rsidRPr="00DF0680">
        <w:rPr>
          <w:rFonts w:cs="Times New Roman"/>
        </w:rPr>
        <w:t xml:space="preserve"> replication fork reaches a lesion, DNA damage signalling pathways trigger </w:t>
      </w:r>
      <w:r w:rsidR="003D2339" w:rsidRPr="00DF0680">
        <w:rPr>
          <w:rFonts w:cs="Times New Roman"/>
        </w:rPr>
        <w:t>the recruitment of</w:t>
      </w:r>
      <w:r w:rsidR="00B66603" w:rsidRPr="00DF0680">
        <w:rPr>
          <w:rFonts w:cs="Times New Roman"/>
        </w:rPr>
        <w:t xml:space="preserve"> specialised translesion polymerases</w:t>
      </w:r>
      <w:r w:rsidRPr="00DF0680">
        <w:rPr>
          <w:rFonts w:cs="Times New Roman"/>
        </w:rPr>
        <w:t>, which, as their name suggests, can bypass such lesions</w:t>
      </w:r>
      <w:r w:rsidR="00B66603" w:rsidRPr="00DF0680">
        <w:rPr>
          <w:rFonts w:cs="Times New Roman"/>
        </w:rPr>
        <w:t xml:space="preserve">. </w:t>
      </w:r>
      <w:r w:rsidR="00216480" w:rsidRPr="00DF0680">
        <w:rPr>
          <w:rFonts w:cs="Times New Roman"/>
        </w:rPr>
        <w:t xml:space="preserve">An example of a translesion polymerase </w:t>
      </w:r>
      <w:r w:rsidR="00BD33F3" w:rsidRPr="00DF0680">
        <w:rPr>
          <w:rFonts w:cs="Times New Roman"/>
        </w:rPr>
        <w:t xml:space="preserve">is the DNA polymerase </w:t>
      </w:r>
      <w:r w:rsidR="00B0370E" w:rsidRPr="00DF0680">
        <w:rPr>
          <w:rFonts w:cs="Times New Roman"/>
        </w:rPr>
        <w:t xml:space="preserve">η, encoded by </w:t>
      </w:r>
      <w:r w:rsidR="00644A8C" w:rsidRPr="00DF0680">
        <w:rPr>
          <w:rFonts w:cs="Times New Roman"/>
        </w:rPr>
        <w:t xml:space="preserve">the </w:t>
      </w:r>
      <w:r w:rsidR="00B0370E" w:rsidRPr="00DF0680">
        <w:rPr>
          <w:rFonts w:cs="Times New Roman"/>
        </w:rPr>
        <w:t>XPV</w:t>
      </w:r>
      <w:r w:rsidR="00644A8C" w:rsidRPr="00DF0680">
        <w:rPr>
          <w:rFonts w:cs="Times New Roman"/>
        </w:rPr>
        <w:t xml:space="preserve"> gene</w:t>
      </w:r>
      <w:r w:rsidR="00B0370E" w:rsidRPr="00DF0680">
        <w:rPr>
          <w:rFonts w:cs="Times New Roman"/>
        </w:rPr>
        <w:t xml:space="preserve">. Often mutated in xeroderma pigmentosum, </w:t>
      </w:r>
      <w:r w:rsidR="00163BDD" w:rsidRPr="00DF0680">
        <w:rPr>
          <w:rFonts w:cs="Times New Roman"/>
        </w:rPr>
        <w:t xml:space="preserve">polymerase η </w:t>
      </w:r>
      <w:r w:rsidR="002415BD" w:rsidRPr="00DF0680">
        <w:rPr>
          <w:rFonts w:cs="Times New Roman"/>
        </w:rPr>
        <w:t>is the main polymerase responsible for replicating</w:t>
      </w:r>
      <w:r w:rsidR="00163BDD" w:rsidRPr="00DF0680">
        <w:rPr>
          <w:rFonts w:cs="Times New Roman"/>
        </w:rPr>
        <w:t xml:space="preserve"> past cyc</w:t>
      </w:r>
      <w:r w:rsidR="00663625" w:rsidRPr="00DF0680">
        <w:rPr>
          <w:rFonts w:cs="Times New Roman"/>
        </w:rPr>
        <w:t>lobutane pyrimidine dimers (CPDs)</w:t>
      </w:r>
      <w:r w:rsidR="002415BD" w:rsidRPr="00DF0680">
        <w:rPr>
          <w:rFonts w:cs="Times New Roman"/>
        </w:rPr>
        <w:t xml:space="preserve">, usually associated with exposure to UV light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"Masutani", "given" : "Chikahide", "non-dropping-particle" : "", "parse-names" : false, "suffix" : "" }, { "dropping-particle" : "", "family" : "Kusumoto", "given" : "Rika", "non-dropping-particle" : "", "parse-names" : false, "suffix" : "" }, { "dropping-particle" : "", "family" : "Yamada", "given" : "Ayumi", "non-dropping-particle" : "", "parse-names" : false, "suffix" : "" } ], "container-title" : "Nature", "id" : "ITEM-1", "issue" : "6737", "issued" : { "date-parts" : [ [ "1999" ] ] }, "page" : "700-704", "title" : "The XPV (xeroderma pigmentosum variant) gene encodes human DNA polymerase \u03b7", "type" : "article-journal", "volume" : "399" }, "uris" : [ "http://www.mendeley.com/documents/?uuid=9a953884-9a19-44b4-a860-901cadd82696" ] }, { "id" : "ITEM-2", "itemData" : { "DOI" : "10.1016/j.dnarep.2005.06.010", "ISSN" : "1568-7864", "PMID" : "16055392", "abstract" : "In translesion synthesis (TLS), specialized DNA polymerases (pols) facilitate progression of replication forks stalled by DNA damage. Although multiple TLS pols have been identified in eukaryotes, little is known about endogenous TLS pols and their relative contributions to TLS in vivo because of their low cellular abundance. Taking advantage of Xenopus laevis oocyte cells, with their extraordinary size and abundant enzymes involved in DNA metabolism, we have identified and characterized endogenous TLS pols for DNA damage induced by ultraviolet (UV) irradiation. We designed a TLS assay which monitors primer elongation on a synthetic oligomer template over a single UV-induced lesion, either a cys-syn cyclobutane pyrimidine dimer (CPD) or a pyrimidine (6-4) pyrimidone photoproduct. Four distinct TLS activities (TLS1-TLS4) were identified in X. laevis oocyte extracts, using three template/primer (T/P) DNA substrates having various sites at which primer extension is initiated relative to the lesion. TLS1 and TLS2 activities appear to be sequence-dependent. TLS3 and TLS4 extended the primers over the CPD in an error-free manner irrespective of sequence context. Base insertion opposite the CPD of the T/P substrate in which the 3'-end of the primer is placed one base upstream of the lesion was observed only with TLS3. TLS3 and TLS4 showed primer extension with similar efficiencies on the T/P substrate whose 3'-primer terminal dinucleotide (AA) was complementary to the CPD lesion. Investigations with antibodies and recombinant pols revealed that TLS3 and TLS4 were most likely attributable to pol eta and pol kappa, respectively. These results indicate that error-free insertion in CPD bypass is due mainly to pol eta (TLS3) in the extracts, and suggest that pol kappa (TLS4) may assist pol eta (TLS3) in error-free extension during CPD bypass.", "author" : [ { "dropping-particle" : "", "family" : "Yagi", "given" : "Yoshihiko", "non-dropping-particle" : "", "parse-names" : false, "suffix" : "" }, { "dropping-particle" : "", "family" : "Ogawara", "given" : "Daichi", "non-dropping-particle" : "", "parse-names" : false, "suffix" : "" }, { "dropping-particle" : "", "family" : "Iwai", "given" : "Shigenori", "non-dropping-particle" : "", "parse-names" : false, "suffix" : "" }, { "dropping-particle" : "", "family" : "Hanaoka", "given" : "Fumio", "non-dropping-particle" : "", "parse-names" : false, "suffix" : "" }, { "dropping-particle" : "", "family" : "Akiyama", "given" : "Masahiro", "non-dropping-particle" : "", "parse-names" : false, "suffix" : "" }, { "dropping-particle" : "", "family" : "Maki", "given" : "Hisaji", "non-dropping-particle" : "", "parse-names" : false, "suffix" : "" } ], "container-title" : "DNA Repair", "id" : "ITEM-2", "issue" : "11", "issued" : { "date-parts" : [ [ "2005", "11", "21" ] ] }, "page" : "1252-69", "title" : "DNA polymerases eta and kappa are responsible for error-free translesion DNA synthesis activity over a cis-syn thymine dimer in Xenopus laevis oocyte extracts.", "type" : "article-journal", "volume" : "4" }, "uris" : [ "http://www.mendeley.com/documents/?uuid=ee1a6fec-6430-4d07-afc5-a8ab9e1513d9" ] }, { "id" : "ITEM-3", "itemData" : { "author" : [ { "dropping-particle" : "", "family" : "Johnson", "given" : "Robert E", "non-dropping-particle" : "", "parse-names" : false, "suffix" : "" }, { "dropping-particle" : "", "family" : "Prakash", "given" : "Satya", "non-dropping-particle" : "", "parse-names" : false, "suffix" : "" }, { "dropping-particle" : "", "family" : "Prakash", "given" : "Louise", "non-dropping-particle" : "", "parse-names" : false, "suffix" : "" } ], "container-title" : "Science", "id" : "ITEM-3", "issue" : "5404", "issued" : { "date-parts" : [ [ "1999" ] ] }, "page" : "1001-1004", "title" : "Efficient Bypass of a Thymine-Thymine Dimer by Yeast DNA Polymerase, Pol eta", "type" : "article-journal", "volume" : "283" }, "uris" : [ "http://www.mendeley.com/documents/?uuid=4d1649ec-dc5f-44f0-a97a-a0fc8a0dcc12" ] } ], "mendeley" : { "formattedCitation" : "(Masutani et al. 1999; Yagi et al. 2005; Johnson et al. 1999)", "plainTextFormattedCitation" : "(Masutani et al. 1999; Yagi et al. 2005; Johnson et al. 1999)", "previouslyFormattedCitation" : "(Masutani et al. 1999; Yagi et al. 2005; Johnson et al. 1999)" }, "properties" : { "noteIndex" : 0 }, "schema" : "https://github.com/citation-style-language/schema/raw/master/csl-citation.json" }</w:instrText>
      </w:r>
      <w:r w:rsidR="00F20EC0" w:rsidRPr="00DF0680">
        <w:rPr>
          <w:rFonts w:cs="Times New Roman"/>
        </w:rPr>
        <w:fldChar w:fldCharType="separate"/>
      </w:r>
      <w:r w:rsidR="002415BD" w:rsidRPr="00DF0680">
        <w:rPr>
          <w:rFonts w:cs="Times New Roman"/>
        </w:rPr>
        <w:t>(Masutani et al. 1999; Yagi et al. 2005; Johnson et al. 1999)</w:t>
      </w:r>
      <w:r w:rsidR="00F20EC0" w:rsidRPr="00DF0680">
        <w:rPr>
          <w:rFonts w:cs="Times New Roman"/>
        </w:rPr>
        <w:fldChar w:fldCharType="end"/>
      </w:r>
      <w:r w:rsidR="003D2339" w:rsidRPr="00DF0680">
        <w:rPr>
          <w:rFonts w:cs="Times New Roman"/>
        </w:rPr>
        <w:t>. Pol η</w:t>
      </w:r>
      <w:r w:rsidR="00507244" w:rsidRPr="00DF0680">
        <w:rPr>
          <w:rFonts w:cs="Times New Roman"/>
        </w:rPr>
        <w:t xml:space="preserve"> has </w:t>
      </w:r>
      <w:r w:rsidR="003D2339" w:rsidRPr="00DF0680">
        <w:rPr>
          <w:rFonts w:cs="Times New Roman"/>
        </w:rPr>
        <w:t xml:space="preserve">also </w:t>
      </w:r>
      <w:r w:rsidR="00507244" w:rsidRPr="00DF0680">
        <w:rPr>
          <w:rFonts w:cs="Times New Roman"/>
        </w:rPr>
        <w:t xml:space="preserve">been shown to extend D-loops </w:t>
      </w:r>
      <w:r w:rsidR="004D495E" w:rsidRPr="00DF0680">
        <w:rPr>
          <w:rFonts w:cs="Times New Roman"/>
          <w:i/>
        </w:rPr>
        <w:t>in vitro</w:t>
      </w:r>
      <w:r w:rsidR="00507244"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"10.1016/j.molcel.2005.10.001", "ISSN" : "1097-2765", "PMID" : "16337601", "abstract" : "Stalled replication forks pose a serious threat to genome integrity. To overcome the catastrophic consequences associated with fork demise, translesion synthesis (TLS) polymerases such as poleta promote DNA synthesis past lesions. Alternatively, a stalled fork may collapse and undergo repair by homologous recombination. By using fractionated cell extracts and purified recombinant proteins, we show that poleta extends DNA synthesis from D loop recombination intermediates in which an invading strand serves as the primer. Extracts from XP-V cells, which are defective in poleta, exhibit severely reduced D loop extension activity. The D loop extension activity of poleta is unusual, as this reaction cannot be promoted by the replicative DNA polymerase delta or by other TLS polymerases such as poliota. Moreover, we find that poleta interacts with RAD51 recombinase and RAD51 stimulates poleta-mediated D loop extension. Our results indicate a dual function for poleta at stalled replication forks: the promotion of translesion synthesis and the reinitiation of DNA synthesis by homologous recombination repair.", "author" : [ { "dropping-particle" : "", "family" : "McIlwraith", "given" : "Michael J", "non-dropping-particle" : "", "parse-names" : false, "suffix" : "" }, { "dropping-particle" : "", "family" : "Mcllwraith", "given" : "Michael J", "non-dropping-particle" : "", "parse-names" : false, "suffix" : "" }, { "dropping-particle" : "", "family" : "Vaisman", "given" : "Alexandra", "non-dropping-particle" : "", "parse-names" : false, "suffix" : "" }, { "dropping-particle" : "", "family" : "Liu", "given" : "Yilun", "non-dropping-particle" : "", "parse-names" : false, "suffix" : "" }, { "dropping-particle" : "", "family" : "Fanning", "given" : "Ellen", "non-dropping-particle" : "", "parse-names" : false, "suffix" : "" }, { "dropping-particle" : "", "family" : "Woodgate", "given" : "Roger", "non-dropping-particle" : "", "parse-names" : false, "suffix" : "" }, { "dropping-particle" : "", "family" : "West", "given" : "Stephen C", "non-dropping-particle" : "", "parse-names" : false, "suffix" : "" } ], "container-title" : "Molecular Cell", "id" : "ITEM-1", "issue" : "5", "issued" : { "date-parts" : [ [ "2005", "12", "9" ] ] }, "page" : "783-92", "title" : "Human DNA polymerase eta promotes DNA synthesis from strand invasion intermediates of homologous recombination.", "type" : "article-journal", "volume" : "20" }, "uris" : [ "http://www.mendeley.com/documents/?uuid=f497eeca-3e7a-4fbd-9d85-772c6320b452" ] } ], "mendeley" : { "formattedCitation" : "(McIlwraith et al. 2005)", "plainTextFormattedCitation" : "(McIlwraith et al. 2005)", "previouslyFormattedCitation" : "(McIlwraith et al. 2005)" }, "properties" : { "noteIndex" : 0 }, "schema" : "https://github.com/citation-style-language/schema/raw/master/csl-citation.json" }</w:instrText>
      </w:r>
      <w:r w:rsidR="00F20EC0" w:rsidRPr="00DF0680">
        <w:rPr>
          <w:rFonts w:cs="Times New Roman"/>
        </w:rPr>
        <w:fldChar w:fldCharType="separate"/>
      </w:r>
      <w:r w:rsidR="00507244" w:rsidRPr="00DF0680">
        <w:rPr>
          <w:rFonts w:cs="Times New Roman"/>
        </w:rPr>
        <w:t>(McIlwraith et al. 2005)</w:t>
      </w:r>
      <w:r w:rsidR="00F20EC0" w:rsidRPr="00DF0680">
        <w:rPr>
          <w:rFonts w:cs="Times New Roman"/>
        </w:rPr>
        <w:fldChar w:fldCharType="end"/>
      </w:r>
      <w:r w:rsidR="00507244" w:rsidRPr="00DF0680">
        <w:rPr>
          <w:rFonts w:cs="Times New Roman"/>
        </w:rPr>
        <w:t>.</w:t>
      </w:r>
      <w:r w:rsidR="002415BD" w:rsidRPr="00DF0680">
        <w:rPr>
          <w:rFonts w:cs="Times New Roman"/>
        </w:rPr>
        <w:t xml:space="preserve"> </w:t>
      </w:r>
      <w:r w:rsidR="00507244" w:rsidRPr="00DF0680">
        <w:rPr>
          <w:rFonts w:cs="Times New Roman"/>
        </w:rPr>
        <w:t>Other translesion polymerases include Rev1, Pol ζ and Pol κ</w:t>
      </w:r>
      <w:r w:rsidRPr="00DF0680">
        <w:rPr>
          <w:rFonts w:cs="Times New Roman"/>
        </w:rPr>
        <w:t>,</w:t>
      </w:r>
      <w:r w:rsidR="00507244" w:rsidRPr="00DF0680">
        <w:rPr>
          <w:rFonts w:cs="Times New Roman"/>
        </w:rPr>
        <w:t xml:space="preserve"> and play a role in spontaneous and DNA damage induced mutagenesis </w:t>
      </w:r>
      <w:r w:rsidR="00F20EC0" w:rsidRPr="00DF0680">
        <w:rPr>
          <w:rFonts w:cs="Times New Roman"/>
        </w:rPr>
        <w:fldChar w:fldCharType="begin" w:fldLock="1"/>
      </w:r>
      <w:r w:rsidR="00332613" w:rsidRPr="00DF0680">
        <w:rPr>
          <w:rFonts w:cs="Times New Roman"/>
        </w:rPr>
        <w:instrText>ADDIN CSL_CITATION { "citationItems" : [ { "id" : "ITEM-1", "itemData" : { "DOI" : "10.1128/MMBR.00034-08", "ISSN" : "1098-5557", "PMID" : "19258535", "abstract" : "DNA repair and DNA damage tolerance machineries are crucial to overcome the vast array of DNA damage that a cell encounters during its lifetime. In this review, we summarize the current state of knowledge about the eukaryotic DNA damage tolerance pathway translesion synthesis (TLS), a process in which specialized DNA polymerases replicate across from DNA lesions. TLS aids in resistance to DNA damage, presumably by restarting stalled replication forks or filling in gaps that remain in the genome due to the presence of DNA lesions. One consequence of this process is the potential risk of introducing mutations. Given the role of these translesion polymerases in mutagenesis, we discuss the significant regulatory mechanisms that control the five known eukaryotic translesion polymerases: Rev1, Pol zeta, Pol kappa, Pol eta, and Pol iota.", "author" : [ { "dropping-particle" : "", "family" : "Waters", "given" : "Lauren S", "non-dropping-particle" : "", "parse-names" : false, "suffix" : "" }, { "dropping-particle" : "", "family" : "Minesinger", "given" : "Brenda K", "non-dropping-particle" : "", "parse-names" : false, "suffix" : "" }, { "dropping-particle" : "", "family" : "Wiltrout", "given" : "Mary Ellen", "non-dropping-particle" : "", "parse-names" : false, "suffix" : "" }, { "dropping-particle" : "", "family" : "D'Souza", "given" : "Sanjay", "non-dropping-particle" : "", "parse-names" : false, "suffix" : "" }, { "dropping-particle" : "V", "family" : "Woodruff", "given" : "Rachel", "non-dropping-particle" : "", "parse-names" : false, "suffix" : "" }, { "dropping-particle" : "", "family" : "Walker", "given" : "Graham C", "non-dropping-particle" : "", "parse-names" : false, "suffix" : "" } ], "container-title" : "Microbiology and Molecular Biology Reviews", "id" : "ITEM-1", "issue" : "1", "issued" : { "date-parts" : [ [ "2009", "3" ] ] }, "page" : "134-54", "title" : "Eukaryotic translesion polymerases and their roles and regulation in DNA damage tolerance.", "type" : "article-journal", "volume" : "73" }, "uris" : [ "http://www.mendeley.com/documents/?uuid=8f501b9e-13ba-455c-a176-c27eb8c53a5f" ] } ], "mendeley" : { "formattedCitation" : "(Waters et al. 2009)", "plainTextFormattedCitation" : "(Waters et al. 2009)", "previouslyFormattedCitation" : "(Waters et al. 2009)" }, "properties" : { "noteIndex" : 0 }, "schema" : "https://github.com/citation-style-language/schema/raw/master/csl-citation.json" }</w:instrText>
      </w:r>
      <w:r w:rsidR="00F20EC0" w:rsidRPr="00DF0680">
        <w:rPr>
          <w:rFonts w:cs="Times New Roman"/>
        </w:rPr>
        <w:fldChar w:fldCharType="separate"/>
      </w:r>
      <w:r w:rsidR="00507244" w:rsidRPr="00DF0680">
        <w:rPr>
          <w:rFonts w:cs="Times New Roman"/>
        </w:rPr>
        <w:t>(Waters et al. 2009)</w:t>
      </w:r>
      <w:r w:rsidR="00F20EC0" w:rsidRPr="00DF0680">
        <w:rPr>
          <w:rFonts w:cs="Times New Roman"/>
        </w:rPr>
        <w:fldChar w:fldCharType="end"/>
      </w:r>
      <w:r w:rsidR="00507244" w:rsidRPr="00DF0680">
        <w:rPr>
          <w:rFonts w:cs="Times New Roman"/>
        </w:rPr>
        <w:t xml:space="preserve">. </w:t>
      </w:r>
      <w:r w:rsidR="0087205E" w:rsidRPr="00DF0680">
        <w:rPr>
          <w:rFonts w:cs="Times New Roman"/>
        </w:rPr>
        <w:t>Pol κ a</w:t>
      </w:r>
      <w:r w:rsidR="00BF3EFC" w:rsidRPr="00DF0680">
        <w:rPr>
          <w:rFonts w:cs="Times New Roman"/>
        </w:rPr>
        <w:t>lso contributes to signalling at</w:t>
      </w:r>
      <w:r w:rsidR="0087205E" w:rsidRPr="00DF0680">
        <w:rPr>
          <w:rFonts w:cs="Times New Roman"/>
        </w:rPr>
        <w:t xml:space="preserve"> stalled replication forks,</w:t>
      </w:r>
      <w:r w:rsidR="00BF3EFC" w:rsidRPr="00DF0680">
        <w:rPr>
          <w:rFonts w:cs="Times New Roman"/>
        </w:rPr>
        <w:t xml:space="preserve"> synthesising short DNA intermediates and</w:t>
      </w:r>
      <w:r w:rsidR="0087205E" w:rsidRPr="00DF0680">
        <w:rPr>
          <w:rFonts w:cs="Times New Roman"/>
        </w:rPr>
        <w:t xml:space="preserve"> interacting with the 9-1-1 complex </w:t>
      </w:r>
      <w:r w:rsidR="00F20EC0" w:rsidRPr="00DF0680">
        <w:rPr>
          <w:rFonts w:cs="Times New Roman"/>
        </w:rPr>
        <w:fldChar w:fldCharType="begin" w:fldLock="1"/>
      </w:r>
      <w:r w:rsidR="00332613" w:rsidRPr="00DF0680">
        <w:rPr>
          <w:rFonts w:cs="Times New Roman"/>
        </w:rPr>
        <w:instrText>ADDIN CSL_CITATION { "citationItems" : [ { "id" : "ITEM-1", "itemData" : { "DOI" : "10.1038/emboj.2013.148", "ISSN" : "1460-2075", "PMID" : "23799366", "abstract" : "Formation of primed single-stranded DNA at stalled replication forks triggers activation of the replication checkpoint signalling cascade resulting in the ATR-mediated phosphorylation of the Chk1 protein kinase, thus preventing genomic instability. By using siRNA-mediated depletion in human cells and immunodepletion and reconstitution experiments in Xenopus egg extracts, we report that the Y-family translesion (TLS) DNA polymerase kappa (Pol \u03ba) contributes to the replication checkpoint response and is required for recovery after replication stress. We found that Pol \u03ba is implicated in the synthesis of short DNA intermediates at stalled forks, facilitating the recruitment of the 9-1-1 checkpoint clamp. Furthermore, we show that Pol \u03ba interacts with the Rad9 subunit of the 9-1-1 complex. Finally, we show that this novel checkpoint function of Pol \u03ba is required for the maintenance of genomic stability and cell proliferation in unstressed human cells.", "author" : [ { "dropping-particle" : "", "family" : "B\u00e9tous", "given" : "R\u00e9my", "non-dropping-particle" : "", "parse-names" : false, "suffix" : "" }, { "dropping-particle" : "", "family" : "Pillaire", "given" : "Marie-Jeanne", "non-dropping-particle" : "", "parse-names" : false, "suffix" : "" }, { "dropping-particle" : "", "family" : "Pierini", "given" : "Laura", "non-dropping-particle" : "", "parse-names" : false, "suffix" : "" }, { "dropping-particle" : "", "family" : "Laan", "given" : "Siem", "non-dropping-particle" : "van der", "parse-names" : false, "suffix" : "" }, { "dropping-particle" : "", "family" : "Recolin", "given" : "B\u00e9n\u00e9dicte", "non-dropping-particle" : "", "parse-names" : false, "suffix" : "" }, { "dropping-particle" : "", "family" : "Ohl-S\u00e9guy", "given" : "Emma", "non-dropping-particle" : "", "parse-names" : false, "suffix" : "" }, { "dropping-particle" : "", "family" : "Guo", "given" : "Caixia", "non-dropping-particle" : "", "parse-names" : false, "suffix" : "" }, { "dropping-particle" : "", "family" : "Niimi", "given" : "Naoko", "non-dropping-particle" : "", "parse-names" : false, "suffix" : "" }, { "dropping-particle" : "", "family" : "Gr\u00faz", "given" : "Petr", "non-dropping-particle" : "", "parse-names" : false, "suffix" : "" }, { "dropping-particle" : "", "family" : "Nohmi", "given" : "Takehiko", "non-dropping-particle" : "", "parse-names" : false, "suffix" : "" }, { "dropping-particle" : "", "family" : "Friedberg", "given" : "Errol", "non-dropping-particle" : "", "parse-names" : false, "suffix" : "" }, { "dropping-particle" : "", "family" : "Cazaux", "given" : "Christophe", "non-dropping-particle" : "", "parse-names" : false, "suffix" : "" }, { "dropping-particle" : "", "family" : "Maiorano", "given" : "Domenico", "non-dropping-particle" : "", "parse-names" : false, "suffix" : "" }, { "dropping-particle" : "", "family" : "Hoffmann", "given" : "Jean-S\u00e9bastien", "non-dropping-particle" : "", "parse-names" : false, "suffix" : "" } ], "container-title" : "The EMBO Journal", "id" : "ITEM-1", "issue" : "15", "issued" : { "date-parts" : [ [ "2013", "7", "31" ] ] }, "page" : "2172-85", "title" : "DNA polymerase \u03ba-dependent DNA synthesis at stalled replication forks is important for CHK1 activation.", "type" : "article-journal", "volume" : "32" }, "uris" : [ "http://www.mendeley.com/documents/?uuid=b2fc785c-641a-4f9d-9f21-89afd00df986" ] } ], "mendeley" : { "formattedCitation" : "(B\u00e9tous et al. 2013)", "plainTextFormattedCitation" : "(B\u00e9tous et al. 2013)", "previouslyFormattedCitation" : "(B\u00e9tous et al. 2013)" }, "properties" : { "noteIndex" : 0 }, "schema" : "https://github.com/citation-style-language/schema/raw/master/csl-citation.json" }</w:instrText>
      </w:r>
      <w:r w:rsidR="00F20EC0" w:rsidRPr="00DF0680">
        <w:rPr>
          <w:rFonts w:cs="Times New Roman"/>
        </w:rPr>
        <w:fldChar w:fldCharType="separate"/>
      </w:r>
      <w:r w:rsidR="0087205E" w:rsidRPr="00DF0680">
        <w:rPr>
          <w:rFonts w:cs="Times New Roman"/>
        </w:rPr>
        <w:t>(Bétous et al. 2013)</w:t>
      </w:r>
      <w:r w:rsidR="00F20EC0" w:rsidRPr="00DF0680">
        <w:rPr>
          <w:rFonts w:cs="Times New Roman"/>
        </w:rPr>
        <w:fldChar w:fldCharType="end"/>
      </w:r>
      <w:r w:rsidR="0087205E" w:rsidRPr="00DF0680">
        <w:rPr>
          <w:rFonts w:cs="Times New Roman"/>
        </w:rPr>
        <w:t>.</w:t>
      </w:r>
      <w:r w:rsidR="00162D2B" w:rsidRPr="00DF0680">
        <w:rPr>
          <w:rFonts w:cs="Times New Roman"/>
        </w:rPr>
        <w:t xml:space="preserve"> </w:t>
      </w:r>
      <w:r w:rsidR="003D2339" w:rsidRPr="00DF0680">
        <w:rPr>
          <w:rFonts w:cs="Times New Roman"/>
        </w:rPr>
        <w:t>Recruitment and activation of these t</w:t>
      </w:r>
      <w:r w:rsidR="00162D2B" w:rsidRPr="00DF0680">
        <w:rPr>
          <w:rFonts w:cs="Times New Roman"/>
        </w:rPr>
        <w:t xml:space="preserve">ranslesion polymerases </w:t>
      </w:r>
      <w:r w:rsidR="003D2339" w:rsidRPr="00DF0680">
        <w:rPr>
          <w:rFonts w:cs="Times New Roman"/>
        </w:rPr>
        <w:t>is</w:t>
      </w:r>
      <w:r w:rsidR="00162D2B" w:rsidRPr="00DF0680">
        <w:rPr>
          <w:rFonts w:cs="Times New Roman"/>
        </w:rPr>
        <w:t xml:space="preserve"> thought to be </w:t>
      </w:r>
      <w:r w:rsidR="003D2339" w:rsidRPr="00DF0680">
        <w:rPr>
          <w:rFonts w:cs="Times New Roman"/>
        </w:rPr>
        <w:t xml:space="preserve">through </w:t>
      </w:r>
      <w:r w:rsidR="00162D2B" w:rsidRPr="00DF0680">
        <w:rPr>
          <w:rFonts w:cs="Times New Roman"/>
        </w:rPr>
        <w:t>the ubiquitination of PCNA upon DNA damage</w:t>
      </w:r>
      <w:r w:rsidR="00C66315" w:rsidRPr="00DF0680">
        <w:rPr>
          <w:rFonts w:cs="Times New Roman"/>
        </w:rPr>
        <w:t xml:space="preserve"> by the RAD6/RAD18 proteins</w:t>
      </w:r>
      <w:r w:rsidR="00162D2B"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"10.1126/science.1120615", "ISSN" : "1095-9203", "PMID" : "16357261", "abstract" : "Translesion synthesis (TLS) is the major pathway by which mammalian cells replicate across DNA lesions. Upon DNA damage, ubiquitination of proliferating cell nuclear antigen (PCNA) induces bypass of the lesion by directing the replication machinery into the TLS pathway. Yet, how this modification is recognized and interpreted in the cell remains unclear. Here we describe the identification of two ubiquitin (Ub)-binding domains (UBM and UBZ), which are evolutionarily conserved in all Y-family TLS polymerases (pols). These domains are required for binding of poleta and poliota to ubiquitin, their accumulation in replication factories, and their interaction with monoubiquitinated PCNA. Moreover, the UBZ domain of poleta is essential to efficiently restore a normal response to ultraviolet irradiation in xeroderma pigmentosum variant (XP-V) fibroblasts. Our results indicate that Ub-binding domains of Y-family polymerases play crucial regulatory roles in TLS.", "author" : [ { "dropping-particle" : "", "family" : "Bienko", "given" : "Marzena", "non-dropping-particle" : "", "parse-names" : false, "suffix" : "" }, { "dropping-particle" : "", "family" : "Green", "given" : "Catherine M", "non-dropping-particle" : "", "parse-names" : false, "suffix" : "" }, { "dropping-particle" : "", "family" : "Crosetto", "given" : "Nicola", "non-dropping-particle" : "", "parse-names" : false, "suffix" : "" }, { "dropping-particle" : "", "family" : "Rudolf", "given" : "Fabian", "non-dropping-particle" : "", "parse-names" : false, "suffix" : "" }, { "dropping-particle" : "", "family" : "Zapart", "given" : "Grzegorz", "non-dropping-particle" : "", "parse-names" : false, "suffix" : "" }, { "dropping-particle" : "", "family" : "Coull", "given" : "Barry", "non-dropping-particle" : "", "parse-names" : false, "suffix" : "" }, { "dropping-particle" : "", "family" : "Kannouche", "given" : "Patricia", "non-dropping-particle" : "", "parse-names" : false, "suffix" : "" }, { "dropping-particle" : "", "family" : "Wider", "given" : "Gerhard", "non-dropping-particle" : "", "parse-names" : false, "suffix" : "" }, { "dropping-particle" : "", "family" : "Peter", "given" : "Matthias", "non-dropping-particle" : "", "parse-names" : false, "suffix" : "" }, { "dropping-particle" : "", "family" : "Lehmann", "given" : "Alan R", "non-dropping-particle" : "", "parse-names" : false, "suffix" : "" }, { "dropping-particle" : "", "family" : "Hofmann", "given" : "Kay", "non-dropping-particle" : "", "parse-names" : false, "suffix" : "" }, { "dropping-particle" : "", "family" : "Dikic", "given" : "Ivan", "non-dropping-particle" : "", "parse-names" : false, "suffix" : "" } ], "container-title" : "Science", "id" : "ITEM-1", "issue" : "5755", "issued" : { "date-parts" : [ [ "2005", "12", "16" ] ] }, "page" : "1821-4", "title" : "Ubiquitin-binding domains in Y-family polymerases regulate translesion synthesis.", "type" : "article-journal", "volume" : "310" }, "uris" : [ "http://www.mendeley.com/documents/?uuid=c38be123-f2cb-477b-a3ff-a9d57914442c" ] }, { "id" : "ITEM-2", "itemData" : { "author" : [ { "dropping-particle" : "", "family" : "Kannouche", "given" : "PL", "non-dropping-particle" : "", "parse-names" : false, "suffix" : "" }, { "dropping-particle" : "", "family" : "Wing", "given" : "Jonathan", "non-dropping-particle" : "", "parse-names" : false, "suffix" : "" }, { "dropping-particle" : "", "family" : "Lehmann", "given" : "AR", "non-dropping-particle" : "", "parse-names" : false, "suffix" : "" } ], "container-title" : "Molecular Cell", "id" : "ITEM-2", "issue" : "4", "issued" : { "date-parts" : [ [ "2004" ] ] }, "page" : "491-500", "title" : "Interaction of human DNA polymerase \u03b7 with monoubiquitinated PCNA: a possible mechanism for the polymerase switch in response to DNA damage", "type" : "article-journal", "volume" : "14" }, "uris" : [ "http://www.mendeley.com/documents/?uuid=769ee1b5-c497-4f54-964b-d60fa8f4cc59" ] }, { "id" : "ITEM-3", "itemData" : { "DOI" : "10.1073/pnas.0505949102", "ISSN" : "0027-8424", "PMID" : "16344468", "abstract" : "In response to DNA damage, the Rad6/Rad18 ubiquitin-conjugating complex monoubiquitinates the replication clamp proliferating cell nuclear antigen (PCNA) at Lys-164. Although ubiquitination of PCNA is recognized as an essential step in initiating postreplication repair, the mechanistic relevance of this modification has remained elusive. Here, we describe a robust in vitro system that ubiquitinates yeast PCNA specifically on Lys-164. Significantly, only those PCNA clamps that are appropriately loaded around effector DNA by its loader, replication factor C, are ubiquitinated. This observation suggests that, in vitro, only PCNA present at stalled replication forks is ubiquitinated. Ubiquitinated PCNA displays the same replicative functions as unmodified PCNA. These functions include loading onto DNA by replication factor C, as well as Okazaki fragment synthesis and maturation by the PCNA-coordinated actions of DNA polymerase delta, the flap endonuclease FEN1, and DNA ligase I. However, whereas the activity of DNA polymerase zeta remains unaffected by ubiquitination of PCNA, ubiquitinated PCNA specifically activates two key enzymes in translesion synthesis: DNA polymerase eta, the yeast Xeroderma pigmentosum ortholog, and Rev1, a deoxycytidyl transferase that functions in organizing the mutagenic DNA replication machinery. We propose that ubiquitination of PCNA increases its functionality as a sliding clamp to promote mutagenic DNA replication.", "author" : [ { "dropping-particle" : "", "family" : "Garg", "given" : "Parie", "non-dropping-particle" : "", "parse-names" : false, "suffix" : "" }, { "dropping-particle" : "", "family" : "Burgers", "given" : "Peter M", "non-dropping-particle" : "", "parse-names" : false, "suffix" : "" } ], "container-title" : "Proceedings of the National Academy of Sciences", "id" : "ITEM-3", "issue" : "51", "issued" : { "date-parts" : [ [ "2005", "12", "20" ] ] }, "page" : "18361-6", "title" : "Ubiquitinated proliferating cell nuclear antigen activates translesion DNA polymerases eta and REV1.", "type" : "article-journal", "volume" : "102" }, "uris" : [ "http://www.mendeley.com/documents/?uuid=885441c8-7d78-4881-9fcf-4079b06a981f" ] }, { "id" : "ITEM-4", "itemData" : { "DOI" : "10.1038/sj.emboj.7600383", "ISSN" : "0261-4189", "PMID" : "15359278", "abstract" : "The DNA replication machinery stalls at damaged sites on templates, but normally restarts by switching to a specialized DNA polymerase(s) that carries out translesion DNA synthesis (TLS). In human cells, DNA polymerase eta (poleta) accumulates at stalling sites as nuclear foci, and is involved in ultraviolet (UV)-induced TLS. Here we show that poleta does not form nuclear foci in RAD18(-/-) cells after UV irradiation. Both Rad18 and Rad6 are required for poleta focus formation. In wild-type cells, UV irradiation induces relocalization of Rad18 in the nucleus, thereby stimulating colocalization with proliferating cell nuclear antigen (PCNA), and Rad18/Rad6-dependent PCNA monoubiquitination. Purified Rad18 and Rad6B monoubiquitinate PCNA in vitro. Rad18 associates with poleta constitutively through domains on their C-terminal regions, and this complex accumulates at the foci after UV irradiation. Furthermore, poleta interacts preferentially with monoubiquitinated PCNA, but poldelta does not. These results suggest that Rad18 is crucial for recruitment of poleta to the damaged site through protein-protein interaction and PCNA monoubiquitination.", "author" : [ { "dropping-particle" : "", "family" : "Watanabe", "given" : "Kenji", "non-dropping-particle" : "", "parse-names" : false, "suffix" : "" }, { "dropping-particle" : "", "family" : "Tateishi", "given" : "Satoshi", "non-dropping-particle" : "", "parse-names" : false, "suffix" : "" }, { "dropping-particle" : "", "family" : "Kawasuji", "given" : "Michio", "non-dropping-particle" : "", "parse-names" : false, "suffix" : "" }, { "dropping-particle" : "", "family" : "Tsurimoto", "given" : "Toshiki", "non-dropping-particle" : "", "parse-names" : false, "suffix" : "" }, { "dropping-particle" : "", "family" : "Inoue", "given" : "Hirokazu", "non-dropping-particle" : "", "parse-names" : false, "suffix" : "" }, { "dropping-particle" : "", "family" : "Yamaizumi", "given" : "Masaru", "non-dropping-particle" : "", "parse-names" : false, "suffix" : "" } ], "container-title" : "The EMBO Journal", "id" : "ITEM-4", "issue" : "19", "issued" : { "date-parts" : [ [ "2004", "10", "1" ] ] }, "page" : "3886-96", "title" : "Rad18 guides poleta to replication stalling sites through physical interaction and PCNA monoubiquitination.", "type" : "article-journal", "volume" : "23" }, "uris" : [ "http://www.mendeley.com/documents/?uuid=8bb1ab3a-351a-45d8-8b51-9772cc96c531" ] }, { "id" : "ITEM-5", "itemData" : { "DOI" : "10.1128/MCB.26.9.3527-3540.2006", "ISSN" : "0270-7306", "PMID" : "16611994", "abstract" : "We have investigated mechanisms that recruit the translesion synthesis (TLS) DNA polymerase Polkappa to stalled replication forks. The DNA polymerase processivity factor PCNA is monoubiquitinated and interacts with Polkappa in cells treated with the bulky adduct-forming genotoxin benzo[a]pyrene dihydrodiol epoxide (BPDE). A monoubiquitination-defective mutant form of PCNA fails to interact with Polkappa. Small interfering RNA-mediated downregulation of the E3 ligase Rad18 inhibits BPDE-induced PCNA ubiquitination and association between PCNA and Polkappa. Conversely, overexpressed Rad18 induces PCNA ubiquitination and association between PCNA and Polkappa in a DNA damage-independent manner. Therefore, association of Polkappa with PCNA is regulated by Rad18-mediated PCNA ubiquitination. Cells from Rad18(-/-) transgenic mice show defective recovery from BPDE-induced S-phase checkpoints. In Rad18(-/-) cells, BPDE induces elevated and persistent activation of checkpoint kinases, indicating persistently stalled forks due to defective TLS. Rad18-deficient cells show reduced viability after BPDE challenge compared with wild-type cells (but survival after hydroxyurea or ionizing radiation treatment is unaffected by Rad18 deficiency). Inhibition of RPA/ATR/Chk1-mediated S-phase checkpoint signaling partially inhibited BPDE-induced PCNA ubiquitination and prevented interactions between PCNA and Polkappa. Taken together, our results indicate that ATR/Chk1 signaling is required for Rad18-mediated PCNA monoubiquitination. Recruitment of Polkappa to ubiquitinated PCNA enables lesion bypass and eliminates stalled forks, thereby attenuating the S-phase checkpoint.", "author" : [ { "dropping-particle" : "", "family" : "Bi", "given" : "Xiaohui", "non-dropping-particle" : "", "parse-names" : false, "suffix" : "" }, { "dropping-particle" : "", "family" : "Barkley", "given" : "Laura R", "non-dropping-particle" : "", "parse-names" : false, "suffix" : "" }, { "dropping-particle" : "", "family" : "Slater", "given" : "Damien M", "non-dropping-particle" : "", "parse-names" : false, "suffix" : "" }, { "dropping-particle" : "", "family" : "Tateishi", "given" : "Satoshi", "non-dropping-particle" : "", "parse-names" : false, "suffix" : "" }, { "dropping-particle" : "", "family" : "Yamaizumi", "given" : "Masaru", "non-dropping-particle" : "", "parse-names" : false, "suffix" : "" }, { "dropping-particle" : "", "family" : "Ohmori", "given" : "Haruo", "non-dropping-particle" : "", "parse-names" : false, "suffix" : "" }, { "dropping-particle" : "", "family" : "Vaziri", "given" : "Cyrus", "non-dropping-particle" : "", "parse-names" : false, "suffix" : "" } ], "container-title" : "Molecular and Cellular Biology", "id" : "ITEM-5", "issue" : "9", "issued" : { "date-parts" : [ [ "2006", "5" ] ] }, "page" : "3527-40", "title" : "Rad18 regulates DNA polymerase kappa and is required for recovery from S-phase checkpoint-mediated arrest.", "type" : "article-journal", "volume" : "26" }, "uris" : [ "http://www.mendeley.com/documents/?uuid=c1cf99e1-e5c5-465d-8349-7d153c34efb9" ] } ], "mendeley" : { "formattedCitation" : "(Bienko et al. 2005; Kannouche et al. 2004; Garg &amp; Burgers 2005; Watanabe et al. 2004; Bi et al. 2006)", "plainTextFormattedCitation" : "(Bienko et al. 2005; Kannouche et al. 2004; Garg &amp; Burgers 2005; Watanabe et al. 2004; Bi et al. 2006)", "previouslyFormattedCitation" : "(Bienko et al. 2005; Kannouche et al. 2004; Garg &amp; Burgers 2005; Watanabe et al. 2004; Bi et al. 2006)" }, "properties" : { "noteIndex" : 0 }, "schema" : "https://github.com/citation-style-language/schema/raw/master/csl-citation.json" }</w:instrText>
      </w:r>
      <w:r w:rsidR="00F20EC0" w:rsidRPr="00DF0680">
        <w:rPr>
          <w:rFonts w:cs="Times New Roman"/>
        </w:rPr>
        <w:fldChar w:fldCharType="separate"/>
      </w:r>
      <w:r w:rsidR="00C66315" w:rsidRPr="00DF0680">
        <w:rPr>
          <w:rFonts w:cs="Times New Roman"/>
        </w:rPr>
        <w:t>(Bienko et al. 2005; Kannouche et al. 2004; Garg &amp; Burgers 2005; Watanabe et al. 2004; Bi et al. 2006)</w:t>
      </w:r>
      <w:r w:rsidR="00F20EC0" w:rsidRPr="00DF0680">
        <w:rPr>
          <w:rFonts w:cs="Times New Roman"/>
        </w:rPr>
        <w:fldChar w:fldCharType="end"/>
      </w:r>
      <w:r w:rsidR="00162D2B" w:rsidRPr="00DF0680">
        <w:rPr>
          <w:rFonts w:cs="Times New Roman"/>
        </w:rPr>
        <w:t>.</w:t>
      </w:r>
      <w:r w:rsidRPr="00DF0680">
        <w:rPr>
          <w:rFonts w:cs="Times New Roman"/>
        </w:rPr>
        <w:t xml:space="preserve"> </w:t>
      </w:r>
      <w:r w:rsidR="00C66315" w:rsidRPr="00DF0680">
        <w:rPr>
          <w:rFonts w:cs="Times New Roman"/>
        </w:rPr>
        <w:t xml:space="preserve">The ubiquitin signal on PCNA can be removed by deubiquitinating enzymes (DUBs), such as USP1, when the DNA damage is removed </w:t>
      </w:r>
      <w:r w:rsidR="00F20EC0" w:rsidRPr="00DF0680">
        <w:rPr>
          <w:rFonts w:cs="Times New Roman"/>
        </w:rPr>
        <w:fldChar w:fldCharType="begin" w:fldLock="1"/>
      </w:r>
      <w:r w:rsidR="00332613" w:rsidRPr="00DF0680">
        <w:rPr>
          <w:rFonts w:cs="Times New Roman"/>
        </w:rPr>
        <w:instrText>ADDIN CSL_CITATION { "citationItems" : [ { "id" : "ITEM-1", "itemData" : { "DOI" : "10.1038/ncb1378", "ISSN" : "1465-7392", "PMID" : "16531995", "abstract" : "Monoubiquitination is a reversible post-translational protein modification that has an important regulatory function in many biological processes, including DNA repair. Deubiquitinating enzymes (DUBs) are proteases that are negative regulators of monoubiquitination, but little is known about their regulation and contribution to the control of conjugated-substrate levels. Here, we show that the DUB ubiquitin specific protease 1 (USP1) deubiquitinates the DNA replication processivity factor, PCNA, as a safeguard against error-prone translesion synthesis (TLS) of DNA. Ultraviolet (UV) irradiation inactivates USP1 through an autocleavage event, thus enabling monoubiquitinated PCNA to accumulate and to activate TLS. Significantly, the site of USP1 cleavage is immediately after a conserved internal ubiquitin-like diglycine (Gly-Gly) motif. This mechanism is reminiscent of the processing of precursors of ubiquitin and ubiquitin-like modifiers by DUBs. Our results define a regulatory mechanism for protein ubiquitination that involves the signal-induced degradation of an inhibitory DUB.", "author" : [ { "dropping-particle" : "", "family" : "Huang", "given" : "Tony T", "non-dropping-particle" : "", "parse-names" : false, "suffix" : "" }, { "dropping-particle" : "", "family" : "Nijman", "given" : "Sebastian M B", "non-dropping-particle" : "", "parse-names" : false, "suffix" : "" }, { "dropping-particle" : "", "family" : "Mirchandani", "given" : "Kanchan D", "non-dropping-particle" : "", "parse-names" : false, "suffix" : "" }, { "dropping-particle" : "", "family" : "Galardy", "given" : "Paul J", "non-dropping-particle" : "", "parse-names" : false, "suffix" : "" }, { "dropping-particle" : "", "family" : "Cohn", "given" : "Martin a", "non-dropping-particle" : "", "parse-names" : false, "suffix" : "" }, { "dropping-particle" : "", "family" : "Haas", "given" : "Wilhelm", "non-dropping-particle" : "", "parse-names" : false, "suffix" : "" }, { "dropping-particle" : "", "family" : "Gygi", "given" : "Steven P", "non-dropping-particle" : "", "parse-names" : false, "suffix" : "" }, { "dropping-particle" : "", "family" : "Ploegh", "given" : "Hidde L", "non-dropping-particle" : "", "parse-names" : false, "suffix" : "" }, { "dropping-particle" : "", "family" : "Bernards", "given" : "Ren\u00e9", "non-dropping-particle" : "", "parse-names" : false, "suffix" : "" }, { "dropping-particle" : "", "family" : "D'Andrea", "given" : "Alan D", "non-dropping-particle" : "", "parse-names" : false, "suffix" : "" } ], "container-title" : "Nature Cell Biology", "id" : "ITEM-1", "issue" : "4", "issued" : { "date-parts" : [ [ "2006", "4" ] ] }, "page" : "339-47", "title" : "Regulation of monoubiquitinated PCNA by DUB autocleavage.", "type" : "article-journal", "volume" : "8" }, "uris" : [ "http://www.mendeley.com/documents/?uuid=eaf8e159-7b32-490d-8685-9e5ce5c96695" ] } ], "mendeley" : { "formattedCitation" : "(Huang et al. 2006)", "plainTextFormattedCitation" : "(Huang et al. 2006)", "previouslyFormattedCitation" : "(Huang et al. 2006)" }, "properties" : { "noteIndex" : 0 }, "schema" : "https://github.com/citation-style-language/schema/raw/master/csl-citation.json" }</w:instrText>
      </w:r>
      <w:r w:rsidR="00F20EC0" w:rsidRPr="00DF0680">
        <w:rPr>
          <w:rFonts w:cs="Times New Roman"/>
        </w:rPr>
        <w:fldChar w:fldCharType="separate"/>
      </w:r>
      <w:r w:rsidR="00C66315" w:rsidRPr="00DF0680">
        <w:rPr>
          <w:rFonts w:cs="Times New Roman"/>
        </w:rPr>
        <w:t>(Huang et al. 2006)</w:t>
      </w:r>
      <w:r w:rsidR="00F20EC0" w:rsidRPr="00DF0680">
        <w:rPr>
          <w:rFonts w:cs="Times New Roman"/>
        </w:rPr>
        <w:fldChar w:fldCharType="end"/>
      </w:r>
      <w:r w:rsidR="00C66315" w:rsidRPr="00DF0680">
        <w:rPr>
          <w:rFonts w:cs="Times New Roman"/>
        </w:rPr>
        <w:t xml:space="preserve">. This process allows successful and complete DNA replication through harmful lesions. </w:t>
      </w:r>
      <w:r w:rsidR="00CD2397" w:rsidRPr="00DF0680">
        <w:rPr>
          <w:rFonts w:cs="Times New Roman"/>
        </w:rPr>
        <w:t>However, translesion polymerases are more inaccurate than replicative polymerases due to their lack of proofreading activity, with error rates varying between one mis</w:t>
      </w:r>
      <w:r w:rsidR="00E52DD8" w:rsidRPr="00DF0680">
        <w:rPr>
          <w:rFonts w:cs="Times New Roman"/>
        </w:rPr>
        <w:t>-</w:t>
      </w:r>
      <w:r w:rsidR="00CD2397" w:rsidRPr="00DF0680">
        <w:rPr>
          <w:rFonts w:cs="Times New Roman"/>
        </w:rPr>
        <w:t xml:space="preserve">incorporated base in every 10 and one in every 1000 bases replicated </w:t>
      </w:r>
      <w:r w:rsidR="00F20EC0" w:rsidRPr="00DF0680">
        <w:rPr>
          <w:rFonts w:cs="Times New Roman"/>
        </w:rPr>
        <w:fldChar w:fldCharType="begin" w:fldLock="1"/>
      </w:r>
      <w:r w:rsidR="003723C6" w:rsidRPr="00DF0680">
        <w:rPr>
          <w:rFonts w:cs="Times New Roman"/>
        </w:rPr>
        <w:instrText>ADDIN CSL_CITATION { "citationItems" : [ { "id" : "ITEM-1", "itemData" : { "DOI" : "10.1128/MMBR.00034-08", "ISSN" : "1098-5557", "PMID" : "19258535", "abstract" : "DNA repair and DNA damage tolerance machineries are crucial to overcome the vast array of DNA damage that a cell encounters during its lifetime. In this review, we summarize the current state of knowledge about the eukaryotic DNA damage tolerance pathway translesion synthesis (TLS), a process in which specialized DNA polymerases replicate across from DNA lesions. TLS aids in resistance to DNA damage, presumably by restarting stalled replication forks or filling in gaps that remain in the genome due to the presence of DNA lesions. One consequence of this process is the potential risk of introducing mutations. Given the role of these translesion polymerases in mutagenesis, we discuss the significant regulatory mechanisms that control the five known eukaryotic translesion polymerases: Rev1, Pol zeta, Pol kappa, Pol eta, and Pol iota.", "author" : [ { "dropping-particle" : "", "family" : "Waters", "given" : "Lauren S", "non-dropping-particle" : "", "parse-names" : false, "suffix" : "" }, { "dropping-particle" : "", "family" : "Minesinger", "given" : "Brenda K", "non-dropping-particle" : "", "parse-names" : false, "suffix" : "" }, { "dropping-particle" : "", "family" : "Wiltrout", "given" : "Mary Ellen", "non-dropping-particle" : "", "parse-names" : false, "suffix" : "" }, { "dropping-particle" : "", "family" : "D'Souza", "given" : "Sanjay", "non-dropping-particle" : "", "parse-names" : false, "suffix" : "" }, { "dropping-particle" : "V", "family" : "Woodruff", "given" : "Rachel", "non-dropping-particle" : "", "parse-names" : false, "suffix" : "" }, { "dropping-particle" : "", "family" : "Walker", "given" : "Graham C", "non-dropping-particle" : "", "parse-names" : false, "suffix" : "" } ], "container-title" : "Microbiology and Molecular Biology Reviews", "id" : "ITEM-1", "issue" : "1", "issued" : { "date-parts" : [ [ "2009", "3" ] ] }, "page" : "134-54", "title" : "Eukaryotic translesion polymerases and their roles and regulation in DNA damage tolerance.", "type" : "article-journal", "volume" : "73" }, "uris" : [ "http://www.mendeley.com/documents/?uuid=8f501b9e-13ba-455c-a176-c27eb8c53a5f" ] } ], "mendeley" : { "formattedCitation" : "(Waters et al. 2009)", "plainTextFormattedCitation" : "(Waters et al. 2009)", "previouslyFormattedCitation" : "(Waters et al. 2009)" }, "properties" : { "noteIndex" : 0 }, "schema" : "https://github.com/citation-style-language/schema/raw/master/csl-citation.json" }</w:instrText>
      </w:r>
      <w:r w:rsidR="00F20EC0" w:rsidRPr="00DF0680">
        <w:rPr>
          <w:rFonts w:cs="Times New Roman"/>
        </w:rPr>
        <w:fldChar w:fldCharType="separate"/>
      </w:r>
      <w:r w:rsidR="00CD2397" w:rsidRPr="00DF0680">
        <w:rPr>
          <w:rFonts w:cs="Times New Roman"/>
        </w:rPr>
        <w:t>(Waters et al. 2009)</w:t>
      </w:r>
      <w:r w:rsidR="00F20EC0" w:rsidRPr="00DF0680">
        <w:rPr>
          <w:rFonts w:cs="Times New Roman"/>
        </w:rPr>
        <w:fldChar w:fldCharType="end"/>
      </w:r>
      <w:r w:rsidR="00CD2397" w:rsidRPr="00DF0680">
        <w:rPr>
          <w:rFonts w:cs="Times New Roman"/>
        </w:rPr>
        <w:t xml:space="preserve">. </w:t>
      </w:r>
    </w:p>
    <w:p w:rsidR="001B5E20" w:rsidRPr="00DF0680" w:rsidRDefault="001B5E20" w:rsidP="00E664FC">
      <w:pPr>
        <w:pStyle w:val="Heading4"/>
      </w:pPr>
      <w:bookmarkStart w:id="77" w:name="_Toc417204096"/>
      <w:bookmarkStart w:id="78" w:name="_Toc417674333"/>
      <w:r w:rsidRPr="00DF0680">
        <w:t>N</w:t>
      </w:r>
      <w:r w:rsidR="00D17265" w:rsidRPr="00DF0680">
        <w:t>on-</w:t>
      </w:r>
      <w:r w:rsidR="00CE6110" w:rsidRPr="00DF0680">
        <w:t>h</w:t>
      </w:r>
      <w:r w:rsidR="00D17265" w:rsidRPr="00DF0680">
        <w:t xml:space="preserve">omologous </w:t>
      </w:r>
      <w:r w:rsidR="00CE6110" w:rsidRPr="00DF0680">
        <w:t>e</w:t>
      </w:r>
      <w:r w:rsidR="00D17265" w:rsidRPr="00DF0680">
        <w:t xml:space="preserve">nd </w:t>
      </w:r>
      <w:r w:rsidR="00CE6110" w:rsidRPr="00DF0680">
        <w:t>j</w:t>
      </w:r>
      <w:r w:rsidR="00D17265" w:rsidRPr="00DF0680">
        <w:t>oining</w:t>
      </w:r>
      <w:bookmarkEnd w:id="77"/>
      <w:bookmarkEnd w:id="78"/>
    </w:p>
    <w:p w:rsidR="00D17265" w:rsidRPr="00DF0680" w:rsidRDefault="00D17265" w:rsidP="00D17265">
      <w:pPr>
        <w:rPr>
          <w:rFonts w:cs="Times New Roman"/>
          <w:szCs w:val="24"/>
        </w:rPr>
      </w:pPr>
      <w:r w:rsidRPr="00DF0680">
        <w:rPr>
          <w:rFonts w:cs="Times New Roman"/>
          <w:szCs w:val="24"/>
        </w:rPr>
        <w:t xml:space="preserve">Of the two mechanisms known to repair DSBs, Non-Homologous End Joining (NHEJ) and Homologous </w:t>
      </w:r>
      <w:r w:rsidR="00E52DD8" w:rsidRPr="00DF0680">
        <w:rPr>
          <w:rFonts w:cs="Times New Roman"/>
          <w:szCs w:val="24"/>
        </w:rPr>
        <w:t>Recombination</w:t>
      </w:r>
      <w:r w:rsidRPr="00DF0680">
        <w:rPr>
          <w:rFonts w:cs="Times New Roman"/>
          <w:szCs w:val="24"/>
        </w:rPr>
        <w:t xml:space="preserve"> (HR), NHEJ is the most common in multicellular eukaryotes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"DOI" : "10.1038/nrm1202", "ISSN" : "1471-0072", "PMID" : "14506474", "abstract" : "Non-homologous DNA end-joining (NHEJ)--the main pathway for repairing double-stranded DNA breaks--functions throughout the cell cycle to repair such lesions. Defects in NHEJ result in marked sensitivity to ionizing radiation and ablation of lymphocytes, which rely on NHEJ to complete the rearrangement of antigen-receptor genes. NHEJ is typically imprecise, a characteristic that is useful for immune diversification in lymphocytes, but which might also contribute to some of the genetic changes that underlie cancer and ageing.", "author" : [ { "dropping-particle" : "", "family" : "Lieber", "given" : "Michael R", "non-dropping-particle" : "", "parse-names" : false, "suffix" : "" }, { "dropping-particle" : "", "family" : "Ma", "given" : "Yunmei", "non-dropping-particle" : "", "parse-names" : false, "suffix" : "" }, { "dropping-particle" : "", "family" : "Pannicke", "given" : "Ulrich", "non-dropping-particle" : "", "parse-names" : false, "suffix" : "" }, { "dropping-particle" : "", "family" : "Schwarz", "given" : "Klaus", "non-dropping-particle" : "", "parse-names" : false, "suffix" : "" } ], "container-title" : "Nature Reviews. Molecular Cell Biology", "id" : "ITEM-1", "issue" : "9", "issued" : { "date-parts" : [ [ "2003", "9" ] ] }, "page" : "712-20", "title" : "Mechanism and regulation of human non-homologous DNA end-joining.", "type" : "article-journal", "volume" : "4" }, "uris" : [ "http://www.mendeley.com/documents/?uuid=4807e305-9fb4-4d00-84ee-61150d0b7145" ] } ], "mendeley" : { "formattedCitation" : "(Lieber et al. 2003)", "plainTextFormattedCitation" : "(Lieber et al. 2003)", "previouslyFormattedCitation" : "(Lieber et al. 2003)"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(Lieber et al. 2003)</w:t>
      </w:r>
      <w:r w:rsidR="00F20EC0" w:rsidRPr="00DF0680">
        <w:rPr>
          <w:rFonts w:cs="Times New Roman"/>
          <w:szCs w:val="24"/>
        </w:rPr>
        <w:fldChar w:fldCharType="end"/>
      </w:r>
      <w:r w:rsidRPr="00DF0680">
        <w:rPr>
          <w:rFonts w:cs="Times New Roman"/>
          <w:szCs w:val="24"/>
        </w:rPr>
        <w:t>. Where HR requires an additional chromosome</w:t>
      </w:r>
      <w:r w:rsidR="00515688" w:rsidRPr="00DF0680">
        <w:rPr>
          <w:rFonts w:cs="Times New Roman"/>
          <w:szCs w:val="24"/>
        </w:rPr>
        <w:t xml:space="preserve"> or chromatid</w:t>
      </w:r>
      <w:r w:rsidRPr="00DF0680">
        <w:rPr>
          <w:rFonts w:cs="Times New Roman"/>
          <w:szCs w:val="24"/>
        </w:rPr>
        <w:t xml:space="preserve"> for homology dependent repair, NHEJ simply pieces together the two broken ends quickly but in an error-prone manner. Ku is the DNA binding component of DNA-PK and is a heterodimer comprising of Ku70 and Ku80</w:t>
      </w:r>
      <w:r w:rsidR="009312F4" w:rsidRPr="00DF0680">
        <w:rPr>
          <w:rFonts w:cs="Times New Roman"/>
          <w:szCs w:val="24"/>
        </w:rPr>
        <w:t xml:space="preserve">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"ISSN" : "0890-9369", "PMID" : "10215620", "author" : [ { "dropping-particle" : "", "family" : "Smith", "given" : "G C", "non-dropping-particle" : "", "parse-names" : false, "suffix" : "" }, { "dropping-particle" : "", "family" : "Jackson", "given" : "S P", "non-dropping-particle" : "", "parse-names" : false, "suffix" : "" } ], "container-title" : "Genes &amp; Development", "id" : "ITEM-1", "issue" : "8", "issued" : { "date-parts" : [ [ "1999", "4", "15" ] ] }, "page" : "916-34", "title" : "The DNA-dependent protein kinase.", "type" : "article-journal", "volume" : "13" }, "uris" : [ "http://www.mendeley.com/documents/?uuid=aa424b37-5438-4276-80aa-9bccd628e615" ] } ], "mendeley" : { "formattedCitation" : "(Smith &amp; Jackson 1999)", "plainTextFormattedCitation" : "(Smith &amp; Jackson 1999)", "previouslyFormattedCitation" : "(Smith &amp; Jackson 1999)"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(Smith &amp; Jackson 1999)</w:t>
      </w:r>
      <w:r w:rsidR="00F20EC0" w:rsidRPr="00DF0680">
        <w:rPr>
          <w:rFonts w:cs="Times New Roman"/>
          <w:szCs w:val="24"/>
        </w:rPr>
        <w:fldChar w:fldCharType="end"/>
      </w:r>
      <w:r w:rsidRPr="00DF0680">
        <w:rPr>
          <w:rFonts w:cs="Times New Roman"/>
          <w:szCs w:val="24"/>
        </w:rPr>
        <w:t>. Structural analysis has shown that Ku forms a ring around the DNA, which explains the need for a DNA end for its high affinity binding</w:t>
      </w:r>
      <w:r w:rsidR="009312F4" w:rsidRPr="00DF0680">
        <w:rPr>
          <w:rFonts w:cs="Times New Roman"/>
          <w:szCs w:val="24"/>
        </w:rPr>
        <w:t xml:space="preserve"> </w:t>
      </w:r>
      <w:r w:rsidR="00F20EC0" w:rsidRPr="00DF0680">
        <w:rPr>
          <w:rFonts w:cs="Times New Roman"/>
          <w:szCs w:val="24"/>
        </w:rPr>
        <w:fldChar w:fldCharType="begin" w:fldLock="1"/>
      </w:r>
      <w:r w:rsidR="00525765" w:rsidRPr="00DF0680">
        <w:rPr>
          <w:rFonts w:cs="Times New Roman"/>
          <w:szCs w:val="24"/>
        </w:rPr>
        <w:instrText>ADDIN CSL_CITATION { "citationItems" : [ { "id" : "ITEM-1", "itemData" : { "DOI" : "10.1038/35088000", "ISSN" : "0028-0836", "PMID" : "11493912", "abstract" : "The Ku heterodimer (Ku70 and Ku80 subunits) contributes to genomic integrity through its ability to bind DNA double-strand breaks and facilitate repair by the non-homologous end-joining pathway. The crystal structure of the human Ku heterodimer was determined both alone and bound to a 55-nucleotide DNA element at 2.7 and 2.5 A resolution, respectively. Ku70 and Ku80 share a common topology and form a dyad-symmetrical molecule with a preformed ring that encircles duplex DNA. The binding site can cradle two full turns of DNA while encircling only the central 3-4 base pairs (bp). Ku makes no contacts with DNA bases and few with the sugar-phosphate backbone, but it fits sterically to major and minor groove contours so as to position the DNA helix in a defined path through the protein ring. These features seem well designed to structurally support broken DNA ends and to bring the DNA helix into phase across the junction during end processing and ligation.", "author" : [ { "dropping-particle" : "", "family" : "Walker", "given" : "J R", "non-dropping-particle" : "", "parse-names" : false, "suffix" : "" }, { "dropping-particle" : "", "family" : "Corpina", "given" : "R a", "non-dropping-particle" : "", "parse-names" : false, "suffix" : "" }, { "dropping-particle" : "", "family" : "Goldberg", "given" : "J", "non-dropping-particle" : "", "parse-names" : false, "suffix" : "" } ], "container-title" : "Nature", "id" : "ITEM-1", "issue" : "6847", "issued" : { "date-parts" : [ [ "2001", "8", "9" ] ] }, "page" : "607-14", "title" : "Structure of the Ku heterodimer bound to DNA and its implications for double-strand break repair.", "type" : "article-journal", "volume" : "412" }, "uris" : [ "http://www.mendeley.com/documents/?uuid=fe3f08ed-cdca-4f03-85f8-6385ff51f0df" ] } ], "mendeley" : { "formattedCitation" : "(Walker et al. 2001)", "plainTextFormattedCitation" : "(Walker et al. 2001)", "previouslyFormattedCitation" : "(Walker et al. 2001)"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(Walker et al. 2001)</w:t>
      </w:r>
      <w:r w:rsidR="00F20EC0" w:rsidRPr="00DF0680">
        <w:rPr>
          <w:rFonts w:cs="Times New Roman"/>
          <w:szCs w:val="24"/>
        </w:rPr>
        <w:fldChar w:fldCharType="end"/>
      </w:r>
      <w:r w:rsidRPr="00DF0680">
        <w:rPr>
          <w:rFonts w:cs="Times New Roman"/>
          <w:szCs w:val="24"/>
        </w:rPr>
        <w:t>. DNA-PKcs is the catalytic subunit of DNA-PK and is brough</w:t>
      </w:r>
      <w:r w:rsidR="00360CE3" w:rsidRPr="00DF0680">
        <w:rPr>
          <w:rFonts w:cs="Times New Roman"/>
          <w:szCs w:val="24"/>
        </w:rPr>
        <w:t>t to the DNA by Ku</w:t>
      </w:r>
      <w:r w:rsidRPr="00DF0680">
        <w:rPr>
          <w:rFonts w:cs="Times New Roman"/>
          <w:szCs w:val="24"/>
        </w:rPr>
        <w:t xml:space="preserve">. Gene targeting studies </w:t>
      </w:r>
      <w:r w:rsidRPr="00DF0680">
        <w:rPr>
          <w:rFonts w:cs="Times New Roman"/>
          <w:szCs w:val="24"/>
        </w:rPr>
        <w:lastRenderedPageBreak/>
        <w:t>have shown the catalytic subunit to be a vital part of NHEJ</w:t>
      </w:r>
      <w:r w:rsidR="009312F4" w:rsidRPr="00DF0680">
        <w:rPr>
          <w:rFonts w:cs="Times New Roman"/>
          <w:szCs w:val="24"/>
        </w:rPr>
        <w:t xml:space="preserve"> </w:t>
      </w:r>
      <w:r w:rsidR="00F20EC0" w:rsidRPr="00DF0680">
        <w:rPr>
          <w:rFonts w:cs="Times New Roman"/>
          <w:szCs w:val="24"/>
        </w:rPr>
        <w:fldChar w:fldCharType="begin" w:fldLock="1"/>
      </w:r>
      <w:r w:rsidR="00525765" w:rsidRPr="00DF0680">
        <w:rPr>
          <w:rFonts w:cs="Times New Roman"/>
          <w:szCs w:val="24"/>
        </w:rPr>
        <w:instrText>ADDIN CSL_CITATION { "citationItems" : [ { "id" : "ITEM-1", "itemData" : { "ISSN" : "1074-7613", "PMID" : "9768755", "abstract" : "The DNA-dependent protein kinase is a mammalian protein complex composed of Ku70, Ku80, and DNA-PKcs subunits that has been implicated in DNA double-strand break repair and V(D)J recombination. Here, by gene targeting, we have constructed a mouse with a disruption in the kinase domain of DNA-PKcs, generating an animal model completely devoid of DNA-PK activity. Our results demonstrate that DNA-PK activity is required for coding but not for signal join formation in mice. Although our DNA-PKcs defective mice closely resemble Scid mice, they differ by having elevated numbers of CD4+CD8+ thymocytes. This suggests that the Scid mice may not represent a null phenotype and may retain some residual DNA-PKcs function.", "author" : [ { "dropping-particle" : "", "family" : "Taccioli", "given" : "G E", "non-dropping-particle" : "", "parse-names" : false, "suffix" : "" }, { "dropping-particle" : "", "family" : "Amatucci", "given" : "a G", "non-dropping-particle" : "", "parse-names" : false, "suffix" : "" }, { "dropping-particle" : "", "family" : "Beamish", "given" : "H J", "non-dropping-particle" : "", "parse-names" : false, "suffix" : "" }, { "dropping-particle" : "", "family" : "Gell", "given" : "D", "non-dropping-particle" : "", "parse-names" : false, "suffix" : "" }, { "dropping-particle" : "", "family" : "Xiang", "given" : "X H", "non-dropping-particle" : "", "parse-names" : false, "suffix" : "" }, { "dropping-particle" : "", "family" : "Torres Arzayus", "given" : "M I", "non-dropping-particle" : "", "parse-names" : false, "suffix" : "" }, { "dropping-particle" : "", "family" : "Priestley", "given" : "a", "non-dropping-particle" : "", "parse-names" : false, "suffix" : "" }, { "dropping-particle" : "", "family" : "Jackson", "given" : "S P", "non-dropping-particle" : "", "parse-names" : false, "suffix" : "" }, { "dropping-particle" : "", "family" : "Marshak Rothstein", "given" : "a", "non-dropping-particle" : "", "parse-names" : false, "suffix" : "" }, { "dropping-particle" : "", "family" : "Jeggo", "given" : "P a", "non-dropping-particle" : "", "parse-names" : false, "suffix" : "" }, { "dropping-particle" : "", "family" : "Herrera", "given" : "V L", "non-dropping-particle" : "", "parse-names" : false, "suffix" : "" } ], "container-title" : "Immunity", "id" : "ITEM-1", "issue" : "3", "issued" : { "date-parts" : [ [ "1998", "9" ] ] }, "page" : "355-66", "title" : "Targeted disruption of the catalytic subunit of the DNA-PK gene in mice confers severe combined immunodeficiency and radiosensitivity.", "type" : "article-journal", "volume" : "9" }, "uris" : [ "http://www.mendeley.com/documents/?uuid=6015eca7-2625-4e72-a07a-2902410e2edd" ] } ], "mendeley" : { "formattedCitation" : "(Taccioli et al. 1998)", "plainTextFormattedCitation" : "(Taccioli et al. 1998)", "previouslyFormattedCitation" : "(Taccioli et al. 1998)"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(Taccioli et al. 1998)</w:t>
      </w:r>
      <w:r w:rsidR="00F20EC0" w:rsidRPr="00DF0680">
        <w:rPr>
          <w:rFonts w:cs="Times New Roman"/>
          <w:szCs w:val="24"/>
        </w:rPr>
        <w:fldChar w:fldCharType="end"/>
      </w:r>
      <w:r w:rsidRPr="00DF0680">
        <w:rPr>
          <w:rFonts w:cs="Times New Roman"/>
          <w:szCs w:val="24"/>
        </w:rPr>
        <w:t xml:space="preserve">. Much has been learnt about NHEJ through V(D)J recombination. V(D)J recombination takes advantage of the error-prone NHEJ mechanism in order to generate genetic diversity for </w:t>
      </w:r>
      <w:r w:rsidR="008146D4" w:rsidRPr="00DF0680">
        <w:rPr>
          <w:rFonts w:cs="Times New Roman"/>
          <w:szCs w:val="24"/>
        </w:rPr>
        <w:t>the production</w:t>
      </w:r>
      <w:r w:rsidRPr="00DF0680">
        <w:rPr>
          <w:rFonts w:cs="Times New Roman"/>
          <w:szCs w:val="24"/>
        </w:rPr>
        <w:t xml:space="preserve"> of antibodies. DNA-PKcs regulates the endonuclease activity of Artemis through phosphorylation and direct interaction</w:t>
      </w:r>
      <w:r w:rsidR="009312F4" w:rsidRPr="00DF0680">
        <w:rPr>
          <w:rFonts w:cs="Times New Roman"/>
          <w:szCs w:val="24"/>
        </w:rPr>
        <w:t xml:space="preserve"> </w:t>
      </w:r>
      <w:r w:rsidR="00F20EC0" w:rsidRPr="00DF0680">
        <w:rPr>
          <w:rFonts w:cs="Times New Roman"/>
          <w:szCs w:val="24"/>
        </w:rPr>
        <w:fldChar w:fldCharType="begin" w:fldLock="1"/>
      </w:r>
      <w:r w:rsidR="00525765" w:rsidRPr="00DF0680">
        <w:rPr>
          <w:rFonts w:cs="Times New Roman"/>
          <w:szCs w:val="24"/>
        </w:rPr>
        <w:instrText>ADDIN CSL_CITATION { "citationItems" : [ { "id" : "ITEM-1", "itemData" : { "ISSN" : "0092-8674", "PMID" : "11955432", "abstract" : "Mutations in the Artemis protein in humans result in hypersensitivity to DNA double-strand break-inducing agents and absence of B and T lymphocytes (radiosensitive severe combined immune deficiency [RS-SCID]). Here, we report that Artemis forms a complex with the 469 kDa DNA-dependent protein kinase (DNA-PKcs) in the absence of DNA. The purified Artemis protein alone possesses single-strand-specific 5' to 3' exonuclease activity. Upon complex formation, DNA-PKcs phosphorylates Artemis, and Artemis acquires endonucleolytic activity on 5' and 3' overhangs, as well as hairpins. Finally, the Artemis:DNA-PKcs complex can open hairpins generated by the RAG complex. Thus, DNA-PKcs regulates Artemis by both phosphorylation and complex formation to permit enzymatic activities that are critical for the hairpin-opening step of V(D)J recombination and for the 5' and 3' overhang processing in nonhomologous DNA end joining.", "author" : [ { "dropping-particle" : "", "family" : "Ma", "given" : "Yunmei", "non-dropping-particle" : "", "parse-names" : false, "suffix" : "" }, { "dropping-particle" : "", "family" : "Pannicke", "given" : "Ulrich", "non-dropping-particle" : "", "parse-names" : false, "suffix" : "" }, { "dropping-particle" : "", "family" : "Schwarz", "given" : "Klaus", "non-dropping-particle" : "", "parse-names" : false, "suffix" : "" }, { "dropping-particle" : "", "family" : "Lieber", "given" : "Michael R", "non-dropping-particle" : "", "parse-names" : false, "suffix" : "" } ], "container-title" : "Cell", "id" : "ITEM-1", "issue" : "6", "issued" : { "date-parts" : [ [ "2002", "3", "22" ] ] }, "page" : "781-94", "title" : "Hairpin opening and overhang processing by an Artemis/DNA-dependent protein kinase complex in nonhomologous end joining and V(D)J recombination.", "type" : "article-journal", "volume" : "108" }, "uris" : [ "http://www.mendeley.com/documents/?uuid=36e9d4eb-935a-460b-a450-e38e77cfc653" ] } ], "mendeley" : { "formattedCitation" : "(Ma et al. 2002)", "plainTextFormattedCitation" : "(Ma et al. 2002)", "previouslyFormattedCitation" : "(Ma et al. 2002)"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(Ma et al. 2002)</w:t>
      </w:r>
      <w:r w:rsidR="00F20EC0" w:rsidRPr="00DF0680">
        <w:rPr>
          <w:rFonts w:cs="Times New Roman"/>
          <w:szCs w:val="24"/>
        </w:rPr>
        <w:fldChar w:fldCharType="end"/>
      </w:r>
      <w:r w:rsidRPr="00DF0680">
        <w:rPr>
          <w:rFonts w:cs="Times New Roman"/>
          <w:szCs w:val="24"/>
        </w:rPr>
        <w:t>. Without DNA-PKcs, the hairpin opening activity (required for V(D)J recombination) and the overhang endonucleolytic activity (required for NHEJ) of Artemis are absent</w:t>
      </w:r>
      <w:r w:rsidR="009312F4" w:rsidRPr="00DF0680">
        <w:rPr>
          <w:rFonts w:cs="Times New Roman"/>
          <w:szCs w:val="24"/>
        </w:rPr>
        <w:t xml:space="preserve"> </w:t>
      </w:r>
      <w:r w:rsidR="00F20EC0" w:rsidRPr="00DF0680">
        <w:rPr>
          <w:rFonts w:cs="Times New Roman"/>
          <w:szCs w:val="24"/>
        </w:rPr>
        <w:fldChar w:fldCharType="begin" w:fldLock="1"/>
      </w:r>
      <w:r w:rsidR="00525765" w:rsidRPr="00DF0680">
        <w:rPr>
          <w:rFonts w:cs="Times New Roman"/>
          <w:szCs w:val="24"/>
        </w:rPr>
        <w:instrText>ADDIN CSL_CITATION { "citationItems" : [ { "id" : "ITEM-1", "itemData" : { "ISSN" : "0092-8674", "PMID" : "11955432", "abstract" : "Mutations in the Artemis protein in humans result in hypersensitivity to DNA double-strand break-inducing agents and absence of B and T lymphocytes (radiosensitive severe combined immune deficiency [RS-SCID]). Here, we report that Artemis forms a complex with the 469 kDa DNA-dependent protein kinase (DNA-PKcs) in the absence of DNA. The purified Artemis protein alone possesses single-strand-specific 5' to 3' exonuclease activity. Upon complex formation, DNA-PKcs phosphorylates Artemis, and Artemis acquires endonucleolytic activity on 5' and 3' overhangs, as well as hairpins. Finally, the Artemis:DNA-PKcs complex can open hairpins generated by the RAG complex. Thus, DNA-PKcs regulates Artemis by both phosphorylation and complex formation to permit enzymatic activities that are critical for the hairpin-opening step of V(D)J recombination and for the 5' and 3' overhang processing in nonhomologous DNA end joining.", "author" : [ { "dropping-particle" : "", "family" : "Ma", "given" : "Yunmei", "non-dropping-particle" : "", "parse-names" : false, "suffix" : "" }, { "dropping-particle" : "", "family" : "Pannicke", "given" : "Ulrich", "non-dropping-particle" : "", "parse-names" : false, "suffix" : "" }, { "dropping-particle" : "", "family" : "Schwarz", "given" : "Klaus", "non-dropping-particle" : "", "parse-names" : false, "suffix" : "" }, { "dropping-particle" : "", "family" : "Lieber", "given" : "Michael R", "non-dropping-particle" : "", "parse-names" : false, "suffix" : "" } ], "container-title" : "Cell", "id" : "ITEM-1", "issue" : "6", "issued" : { "date-parts" : [ [ "2002", "3", "22" ] ] }, "page" : "781-94", "title" : "Hairpin opening and overhang processing by an Artemis/DNA-dependent protein kinase complex in nonhomologous end joining and V(D)J recombination.", "type" : "article-journal", "volume" : "108" }, "uris" : [ "http://www.mendeley.com/documents/?uuid=36e9d4eb-935a-460b-a450-e38e77cfc653" ] } ], "mendeley" : { "formattedCitation" : "(Ma et al. 2002)", "plainTextFormattedCitation" : "(Ma et al. 2002)", "previouslyFormattedCitation" : "(Ma et al. 2002)"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(Ma et al. 2002)</w:t>
      </w:r>
      <w:r w:rsidR="00F20EC0" w:rsidRPr="00DF0680">
        <w:rPr>
          <w:rFonts w:cs="Times New Roman"/>
          <w:szCs w:val="24"/>
        </w:rPr>
        <w:fldChar w:fldCharType="end"/>
      </w:r>
      <w:r w:rsidRPr="00DF0680">
        <w:rPr>
          <w:rFonts w:cs="Times New Roman"/>
          <w:szCs w:val="24"/>
        </w:rPr>
        <w:t>. Once bound to the DNA end, DNA-PK is used as a scaffold to attract other proteins. These include the polymerases required to synthesise new DNA</w:t>
      </w:r>
      <w:r w:rsidR="008146D4" w:rsidRPr="00DF0680">
        <w:rPr>
          <w:rFonts w:cs="Times New Roman"/>
          <w:szCs w:val="24"/>
        </w:rPr>
        <w:t>,</w:t>
      </w:r>
      <w:r w:rsidRPr="00DF0680">
        <w:rPr>
          <w:rFonts w:cs="Times New Roman"/>
          <w:szCs w:val="24"/>
        </w:rPr>
        <w:t xml:space="preserve"> such as polymerase λ</w:t>
      </w:r>
      <w:r w:rsidR="009312F4" w:rsidRPr="00DF0680">
        <w:rPr>
          <w:rFonts w:cs="Times New Roman"/>
          <w:szCs w:val="24"/>
        </w:rPr>
        <w:t xml:space="preserve">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"DOI" : "10.1093/nar/gkl380", "ISSN" : "1362-4962", "PMID" : "16738138", "abstract" : "DNA polymerase lambda (pollambda) is a recently identified DNA polymerase whose cellular function remains elusive. Here we show, that pollambda participates at the molecular level in a chromosomal context, in the repair of DNA double strand breaks (DSB) via non-homologous end joining (NHEJ) in mammalian cells. The expression of a catalytically inactive form of pollambda (pollambdaDN) decreases the frequency of NHEJ events in response to I-Sce-I-induced DSB whereas inactivated forms of its homologues polbeta and polmu do not. Only events requiring DNA end processing before ligation are affected; this defect is associated with large deletions arising in the vicinity of the induced DSB. Furthermore, pollambdaDN-expressing cells exhibit increased sensitization and genomic instability in response to ionizing radiation similar to that of NHEJ-defective cells. Our data support a requirement for pollambda in repairing a subset of DSB in genomic DNA, thereby contributing to the maintenance of genetic stability mediated by the NHEJ pathway.", "author" : [ { "dropping-particle" : "", "family" : "Capp", "given" : "Jean-Pascal", "non-dropping-particle" : "", "parse-names" : false, "suffix" : "" }, { "dropping-particle" : "", "family" : "Boudsocq", "given" : "Fran\u00e7ois", "non-dropping-particle" : "", "parse-names" : false, "suffix" : "" }, { "dropping-particle" : "", "family" : "Bertrand", "given" : "Pascale", "non-dropping-particle" : "", "parse-names" : false, "suffix" : "" }, { "dropping-particle" : "", "family" : "Laroche-Clary", "given" : "Audrey", "non-dropping-particle" : "", "parse-names" : false, "suffix" : "" }, { "dropping-particle" : "", "family" : "Pourquier", "given" : "Philippe", "non-dropping-particle" : "", "parse-names" : false, "suffix" : "" }, { "dropping-particle" : "", "family" : "Lopez", "given" : "Bernard S", "non-dropping-particle" : "", "parse-names" : false, "suffix" : "" }, { "dropping-particle" : "", "family" : "Cazaux", "given" : "Christophe", "non-dropping-particle" : "", "parse-names" : false, "suffix" : "" }, { "dropping-particle" : "", "family" : "Hoffmann", "given" : "Jean-S\u00e9bastien", "non-dropping-particle" : "", "parse-names" : false, "suffix" : "" }, { "dropping-particle" : "", "family" : "Canitrot", "given" : "Yvan", "non-dropping-particle" : "", "parse-names" : false, "suffix" : "" } ], "container-title" : "Nucleic Acids Research", "id" : "ITEM-1", "issue" : "10", "issued" : { "date-parts" : [ [ "2006", "1" ] ] }, "page" : "2998-3007", "title" : "The DNA polymerase lambda is required for the repair of non-compatible DNA double strand breaks by NHEJ in mammalian cells.", "type" : "article-journal", "volume" : "34" }, "uris" : [ "http://www.mendeley.com/documents/?uuid=c2c7519f-211c-4fde-8515-f5249296bad2" ] } ], "mendeley" : { "formattedCitation" : "(Capp et al. 2006)", "plainTextFormattedCitation" : "(Capp et al. 2006)", "previouslyFormattedCitation" : "(Capp et al. 2006)"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(Capp et al. 2006)</w:t>
      </w:r>
      <w:r w:rsidR="00F20EC0" w:rsidRPr="00DF0680">
        <w:rPr>
          <w:rFonts w:cs="Times New Roman"/>
          <w:szCs w:val="24"/>
        </w:rPr>
        <w:fldChar w:fldCharType="end"/>
      </w:r>
      <w:r w:rsidRPr="00DF0680">
        <w:rPr>
          <w:rFonts w:cs="Times New Roman"/>
          <w:szCs w:val="24"/>
        </w:rPr>
        <w:t xml:space="preserve"> and polymerase µ</w:t>
      </w:r>
      <w:r w:rsidR="009312F4" w:rsidRPr="00DF0680">
        <w:rPr>
          <w:rFonts w:cs="Times New Roman"/>
          <w:szCs w:val="24"/>
        </w:rPr>
        <w:t xml:space="preserve">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"DOI" : "10.1016/j.dnarep.2011.09.016", "ISSN" : "1568-7856", "PMID" : "22071146", "abstract" : "The specialized DNA polymerase \u03bc (pol \u03bc) intervenes in the repair mechanism non-homologous end-joining (NHEJ) as an end-processing factor but its role has not been fully elucidated. Pol \u03bc has been shown to participate in DNA synthesis at junctions in vitro, including on unpaired substrates, and to promote annealing. However, the phenotypes observed in vivo poorly recapitulate the functions of pol \u03bc reported in vitro. We analysed the repair of DNA double-strand breaks (DSBs) in a cellular context using improved NHEJ substrates. These substrates do not replicate in mammalian cells, thereby result in clonal repair events, which allows the measure of the efficiency of repair. We validated this paradigm by comparing the repair of NHEJ substrates to the repair reported for chromosome DSBs in mouse cells. Molecular analysis and, in most cases sequencing of more than 1500 repair events on a variety of NHEJ substrates in wild type and pol \u03bc(-/-) mouse embryonic fibroblasts shows that, unexpectedly, the absence of pol \u03bc decreases the efficiency of joining of all types of DSBs, including those that do not undergo end-processing. Importantly, by reducing the efficiency of accurate events, lack of pol \u03bc also affects the overall fidelity of the repair process. We also show that, although pol \u03bc does not help protect DNA ends from resection, the efficiency of repair of resected ends is reduced in the absence of pol \u03bc. Interestingly, the DNA synthesis activity of pol \u03bc, including on non-aligned substrates, appears negligible at least in a cellular context. Our data point to a critical role for pol \u03bc as a global repair player that increases the efficiency and the fidelity of NHEJ.", "author" : [ { "dropping-particle" : "", "family" : "Chayot", "given" : "Romain", "non-dropping-particle" : "", "parse-names" : false, "suffix" : "" }, { "dropping-particle" : "", "family" : "Montagne", "given" : "Benjamin", "non-dropping-particle" : "", "parse-names" : false, "suffix" : "" }, { "dropping-particle" : "", "family" : "Ricchetti", "given" : "Miria", "non-dropping-particle" : "", "parse-names" : false, "suffix" : "" } ], "container-title" : "DNA Repair", "id" : "ITEM-1", "issue" : "1", "issued" : { "date-parts" : [ [ "2012", "1", "2" ] ] }, "page" : "22-34", "publisher" : "Elsevier B.V.", "title" : "DNA polymerase \u03bc is a global player in the repair of non-homologous end-joining substrates.", "type" : "article-journal", "volume" : "11" }, "uris" : [ "http://www.mendeley.com/documents/?uuid=86597a07-8a83-43b0-9cee-ad759e58740f" ] } ], "mendeley" : { "formattedCitation" : "(Chayot et al. 2012)", "plainTextFormattedCitation" : "(Chayot et al. 2012)", "previouslyFormattedCitation" : "(Chayot et al. 2012)"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(Chayot et al. 2012)</w:t>
      </w:r>
      <w:r w:rsidR="00F20EC0" w:rsidRPr="00DF0680">
        <w:rPr>
          <w:rFonts w:cs="Times New Roman"/>
          <w:szCs w:val="24"/>
        </w:rPr>
        <w:fldChar w:fldCharType="end"/>
      </w:r>
      <w:r w:rsidR="009312F4" w:rsidRPr="00DF0680">
        <w:rPr>
          <w:rFonts w:cs="Times New Roman"/>
          <w:szCs w:val="24"/>
        </w:rPr>
        <w:t>.</w:t>
      </w:r>
      <w:r w:rsidRPr="00DF0680">
        <w:rPr>
          <w:rFonts w:cs="Times New Roman"/>
          <w:szCs w:val="24"/>
        </w:rPr>
        <w:t xml:space="preserve"> As well as the nuclease complex and polymerases, the ligase complex is an important component of the NHEJ pathway. DNA ligase IV is vital for the ligation step of NHEJ</w:t>
      </w:r>
      <w:r w:rsidR="009312F4" w:rsidRPr="00DF0680">
        <w:rPr>
          <w:rFonts w:cs="Times New Roman"/>
          <w:szCs w:val="24"/>
        </w:rPr>
        <w:t xml:space="preserve">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"author" : [ { "dropping-particle" : "", "family" : "Grawunder", "given" : "Ulf", "non-dropping-particle" : "", "parse-names" : false, "suffix" : "" }, { "dropping-particle" : "", "family" : "Zimmer", "given" : "David", "non-dropping-particle" : "", "parse-names" : false, "suffix" : "" }, { "dropping-particle" : "", "family" : "Fugmann", "given" : "Sebastian", "non-dropping-particle" : "", "parse-names" : false, "suffix" : "" } ], "container-title" : "Molecular Cell", "id" : "ITEM-1", "issue" : "4", "issued" : { "date-parts" : [ [ "1998" ] ] }, "page" : "477-484", "title" : "DNA ligase IV is essential for V (D) J recombination and DNA double-strand break repair in human precursor lymphocytes", "type" : "article-journal", "volume" : "2" }, "uris" : [ "http://www.mendeley.com/documents/?uuid=c0f0c817-6d44-4532-9340-b45a0fd7b3f8" ] } ], "mendeley" : { "formattedCitation" : "(Grawunder et al. 1998)", "plainTextFormattedCitation" : "(Grawunder et al. 1998)", "previouslyFormattedCitation" : "(Grawunder et al. 1998)"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(Grawunder et al. 1998)</w:t>
      </w:r>
      <w:r w:rsidR="00F20EC0" w:rsidRPr="00DF0680">
        <w:rPr>
          <w:rFonts w:cs="Times New Roman"/>
          <w:szCs w:val="24"/>
        </w:rPr>
        <w:fldChar w:fldCharType="end"/>
      </w:r>
      <w:r w:rsidRPr="00DF0680">
        <w:rPr>
          <w:rFonts w:cs="Times New Roman"/>
          <w:szCs w:val="24"/>
        </w:rPr>
        <w:t xml:space="preserve"> which requires the presence of the XRCC4 protein for activation</w:t>
      </w:r>
      <w:r w:rsidR="009312F4" w:rsidRPr="00DF0680">
        <w:rPr>
          <w:rFonts w:cs="Times New Roman"/>
          <w:szCs w:val="24"/>
        </w:rPr>
        <w:t xml:space="preserve"> </w:t>
      </w:r>
      <w:r w:rsidR="00F20EC0" w:rsidRPr="00DF0680">
        <w:rPr>
          <w:rFonts w:cs="Times New Roman"/>
          <w:szCs w:val="24"/>
        </w:rPr>
        <w:fldChar w:fldCharType="begin" w:fldLock="1"/>
      </w:r>
      <w:r w:rsidR="00DA6E78" w:rsidRPr="00DF0680">
        <w:rPr>
          <w:rFonts w:cs="Times New Roman"/>
          <w:szCs w:val="24"/>
        </w:rPr>
        <w:instrText>ADDIN CSL_CITATION { "citationItems" : [ { "id" : "ITEM-1", "itemData" : { "author" : [ { "dropping-particle" : "", "family" : "Grawunder", "given" : "Ulf", "non-dropping-particle" : "", "parse-names" : false, "suffix" : "" }, { "dropping-particle" : "", "family" : "Wilm", "given" : "Matthias", "non-dropping-particle" : "", "parse-names" : false, "suffix" : "" }, { "dropping-particle" : "", "family" : "Wu", "given" : "Xiantuo", "non-dropping-particle" : "", "parse-names" : false, "suffix" : "" }, { "dropping-particle" : "", "family" : "Kulesza", "given" : "P", "non-dropping-particle" : "", "parse-names" : false, "suffix" : "" } ], "container-title" : "Nature", "id" : "ITEM-1", "issue" : "6641", "issued" : { "date-parts" : [ [ "1997" ] ] }, "page" : "492-5", "title" : "Activity of DNA ligase IV stimulated by complex formation with XRCC4 protein in mammalian cells", "type" : "article-journal", "volume" : "388" }, "uris" : [ "http://www.mendeley.com/documents/?uuid=959ac475-45c0-45e2-91d1-f930cbfa4450" ] } ], "mendeley" : { "formattedCitation" : "(Grawunder et al. 1997)", "plainTextFormattedCitation" : "(Grawunder et al. 1997)", "previouslyFormattedCitation" : "(Grawunder et al. 1997)"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(Grawunder et al. 1997)</w:t>
      </w:r>
      <w:r w:rsidR="00F20EC0" w:rsidRPr="00DF0680">
        <w:rPr>
          <w:rFonts w:cs="Times New Roman"/>
          <w:szCs w:val="24"/>
        </w:rPr>
        <w:fldChar w:fldCharType="end"/>
      </w:r>
      <w:r w:rsidRPr="00DF0680">
        <w:rPr>
          <w:rFonts w:cs="Times New Roman"/>
          <w:szCs w:val="24"/>
        </w:rPr>
        <w:t xml:space="preserve">. Finally, XRCC4-like factor (XLF) is a nuclear protein that interacts with both DNA ligase IV and XRCC4 and causes radiosensitivity and a defect in DSB repair when </w:t>
      </w:r>
      <w:r w:rsidR="008146D4" w:rsidRPr="00DF0680">
        <w:rPr>
          <w:rFonts w:cs="Times New Roman"/>
          <w:szCs w:val="24"/>
        </w:rPr>
        <w:t>depleted</w:t>
      </w:r>
      <w:r w:rsidR="009312F4" w:rsidRPr="00DF0680">
        <w:rPr>
          <w:rFonts w:cs="Times New Roman"/>
          <w:szCs w:val="24"/>
        </w:rPr>
        <w:t xml:space="preserve"> </w:t>
      </w:r>
      <w:r w:rsidR="00F20EC0" w:rsidRPr="00DF0680">
        <w:rPr>
          <w:rFonts w:cs="Times New Roman"/>
          <w:szCs w:val="24"/>
        </w:rPr>
        <w:fldChar w:fldCharType="begin" w:fldLock="1"/>
      </w:r>
      <w:r w:rsidR="00525765" w:rsidRPr="00DF0680">
        <w:rPr>
          <w:rFonts w:cs="Times New Roman"/>
          <w:szCs w:val="24"/>
        </w:rPr>
        <w:instrText>ADDIN CSL_CITATION { "citationItems" : [ { "id" : "ITEM-1", "itemData" : { "DOI" : "10.1016/j.cell.2005.12.031", "ISSN" : "0092-8674", "PMID" : "16439205", "abstract" : "DNA nonhomologous end-joining (NHEJ) is a predominant pathway of DNA double-strand break repair in mammalian cells, and defects in it cause radiosensitivity at the cellular and whole-organism levels. Central to NHEJ is the protein complex containing DNA Ligase IV and XRCC4. By searching for additional XRCC4-interacting factors, we identified a previously uncharacterized 33 kDa protein, XRCC4-like factor (XLF, also named Cernunnos), that has weak sequence homology with XRCC4 and is predicted to display structural similarity to XRCC4. We show that XLF directly interacts with the XRCC4-Ligase IV complex in vitro and in vivo and that siRNA-mediated downregulation of XLF in human cell lines leads to radiosensitivity and impaired NHEJ. Furthermore, we establish that NHEJ-deficient 2BN cells derived from a radiosensitive and immune-deficient patient lack XLF due to an inactivating frameshift mutation in its gene, and that reintroduction of wild-type XLF into such cells corrects their radiosensitivity and NHEJ defects. XLF thus constitutes a novel core component of the mammalian NHEJ apparatus.", "author" : [ { "dropping-particle" : "", "family" : "Ahnesorg", "given" : "Peter", "non-dropping-particle" : "", "parse-names" : false, "suffix" : "" }, { "dropping-particle" : "", "family" : "Smith", "given" : "Philippa", "non-dropping-particle" : "", "parse-names" : false, "suffix" : "" }, { "dropping-particle" : "", "family" : "Jackson", "given" : "Stephen P", "non-dropping-particle" : "", "parse-names" : false, "suffix" : "" } ], "container-title" : "Cell", "id" : "ITEM-1", "issue" : "2", "issued" : { "date-parts" : [ [ "2006", "1", "27" ] ] }, "page" : "301-13", "title" : "XLF interacts with the XRCC4-DNA ligase IV complex to promote DNA nonhomologous end-joining.", "type" : "article-journal", "volume" : "124" }, "uris" : [ "http://www.mendeley.com/documents/?uuid=988e75ec-4310-4214-ac53-2d49d0bbfba6" ] } ], "mendeley" : { "formattedCitation" : "(Ahnesorg et al. 2006)", "plainTextFormattedCitation" : "(Ahnesorg et al. 2006)", "previouslyFormattedCitation" : "(Ahnesorg et al. 2006)"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(Ahnesorg et al. 2006)</w:t>
      </w:r>
      <w:r w:rsidR="00F20EC0" w:rsidRPr="00DF0680">
        <w:rPr>
          <w:rFonts w:cs="Times New Roman"/>
          <w:szCs w:val="24"/>
        </w:rPr>
        <w:fldChar w:fldCharType="end"/>
      </w:r>
      <w:r w:rsidRPr="00DF0680">
        <w:rPr>
          <w:rFonts w:cs="Times New Roman"/>
          <w:szCs w:val="24"/>
        </w:rPr>
        <w:t xml:space="preserve">. </w:t>
      </w:r>
    </w:p>
    <w:p w:rsidR="001B5E20" w:rsidRPr="00DF0680" w:rsidRDefault="001B5E20" w:rsidP="00E664FC">
      <w:pPr>
        <w:pStyle w:val="Heading4"/>
      </w:pPr>
      <w:bookmarkStart w:id="79" w:name="_Toc417204097"/>
      <w:bookmarkStart w:id="80" w:name="_Toc417674334"/>
      <w:r w:rsidRPr="00DF0680">
        <w:t>Alt</w:t>
      </w:r>
      <w:r w:rsidR="003D69EA" w:rsidRPr="00DF0680">
        <w:t>ernative</w:t>
      </w:r>
      <w:r w:rsidR="00CE6110" w:rsidRPr="00DF0680">
        <w:t xml:space="preserve"> n</w:t>
      </w:r>
      <w:r w:rsidR="005C5082" w:rsidRPr="00DF0680">
        <w:t>on-</w:t>
      </w:r>
      <w:r w:rsidR="00CE6110" w:rsidRPr="00DF0680">
        <w:t>h</w:t>
      </w:r>
      <w:r w:rsidR="005C5082" w:rsidRPr="00DF0680">
        <w:t xml:space="preserve">omologous </w:t>
      </w:r>
      <w:r w:rsidR="00CE6110" w:rsidRPr="00DF0680">
        <w:t>e</w:t>
      </w:r>
      <w:r w:rsidR="005C5082" w:rsidRPr="00DF0680">
        <w:t xml:space="preserve">nd </w:t>
      </w:r>
      <w:r w:rsidR="00CE6110" w:rsidRPr="00DF0680">
        <w:t>j</w:t>
      </w:r>
      <w:r w:rsidR="005C5082" w:rsidRPr="00DF0680">
        <w:t>oining</w:t>
      </w:r>
      <w:bookmarkEnd w:id="79"/>
      <w:bookmarkEnd w:id="80"/>
    </w:p>
    <w:p w:rsidR="00700888" w:rsidRPr="00DF0680" w:rsidRDefault="00D42450" w:rsidP="00D42450">
      <w:pPr>
        <w:rPr>
          <w:rFonts w:cs="Times New Roman"/>
        </w:rPr>
      </w:pPr>
      <w:r w:rsidRPr="00DF0680">
        <w:rPr>
          <w:rFonts w:cs="Times New Roman"/>
        </w:rPr>
        <w:t xml:space="preserve">Class switch recombination in B lymphocytes and deletions and translocations at the IgH locus are the result of alternative non-homologous end joining in cells deficient in </w:t>
      </w:r>
      <w:r w:rsidR="008F706B" w:rsidRPr="00DF0680">
        <w:rPr>
          <w:rFonts w:cs="Times New Roman"/>
        </w:rPr>
        <w:t xml:space="preserve">DNA </w:t>
      </w:r>
      <w:r w:rsidRPr="00DF0680">
        <w:rPr>
          <w:rFonts w:cs="Times New Roman"/>
        </w:rPr>
        <w:t xml:space="preserve">ligase </w:t>
      </w:r>
      <w:r w:rsidR="008F706B" w:rsidRPr="00DF0680">
        <w:rPr>
          <w:rFonts w:cs="Times New Roman"/>
        </w:rPr>
        <w:t>IV</w:t>
      </w:r>
      <w:r w:rsidRPr="00DF0680">
        <w:rPr>
          <w:rFonts w:cs="Times New Roman"/>
        </w:rPr>
        <w:t xml:space="preserve"> and Ku70 </w:t>
      </w:r>
      <w:r w:rsidR="00F20EC0" w:rsidRPr="00DF0680">
        <w:rPr>
          <w:rFonts w:cs="Times New Roman"/>
        </w:rPr>
        <w:fldChar w:fldCharType="begin" w:fldLock="1"/>
      </w:r>
      <w:r w:rsidR="001112F6" w:rsidRPr="00DF0680">
        <w:rPr>
          <w:rFonts w:cs="Times New Roman"/>
        </w:rPr>
        <w:instrText>ADDIN CSL_CITATION { "citationItems" : [ { "id" : "ITEM-1", "itemData" : { "DOI" : "10.1073/pnas.1302919110", "ISBN" : "1303073110", "ISSN" : "0027-8424", "author" : [ { "dropping-particle" : "", "family" : "Boboila", "given" : "Cristian", "non-dropping-particle" : "", "parse-names" : false, "suffix" : "" }, { "dropping-particle" : "", "family" : "Jankovic", "given" : "Mila", "non-dropping-particle" : "", "parse-names" : false, "suffix" : "" } ], "container-title" : "Proceedings of the National Academy of Sciences", "id" : "ITEM-1", "issue" : "14", "issued" : { "date-parts" : [ [ "2010", "3", "7" ] ] }, "page" : "5731-5731", "title" : "Alternative end-joining catalyzes robust IgH locus deletions and translocations in the combined absence of ligase 4 and Ku70", "type" : "article-journal", "volume" : "110" }, "uris" : [ "http://www.mendeley.com/documents/?uuid=d61e794e-46c7-46d0-9ef6-cde883b4ad27" ] } ], "mendeley" : { "formattedCitation" : "(Boboila &amp; Jankovic 2010)", "plainTextFormattedCitation" : "(Boboila &amp; Jankovic 2010)", "previouslyFormattedCitation" : "(Boboila &amp; Jankovic 2010)"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(Boboila &amp; Jankovic 2010)</w:t>
      </w:r>
      <w:r w:rsidR="00F20EC0" w:rsidRPr="00DF0680">
        <w:rPr>
          <w:rFonts w:cs="Times New Roman"/>
        </w:rPr>
        <w:fldChar w:fldCharType="end"/>
      </w:r>
      <w:r w:rsidRPr="00DF0680">
        <w:rPr>
          <w:rFonts w:cs="Times New Roman"/>
        </w:rPr>
        <w:t xml:space="preserve">. </w:t>
      </w:r>
      <w:r w:rsidR="003D69EA" w:rsidRPr="00DF0680">
        <w:rPr>
          <w:rFonts w:cs="Times New Roman"/>
        </w:rPr>
        <w:t xml:space="preserve">Alternative NHEJ (Alt-NHEJ) is independent of and inhibited by Ku </w:t>
      </w:r>
      <w:r w:rsidR="00F20EC0" w:rsidRPr="00DF0680">
        <w:rPr>
          <w:rFonts w:cs="Times New Roman"/>
        </w:rPr>
        <w:fldChar w:fldCharType="begin" w:fldLock="1"/>
      </w:r>
      <w:r w:rsidR="00332613" w:rsidRPr="00DF0680">
        <w:rPr>
          <w:rFonts w:cs="Times New Roman"/>
        </w:rPr>
        <w:instrText>ADDIN CSL_CITATION { "citationItems" : [ { "id" : "ITEM-1", "itemData" : { "DOI" : "10.1371/journal.pgen.1000110", "ISSN" : "1553-7404", "PMID" : "18584027", "abstract" : "Characterizing the functional overlap and mutagenic potential of different pathways of chromosomal double-strand break (DSB) repair is important to understand how mutations arise during cancer development and treatment. To this end, we have compared the role of individual factors in three different pathways of mammalian DSB repair: alternative-nonhomologous end joining (alt-NHEJ), single-strand annealing (SSA), and homology directed repair (HDR/GC). Considering early steps of repair, we found that the DSB end-processing factors KU and CtIP affect all three pathways similarly, in that repair is suppressed by KU and promoted by CtIP. In contrast, both KU and CtIP appear dispensable for the absolute level of total-NHEJ between two tandem I-SceI-induced DSBs. During later steps of repair, we find that while the annealing and processing factors RAD52 and ERCC1 are important to promote SSA, both HDR/GC and alt-NHEJ are significantly less dependent upon these factors. As well, while disruption of RAD51 causes a decrease in HDR/GC and an increase in SSA, inhibition of this factor did not affect alt-NHEJ. These results suggest that the regulation of DSB end-processing via KU/CtIP is a common step during alt-NHEJ, SSA, and HDR/GC. However, at later steps of repair, alt-NHEJ is a mechanistically distinct pathway of DSB repair, and thus may play a unique role in mutagenesis during cancer development and therapy.", "author" : [ { "dropping-particle" : "", "family" : "Bennardo", "given" : "Nicole", "non-dropping-particle" : "", "parse-names" : false, "suffix" : "" }, { "dropping-particle" : "", "family" : "Cheng", "given" : "Anita", "non-dropping-particle" : "", "parse-names" : false, "suffix" : "" }, { "dropping-particle" : "", "family" : "Huang", "given" : "Nick", "non-dropping-particle" : "", "parse-names" : false, "suffix" : "" }, { "dropping-particle" : "", "family" : "Stark", "given" : "Jeremy M", "non-dropping-particle" : "", "parse-names" : false, "suffix" : "" } ], "container-title" : "PLoS Genetics", "id" : "ITEM-1", "issue" : "6", "issued" : { "date-parts" : [ [ "2008", "6" ] ] }, "page" : "e1000110", "title" : "Alternative-NHEJ is a mechanistically distinct pathway of mammalian chromosome break repair.", "type" : "article-journal", "volume" : "4" }, "uris" : [ "http://www.mendeley.com/documents/?uuid=0a7a96ff-8a51-4ceb-a40b-921f2212914d" ] } ], "mendeley" : { "formattedCitation" : "(Bennardo et al. 2008)", "plainTextFormattedCitation" : "(Bennardo et al. 2008)", "previouslyFormattedCitation" : "(Bennardo et al. 2008)"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(Bennardo et al. 2008)</w:t>
      </w:r>
      <w:r w:rsidR="00F20EC0" w:rsidRPr="00DF0680">
        <w:rPr>
          <w:rFonts w:cs="Times New Roman"/>
        </w:rPr>
        <w:fldChar w:fldCharType="end"/>
      </w:r>
      <w:r w:rsidR="003D69EA" w:rsidRPr="00DF0680">
        <w:rPr>
          <w:rFonts w:cs="Times New Roman"/>
        </w:rPr>
        <w:t>.</w:t>
      </w:r>
      <w:r w:rsidR="008F706B" w:rsidRPr="00DF0680">
        <w:rPr>
          <w:rFonts w:cs="Times New Roman"/>
        </w:rPr>
        <w:t xml:space="preserve"> The end processing factor CtlP </w:t>
      </w:r>
      <w:r w:rsidR="003D69EA" w:rsidRPr="00DF0680">
        <w:rPr>
          <w:rFonts w:cs="Times New Roman"/>
        </w:rPr>
        <w:t xml:space="preserve">promotes </w:t>
      </w:r>
      <w:r w:rsidR="00FF6B8D" w:rsidRPr="00DF0680">
        <w:rPr>
          <w:rFonts w:cs="Times New Roman"/>
        </w:rPr>
        <w:t>a</w:t>
      </w:r>
      <w:r w:rsidR="003D69EA" w:rsidRPr="00DF0680">
        <w:rPr>
          <w:rFonts w:cs="Times New Roman"/>
        </w:rPr>
        <w:t xml:space="preserve">lt-NHEJ and it is thought that it is the generation of single stranded DNA by CtlP, that allows the alt-NHEJ pathway to recognise homology </w:t>
      </w:r>
      <w:r w:rsidR="00F20EC0" w:rsidRPr="00DF0680">
        <w:rPr>
          <w:rFonts w:cs="Times New Roman"/>
        </w:rPr>
        <w:fldChar w:fldCharType="begin" w:fldLock="1"/>
      </w:r>
      <w:r w:rsidR="00332613" w:rsidRPr="00DF0680">
        <w:rPr>
          <w:rFonts w:cs="Times New Roman"/>
        </w:rPr>
        <w:instrText>ADDIN CSL_CITATION { "citationItems" : [ { "id" : "ITEM-1", "itemData" : { "DOI" : "10.1371/journal.pgen.1000110", "ISSN" : "1553-7404", "PMID" : "18584027", "abstract" : "Characterizing the functional overlap and mutagenic potential of different pathways of chromosomal double-strand break (DSB) repair is important to understand how mutations arise during cancer development and treatment. To this end, we have compared the role of individual factors in three different pathways of mammalian DSB repair: alternative-nonhomologous end joining (alt-NHEJ), single-strand annealing (SSA), and homology directed repair (HDR/GC). Considering early steps of repair, we found that the DSB end-processing factors KU and CtIP affect all three pathways similarly, in that repair is suppressed by KU and promoted by CtIP. In contrast, both KU and CtIP appear dispensable for the absolute level of total-NHEJ between two tandem I-SceI-induced DSBs. During later steps of repair, we find that while the annealing and processing factors RAD52 and ERCC1 are important to promote SSA, both HDR/GC and alt-NHEJ are significantly less dependent upon these factors. As well, while disruption of RAD51 causes a decrease in HDR/GC and an increase in SSA, inhibition of this factor did not affect alt-NHEJ. These results suggest that the regulation of DSB end-processing via KU/CtIP is a common step during alt-NHEJ, SSA, and HDR/GC. However, at later steps of repair, alt-NHEJ is a mechanistically distinct pathway of DSB repair, and thus may play a unique role in mutagenesis during cancer development and therapy.", "author" : [ { "dropping-particle" : "", "family" : "Bennardo", "given" : "Nicole", "non-dropping-particle" : "", "parse-names" : false, "suffix" : "" }, { "dropping-particle" : "", "family" : "Cheng", "given" : "Anita", "non-dropping-particle" : "", "parse-names" : false, "suffix" : "" }, { "dropping-particle" : "", "family" : "Huang", "given" : "Nick", "non-dropping-particle" : "", "parse-names" : false, "suffix" : "" }, { "dropping-particle" : "", "family" : "Stark", "given" : "Jeremy M", "non-dropping-particle" : "", "parse-names" : false, "suffix" : "" } ], "container-title" : "PLoS Genetics", "id" : "ITEM-1", "issue" : "6", "issued" : { "date-parts" : [ [ "2008", "6" ] ] }, "page" : "e1000110", "title" : "Alternative-NHEJ is a mechanistically distinct pathway of mammalian chromosome break repair.", "type" : "article-journal", "volume" : "4" }, "uris" : [ "http://www.mendeley.com/documents/?uuid=0a7a96ff-8a51-4ceb-a40b-921f2212914d" ] } ], "mendeley" : { "formattedCitation" : "(Bennardo et al. 2008)", "plainTextFormattedCitation" : "(Bennardo et al. 2008)", "previouslyFormattedCitation" : "(Bennardo et al. 2008)"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(Bennardo et al. 2008)</w:t>
      </w:r>
      <w:r w:rsidR="00F20EC0" w:rsidRPr="00DF0680">
        <w:rPr>
          <w:rFonts w:cs="Times New Roman"/>
        </w:rPr>
        <w:fldChar w:fldCharType="end"/>
      </w:r>
      <w:r w:rsidR="003D69EA" w:rsidRPr="00DF0680">
        <w:rPr>
          <w:rFonts w:cs="Times New Roman"/>
        </w:rPr>
        <w:t xml:space="preserve">. Although the early steps of the repair pathway by alt-NHEJ are similar to single-strand annealing and homology-directed repair, it is distinct in the </w:t>
      </w:r>
      <w:r w:rsidR="00C359F1" w:rsidRPr="00DF0680">
        <w:rPr>
          <w:rFonts w:cs="Times New Roman"/>
        </w:rPr>
        <w:t xml:space="preserve">sense that it is not affected by disruption of RAD51 function </w:t>
      </w:r>
      <w:r w:rsidR="00F20EC0" w:rsidRPr="00DF0680">
        <w:rPr>
          <w:rFonts w:cs="Times New Roman"/>
        </w:rPr>
        <w:fldChar w:fldCharType="begin" w:fldLock="1"/>
      </w:r>
      <w:r w:rsidR="00332613" w:rsidRPr="00DF0680">
        <w:rPr>
          <w:rFonts w:cs="Times New Roman"/>
        </w:rPr>
        <w:instrText>ADDIN CSL_CITATION { "citationItems" : [ { "id" : "ITEM-1", "itemData" : { "DOI" : "10.1371/journal.pgen.1000110", "ISSN" : "1553-7404", "PMID" : "18584027", "abstract" : "Characterizing the functional overlap and mutagenic potential of different pathways of chromosomal double-strand break (DSB) repair is important to understand how mutations arise during cancer development and treatment. To this end, we have compared the role of individual factors in three different pathways of mammalian DSB repair: alternative-nonhomologous end joining (alt-NHEJ), single-strand annealing (SSA), and homology directed repair (HDR/GC). Considering early steps of repair, we found that the DSB end-processing factors KU and CtIP affect all three pathways similarly, in that repair is suppressed by KU and promoted by CtIP. In contrast, both KU and CtIP appear dispensable for the absolute level of total-NHEJ between two tandem I-SceI-induced DSBs. During later steps of repair, we find that while the annealing and processing factors RAD52 and ERCC1 are important to promote SSA, both HDR/GC and alt-NHEJ are significantly less dependent upon these factors. As well, while disruption of RAD51 causes a decrease in HDR/GC and an increase in SSA, inhibition of this factor did not affect alt-NHEJ. These results suggest that the regulation of DSB end-processing via KU/CtIP is a common step during alt-NHEJ, SSA, and HDR/GC. However, at later steps of repair, alt-NHEJ is a mechanistically distinct pathway of DSB repair, and thus may play a unique role in mutagenesis during cancer development and therapy.", "author" : [ { "dropping-particle" : "", "family" : "Bennardo", "given" : "Nicole", "non-dropping-particle" : "", "parse-names" : false, "suffix" : "" }, { "dropping-particle" : "", "family" : "Cheng", "given" : "Anita", "non-dropping-particle" : "", "parse-names" : false, "suffix" : "" }, { "dropping-particle" : "", "family" : "Huang", "given" : "Nick", "non-dropping-particle" : "", "parse-names" : false, "suffix" : "" }, { "dropping-particle" : "", "family" : "Stark", "given" : "Jeremy M", "non-dropping-particle" : "", "parse-names" : false, "suffix" : "" } ], "container-title" : "PLoS Genetics", "id" : "ITEM-1", "issue" : "6", "issued" : { "date-parts" : [ [ "2008", "6" ] ] }, "page" : "e1000110", "title" : "Alternative-NHEJ is a mechanistically distinct pathway of mammalian chromosome break repair.", "type" : "article-journal", "volume" : "4" }, "uris" : [ "http://www.mendeley.com/documents/?uuid=0a7a96ff-8a51-4ceb-a40b-921f2212914d" ] } ], "mendeley" : { "formattedCitation" : "(Bennardo et al. 2008)", "plainTextFormattedCitation" : "(Bennardo et al. 2008)", "previouslyFormattedCitation" : "(Bennardo et al. 2008)"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(Bennardo et al. 2008)</w:t>
      </w:r>
      <w:r w:rsidR="00F20EC0" w:rsidRPr="00DF0680">
        <w:rPr>
          <w:rFonts w:cs="Times New Roman"/>
        </w:rPr>
        <w:fldChar w:fldCharType="end"/>
      </w:r>
      <w:r w:rsidR="00C359F1" w:rsidRPr="00DF0680">
        <w:rPr>
          <w:rFonts w:cs="Times New Roman"/>
        </w:rPr>
        <w:t xml:space="preserve">. </w:t>
      </w:r>
      <w:r w:rsidRPr="00DF0680">
        <w:rPr>
          <w:rFonts w:cs="Times New Roman"/>
        </w:rPr>
        <w:t>A</w:t>
      </w:r>
      <w:r w:rsidR="00C359F1" w:rsidRPr="00DF0680">
        <w:rPr>
          <w:rFonts w:cs="Times New Roman"/>
        </w:rPr>
        <w:t xml:space="preserve">lt-NHEJ is thought </w:t>
      </w:r>
      <w:r w:rsidRPr="00DF0680">
        <w:rPr>
          <w:rFonts w:cs="Times New Roman"/>
        </w:rPr>
        <w:t xml:space="preserve">to </w:t>
      </w:r>
      <w:r w:rsidR="00C359F1" w:rsidRPr="00DF0680">
        <w:rPr>
          <w:rFonts w:cs="Times New Roman"/>
        </w:rPr>
        <w:t>join</w:t>
      </w:r>
      <w:r w:rsidRPr="00DF0680">
        <w:rPr>
          <w:rFonts w:cs="Times New Roman"/>
        </w:rPr>
        <w:t xml:space="preserve"> DNA ends with the activities of the</w:t>
      </w:r>
      <w:r w:rsidR="00C359F1" w:rsidRPr="00DF0680">
        <w:rPr>
          <w:rFonts w:cs="Times New Roman"/>
        </w:rPr>
        <w:t xml:space="preserve"> MRN</w:t>
      </w:r>
      <w:r w:rsidRPr="00DF0680">
        <w:rPr>
          <w:rFonts w:cs="Times New Roman"/>
        </w:rPr>
        <w:t xml:space="preserve"> complex</w:t>
      </w:r>
      <w:r w:rsidR="00C359F1" w:rsidRPr="00DF0680">
        <w:rPr>
          <w:rFonts w:cs="Times New Roman"/>
        </w:rPr>
        <w:t xml:space="preserve"> and DNA Ligase IIIα</w:t>
      </w:r>
      <w:r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"10.1074/jbc.M111.274159", "ISSN" : "1083-351X", "PMID" : "21816818", "abstract" : "Recent studies have implicated a poorly defined alternative pathway of nonhomologous end joining (alt-NHEJ) in the generation of large deletions and chromosomal translocations that are frequently observed in cancer cells. Here, we describe an interaction between two factors, hMre11/hRad50/Nbs1 (MRN) and DNA ligase III\u03b1/XRCC1, that have been linked with alt-NHEJ. Expression of DNA ligase III\u03b1 and the association between MRN and DNA ligase III\u03b1/XRCC1 are altered in cell lines defective in the major NHEJ pathway. Most notably, DNA damage induced the association of these factors in DNA ligase IV-deficient cells. MRN interacts with DNA ligase III\u03b1/XRCC1, stimulating intermolecular ligation, and together these proteins join incompatible DNA ends in a reaction that mimics alt-NHEJ. Thus, our results provide novel mechanistic insights into the alt-NHEJ pathway that not only contributes to genome instability in cancer cells but may also be a therapeutic target.", "author" : [ { "dropping-particle" : "", "family" : "Della-Maria", "given" : "Julie", "non-dropping-particle" : "", "parse-names" : false, "suffix" : "" }, { "dropping-particle" : "", "family" : "Zhou", "given" : "Yi", "non-dropping-particle" : "", "parse-names" : false, "suffix" : "" }, { "dropping-particle" : "", "family" : "Tsai", "given" : "Miaw-Sheue", "non-dropping-particle" : "", "parse-names" : false, "suffix" : "" }, { "dropping-particle" : "", "family" : "Kuhnlein", "given" : "Jeff", "non-dropping-particle" : "", "parse-names" : false, "suffix" : "" }, { "dropping-particle" : "", "family" : "Carney", "given" : "James P", "non-dropping-particle" : "", "parse-names" : false, "suffix" : "" }, { "dropping-particle" : "", "family" : "Paull", "given" : "Tanya T", "non-dropping-particle" : "", "parse-names" : false, "suffix" : "" }, { "dropping-particle" : "", "family" : "Tomkinson", "given" : "Alan E", "non-dropping-particle" : "", "parse-names" : false, "suffix" : "" } ], "container-title" : "The Journal of Biological Chemistry", "id" : "ITEM-1", "issue" : "39", "issued" : { "date-parts" : [ [ "2011", "9", "30" ] ] }, "page" : "33845-53", "title" : "Human Mre11/human Rad50/Nbs1 and DNA ligase IIIalpha/XRCC1 protein complexes act together in an alternative nonhomologous end joining pathway.", "type" : "article-journal", "volume" : "286" }, "uris" : [ "http://www.mendeley.com/documents/?uuid=f4d73127-9ca4-49a2-8be1-f6b65b7a84fd" ] }, { "id" : "ITEM-2", "itemData" : { "DOI" : "10.1371/journal.pgen.1002080", "ISSN" : "1553-7404", "PMID" : "21655080", "abstract" : "Nonhomologous end-joining (NHEJ) is the primary DNA repair pathway thought to underlie chromosomal translocations and other genomic rearrangements in somatic cells. The canonical NHEJ pathway, including DNA ligase IV (Lig4), suppresses genomic instability and chromosomal translocations, leading to the notion that a poorly defined, alternative NHEJ (alt-NHEJ) pathway generates these rearrangements. Here, we investigate the DNA ligase requirement of chromosomal translocation formation in mouse cells. Mammals have two other DNA ligases, Lig1 and Lig3, in addition to Lig4. As deletion of Lig3 results in cellular lethality due to its requirement in mitochondria, we used recently developed cell lines deficient in nuclear Lig3 but rescued for mitochondrial DNA ligase activity. Further, zinc finger endonucleases were used to generate DNA breaks at endogenous loci to induce translocations. Unlike with Lig4 deficiency, which causes an increase in translocation frequency, translocations are reduced in frequency in the absence of Lig3. Residual translocations in Lig3-deficient cells do not show a bias toward use of pre-existing microhomology at the breakpoint junctions, unlike either wild-type or Lig4-deficient cells, consistent with the notion that alt-NHEJ is impaired with Lig3 loss. By contrast, Lig1 depletion in otherwise wild-type cells does not reduce translocations or affect microhomology use. However, translocations are further reduced in Lig3-deficient cells upon Lig1 knockdown, suggesting the existence of two alt-NHEJ pathways, one that is biased toward microhomology use and requires Lig3 and a back-up pathway which does not depend on microhomology and utilizes Lig1.", "author" : [ { "dropping-particle" : "", "family" : "Simsek", "given" : "Deniz", "non-dropping-particle" : "", "parse-names" : false, "suffix" : "" }, { "dropping-particle" : "", "family" : "Brunet", "given" : "Erika", "non-dropping-particle" : "", "parse-names" : false, "suffix" : "" }, { "dropping-particle" : "", "family" : "Wong", "given" : "Sunnie Yan-Wai", "non-dropping-particle" : "", "parse-names" : false, "suffix" : "" }, { "dropping-particle" : "", "family" : "Katyal", "given" : "Sachin", "non-dropping-particle" : "", "parse-names" : false, "suffix" : "" }, { "dropping-particle" : "", "family" : "Gao", "given" : "Yankun", "non-dropping-particle" : "", "parse-names" : false, "suffix" : "" }, { "dropping-particle" : "", "family" : "McKinnon", "given" : "Peter J", "non-dropping-particle" : "", "parse-names" : false, "suffix" : "" }, { "dropping-particle" : "", "family" : "Lou", "given" : "Jacqueline", "non-dropping-particle" : "", "parse-names" : false, "suffix" : "" }, { "dropping-particle" : "", "family" : "Zhang", "given" : "Lei", "non-dropping-particle" : "", "parse-names" : false, "suffix" : "" }, { "dropping-particle" : "", "family" : "Li", "given" : "James", "non-dropping-particle" : "", "parse-names" : false, "suffix" : "" }, { "dropping-particle" : "", "family" : "Rebar", "given" : "Edward J", "non-dropping-particle" : "", "parse-names" : false, "suffix" : "" }, { "dropping-particle" : "", "family" : "Gregory", "given" : "Philip D", "non-dropping-particle" : "", "parse-names" : false, "suffix" : "" }, { "dropping-particle" : "", "family" : "Holmes", "given" : "Michael C", "non-dropping-particle" : "", "parse-names" : false, "suffix" : "" }, { "dropping-particle" : "", "family" : "Jasin", "given" : "Maria", "non-dropping-particle" : "", "parse-names" : false, "suffix" : "" } ], "container-title" : "PLoS Genetics", "id" : "ITEM-2", "issue" : "6", "issued" : { "date-parts" : [ [ "2011", "6" ] ] }, "page" : "e1002080", "title" : "DNA ligase III promotes alternative nonhomologous end-joining during chromosomal translocation formation.", "type" : "article-journal", "volume" : "7" }, "uris" : [ "http://www.mendeley.com/documents/?uuid=ac1f821a-4428-43a7-b430-452f50cad0c9" ] } ], "mendeley" : { "formattedCitation" : "(Della-Maria et al. 2011; Simsek et al. 2011)", "plainTextFormattedCitation" : "(Della-Maria et al. 2011; Simsek et al. 2011)", "previouslyFormattedCitation" : "(Della-Maria et al. 2011; Simsek et al. 2011)"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(Della-Maria et al. 2011; Simsek et al. 2011)</w:t>
      </w:r>
      <w:r w:rsidR="00F20EC0" w:rsidRPr="00DF0680">
        <w:rPr>
          <w:rFonts w:cs="Times New Roman"/>
        </w:rPr>
        <w:fldChar w:fldCharType="end"/>
      </w:r>
      <w:r w:rsidRPr="00DF0680">
        <w:rPr>
          <w:rFonts w:cs="Times New Roman"/>
        </w:rPr>
        <w:t xml:space="preserve">, but there is debate as to whether </w:t>
      </w:r>
      <w:r w:rsidR="00C359F1" w:rsidRPr="00DF0680">
        <w:rPr>
          <w:rFonts w:cs="Times New Roman"/>
        </w:rPr>
        <w:t xml:space="preserve">XRCC1 </w:t>
      </w:r>
      <w:r w:rsidRPr="00DF0680">
        <w:rPr>
          <w:rFonts w:cs="Times New Roman"/>
        </w:rPr>
        <w:t xml:space="preserve">is involved </w:t>
      </w:r>
      <w:r w:rsidR="00F20EC0" w:rsidRPr="00DF0680">
        <w:rPr>
          <w:rFonts w:cs="Times New Roman"/>
        </w:rPr>
        <w:fldChar w:fldCharType="begin" w:fldLock="1"/>
      </w:r>
      <w:r w:rsidR="00332613" w:rsidRPr="00DF0680">
        <w:rPr>
          <w:rFonts w:cs="Times New Roman"/>
        </w:rPr>
        <w:instrText>ADDIN CSL_CITATION { "citationItems" : [ { "id" : "ITEM-1", "itemData" : { "DOI" : "10.1074/jbc.M111.274159", "ISSN" : "1083-351X", "PMID" : "21816818", "abstract" : "Recent studies have implicated a poorly defined alternative pathway of nonhomologous end joining (alt-NHEJ) in the generation of large deletions and chromosomal translocations that are frequently observed in cancer cells. Here, we describe an interaction between two factors, hMre11/hRad50/Nbs1 (MRN) and DNA ligase III\u03b1/XRCC1, that have been linked with alt-NHEJ. Expression of DNA ligase III\u03b1 and the association between MRN and DNA ligase III\u03b1/XRCC1 are altered in cell lines defective in the major NHEJ pathway. Most notably, DNA damage induced the association of these factors in DNA ligase IV-deficient cells. MRN interacts with DNA ligase III\u03b1/XRCC1, stimulating intermolecular ligation, and together these proteins join incompatible DNA ends in a reaction that mimics alt-NHEJ. Thus, our results provide novel mechanistic insights into the alt-NHEJ pathway that not only contributes to genome instability in cancer cells but may also be a therapeutic target.", "author" : [ { "dropping-particle" : "", "family" : "Della-Maria", "given" : "Julie", "non-dropping-particle" : "", "parse-names" : false, "suffix" : "" }, { "dropping-particle" : "", "family" : "Zhou", "given" : "Yi", "non-dropping-particle" : "", "parse-names" : false, "suffix" : "" }, { "dropping-particle" : "", "family" : "Tsai", "given" : "Miaw-Sheue", "non-dropping-particle" : "", "parse-names" : false, "suffix" : "" }, { "dropping-particle" : "", "family" : "Kuhnlein", "given" : "Jeff", "non-dropping-particle" : "", "parse-names" : false, "suffix" : "" }, { "dropping-particle" : "", "family" : "Carney", "given" : "James P", "non-dropping-particle" : "", "parse-names" : false, "suffix" : "" }, { "dropping-particle" : "", "family" : "Paull", "given" : "Tanya T", "non-dropping-particle" : "", "parse-names" : false, "suffix" : "" }, { "dropping-particle" : "", "family" : "Tomkinson", "given" : "Alan E", "non-dropping-particle" : "", "parse-names" : false, "suffix" : "" } ], "container-title" : "The Journal of Biological Chemistry", "id" : "ITEM-1", "issue" : "39", "issued" : { "date-parts" : [ [ "2011", "9", "30" ] ] }, "page" : "33845-53", "title" : "Human Mre11/human Rad50/Nbs1 and DNA ligase IIIalpha/XRCC1 protein complexes act together in an alternative nonhomologous end joining pathway.", "type" : "article-journal", "volume" : "286" }, "uris" : [ "http://www.mendeley.com/documents/?uuid=f4d73127-9ca4-49a2-8be1-f6b65b7a84fd" ] }, { "id" : "ITEM-2", "itemData" : { "DOI" : "10.1073/pnas.1302919110", "ISBN" : "1303073110", "ISSN" : "0027-8424", "author" : [ { "dropping-particle" : "", "family" : "Boboila", "given" : "Cristian", "non-dropping-particle" : "", "parse-names" : false, "suffix" : "" }, { "dropping-particle" : "", "family" : "Oksenych", "given" : "V", "non-dropping-particle" : "", "parse-names" : false, "suffix" : "" } ], "container-title" : "Proceedings of the National Academy of Sciences", "id" : "ITEM-2", "issue" : "14", "issued" : { "date-parts" : [ [ "2012", "3", "7" ] ] }, "page" : "5731-5731", "title" : "Robust chromosomal DNA repair via alternative end-joining in the absence of X-ray repair cross-complementing protein 1 (XRCC1)", "type" : "article-journal", "volume" : "110" }, "uris" : [ "http://www.mendeley.com/documents/?uuid=f32d6e8a-d5d0-4613-8617-dbe42c842d18" ] } ], "mendeley" : { "formattedCitation" : "(Della-Maria et al. 2011; Boboila &amp; Oksenych 2012)", "plainTextFormattedCitation" : "(Della-Maria et al. 2011; Boboila &amp; Oksenych 2012)", "previouslyFormattedCitation" : "(Della-Maria et al. 2011; Boboila &amp; Oksenych 2012)"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(Della-Maria et al. 2011; Boboila &amp; Oksenych 2012)</w:t>
      </w:r>
      <w:r w:rsidR="00F20EC0" w:rsidRPr="00DF0680">
        <w:rPr>
          <w:rFonts w:cs="Times New Roman"/>
        </w:rPr>
        <w:fldChar w:fldCharType="end"/>
      </w:r>
      <w:r w:rsidR="00C359F1" w:rsidRPr="00DF0680">
        <w:rPr>
          <w:rFonts w:cs="Times New Roman"/>
        </w:rPr>
        <w:t xml:space="preserve">, and this highlights the theory that alt-NHEJ may be comprised of more than one pathway. </w:t>
      </w:r>
    </w:p>
    <w:p w:rsidR="001B5E20" w:rsidRPr="00DF0680" w:rsidRDefault="001B5E20" w:rsidP="00E664FC">
      <w:pPr>
        <w:pStyle w:val="Heading4"/>
      </w:pPr>
      <w:bookmarkStart w:id="81" w:name="_Toc417204098"/>
      <w:bookmarkStart w:id="82" w:name="_Toc417674335"/>
      <w:r w:rsidRPr="00DF0680">
        <w:lastRenderedPageBreak/>
        <w:t>H</w:t>
      </w:r>
      <w:r w:rsidR="005C5082" w:rsidRPr="00DF0680">
        <w:t xml:space="preserve">omologous </w:t>
      </w:r>
      <w:r w:rsidR="00CE6110" w:rsidRPr="00DF0680">
        <w:t>r</w:t>
      </w:r>
      <w:r w:rsidR="005C5082" w:rsidRPr="00DF0680">
        <w:t>ecombination</w:t>
      </w:r>
      <w:bookmarkEnd w:id="81"/>
      <w:bookmarkEnd w:id="82"/>
    </w:p>
    <w:p w:rsidR="004C4B4C" w:rsidRPr="00AD3F64" w:rsidRDefault="00D17265" w:rsidP="001D5097">
      <w:pPr>
        <w:jc w:val="left"/>
        <w:rPr>
          <w:rFonts w:cs="Times New Roman"/>
          <w:b/>
          <w:bCs/>
          <w:color w:val="auto"/>
          <w:kern w:val="36"/>
          <w:szCs w:val="48"/>
        </w:rPr>
      </w:pPr>
      <w:r w:rsidRPr="00DF0680">
        <w:rPr>
          <w:rFonts w:cs="Times New Roman"/>
        </w:rPr>
        <w:t xml:space="preserve">Unlike the quick but error-prone process of NHEJ, homologous recombination (HR) is highly accurate, costly, and requires another copy of the chromosome </w:t>
      </w:r>
      <w:r w:rsidR="00515688" w:rsidRPr="00DF0680">
        <w:rPr>
          <w:rFonts w:cs="Times New Roman"/>
        </w:rPr>
        <w:t xml:space="preserve">or chromatid </w:t>
      </w:r>
      <w:r w:rsidRPr="00DF0680">
        <w:rPr>
          <w:rFonts w:cs="Times New Roman"/>
        </w:rPr>
        <w:t xml:space="preserve">for repair. It is conserved from bacteria through to yeast and humans with a large number of proteins involved. Whether the DSBs occur naturally (in meiosis, HR is crucial for the accurate segregation of chromosomes) or via </w:t>
      </w:r>
      <w:r w:rsidR="001857D6" w:rsidRPr="00DF0680">
        <w:rPr>
          <w:rFonts w:cs="Times New Roman"/>
        </w:rPr>
        <w:t xml:space="preserve">endogenous or exogenous </w:t>
      </w:r>
      <w:r w:rsidRPr="00DF0680">
        <w:rPr>
          <w:rFonts w:cs="Times New Roman"/>
        </w:rPr>
        <w:t>damage to the DNA, the first step in HR is the processing of the DSB. The Mre11-Rad50-Nbs1 (MRN) complex is vital for recognition of these strand breaks and is the first step in the DNA damage response, activating ATM</w:t>
      </w:r>
      <w:r w:rsidR="000D709B" w:rsidRPr="00DF0680">
        <w:rPr>
          <w:rFonts w:cs="Times New Roman"/>
        </w:rPr>
        <w:t xml:space="preserve"> </w:t>
      </w:r>
      <w:r w:rsidR="00F20EC0" w:rsidRPr="00DF0680">
        <w:rPr>
          <w:rFonts w:cs="Times New Roman"/>
        </w:rPr>
        <w:fldChar w:fldCharType="begin" w:fldLock="1"/>
      </w:r>
      <w:r w:rsidR="001112F6" w:rsidRPr="00DF0680">
        <w:rPr>
          <w:rFonts w:cs="Times New Roman"/>
        </w:rPr>
        <w:instrText>ADDIN CSL_CITATION { "citationItems" : [ { "id" : "ITEM-1", "itemData" : { "DOI" : "10.1126/science.1108297", "ISSN" : "1095-9203", "PMID" : "15790808", "abstract" : "The ataxia-telangiectasia mutated (ATM) kinase signals the presence of DNA double-strand breaks in mammalian cells by phosphorylating proteins that initiate cell-cycle arrest, apoptosis, and DNA repair. We show that the Mre11-Rad50-Nbs1 (MRN) complex acts as a double-strand break sensor for ATM and recruits ATM to broken DNA molecules. Inactive ATM dimers were activated in vitro with DNA in the presence of MRN, leading to phosphorylation of the downstream cellular targets p53 and Chk2. ATM autophosphorylation was not required for monomerization of ATM by MRN. The unwinding of DNA ends by MRN was essential for ATM stimulation, which is consistent with the central role of single-stranded DNA as an evolutionarily conserved signal for DNA damage.", "author" : [ { "dropping-particle" : "", "family" : "Lee", "given" : "Ji-Hoon", "non-dropping-particle" : "", "parse-names" : false, "suffix" : "" }, { "dropping-particle" : "", "family" : "Paull", "given" : "Tanya T", "non-dropping-particle" : "", "parse-names" : false, "suffix" : "" } ], "container-title" : "Science", "id" : "ITEM-1", "issue" : "5721", "issued" : { "date-parts" : [ [ "2005", "4", "22" ] ] }, "page" : "551-4", "title" : "ATM activation by DNA double-strand breaks through the Mre11-Rad50-Nbs1 complex.", "type" : "article-journal", "volume" : "308" }, "uris" : [ "http://www.mendeley.com/documents/?uuid=c0507573-c89d-44de-9287-3328cf0c82af" ] } ], "mendeley" : { "formattedCitation" : "(Lee &amp; Paull 2005)", "plainTextFormattedCitation" : "(Lee &amp; Paull 2005)", "previouslyFormattedCitation" : "(Lee &amp; Paull 2005)"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(Lee &amp; Paull 2005)</w:t>
      </w:r>
      <w:r w:rsidR="00F20EC0" w:rsidRPr="00DF0680">
        <w:rPr>
          <w:rFonts w:cs="Times New Roman"/>
        </w:rPr>
        <w:fldChar w:fldCharType="end"/>
      </w:r>
      <w:r w:rsidR="00AD3F64">
        <w:rPr>
          <w:rFonts w:cs="Times New Roman"/>
        </w:rPr>
        <w:t xml:space="preserve"> (s</w:t>
      </w:r>
      <w:r w:rsidRPr="00DF0680">
        <w:rPr>
          <w:rFonts w:cs="Times New Roman"/>
        </w:rPr>
        <w:t>ee</w:t>
      </w:r>
      <w:r w:rsidR="00AD3F64">
        <w:rPr>
          <w:rFonts w:cs="Times New Roman"/>
        </w:rPr>
        <w:t xml:space="preserve"> </w:t>
      </w:r>
      <w:fldSimple w:instr=" REF _Ref420750137 \h  \* MERGEFORMAT ">
        <w:r w:rsidR="00AD3F64">
          <w:t xml:space="preserve">Figure </w:t>
        </w:r>
        <w:r w:rsidR="00AD3F64">
          <w:rPr>
            <w:noProof/>
          </w:rPr>
          <w:t>1</w:t>
        </w:r>
        <w:r w:rsidR="00AD3F64">
          <w:t>.</w:t>
        </w:r>
        <w:r w:rsidR="00AD3F64">
          <w:rPr>
            <w:noProof/>
          </w:rPr>
          <w:t>2</w:t>
        </w:r>
      </w:fldSimple>
      <w:r w:rsidRPr="00DF0680">
        <w:rPr>
          <w:rFonts w:cs="Times New Roman"/>
        </w:rPr>
        <w:t xml:space="preserve">). </w:t>
      </w:r>
      <w:r w:rsidR="00494C7C" w:rsidRPr="00DF0680">
        <w:rPr>
          <w:rFonts w:cs="Times New Roman"/>
        </w:rPr>
        <w:t>Once bound to the DSB, MRN complex works with BLM, RPA, CtIP and DNA2 or EX</w:t>
      </w:r>
      <w:r w:rsidR="008F706B" w:rsidRPr="00DF0680">
        <w:rPr>
          <w:rFonts w:cs="Times New Roman"/>
        </w:rPr>
        <w:t>O1 in an end resection complex,</w:t>
      </w:r>
      <w:r w:rsidRPr="00DF0680">
        <w:rPr>
          <w:rFonts w:cs="Times New Roman"/>
        </w:rPr>
        <w:t xml:space="preserve"> processing the break,</w:t>
      </w:r>
      <w:r w:rsidR="001857D6" w:rsidRPr="00DF0680">
        <w:rPr>
          <w:rFonts w:cs="Times New Roman"/>
        </w:rPr>
        <w:t xml:space="preserve"> to reveal a 3’ ssDNA tail, which then allows the</w:t>
      </w:r>
      <w:r w:rsidRPr="00DF0680">
        <w:rPr>
          <w:rFonts w:cs="Times New Roman"/>
        </w:rPr>
        <w:t xml:space="preserve"> </w:t>
      </w:r>
      <w:r w:rsidR="001857D6" w:rsidRPr="00DF0680">
        <w:rPr>
          <w:rFonts w:cs="Times New Roman"/>
        </w:rPr>
        <w:t>ss</w:t>
      </w:r>
      <w:r w:rsidRPr="00DF0680">
        <w:rPr>
          <w:rFonts w:cs="Times New Roman"/>
        </w:rPr>
        <w:t>DNA binding protein</w:t>
      </w:r>
      <w:r w:rsidR="001857D6" w:rsidRPr="00DF0680">
        <w:rPr>
          <w:rFonts w:cs="Times New Roman"/>
        </w:rPr>
        <w:t xml:space="preserve"> RPA</w:t>
      </w:r>
      <w:r w:rsidRPr="00DF0680">
        <w:rPr>
          <w:rFonts w:cs="Times New Roman"/>
        </w:rPr>
        <w:t xml:space="preserve"> to load</w:t>
      </w:r>
      <w:r w:rsidR="000D709B"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"ISSN" : "1097-2765", "PMID" : "9651580", "abstract" : "MRE11 and RAD50 are known to be required for nonhomologous joining of DNA ends in vivo. We have investigated the enzymatic activities of the purified proteins and found that Mre11 by itself has 3' to 5' exonuclease activity that is increased when Mre11 is in a complex with Rad50. Mre11 also exhibits endonuclease activity, as shown by the asymmetric opening of DNA hairpin loops. In conjunction with a DNA ligase, Mre11 promotes the joining of noncomplementary ends in vitro by utilizing short homologies near the ends of the DNA fragments. Sequence identities of 1-5 base pairs are present at all of these junctions, and their diversity is consistent with the products of nonhomologous end-joining observed in vivo.", "author" : [ { "dropping-particle" : "", "family" : "Paull", "given" : "T T", "non-dropping-particle" : "", "parse-names" : false, "suffix" : "" }, { "dropping-particle" : "", "family" : "Gellert", "given" : "M", "non-dropping-particle" : "", "parse-names" : false, "suffix" : "" } ], "container-title" : "Molecular Cell", "id" : "ITEM-1", "issue" : "7", "issued" : { "date-parts" : [ [ "1998", "6" ] ] }, "page" : "969-79", "title" : "The 3' to 5' exonuclease activity of Mre11 facilitates repair of DNA double-strand breaks.", "type" : "article-journal", "volume" : "1" }, "uris" : [ "http://www.mendeley.com/documents/?uuid=dec59b60-ee80-43e3-ba6c-114f43be814d" ] }, { "id" : "ITEM-2", "itemData" : { "DOI" : "10.1101/gad.2003811", "ISSN" : "1549-5477", "PMID" : "21325134", "abstract" : "Repair of dsDNA breaks requires processing to produce 3'-terminated ssDNA. We biochemically reconstituted DNA end resection using purified human proteins: Bloom helicase (BLM); DNA2 helicase/nuclease; Exonuclease 1 (EXO1); the complex comprising MRE11, RAD50, and NBS1 (MRN); and Replication protein A (RPA). Resection occurs via two routes. In one, BLM and DNA2 physically and specifically interact to resect DNA in a process that is ATP-dependent and requires BLM helicase and DNA2 nuclease functions. RPA is essential for both DNA unwinding by BLM and enforcing 5' \u2192 3' resection polarity by DNA2. MRN accelerates processing by recruiting BLM to the end. In the other, EXO1 resects the DNA and is stimulated by BLM, MRN, and RPA. BLM increases the affinity of EXO1 for ends, and MRN recruits and enhances the processivity of EXO1. Our results establish two of the core machineries that initiate recombinational DNA repair in human cells.", "author" : [ { "dropping-particle" : "V", "family" : "Nimonkar", "given" : "Amitabh", "non-dropping-particle" : "", "parse-names" : false, "suffix" : "" }, { "dropping-particle" : "", "family" : "Genschel", "given" : "Jochen", "non-dropping-particle" : "", "parse-names" : false, "suffix" : "" }, { "dropping-particle" : "", "family" : "Kinoshita", "given" : "Eri", "non-dropping-particle" : "", "parse-names" : false, "suffix" : "" }, { "dropping-particle" : "", "family" : "Polaczek", "given" : "Piotr", "non-dropping-particle" : "", "parse-names" : false, "suffix" : "" }, { "dropping-particle" : "", "family" : "Campbell", "given" : "Judith L", "non-dropping-particle" : "", "parse-names" : false, "suffix" : "" }, { "dropping-particle" : "", "family" : "Wyman", "given" : "Claire", "non-dropping-particle" : "", "parse-names" : false, "suffix" : "" }, { "dropping-particle" : "", "family" : "Modrich", "given" : "Paul", "non-dropping-particle" : "", "parse-names" : false, "suffix" : "" }, { "dropping-particle" : "", "family" : "Kowalczykowski", "given" : "Stephen C", "non-dropping-particle" : "", "parse-names" : false, "suffix" : "" } ], "container-title" : "Genes &amp; Development", "id" : "ITEM-2", "issue" : "4", "issued" : { "date-parts" : [ [ "2011", "2", "15" ] ] }, "page" : "350-62", "title" : "BLM-DNA2-RPA-MRN and EXO1-BLM-RPA-MRN constitute two DNA end resection machineries for human DNA break repair.", "type" : "article-journal", "volume" : "25" }, "uris" : [ "http://www.mendeley.com/documents/?uuid=84ad3101-1fd1-483b-84d0-7f7678d9ebcb" ] }, { "id" : "ITEM-3", "itemData" : { "DOI" : "10.1038/nature06337.Human", "author" : [ { "dropping-particle" : "", "family" : "Sartori", "given" : "AA", "non-dropping-particle" : "", "parse-names" : false, "suffix" : "" }, { "dropping-particle" : "", "family" : "Lukas", "given" : "C", "non-dropping-particle" : "", "parse-names" : false, "suffix" : "" }, { "dropping-particle" : "", "family" : "Coates", "given" : "Julia", "non-dropping-particle" : "", "parse-names" : false, "suffix" : "" }, { "dropping-particle" : "", "family" : "Mistrik", "given" : "Martin", "non-dropping-particle" : "", "parse-names" : false, "suffix" : "" }, { "dropping-particle" : "", "family" : "Fu", "given" : "Shuang", "non-dropping-particle" : "", "parse-names" : false, "suffix" : "" } ], "container-title" : "Nature", "id" : "ITEM-3", "issue" : "7169", "issued" : { "date-parts" : [ [ "2007" ] ] }, "page" : "509-514", "title" : "Human CtIP promotes DNA end resection", "type" : "article-journal", "volume" : "450" }, "uris" : [ "http://www.mendeley.com/documents/?uuid=108a4b8b-1f9e-4622-8382-71aa6d6ce899" ] } ], "mendeley" : { "formattedCitation" : "(Paull &amp; Gellert 1998; Nimonkar et al. 2011; Sartori et al. 2007)", "plainTextFormattedCitation" : "(Paull &amp; Gellert 1998; Nimonkar et al. 2011; Sartori et al. 2007)", "previouslyFormattedCitation" : "(Paull &amp; Gellert 1998; Nimonkar et al. 2011; Sartori et al. 2007)" }, "properties" : { "noteIndex" : 0 }, "schema" : "https://github.com/citation-style-language/schema/raw/master/csl-citation.json" }</w:instrText>
      </w:r>
      <w:r w:rsidR="00F20EC0" w:rsidRPr="00DF0680">
        <w:rPr>
          <w:rFonts w:cs="Times New Roman"/>
        </w:rPr>
        <w:fldChar w:fldCharType="separate"/>
      </w:r>
      <w:r w:rsidR="00494C7C" w:rsidRPr="00DF0680">
        <w:rPr>
          <w:rFonts w:cs="Times New Roman"/>
        </w:rPr>
        <w:t>(Paull &amp; Gellert 1998; Nimonkar et al. 2011; Sartori et al. 2007)</w:t>
      </w:r>
      <w:r w:rsidR="00F20EC0" w:rsidRPr="00DF0680">
        <w:rPr>
          <w:rFonts w:cs="Times New Roman"/>
        </w:rPr>
        <w:fldChar w:fldCharType="end"/>
      </w:r>
      <w:r w:rsidRPr="00DF0680">
        <w:rPr>
          <w:rFonts w:cs="Times New Roman"/>
        </w:rPr>
        <w:t xml:space="preserve">. Where Ku binds to DSB ends to initiate NHEJ, Rad52 </w:t>
      </w:r>
      <w:r w:rsidR="001857D6" w:rsidRPr="00DF0680">
        <w:rPr>
          <w:rFonts w:cs="Times New Roman"/>
        </w:rPr>
        <w:t xml:space="preserve">and BRCA2 </w:t>
      </w:r>
      <w:r w:rsidRPr="00DF0680">
        <w:rPr>
          <w:rFonts w:cs="Times New Roman"/>
        </w:rPr>
        <w:t>protein</w:t>
      </w:r>
      <w:r w:rsidR="001857D6" w:rsidRPr="00DF0680">
        <w:rPr>
          <w:rFonts w:cs="Times New Roman"/>
        </w:rPr>
        <w:t>s</w:t>
      </w:r>
      <w:r w:rsidR="00FF6B8D" w:rsidRPr="00DF0680">
        <w:rPr>
          <w:rFonts w:cs="Times New Roman"/>
        </w:rPr>
        <w:t xml:space="preserve"> bind</w:t>
      </w:r>
      <w:r w:rsidRPr="00DF0680">
        <w:rPr>
          <w:rFonts w:cs="Times New Roman"/>
        </w:rPr>
        <w:t xml:space="preserve"> to </w:t>
      </w:r>
      <w:r w:rsidR="001857D6" w:rsidRPr="00DF0680">
        <w:rPr>
          <w:rFonts w:cs="Times New Roman"/>
        </w:rPr>
        <w:t xml:space="preserve">resected </w:t>
      </w:r>
      <w:r w:rsidRPr="00DF0680">
        <w:rPr>
          <w:rFonts w:cs="Times New Roman"/>
        </w:rPr>
        <w:t>DSB ends to initiate HR or single strand annealing (SSA – covered below)</w:t>
      </w:r>
      <w:r w:rsidR="000D709B" w:rsidRPr="00DF0680">
        <w:rPr>
          <w:rFonts w:cs="Times New Roman"/>
        </w:rPr>
        <w:t xml:space="preserve">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"Van", "family" : "Dyck", "given" : "Eric", "non-dropping-particle" : "", "parse-names" : false, "suffix" : "" }, { "dropping-particle" : "", "family" : "Stasiak", "given" : "AZ", "non-dropping-particle" : "", "parse-names" : false, "suffix" : "" }, { "dropping-particle" : "", "family" : "Stasiak", "given" : "Andrzej", "non-dropping-particle" : "", "parse-names" : false, "suffix" : "" }, { "dropping-particle" : "", "family" : "West", "given" : "SC", "non-dropping-particle" : "", "parse-names" : false, "suffix" : "" } ], "container-title" : "Nature", "id" : "ITEM-1", "issue" : "6729", "issued" : { "date-parts" : [ [ "1999" ] ] }, "page" : "728-31", "title" : "Binding of double-strand breaks in DNA by human Rad52 protein", "type" : "article-journal", "volume" : "398" }, "uris" : [ "http://www.mendeley.com/documents/?uuid=ce8e251c-5ab5-4573-8780-807a6e61b371" ] } ], "mendeley" : { "formattedCitation" : "(Dyck et al. 1999)", "plainTextFormattedCitation" : "(Dyck et al. 1999)", "previouslyFormattedCitation" : "(Dyck et al. 1999)"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(Dyck et al. 1999)</w:t>
      </w:r>
      <w:r w:rsidR="00F20EC0" w:rsidRPr="00DF0680">
        <w:rPr>
          <w:rFonts w:cs="Times New Roman"/>
        </w:rPr>
        <w:fldChar w:fldCharType="end"/>
      </w:r>
      <w:r w:rsidR="001857D6" w:rsidRPr="00DF0680">
        <w:rPr>
          <w:rFonts w:cs="Times New Roman"/>
        </w:rPr>
        <w:t>. Their</w:t>
      </w:r>
      <w:r w:rsidRPr="00DF0680">
        <w:rPr>
          <w:rFonts w:cs="Times New Roman"/>
        </w:rPr>
        <w:t xml:space="preserve"> role in the initiation of HR is to catalyse the strand invasion step by displacing RPA from single stranded DNA and loading Rad51</w:t>
      </w:r>
      <w:r w:rsidR="000D709B"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"10.1074/jbc.M203494200", "ISSN" : "0021-9258", "PMID" : "12077133", "abstract" : "The Rad51 nucleoprotein filament mediates DNA strand exchange, a key step of homologous recombination. This activity is stimulated by replication protein A (RPA), but only when RPA is introduced after Rad51 nucleoprotein filament formation. In contrast, RPA inhibits Rad51 nucleoprotein complex formation by prior binding to single-stranded DNA (ssDNA), but Rad52 protein alleviates this inhibition. Here we show that Rad51 filament formation is simultaneous with displacement of RPA from ssDNA. This displacement is initiated by a rate-limiting nucleation of Rad51 protein onto ssDNA complex, followed by rapid elongation of the filament. Rad52 protein accelerates RPA displacement by Rad51 protein. This acceleration probably involves direct interactions with both Rad51 protein and RPA. Detection of a Rad52-RPA-ssDNA co-complex suggests that this co-complex is an intermediate in the displacement process.", "author" : [ { "dropping-particle" : "", "family" : "Sugiyama", "given" : "Tomohiko", "non-dropping-particle" : "", "parse-names" : false, "suffix" : "" }, { "dropping-particle" : "", "family" : "Kowalczykowski", "given" : "Stephen C", "non-dropping-particle" : "", "parse-names" : false, "suffix" : "" } ], "container-title" : "The Journal of Biological Chemistry", "id" : "ITEM-1", "issue" : "35", "issued" : { "date-parts" : [ [ "2002", "8", "30" ] ] }, "page" : "31663-72", "title" : "Rad52 protein associates with replication protein A (RPA)-single-stranded DNA to accelerate Rad51-mediated displacement of RPA and presynaptic complex formation.", "type" : "article-journal", "volume" : "277" }, "uris" : [ "http://www.mendeley.com/documents/?uuid=2fb0eb30-5c1d-4993-b2b2-25e94ee54c70" ] }, { "id" : "ITEM-2", "itemData" : { "author" : [ { "dropping-particle" : "", "family" : "New", "given" : "JH", "non-dropping-particle" : "", "parse-names" : false, "suffix" : "" }, { "dropping-particle" : "", "family" : "Sugiyama", "given" : "T", "non-dropping-particle" : "", "parse-names" : false, "suffix" : "" }, { "dropping-particle" : "", "family" : "Zaitseva", "given" : "E", "non-dropping-particle" : "", "parse-names" : false, "suffix" : "" }, { "dropping-particle" : "", "family" : "Kowalczykowski", "given" : "SC", "non-dropping-particle" : "", "parse-names" : false, "suffix" : "" } ], "container-title" : "Nature", "id" : "ITEM-2", "issue" : "6665", "issued" : { "date-parts" : [ [ "1998" ] ] }, "page" : "407-410", "title" : "Rad52 protein stimulates DNA strand exchange by Rad51 and replication protein A", "type" : "article-journal", "volume" : "391" }, "uris" : [ "http://www.mendeley.com/documents/?uuid=d44e8d19-048d-44f3-a723-d70b1c1b82c1" ] }, { "id" : "ITEM-3", "itemData" : { "DOI" : "10.1038/nature09399.Purified", "ISSN" : "1476-4687", "PMID" : "20729832", "abstract" : "Mutation of the breast cancer susceptibility gene, BRCA2, leads to breast and ovarian cancers. Mechanistic insight into the functions of human BRCA2 has been limited by the difficulty of isolating this large protein (3,418 amino acids). Here we report the purification of full-length BRCA2 and show that it both binds RAD51 and potentiates recombinational DNA repair by promoting assembly of RAD51 onto single-stranded DNA (ssDNA). BRCA2 acts by targeting RAD51 to ssDNA over double-stranded DNA, enabling RAD51 to displace replication protein-A (RPA) from ssDNA and stabilizing RAD51-ssDNA filaments by blocking ATP hydrolysis. BRCA2 does not anneal ssDNA complexed with RPA, implying it does not directly function in repair processes that involve ssDNA annealing. Our findings show that BRCA2 is a key mediator of homologous recombination, and they provide a molecular basis for understanding how this DNA repair process is disrupted by BRCA2 mutations, which lead to chromosomal instability and cancer.", "author" : [ { "dropping-particle" : "", "family" : "Jensen", "given" : "RB Ryan B", "non-dropping-particle" : "", "parse-names" : false, "suffix" : "" }, { "dropping-particle" : "", "family" : "Carreira", "given" : "Aura", "non-dropping-particle" : "", "parse-names" : false, "suffix" : "" }, { "dropping-particle" : "", "family" : "Kowalczykowski", "given" : "Stephen C SC", "non-dropping-particle" : "", "parse-names" : false, "suffix" : "" } ], "container-title" : "Nature", "id" : "ITEM-3", "issue" : "7316", "issued" : { "date-parts" : [ [ "2010", "10", "7" ] ] }, "note" : "From Duplicate 2 ( Purified human BRCA2 stimulates RAD51-mediated recombination - Jensen, RB; Carreira, A; Kowalczykowski, SC )", "page" : "678-683", "publisher" : "Nature Publishing Group", "title" : "Purified human BRCA2 stimulates RAD51-mediated recombination", "type" : "article-journal", "volume" : "467" }, "uris" : [ "http://www.mendeley.com/documents/?uuid=a0627d3e-aabd-45cf-8db9-083235b89cd9" ] }, { "id" : "ITEM-4", "itemData" : { "DOI" : "10.1038/nsmb.1905", "ISSN" : "1545-9985", "PMID" : "20729858", "abstract" : "Individuals with BRCA2 mutations are predisposed to breast cancers owing to genome instability. To determine the functions of BRCA2, the human protein was purified. It was found to bind selectively to single-stranded DNA (ssDNA), and to ssDNA in tailed duplexes and replication fork structures. Monomeric and dimeric forms of BRCA2 were observed by EM. BRCA2 directed the binding of RAD51 recombinase to ssDNA, reduced the binding of RAD51 to duplex DNA and stimulated RAD51-mediated DNA strand exchange. These observations provide a molecular basis for the role of BRCA2 in the maintenance of genome stability.", "author" : [ { "dropping-particle" : "", "family" : "Thorslund", "given" : "Tina", "non-dropping-particle" : "", "parse-names" : false, "suffix" : "" }, { "dropping-particle" : "", "family" : "McIlwraith", "given" : "Michael J", "non-dropping-particle" : "", "parse-names" : false, "suffix" : "" }, { "dropping-particle" : "", "family" : "Compton", "given" : "Sarah a", "non-dropping-particle" : "", "parse-names" : false, "suffix" : "" }, { "dropping-particle" : "", "family" : "Lekomtsev", "given" : "Sergey", "non-dropping-particle" : "", "parse-names" : false, "suffix" : "" }, { "dropping-particle" : "", "family" : "Petronczki", "given" : "Mark", "non-dropping-particle" : "", "parse-names" : false, "suffix" : "" }, { "dropping-particle" : "", "family" : "Griffith", "given" : "Jack D", "non-dropping-particle" : "", "parse-names" : false, "suffix" : "" }, { "dropping-particle" : "", "family" : "West", "given" : "Stephen C", "non-dropping-particle" : "", "parse-names" : false, "suffix" : "" } ], "container-title" : "Nature Structural &amp; Molecular Biology", "id" : "ITEM-4", "issue" : "10", "issued" : { "date-parts" : [ [ "2010", "10" ] ] }, "page" : "1263-5", "publisher" : "Nature Publishing Group", "title" : "The breast cancer tumor suppressor BRCA2 promotes the specific targeting of RAD51 to single-stranded DNA.", "type" : "article-journal", "volume" : "17" }, "uris" : [ "http://www.mendeley.com/documents/?uuid=e450f724-6569-4147-b738-1adaafde97f3" ] } ], "mendeley" : { "formattedCitation" : "(Sugiyama &amp; Kowalczykowski 2002; New et al. 1998; Jensen et al. 2010; Thorslund et al. 2010)", "plainTextFormattedCitation" : "(Sugiyama &amp; Kowalczykowski 2002; New et al. 1998; Jensen et al. 2010; Thorslund et al. 2010)", "previouslyFormattedCitation" : "(Sugiyama &amp; Kowalczykowski 2002; New et al. 1998; Jensen et al. 2010; Thorslund et al. 2010)" }, "properties" : { "noteIndex" : 0 }, "schema" : "https://github.com/citation-style-language/schema/raw/master/csl-citation.json" }</w:instrText>
      </w:r>
      <w:r w:rsidR="00F20EC0" w:rsidRPr="00DF0680">
        <w:rPr>
          <w:rFonts w:cs="Times New Roman"/>
        </w:rPr>
        <w:fldChar w:fldCharType="separate"/>
      </w:r>
      <w:r w:rsidR="00331DA5" w:rsidRPr="00DF0680">
        <w:rPr>
          <w:rFonts w:cs="Times New Roman"/>
        </w:rPr>
        <w:t>(Sugiyama &amp; Kowalczykowski 2002; New et al. 1998; Jensen et al. 2010; Thorslund et al. 2010)</w:t>
      </w:r>
      <w:r w:rsidR="00F20EC0" w:rsidRPr="00DF0680">
        <w:rPr>
          <w:rFonts w:cs="Times New Roman"/>
        </w:rPr>
        <w:fldChar w:fldCharType="end"/>
      </w:r>
      <w:r w:rsidRPr="00DF0680">
        <w:rPr>
          <w:rFonts w:cs="Times New Roman"/>
        </w:rPr>
        <w:t>. Rad51’s nuclear localisation</w:t>
      </w:r>
      <w:r w:rsidR="000C33B4" w:rsidRPr="00DF0680">
        <w:rPr>
          <w:rFonts w:cs="Times New Roman"/>
        </w:rPr>
        <w:t xml:space="preserve"> and filament formation</w:t>
      </w:r>
      <w:r w:rsidRPr="00DF0680">
        <w:rPr>
          <w:rFonts w:cs="Times New Roman"/>
        </w:rPr>
        <w:t xml:space="preserve"> is dependent on </w:t>
      </w:r>
      <w:r w:rsidR="000C33B4" w:rsidRPr="00DF0680">
        <w:rPr>
          <w:rFonts w:cs="Times New Roman"/>
        </w:rPr>
        <w:t xml:space="preserve">BRCA1 and </w:t>
      </w:r>
      <w:r w:rsidRPr="00DF0680">
        <w:rPr>
          <w:rFonts w:cs="Times New Roman"/>
        </w:rPr>
        <w:t>BRCA2</w:t>
      </w:r>
      <w:r w:rsidR="00331DA5" w:rsidRPr="00DF0680">
        <w:rPr>
          <w:rFonts w:cs="Times New Roman"/>
        </w:rPr>
        <w:t xml:space="preserve">, and </w:t>
      </w:r>
      <w:r w:rsidR="004D495E" w:rsidRPr="00DF0680">
        <w:rPr>
          <w:rFonts w:cs="Times New Roman"/>
          <w:i/>
        </w:rPr>
        <w:t>in vitro</w:t>
      </w:r>
      <w:r w:rsidR="00331DA5" w:rsidRPr="00DF0680">
        <w:rPr>
          <w:rFonts w:cs="Times New Roman"/>
        </w:rPr>
        <w:t xml:space="preserve">, BRCA2 has been shown to stimulate the </w:t>
      </w:r>
      <w:r w:rsidRPr="00DF0680">
        <w:rPr>
          <w:rFonts w:cs="Times New Roman"/>
        </w:rPr>
        <w:t>strand invasion step</w:t>
      </w:r>
      <w:r w:rsidR="00331DA5" w:rsidRPr="00DF0680">
        <w:rPr>
          <w:rFonts w:cs="Times New Roman"/>
        </w:rPr>
        <w:t xml:space="preserve"> performed by RAD51</w:t>
      </w:r>
      <w:r w:rsidR="000D709B"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"Sung", "given" : "P", "non-dropping-particle" : "", "parse-names" : false, "suffix" : "" } ], "container-title" : "Science", "id" : "ITEM-1", "issue" : "5176", "issued" : { "date-parts" : [ [ "1994" ] ] }, "page" : "1241-3", "title" : "Catalysis of ATP-dependent homologous DNA pairing and strand exchange by yeast RAD51 protein.", "type" : "article-journal", "volume" : "265" }, "uris" : [ "http://www.mendeley.com/documents/?uuid=dc084064-e2dd-44c5-b663-dcfe6595599a" ] }, { "id" : "ITEM-2", "itemData" : { "DOI" : "10.1038/nature09399.Purified", "ISSN" : "1476-4687", "PMID" : "20729832", "abstract" : "Mutation of the breast cancer susceptibility gene, BRCA2, leads to breast and ovarian cancers. Mechanistic insight into the functions of human BRCA2 has been limited by the difficulty of isolating this large protein (3,418 amino acids). Here we report the purification of full-length BRCA2 and show that it both binds RAD51 and potentiates recombinational DNA repair by promoting assembly of RAD51 onto single-stranded DNA (ssDNA). BRCA2 acts by targeting RAD51 to ssDNA over double-stranded DNA, enabling RAD51 to displace replication protein-A (RPA) from ssDNA and stabilizing RAD51-ssDNA filaments by blocking ATP hydrolysis. BRCA2 does not anneal ssDNA complexed with RPA, implying it does not directly function in repair processes that involve ssDNA annealing. Our findings show that BRCA2 is a key mediator of homologous recombination, and they provide a molecular basis for understanding how this DNA repair process is disrupted by BRCA2 mutations, which lead to chromosomal instability and cancer.", "author" : [ { "dropping-particle" : "", "family" : "Jensen", "given" : "RB Ryan B", "non-dropping-particle" : "", "parse-names" : false, "suffix" : "" }, { "dropping-particle" : "", "family" : "Carreira", "given" : "Aura", "non-dropping-particle" : "", "parse-names" : false, "suffix" : "" }, { "dropping-particle" : "", "family" : "Kowalczykowski", "given" : "Stephen C SC", "non-dropping-particle" : "", "parse-names" : false, "suffix" : "" } ], "container-title" : "Nature", "id" : "ITEM-2", "issue" : "7316", "issued" : { "date-parts" : [ [ "2010", "10", "7" ] ] }, "note" : "From Duplicate 2 ( Purified human BRCA2 stimulates RAD51-mediated recombination - Jensen, RB; Carreira, A; Kowalczykowski, SC )", "page" : "678-683", "publisher" : "Nature Publishing Group", "title" : "Purified human BRCA2 stimulates RAD51-mediated recombination", "type" : "article-journal", "volume" : "467" }, "uris" : [ "http://www.mendeley.com/documents/?uuid=a0627d3e-aabd-45cf-8db9-083235b89cd9" ] }, { "id" : "ITEM-3", "itemData" : { "DOI" : "10.1074/jbc.C000276200", "ISSN" : "0021-9258", "PMID" : "10843985", "abstract" : "Mutations in breast cancer tumor susceptibility genes, BRCA1 and BRCA2, predispose women to early onset breast cancer and other malignancies. The Brca genes are involved in multiple cellular processes in response to DNA damage including checkpoint activation, gene transcription, and DNA repair. Biochemical interaction with the recombinational repair protein Rad51 (Scully, R., Chen, J., Ochs, R. L., Keegan, K., Hoekstra, M., Feunteun, J., and Livingston, D. M. (1997) Cell 90, 425-435), as well as genetic evidence (Moynahan, M. E., Chiu, J. W., Koller, B. H., and Jasin, M. (1999) Mol. Cell 4, 511-518 and Snouwaert, J. N., Gowen, L. C., Latour, A. M., Mohn, A. R., Xiao, A., DiBiase, L., and Koller, B. H. (1999) Oncogene 18, 7900-7907), demonstrates that Brca1 is involved in recombinational repair of DNA double strand breaks. Using isogenic Brca1(+/+) and brca1(-/-) mouse embryonic stem (ES) cell lines, we investigated the role of Brca1 in the cellular response to two different categories of DNA damage: x-ray induced damage and cross-linking damage caused by the chemotherapeutic agent, cisplatinum. Immunoflourescence studies with normal and brca1(-/-) mutant mouse ES cell lines indicate that Brca1 promotes assembly of subnuclear Rad51 foci following both types of DNA damage. These foci are likely to be oligomeric complexes of Rad51 engaged in repair of DNA lesions or in processes that allow cells to tolerate such lesions during DNA replication. Clonogenic assays show that brca1(-/-) mutants are 5-fold more sensitive to cisplatinum compared with wild-type cells. Our studies suggest that Brca1 contributes to damage repair and/or tolerance by promoting assembly of Rad51. This function appears to be shared with Brca2.", "author" : [ { "dropping-particle" : "", "family" : "Bhattacharyya", "given" : "a", "non-dropping-particle" : "", "parse-names" : false, "suffix" : "" }, { "dropping-particle" : "", "family" : "Ear", "given" : "U S", "non-dropping-particle" : "", "parse-names" : false, "suffix" : "" }, { "dropping-particle" : "", "family" : "Koller", "given" : "B H", "non-dropping-particle" : "", "parse-names" : false, "suffix" : "" }, { "dropping-particle" : "", "family" : "Weichselbaum", "given" : "R R", "non-dropping-particle" : "", "parse-names" : false, "suffix" : "" }, { "dropping-particle" : "", "family" : "Bishop", "given" : "D K", "non-dropping-particle" : "", "parse-names" : false, "suffix" : "" } ], "container-title" : "The Journal of Biological Chemistry", "id" : "ITEM-3", "issue" : "31", "issued" : { "date-parts" : [ [ "2000", "8", "4" ] ] }, "page" : "23899-903", "title" : "The breast cancer susceptibility gene BRCA1 is required for subnuclear assembly of Rad51 and survival following treatment with the DNA cross-linking agent cisplatin.", "type" : "article-journal", "volume" : "275" }, "uris" : [ "http://www.mendeley.com/documents/?uuid=ed4cd829-76a1-4a81-9650-430df791abdf" ] } ], "mendeley" : { "formattedCitation" : "(Sung 1994; Jensen et al. 2010; Bhattacharyya et al. 2000)", "plainTextFormattedCitation" : "(Sung 1994; Jensen et al. 2010; Bhattacharyya et al. 2000)", "previouslyFormattedCitation" : "(Sung 1994; Jensen et al. 2010; Bhattacharyya et al. 2000)" }, "properties" : { "noteIndex" : 0 }, "schema" : "https://github.com/citation-style-language/schema/raw/master/csl-citation.json" }</w:instrText>
      </w:r>
      <w:r w:rsidR="00F20EC0" w:rsidRPr="00DF0680">
        <w:rPr>
          <w:rFonts w:cs="Times New Roman"/>
        </w:rPr>
        <w:fldChar w:fldCharType="separate"/>
      </w:r>
      <w:r w:rsidR="000C33B4" w:rsidRPr="00DF0680">
        <w:rPr>
          <w:rFonts w:cs="Times New Roman"/>
        </w:rPr>
        <w:t>(Sung 1994; Jensen et al. 2010; Bhattacharyya et al. 2000)</w:t>
      </w:r>
      <w:r w:rsidR="00F20EC0" w:rsidRPr="00DF0680">
        <w:rPr>
          <w:rFonts w:cs="Times New Roman"/>
        </w:rPr>
        <w:fldChar w:fldCharType="end"/>
      </w:r>
      <w:r w:rsidR="00331DA5" w:rsidRPr="00DF0680">
        <w:rPr>
          <w:rFonts w:cs="Times New Roman"/>
        </w:rPr>
        <w:t>.</w:t>
      </w:r>
      <w:r w:rsidRPr="00DF0680">
        <w:rPr>
          <w:rFonts w:cs="Times New Roman"/>
        </w:rPr>
        <w:t xml:space="preserve"> </w:t>
      </w:r>
      <w:r w:rsidR="00FE61A2" w:rsidRPr="00DF0680">
        <w:rPr>
          <w:rFonts w:cs="Times New Roman"/>
        </w:rPr>
        <w:t xml:space="preserve">The phosphorylation of BRCA1 by ATR and ATM promotes homologous recombination repair of double strand breaks </w:t>
      </w:r>
      <w:r w:rsidR="00F20EC0" w:rsidRPr="00DF0680">
        <w:rPr>
          <w:rFonts w:cs="Times New Roman"/>
        </w:rPr>
        <w:fldChar w:fldCharType="begin" w:fldLock="1"/>
      </w:r>
      <w:r w:rsidR="00332613" w:rsidRPr="00DF0680">
        <w:rPr>
          <w:rFonts w:cs="Times New Roman"/>
        </w:rPr>
        <w:instrText>ADDIN CSL_CITATION { "citationItems" : [ { "id" : "ITEM-1", "itemData" : { "DOI" : "10.1128/MCB.24.2.708-718.2004", "ISSN" : "0270-7306", "author" : [ { "dropping-particle" : "", "family" : "Zhang", "given" : "J.", "non-dropping-particle" : "", "parse-names" : false, "suffix" : "" }, { "dropping-particle" : "", "family" : "Willers", "given" : "H.", "non-dropping-particle" : "", "parse-names" : false, "suffix" : "" }, { "dropping-particle" : "", "family" : "Feng", "given" : "Z.", "non-dropping-particle" : "", "parse-names" : false, "suffix" : "" }, { "dropping-particle" : "", "family" : "Ghosh", "given" : "J. C.", "non-dropping-particle" : "", "parse-names" : false, "suffix" : "" }, { "dropping-particle" : "", "family" : "Kim", "given" : "S.", "non-dropping-particle" : "", "parse-names" : false, "suffix" : "" }, { "dropping-particle" : "", "family" : "Weaver", "given" : "D. T.", "non-dropping-particle" : "", "parse-names" : false, "suffix" : "" }, { "dropping-particle" : "", "family" : "Chung", "given" : "J. H.", "non-dropping-particle" : "", "parse-names" : false, "suffix" : "" }, { "dropping-particle" : "", "family" : "Powell", "given" : "S. N.", "non-dropping-particle" : "", "parse-names" : false, "suffix" : "" }, { "dropping-particle" : "", "family" : "Xia", "given" : "F.", "non-dropping-particle" : "", "parse-names" : false, "suffix" : "" } ], "container-title" : "Molecular and Cellular Biology", "id" : "ITEM-1", "issue" : "2", "issued" : { "date-parts" : [ [ "2003", "12", "30" ] ] }, "page" : "708-718", "title" : "Chk2 Phosphorylation of BRCA1 Regulates DNA Double-Strand Break Repair", "type" : "article-journal", "volume" : "24" }, "uris" : [ "http://www.mendeley.com/documents/?uuid=d6a57f01-d08c-47c5-82d5-a34417b1f0bf" ] }, { "id" : "ITEM-2", "itemData" : { "DOI" : "10.1074/jbc.M011681200", "ISSN" : "0021-9258", "PMID" : "11278964", "abstract" : "Recent studies have provided evidence that breast cancer susceptibility gene products (Brca1 and Brca2) suppress cancer, at least in part, by participating in DNA damage signaling and DNA repair. Brca1 is hyperphosphorylated in response to DNA damage and co-localizes with Rad51, a protein involved in homologous-recombination, and Nbs1.Mre11.Rad50, a complex required for both homologous-recombination and nonhomologous end joining repair of damaged DNA. Here, we report that there is a qualitative difference in the phosphorylation states of Brca1 between ionizing radiation (IR) and UV radiation. Brca1 is phosphorylated at Ser-1423 and Ser-1524 after IR and UV; however, Ser-1387 is specifically phosphorylated after IR, and Ser-1457 is predominantly phosphorylated after UV. These results suggest that different types of DNA-damaging agents might signal to Brca1 in different ways. We also provide evidence that the rapid phosphorylation of Brca1 at Ser-1423 and Ser-1524 after IR (but not after UV) is largely ataxia telangiectasia mutated (ATM) kinase-dependent. The overexpression of catalytically inactive ATM and Rad3 related (ATR) kinase inhibited the UV-induced phosphorylation of Brca1 at these sites, indicating that ATR controls Brca1 phosphorylation in vivo after the exposure of cells to UV light. Moreover, ATR associates with Brca1; ATR and Brca1 foci co-localize both in cells synchronized in S phase and after exposure of cells to DNA-damaging agents. ATR can itself phosphorylate the region of Brca1 phosphorylated by ATM (Ser-Gln cluster in the C terminus of Brca1, amino acids 1241-1530). However, there are additional uncharacterized ATR phosphorylation site(s) between residues 521 and 757 of Brca1. Taken together, our results support a model in which ATM and ATR act in parallel but somewhat overlapping pathways of DNA damage signaling but respond primarily to different types of DNA lesion.", "author" : [ { "dropping-particle" : "", "family" : "Gatei", "given" : "M", "non-dropping-particle" : "", "parse-names" : false, "suffix" : "" }, { "dropping-particle" : "", "family" : "Zhou", "given" : "B B", "non-dropping-particle" : "", "parse-names" : false, "suffix" : "" }, { "dropping-particle" : "", "family" : "Hobson", "given" : "K", "non-dropping-particle" : "", "parse-names" : false, "suffix" : "" }, { "dropping-particle" : "", "family" : "Scott", "given" : "S", "non-dropping-particle" : "", "parse-names" : false, "suffix" : "" }, { "dropping-particle" : "", "family" : "Young", "given" : "D", "non-dropping-particle" : "", "parse-names" : false, "suffix" : "" }, { "dropping-particle" : "", "family" : "Khanna", "given" : "K K", "non-dropping-particle" : "", "parse-names" : false, "suffix" : "" } ], "container-title" : "The Journal of Biological Chemistry", "id" : "ITEM-2", "issue" : "20", "issued" : { "date-parts" : [ [ "2001", "5", "18" ] ] }, "page" : "17276-80", "title" : "Ataxia telangiectasia mutated (ATM) kinase and ATM and Rad3 related kinase mediate phosphorylation of Brca1 at distinct and overlapping sites. In vivo assessment using phospho-specific antibodies.", "type" : "article-journal", "volume" : "276" }, "uris" : [ "http://www.mendeley.com/documents/?uuid=74ca3e95-484f-409d-9abb-0d2ccb889f5c" ] } ], "mendeley" : { "formattedCitation" : "(Zhang et al. 2003; Gatei et al. 2001)", "plainTextFormattedCitation" : "(Zhang et al. 2003; Gatei et al. 2001)", "previouslyFormattedCitation" : "(Zhang et al. 2003; Gatei et al. 2001)" }, "properties" : { "noteIndex" : 0 }, "schema" : "https://github.com/citation-style-language/schema/raw/master/csl-citation.json" }</w:instrText>
      </w:r>
      <w:r w:rsidR="00F20EC0" w:rsidRPr="00DF0680">
        <w:rPr>
          <w:rFonts w:cs="Times New Roman"/>
        </w:rPr>
        <w:fldChar w:fldCharType="separate"/>
      </w:r>
      <w:r w:rsidR="00FE61A2" w:rsidRPr="00DF0680">
        <w:rPr>
          <w:rFonts w:cs="Times New Roman"/>
        </w:rPr>
        <w:t>(Zhang et al. 2003; Gatei et al. 2001)</w:t>
      </w:r>
      <w:r w:rsidR="00F20EC0" w:rsidRPr="00DF0680">
        <w:rPr>
          <w:rFonts w:cs="Times New Roman"/>
        </w:rPr>
        <w:fldChar w:fldCharType="end"/>
      </w:r>
      <w:r w:rsidR="00FE61A2" w:rsidRPr="00DF0680">
        <w:rPr>
          <w:rFonts w:cs="Times New Roman"/>
        </w:rPr>
        <w:t xml:space="preserve">. </w:t>
      </w:r>
      <w:r w:rsidR="00222A00" w:rsidRPr="00DF0680">
        <w:rPr>
          <w:rFonts w:cs="Times New Roman"/>
        </w:rPr>
        <w:t>After strand exchange,</w:t>
      </w:r>
      <w:r w:rsidRPr="00DF0680">
        <w:rPr>
          <w:rFonts w:cs="Times New Roman"/>
        </w:rPr>
        <w:t xml:space="preserve"> </w:t>
      </w:r>
      <w:r w:rsidR="00222A00" w:rsidRPr="00DF0680">
        <w:rPr>
          <w:rFonts w:cs="Times New Roman"/>
        </w:rPr>
        <w:t xml:space="preserve">this </w:t>
      </w:r>
      <w:r w:rsidRPr="00DF0680">
        <w:rPr>
          <w:rFonts w:cs="Times New Roman"/>
        </w:rPr>
        <w:t xml:space="preserve">D-loop-Rad51 complex is recognised by polymerase η, </w:t>
      </w:r>
      <w:r w:rsidR="008F706B" w:rsidRPr="00DF0680">
        <w:rPr>
          <w:rFonts w:cs="Times New Roman"/>
        </w:rPr>
        <w:t xml:space="preserve">which </w:t>
      </w:r>
      <w:r w:rsidR="00222A00" w:rsidRPr="00DF0680">
        <w:rPr>
          <w:rFonts w:cs="Times New Roman"/>
        </w:rPr>
        <w:t>then</w:t>
      </w:r>
      <w:r w:rsidRPr="00DF0680">
        <w:rPr>
          <w:rFonts w:cs="Times New Roman"/>
        </w:rPr>
        <w:t xml:space="preserve"> synthesise</w:t>
      </w:r>
      <w:r w:rsidR="00222A00" w:rsidRPr="00DF0680">
        <w:rPr>
          <w:rFonts w:cs="Times New Roman"/>
        </w:rPr>
        <w:t>s DNA to</w:t>
      </w:r>
      <w:r w:rsidRPr="00DF0680">
        <w:rPr>
          <w:rFonts w:cs="Times New Roman"/>
        </w:rPr>
        <w:t xml:space="preserve"> extend the 3’ end of</w:t>
      </w:r>
      <w:r w:rsidR="008F706B" w:rsidRPr="00DF0680">
        <w:rPr>
          <w:rFonts w:cs="Times New Roman"/>
        </w:rPr>
        <w:t xml:space="preserve"> the</w:t>
      </w:r>
      <w:r w:rsidRPr="00DF0680">
        <w:rPr>
          <w:rFonts w:cs="Times New Roman"/>
        </w:rPr>
        <w:t xml:space="preserve"> </w:t>
      </w:r>
      <w:r w:rsidR="00222A00" w:rsidRPr="00DF0680">
        <w:rPr>
          <w:rFonts w:cs="Times New Roman"/>
        </w:rPr>
        <w:t>invaded strand, catalysed by Rad51</w:t>
      </w:r>
      <w:r w:rsidR="000D709B"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"10.1016/j.molcel.2005.10.001", "ISSN" : "1097-2765", "PMID" : "16337601", "abstract" : "Stalled replication forks pose a serious threat to genome integrity. To overcome the catastrophic consequences associated with fork demise, translesion synthesis (TLS) polymerases such as poleta promote DNA synthesis past lesions. Alternatively, a stalled fork may collapse and undergo repair by homologous recombination. By using fractionated cell extracts and purified recombinant proteins, we show that poleta extends DNA synthesis from D loop recombination intermediates in which an invading strand serves as the primer. Extracts from XP-V cells, which are defective in poleta, exhibit severely reduced D loop extension activity. The D loop extension activity of poleta is unusual, as this reaction cannot be promoted by the replicative DNA polymerase delta or by other TLS polymerases such as poliota. Moreover, we find that poleta interacts with RAD51 recombinase and RAD51 stimulates poleta-mediated D loop extension. Our results indicate a dual function for poleta at stalled replication forks: the promotion of translesion synthesis and the reinitiation of DNA synthesis by homologous recombination repair.", "author" : [ { "dropping-particle" : "", "family" : "McIlwraith", "given" : "Michael J", "non-dropping-particle" : "", "parse-names" : false, "suffix" : "" }, { "dropping-particle" : "", "family" : "Mcllwraith", "given" : "Michael J", "non-dropping-particle" : "", "parse-names" : false, "suffix" : "" }, { "dropping-particle" : "", "family" : "Vaisman", "given" : "Alexandra", "non-dropping-particle" : "", "parse-names" : false, "suffix" : "" }, { "dropping-particle" : "", "family" : "Liu", "given" : "Yilun", "non-dropping-particle" : "", "parse-names" : false, "suffix" : "" }, { "dropping-particle" : "", "family" : "Fanning", "given" : "Ellen", "non-dropping-particle" : "", "parse-names" : false, "suffix" : "" }, { "dropping-particle" : "", "family" : "Woodgate", "given" : "Roger", "non-dropping-particle" : "", "parse-names" : false, "suffix" : "" }, { "dropping-particle" : "", "family" : "West", "given" : "Stephen C", "non-dropping-particle" : "", "parse-names" : false, "suffix" : "" } ], "container-title" : "Molecular Cell", "id" : "ITEM-1", "issue" : "5", "issued" : { "date-parts" : [ [ "2005", "12", "9" ] ] }, "page" : "783-92", "title" : "Human DNA polymerase eta promotes DNA synthesis from strand invasion intermediates of homologous recombination.", "type" : "article-journal", "volume" : "20" }, "uris" : [ "http://www.mendeley.com/documents/?uuid=f497eeca-3e7a-4fbd-9d85-772c6320b452" ] } ], "mendeley" : { "formattedCitation" : "(McIlwraith et al. 2005)", "plainTextFormattedCitation" : "(McIlwraith et al. 2005)", "previouslyFormattedCitation" : "(McIlwraith et al. 2005)"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(McIlwraith et al. 2005)</w:t>
      </w:r>
      <w:r w:rsidR="00F20EC0" w:rsidRPr="00DF0680">
        <w:rPr>
          <w:rFonts w:cs="Times New Roman"/>
        </w:rPr>
        <w:fldChar w:fldCharType="end"/>
      </w:r>
      <w:r w:rsidRPr="00DF0680">
        <w:rPr>
          <w:rFonts w:cs="Times New Roman"/>
        </w:rPr>
        <w:t>. Once this synthesis has occurred, Rad52 captures this second DNA end, allowing the formation of a double Holliday junction intermediate</w:t>
      </w:r>
      <w:r w:rsidR="000D709B"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"10.1016/j.molcel.2007.11.037", "ISSN" : "1097-4164", "PMID" : "18313388", "abstract" : "Homologous recombination (HR) is essential for the repair of DNA double-strand breaks (DSBs) in mitotic and meiotic cells. HR occurs through a series of steps involving DSB resection, invasion of single-stranded DNA into homologous duplex DNA to form a D loop, repair synthesis, and second-end capture. We show that DNA repair synthesis, catalyzed by human DNA polymerase eta (poleta) acting upon the priming strand of a D loop, leads to capture and annealing of the second end of a resected DSB in reactions mediated by RAD52 protein. Second-end capture products were not detected when poleta was replaced by other polymerases such as poldelta or poliota. RAD52 could not be replaced by RAD51. We also found that the RAD52-dependent reaction was stimulated by the single-strand binding protein RPA, but not by E. coli SSB. Following repair synthesis and second-end capture, de novo DNA synthesis was observed from the captured second DNA end.", "author" : [ { "dropping-particle" : "", "family" : "McIlwraith", "given" : "Michael J", "non-dropping-particle" : "", "parse-names" : false, "suffix" : "" }, { "dropping-particle" : "", "family" : "West", "given" : "Stephen C", "non-dropping-particle" : "", "parse-names" : false, "suffix" : "" } ], "container-title" : "Molecular Cell", "id" : "ITEM-1", "issue" : "4", "issued" : { "date-parts" : [ [ "2008", "2", "29" ] ] }, "page" : "510-6", "title" : "DNA repair synthesis facilitates RAD52-mediated second-end capture during DSB repair.", "type" : "article-journal", "volume" : "29" }, "uris" : [ "http://www.mendeley.com/documents/?uuid=4312b989-a38b-44fe-a80c-e4572be83636" ] } ], "mendeley" : { "formattedCitation" : "(McIlwraith &amp; West 2008)", "plainTextFormattedCitation" : "(McIlwraith &amp; West 2008)", "previouslyFormattedCitation" : "(McIlwraith &amp; West 2008)"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(McIlwraith &amp; West 2008)</w:t>
      </w:r>
      <w:r w:rsidR="00F20EC0" w:rsidRPr="00DF0680">
        <w:rPr>
          <w:rFonts w:cs="Times New Roman"/>
        </w:rPr>
        <w:fldChar w:fldCharType="end"/>
      </w:r>
      <w:r w:rsidRPr="00DF0680">
        <w:rPr>
          <w:rFonts w:cs="Times New Roman"/>
        </w:rPr>
        <w:t xml:space="preserve">. </w:t>
      </w:r>
      <w:r w:rsidR="00B65BF4" w:rsidRPr="00DF0680">
        <w:rPr>
          <w:rFonts w:cs="Times New Roman"/>
        </w:rPr>
        <w:t xml:space="preserve">This double Holliday junction can be resolved one of two ways. It can either be resolved using </w:t>
      </w:r>
      <w:r w:rsidRPr="00DF0680">
        <w:rPr>
          <w:rFonts w:cs="Times New Roman"/>
        </w:rPr>
        <w:t>a helicase</w:t>
      </w:r>
      <w:r w:rsidR="00B65BF4" w:rsidRPr="00DF0680">
        <w:rPr>
          <w:rFonts w:cs="Times New Roman"/>
        </w:rPr>
        <w:t>,</w:t>
      </w:r>
      <w:r w:rsidRPr="00DF0680">
        <w:rPr>
          <w:rFonts w:cs="Times New Roman"/>
        </w:rPr>
        <w:t xml:space="preserve"> </w:t>
      </w:r>
      <w:r w:rsidR="00B65BF4" w:rsidRPr="00DF0680">
        <w:rPr>
          <w:rFonts w:cs="Times New Roman"/>
        </w:rPr>
        <w:t xml:space="preserve">which generates </w:t>
      </w:r>
      <w:r w:rsidR="003F68E7" w:rsidRPr="00DF0680">
        <w:rPr>
          <w:rFonts w:cs="Times New Roman"/>
        </w:rPr>
        <w:t xml:space="preserve">primarily </w:t>
      </w:r>
      <w:r w:rsidR="00B65BF4" w:rsidRPr="00DF0680">
        <w:rPr>
          <w:rFonts w:cs="Times New Roman"/>
        </w:rPr>
        <w:t xml:space="preserve">non-crossover products, </w:t>
      </w:r>
      <w:r w:rsidRPr="00DF0680">
        <w:rPr>
          <w:rFonts w:cs="Times New Roman"/>
        </w:rPr>
        <w:t xml:space="preserve">or </w:t>
      </w:r>
      <w:r w:rsidR="00360CE3" w:rsidRPr="00DF0680">
        <w:rPr>
          <w:rFonts w:cs="Times New Roman"/>
        </w:rPr>
        <w:t xml:space="preserve">using </w:t>
      </w:r>
      <w:r w:rsidRPr="00DF0680">
        <w:rPr>
          <w:rFonts w:cs="Times New Roman"/>
        </w:rPr>
        <w:t>an endonuclease which result</w:t>
      </w:r>
      <w:r w:rsidR="00360CE3" w:rsidRPr="00DF0680">
        <w:rPr>
          <w:rFonts w:cs="Times New Roman"/>
        </w:rPr>
        <w:t>s</w:t>
      </w:r>
      <w:r w:rsidRPr="00DF0680">
        <w:rPr>
          <w:rFonts w:cs="Times New Roman"/>
        </w:rPr>
        <w:t xml:space="preserve"> in </w:t>
      </w:r>
      <w:r w:rsidR="003F68E7" w:rsidRPr="00DF0680">
        <w:rPr>
          <w:rFonts w:cs="Times New Roman"/>
        </w:rPr>
        <w:t xml:space="preserve">primarily </w:t>
      </w:r>
      <w:r w:rsidRPr="00DF0680">
        <w:rPr>
          <w:rFonts w:cs="Times New Roman"/>
        </w:rPr>
        <w:t>crossover products. The RecQ helicases BLM and WRN are able to promote</w:t>
      </w:r>
      <w:r w:rsidR="003F68E7" w:rsidRPr="00DF0680">
        <w:rPr>
          <w:rFonts w:cs="Times New Roman"/>
        </w:rPr>
        <w:t xml:space="preserve"> branch migration to resolve</w:t>
      </w:r>
      <w:r w:rsidRPr="00DF0680">
        <w:rPr>
          <w:rFonts w:cs="Times New Roman"/>
        </w:rPr>
        <w:t xml:space="preserve"> Holliday junctions</w:t>
      </w:r>
      <w:r w:rsidR="000D709B"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"10.1093/embo-reports/kvd004", "ISSN" : "1469-221X", "author" : [ { "dropping-particle" : "", "family" : "Constantinou", "given" : "Angelos", "non-dropping-particle" : "", "parse-names" : false, "suffix" : "" }, { "dropping-particle" : "", "family" : "Tarsounas", "given" : "Madalena", "non-dropping-particle" : "", "parse-names" : false, "suffix" : "" }, { "dropping-particle" : "", "family" : "Karow", "given" : "Julia K.", "non-dropping-particle" : "", "parse-names" : false, "suffix" : "" }, { "dropping-particle" : "", "family" : "Brosh", "given" : "Robert M.", "non-dropping-particle" : "", "parse-names" : false, "suffix" : "" }, { "dropping-particle" : "", "family" : "Bohr", "given" : "Vilhelm a.", "non-dropping-particle" : "", "parse-names" : false, "suffix" : "" }, { "dropping-particle" : "", "family" : "Hickson", "given" : "Ian D.", "non-dropping-particle" : "", "parse-names" : false, "suffix" : "" }, { "dropping-particle" : "", "family" : "West", "given" : "Stephen C.", "non-dropping-particle" : "", "parse-names" : false, "suffix" : "" } ], "container-title" : "EMBO Reports", "id" : "ITEM-1", "issue" : "1", "issued" : { "date-parts" : [ [ "2000", "7" ] ] }, "page" : "80-84", "title" : "Werner's syndrome protein (WRN) migrates Holliday junctions and co-localizes with RPA upon replication arrest", "type" : "article-journal", "volume" : "1" }, "uris" : [ "http://www.mendeley.com/documents/?uuid=05dad814-f97e-4084-a7bd-abded94edc1c" ] }, { "id" : "ITEM-2", "itemData" : { "DOI" : "10.1073/pnas.100448097", "ISSN" : "0027-8424", "PMID" : "10823897", "abstract" : "Bloom's syndrome (BS) is an autosomal recessive disorder associated with dwarfism, immunodeficiency, reduced fertility, and elevated levels of many types of cancer. BS cells show marked genomic instability; in particular, hyperrecombination between sister chromatids and homologous chromosomes. This instability is thought to result from defective processing of DNA replication intermediates. The gene mutated in BS, BLM, encodes a member of the RecQ family of DExH box DNA helicases, which also includes the Werner's syndrome gene product. We have investigated the mechanism by which BLM suppresses hyperrecombination. Here, we show that BLM selectively binds Holliday junctions in vitro and acts on recombination intermediates containing a Holliday junction to promote ATP-dependent branch migration. We present a model in which BLM disrupts potentially recombinogenic molecules that arise at sites of stalled replication forks. Our results have implications for the role of BLM as an anti-recombinase in the suppression of tumorigenesis.", "author" : [ { "dropping-particle" : "", "family" : "Karow", "given" : "J K", "non-dropping-particle" : "", "parse-names" : false, "suffix" : "" }, { "dropping-particle" : "", "family" : "Constantinou", "given" : "a", "non-dropping-particle" : "", "parse-names" : false, "suffix" : "" }, { "dropping-particle" : "", "family" : "Li", "given" : "J L", "non-dropping-particle" : "", "parse-names" : false, "suffix" : "" }, { "dropping-particle" : "", "family" : "West", "given" : "S C", "non-dropping-particle" : "", "parse-names" : false, "suffix" : "" }, { "dropping-particle" : "", "family" : "Hickson", "given" : "I D", "non-dropping-particle" : "", "parse-names" : false, "suffix" : "" } ], "container-title" : "Proceedings of the National Academy of Sciences", "id" : "ITEM-2", "issue" : "12", "issued" : { "date-parts" : [ [ "2000", "6", "6" ] ] }, "page" : "6504-8", "title" : "The Bloom's syndrome gene product promotes branch migration of holliday junctions.", "type" : "article-journal", "volume" : "97" }, "uris" : [ "http://www.mendeley.com/documents/?uuid=f875a435-0f4f-4571-b47a-7908085b65cb" ] } ], "mendeley" : { "formattedCitation" : "(Constantinou et al. 2000; Karow et al. 2000)", "plainTextFormattedCitation" : "(Constantinou et al. 2000; Karow et al. 2000)", "previouslyFormattedCitation" : "(Constantinou et al. 2000; Karow et al.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(Constantinou et al. 2000; Karow et al. 2000)</w:t>
      </w:r>
      <w:r w:rsidR="00F20EC0" w:rsidRPr="00DF0680">
        <w:rPr>
          <w:rFonts w:cs="Times New Roman"/>
        </w:rPr>
        <w:fldChar w:fldCharType="end"/>
      </w:r>
      <w:r w:rsidRPr="00DF0680">
        <w:rPr>
          <w:rFonts w:cs="Times New Roman"/>
        </w:rPr>
        <w:t>. In the case of BLM, this involves working in a complex with topoisomerases,</w:t>
      </w:r>
      <w:r w:rsidR="000D709B" w:rsidRPr="00DF0680">
        <w:rPr>
          <w:rFonts w:cs="Times New Roman"/>
        </w:rPr>
        <w:t xml:space="preserve"> </w:t>
      </w:r>
      <w:r w:rsidR="003A5870" w:rsidRPr="00DF0680">
        <w:rPr>
          <w:rFonts w:cs="Times New Roman"/>
        </w:rPr>
        <w:t xml:space="preserve">which are involved in removing positive or negative supercoils from DNA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"Plank", "given" : "JL", "non-dropping-particle" : "", "parse-names" : false, "suffix" : "" }, { "dropping-particle" : "", "family" : "Wu", "given" : "Jianhong", "non-dropping-particle" : "", "parse-names" : false, "suffix" : "" }, { "dropping-particle" : "", "family" : "Hsieh", "given" : "Tao-shih", "non-dropping-particle" : "", "parse-names" : false, "suffix" : "" } ], "container-title" : "Proceedings of the National Academy of Sciences", "id" : "ITEM-1", "issue" : "30", "issued" : { "date-parts" : [ [ "2006" ] ] }, "page" : "11118-23", "title" : "Topoisomerase III\u03b1 and Bloom's helicase can resolve a mobile double Holliday junction substrate through convergent branch migration", "type" : "article-journal", "volume" : "103" }, "uris" : [ "http://www.mendeley.com/documents/?uuid=be882c19-5f59-4d12-8377-d366916f04a0" ] } ], "mendeley" : { "formattedCitation" : "(Plank et al. 2006)", "plainTextFormattedCitation" : "(Plank et al. 2006)", "previouslyFormattedCitation" : "(Plank et al. 2006)"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(Plank et al. 2006)</w:t>
      </w:r>
      <w:r w:rsidR="00F20EC0" w:rsidRPr="00DF0680">
        <w:rPr>
          <w:rFonts w:cs="Times New Roman"/>
        </w:rPr>
        <w:fldChar w:fldCharType="end"/>
      </w:r>
      <w:r w:rsidRPr="00DF0680">
        <w:rPr>
          <w:rFonts w:cs="Times New Roman"/>
        </w:rPr>
        <w:t xml:space="preserve">. FANCM has </w:t>
      </w:r>
      <w:r w:rsidRPr="00DF0680">
        <w:rPr>
          <w:rFonts w:cs="Times New Roman"/>
        </w:rPr>
        <w:lastRenderedPageBreak/>
        <w:t>also been shown to bind branched DNA molecules with high specificity and promote branch migration</w:t>
      </w:r>
      <w:r w:rsidR="000D709B" w:rsidRPr="00DF0680">
        <w:rPr>
          <w:rFonts w:cs="Times New Roman"/>
        </w:rPr>
        <w:t xml:space="preserve"> </w:t>
      </w:r>
      <w:r w:rsidR="00F20EC0" w:rsidRPr="00DF0680">
        <w:rPr>
          <w:rFonts w:cs="Times New Roman"/>
        </w:rPr>
        <w:fldChar w:fldCharType="begin" w:fldLock="1"/>
      </w:r>
      <w:r w:rsidR="00724E72" w:rsidRPr="00DF0680">
        <w:rPr>
          <w:rFonts w:cs="Times New Roman"/>
        </w:rPr>
        <w:instrText>ADDIN CSL_CITATION { "citationItems" : [ { "id" : "ITEM-1", "itemData" : { "DOI" : "10.1016/j.molcel.2007.11.032", "ISSN" : "1097-2765", "PMID" : "18206976", "abstract" : "Fanconi anemia (FA) is a genetically heterogeneous cancer-prone disorder associated with chromosomal instability and cellular hypersensitivity to DNA crosslinking agents. The FA pathway is suspected to play a crucial role in the cellular response to DNA replication stress. At a molecular level, however, the function of most of the FA proteins is unknown. FANCM displays DNA-dependent ATPase activity and promotes the dissociation of DNA triplexes, but the physiological significance of this activity remains elusive. Here we show that purified FANCM binds to Holliday junctions and replication forks with high specificity and promotes migration of their junction point in an ATPase-dependent manner. Furthermore, we provide evidence that FANCM can dissociate large recombination intermediates, via branch migration of Holliday junctions through 2.6 kb of DNA. Our data suggest a direct role for FANCM in DNA processing, consistent with the current view that FA proteins coordinate DNA repair at stalled replication forks.", "author" : [ { "dropping-particle" : "", "family" : "Gari", "given" : "K", "non-dropping-particle" : "", "parse-names" : false, "suffix" : "" }, { "dropping-particle" : "", "family" : "D\u00e9caillet", "given" : "C", "non-dropping-particle" : "", "parse-names" : false, "suffix" : "" }, { "dropping-particle" : "", "family" : "Stasiak", "given" : "A Z", "non-dropping-particle" : "", "parse-names" : false, "suffix" : "" }, { "dropping-particle" : "", "family" : "Stasiak", "given" : "A", "non-dropping-particle" : "", "parse-names" : false, "suffix" : "" }, { "dropping-particle" : "", "family" : "Constantinou", "given" : "A", "non-dropping-particle" : "", "parse-names" : false, "suffix" : "" } ], "container-title" : "Molecular Cell", "id" : "ITEM-1", "issue" : "1", "issued" : { "date-parts" : [ [ "2008", "1", "18" ] ] }, "page" : "141-8", "title" : "The Fanconi anemia protein FANCM can promote branch migration of Holliday junctions and replication forks.", "type" : "article-journal", "volume" : "29" }, "uris" : [ "http://www.mendeley.com/documents/?uuid=580726cb-2e8b-42ab-932c-559896be5d33" ] } ], "mendeley" : { "formattedCitation" : "(Gari et al. 2008b)", "plainTextFormattedCitation" : "(Gari et al. 2008b)", "previouslyFormattedCitation" : "(Gari et al. 2008b)" }, "properties" : { "noteIndex" : 0 }, "schema" : "https://github.com/citation-style-language/schema/raw/master/csl-citation.json" }</w:instrText>
      </w:r>
      <w:r w:rsidR="00F20EC0" w:rsidRPr="00DF0680">
        <w:rPr>
          <w:rFonts w:cs="Times New Roman"/>
        </w:rPr>
        <w:fldChar w:fldCharType="separate"/>
      </w:r>
      <w:r w:rsidR="00EA1B48" w:rsidRPr="00DF0680">
        <w:rPr>
          <w:rFonts w:cs="Times New Roman"/>
        </w:rPr>
        <w:t>(Gari et al. 2008b)</w:t>
      </w:r>
      <w:r w:rsidR="00F20EC0" w:rsidRPr="00DF0680">
        <w:rPr>
          <w:rFonts w:cs="Times New Roman"/>
        </w:rPr>
        <w:fldChar w:fldCharType="end"/>
      </w:r>
      <w:r w:rsidRPr="00DF0680">
        <w:rPr>
          <w:rFonts w:cs="Times New Roman"/>
        </w:rPr>
        <w:t xml:space="preserve">. In an alternative Holliday junction resolving pathway, the human Mus81-associated endonuclease </w:t>
      </w:r>
      <w:r w:rsidR="005F0AAB" w:rsidRPr="00DF0680">
        <w:rPr>
          <w:rFonts w:cs="Times New Roman"/>
        </w:rPr>
        <w:t>resolves</w:t>
      </w:r>
      <w:r w:rsidRPr="00DF0680">
        <w:rPr>
          <w:rFonts w:cs="Times New Roman"/>
        </w:rPr>
        <w:t xml:space="preserve"> </w:t>
      </w:r>
      <w:r w:rsidR="005F0AAB" w:rsidRPr="00DF0680">
        <w:rPr>
          <w:rFonts w:cs="Times New Roman"/>
        </w:rPr>
        <w:t>Holliday junctions through strand nicking</w:t>
      </w:r>
      <w:r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"Constantinou", "given" : "Angelos", "non-dropping-particle" : "", "parse-names" : false, "suffix" : "" }, { "dropping-particle" : "", "family" : "Chen", "given" : "XB", "non-dropping-particle" : "", "parse-names" : false, "suffix" : "" }, { "dropping-particle" : "", "family" : "McGowan", "given" : "CH", "non-dropping-particle" : "", "parse-names" : false, "suffix" : "" }, { "dropping-particle" : "", "family" : "West", "given" : "SC", "non-dropping-particle" : "", "parse-names" : false, "suffix" : "" } ], "container-title" : "The EMBO Journal", "id" : "ITEM-1", "issue" : "20", "issued" : { "date-parts" : [ [ "2002" ] ] }, "title" : "Holliday junction resolution in human cells: two junction endonucleases with distinct substrate specificities", "type" : "article-journal", "volume" : "21" }, "uris" : [ "http://www.mendeley.com/documents/?uuid=c32a6d6b-c2a4-4993-9651-d3f4d59468bf" ] }, { "id" : "ITEM-2", "itemData" : { "author" : [ { "dropping-particle" : "", "family" : "Gaillard", "given" : "PHL", "non-dropping-particle" : "", "parse-names" : false, "suffix" : "" }, { "dropping-particle" : "", "family" : "Noguchi", "given" : "Eishi", "non-dropping-particle" : "", "parse-names" : false, "suffix" : "" }, { "dropping-particle" : "", "family" : "Shanahan", "given" : "Paul", "non-dropping-particle" : "", "parse-names" : false, "suffix" : "" }, { "dropping-particle" : "", "family" : "Russell", "given" : "Paul", "non-dropping-particle" : "", "parse-names" : false, "suffix" : "" } ], "container-title" : "Molecular Cell", "id" : "ITEM-2", "issue" : "3", "issued" : { "date-parts" : [ [ "2003" ] ] }, "page" : "747-759", "title" : "The endogenous Mus81-Eme1 complex resolves Holliday junctions by a nick and counternick mechanism", "type" : "article-journal", "volume" : "12" }, "uris" : [ "http://www.mendeley.com/documents/?uuid=a5f97d69-6b50-4a3e-bfbf-385fed1b36d0" ] } ], "mendeley" : { "formattedCitation" : "(Constantinou et al. 2002; Gaillard et al. 2003)", "plainTextFormattedCitation" : "(Constantinou et al. 2002; Gaillard et al. 2003)", "previouslyFormattedCitation" : "(Constantinou et al. 2002; Gaillard et al. 2003)" }, "properties" : { "noteIndex" : 0 }, "schema" : "https://github.com/citation-style-language/schema/raw/master/csl-citation.json" }</w:instrText>
      </w:r>
      <w:r w:rsidR="00F20EC0" w:rsidRPr="00DF0680">
        <w:rPr>
          <w:rFonts w:cs="Times New Roman"/>
        </w:rPr>
        <w:fldChar w:fldCharType="separate"/>
      </w:r>
      <w:r w:rsidR="005F0AAB" w:rsidRPr="00DF0680">
        <w:rPr>
          <w:rFonts w:cs="Times New Roman"/>
        </w:rPr>
        <w:t>(Constantinou et al. 2002; Gaillard et al. 2003)</w:t>
      </w:r>
      <w:r w:rsidR="00F20EC0" w:rsidRPr="00DF0680">
        <w:rPr>
          <w:rFonts w:cs="Times New Roman"/>
        </w:rPr>
        <w:fldChar w:fldCharType="end"/>
      </w:r>
      <w:r w:rsidRPr="00DF0680">
        <w:rPr>
          <w:rFonts w:cs="Times New Roman"/>
        </w:rPr>
        <w:t>. The recently discovered GEN1 endonuclease has been shown to bind specifically to Holliday junctions, dimerise, and resolve them using a dual incision mechanism</w:t>
      </w:r>
      <w:r w:rsidR="009F60FC"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"10.1101/gad.585310.such", "author" : [ { "dropping-particle" : "", "family" : "Rass", "given" : "Ulrich", "non-dropping-particle" : "", "parse-names" : false, "suffix" : "" }, { "dropping-particle" : "", "family" : "Compton", "given" : "SA", "non-dropping-particle" : "", "parse-names" : false, "suffix" : "" } ], "container-title" : "Genes &amp; Development", "id" : "ITEM-1", "issue" : "14", "issued" : { "date-parts" : [ [ "2010" ] ] }, "page" : "1559-1569", "title" : "Mechanism of Holliday junction resolution by the human GEN1 protein", "type" : "article-journal", "volume" : "24" }, "uris" : [ "http://www.mendeley.com/documents/?uuid=ccc2b1de-8377-43bd-8f3c-a66e7864b97f" ] } ], "mendeley" : { "formattedCitation" : "(Rass &amp; Compton 2010)", "plainTextFormattedCitation" : "(Rass &amp; Compton 2010)", "previouslyFormattedCitation" : "(Rass &amp; Compton 2010)"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(Rass &amp; Compton 2010)</w:t>
      </w:r>
      <w:r w:rsidR="00F20EC0" w:rsidRPr="00DF0680">
        <w:rPr>
          <w:rFonts w:cs="Times New Roman"/>
        </w:rPr>
        <w:fldChar w:fldCharType="end"/>
      </w:r>
      <w:r w:rsidR="005B1535" w:rsidRPr="00DF0680">
        <w:rPr>
          <w:rFonts w:cs="Times New Roman"/>
        </w:rPr>
        <w:t>. Although homologous recombination is more accurate than NHEJ, it can lead to loss of heterozygosity (LOH)</w:t>
      </w:r>
      <w:r w:rsidR="000A2682" w:rsidRPr="00DF0680">
        <w:rPr>
          <w:rFonts w:cs="Times New Roman"/>
        </w:rPr>
        <w:t xml:space="preserve">. This is important in recessively inherited diseases, where one fully functional gene is enough for normal </w:t>
      </w:r>
      <w:r w:rsidR="00724E72" w:rsidRPr="00DF0680">
        <w:rPr>
          <w:rFonts w:cs="Times New Roman"/>
        </w:rPr>
        <w:t xml:space="preserve">cell </w:t>
      </w:r>
      <w:r w:rsidR="000A2682" w:rsidRPr="00DF0680">
        <w:rPr>
          <w:rFonts w:cs="Times New Roman"/>
        </w:rPr>
        <w:t>development</w:t>
      </w:r>
      <w:r w:rsidR="00724E72" w:rsidRPr="00DF0680">
        <w:rPr>
          <w:rFonts w:cs="Times New Roman"/>
        </w:rPr>
        <w:t>, growth and maintenance</w:t>
      </w:r>
      <w:r w:rsidR="000A2682" w:rsidRPr="00DF0680">
        <w:rPr>
          <w:rFonts w:cs="Times New Roman"/>
        </w:rPr>
        <w:t xml:space="preserve">, but when this copy of the gene is damaged, and the disease-causing copy is used for homologous repair, the functioning gene is lost. This is a frequent mechanism in the development of diseases such as retinoblastoma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"Hansen", "given" : "MF", "non-dropping-particle" : "", "parse-names" : false, "suffix" : "" }, { "dropping-particle" : "", "family" : "Koufos", "given" : "Alex", "non-dropping-particle" : "", "parse-names" : false, "suffix" : "" } ], "container-title" : "Proceedings of the National Academy of Sciences", "id" : "ITEM-1", "issue" : "18", "issued" : { "date-parts" : [ [ "1985" ] ] }, "page" : "6216-6220", "title" : "Osteosarcoma and retinoblastoma: a shared chromosomal mechanism revealing recessive predisposition", "type" : "article-journal", "volume" : "82" }, "uris" : [ "http://www.mendeley.com/documents/?uuid=887cad18-4772-45d7-9ab0-8e6f81d8e661" ] } ], "mendeley" : { "formattedCitation" : "(Hansen &amp; Koufos 1985)", "plainTextFormattedCitation" : "(Hansen &amp; Koufos 1985)", "previouslyFormattedCitation" : "(Hansen &amp; Koufos 1985)" }, "properties" : { "noteIndex" : 0 }, "schema" : "https://github.com/citation-style-language/schema/raw/master/csl-citation.json" }</w:instrText>
      </w:r>
      <w:r w:rsidR="00F20EC0" w:rsidRPr="00DF0680">
        <w:rPr>
          <w:rFonts w:cs="Times New Roman"/>
        </w:rPr>
        <w:fldChar w:fldCharType="separate"/>
      </w:r>
      <w:r w:rsidR="000A2682" w:rsidRPr="00DF0680">
        <w:rPr>
          <w:rFonts w:cs="Times New Roman"/>
        </w:rPr>
        <w:t>(Hansen &amp; Koufos 1985)</w:t>
      </w:r>
      <w:r w:rsidR="00F20EC0" w:rsidRPr="00DF0680">
        <w:rPr>
          <w:rFonts w:cs="Times New Roman"/>
        </w:rPr>
        <w:fldChar w:fldCharType="end"/>
      </w:r>
      <w:r w:rsidR="000A2682" w:rsidRPr="00DF0680">
        <w:rPr>
          <w:rFonts w:cs="Times New Roman"/>
        </w:rPr>
        <w:t xml:space="preserve">. </w:t>
      </w:r>
      <w:r w:rsidR="003D7BAA" w:rsidRPr="00DF0680">
        <w:rPr>
          <w:rFonts w:cs="Times New Roman"/>
        </w:rPr>
        <w:t xml:space="preserve">As well as repairing double strand breaks from DNA damage and from collapsed replication forks, homologous recombination </w:t>
      </w:r>
      <w:r w:rsidR="005B1535" w:rsidRPr="00DF0680">
        <w:rPr>
          <w:rFonts w:cs="Times New Roman"/>
        </w:rPr>
        <w:t xml:space="preserve">has been suggested to resolve replication-transcription conflicts in the cell </w:t>
      </w:r>
      <w:r w:rsidR="00F20EC0" w:rsidRPr="00DF0680">
        <w:rPr>
          <w:rFonts w:cs="Times New Roman"/>
        </w:rPr>
        <w:fldChar w:fldCharType="begin" w:fldLock="1"/>
      </w:r>
      <w:r w:rsidR="00332613" w:rsidRPr="00DF0680">
        <w:rPr>
          <w:rFonts w:cs="Times New Roman"/>
        </w:rPr>
        <w:instrText>ADDIN CSL_CITATION { "citationItems" : [ { "id" : "ITEM-1", "itemData" : { "DOI" : "10.1128/MCB.00816-07", "ISSN" : "1098-5549", "PMID" : "17967877", "abstract" : "Transcription can enhance recombination; this is a ubiquitous phenomenon from prokaryotes to higher eukaryotes. However, the mechanism of transcription-associated recombination in mammalian cells is poorly understood. Here we have developed a construct with a recombination substrate in which levels of recombination can be studied in the presence or absence of transcription. We observed a direct enhancement in recombination when transcription levels through the substrate were increased. This increase in homologous recombination following transcription is locus specific, since homologous recombination at the unrelated hprt gene is unaffected. In addition, we have shown that transcription-associated recombination involves both short-tract and long-tract gene conversions in mammalian cells, which are different from double-strand-break-induced recombination events caused by endonucleases. Transcription fails to enhance recombination in cells that are not in the S phase of the cell cycle. Furthermore, inhibition of transcription suppresses induction of recombination at stalled replication forks, suggesting that recombination may be involved in bypassing transcription during replication.", "author" : [ { "dropping-particle" : "", "family" : "Gottipati", "given" : "Ponnari", "non-dropping-particle" : "", "parse-names" : false, "suffix" : "" }, { "dropping-particle" : "", "family" : "Cassel", "given" : "Tobias N", "non-dropping-particle" : "", "parse-names" : false, "suffix" : "" }, { "dropping-particle" : "", "family" : "Savolainen", "given" : "Linda", "non-dropping-particle" : "", "parse-names" : false, "suffix" : "" }, { "dropping-particle" : "", "family" : "Helleday", "given" : "Thomas", "non-dropping-particle" : "", "parse-names" : false, "suffix" : "" } ], "container-title" : "Molecular and Cellular Biology", "id" : "ITEM-1", "issue" : "1", "issued" : { "date-parts" : [ [ "2008", "1" ] ] }, "note" : "From Duplicate 1 ( ", "page" : "154-64", "title" : "Transcription-associated recombination is dependent on replication in Mammalian cells.", "type" : "article-journal", "volume" : "28" }, "uris" : [ "http://www.mendeley.com/documents/?uuid=3eb8f872-bb33-41ec-952a-dbed48066b4d" ] }, { "id" : "ITEM-2", "itemData" : { "DOI" : "10.1016/j.mrfmmm.2010.10.012", "ISSN" : "0027-5107", "PMID" : "21074544", "abstract" : "Transcription, replication and homologous recombination are intrinsically connected and it is well established that an increase of transcription is associated with an increase in homologous recombination. Here, we have studied how homologous recombination is affected during transcription inhibition by 5,6-dichloro-1-beta-D-ribofuranosylbenzimidazole (DRB), a compound that prevents activating phosphorylations of the RNA Pol II C-terminal domain. We identify that DRB triggers an increase in homologous recombination within the hprt gene as well as increasing RAD51 foci formation in mammalian cells. Furthermore, we find that DRB-induced transcriptional stress is associated with formation of the nuclear foci of the phosphorylated form of H2AX (\u03b3H2AX). We accounted that about 72% of RAD51 foci co-localized with the observed \u03b3H2AX foci. Interestingly, we find that XRCC3 mutated, homologous recombination defective cells are hypersensitive to the toxic effect of DRB and fail to form RAD51 foci. In conclusion, we show that DRB-induced transcription inhibition is associated with the formation of a lesion that triggers RAD51-dependent homologous recombination repair, required for survival under transcriptional stress.", "author" : [ { "dropping-particle" : "", "family" : "Stoimenov", "given" : "Ivaylo", "non-dropping-particle" : "", "parse-names" : false, "suffix" : "" }, { "dropping-particle" : "", "family" : "Gottipati", "given" : "Ponnari", "non-dropping-particle" : "", "parse-names" : false, "suffix" : "" }, { "dropping-particle" : "", "family" : "Schultz", "given" : "Niklas", "non-dropping-particle" : "", "parse-names" : false, "suffix" : "" }, { "dropping-particle" : "", "family" : "Helleday", "given" : "Thomas", "non-dropping-particle" : "", "parse-names" : false, "suffix" : "" } ], "container-title" : "Mutation Research", "id" : "ITEM-2", "issue" : "1-2", "issued" : { "date-parts" : [ [ "2011", "1", "10" ] ] }, "page" : "1-6", "publisher" : "Elsevier B.V.", "title" : "Transcription inhibition by 5,6-dichloro-1-beta-D-ribofuranosylbenzimidazole (DRB) causes DNA damage and triggers homologous recombination repair in mammalian cells.", "type" : "article-journal", "volume" : "706" }, "uris" : [ "http://www.mendeley.com/documents/?uuid=db132ba2-ef63-4a22-94b7-6b7dad8c1c2c" ] }, { "id" : "ITEM-3", "itemData" : { "DOI" : "10.1038/onc.2012.387", "ISSN" : "1476-5594", "PMID" : "22945645", "abstract" : "It has become increasingly clear that oncogenes not only provide aberrant growth signals to cells but also cause DNA damage at replication forks (replication stress), which activate the ataxia telangiectasia mutated (ATM)/p53-dependent tumor barrier. Here we studied underlying mechanisms of oncogene-induced replication stress in cells overexpressing the oncogene Cyclin E. Cyclin E overexpression is associated with increased firing of replication origins, impaired replication fork progression and DNA damage that activates RAD51-mediated recombination. By inhibiting replication initiation factors, we show that Cyclin E-induced replication slowing and DNA damage is a consequence of excessive origin firing. A significant amount of Cyclin E-induced replication slowing is due to interference between replication and transcription, which also underlies the activation of homologous recombination. Our data suggest that Cyclin E-induced replication stress is caused by deregulation of replication initiation and increased interference between replication and transcription, which results in impaired replication fork progression and DNA damage triggering the tumor barrier or cancer-promoting mutations.", "author" : [ { "dropping-particle" : "", "family" : "Jones", "given" : "R M", "non-dropping-particle" : "", "parse-names" : false, "suffix" : "" }, { "dropping-particle" : "", "family" : "Mortusewicz", "given" : "O", "non-dropping-particle" : "", "parse-names" : false, "suffix" : "" }, { "dropping-particle" : "", "family" : "Afzal", "given" : "I", "non-dropping-particle" : "", "parse-names" : false, "suffix" : "" }, { "dropping-particle" : "", "family" : "Lorvellec", "given" : "M", "non-dropping-particle" : "", "parse-names" : false, "suffix" : "" }, { "dropping-particle" : "", "family" : "Garc\u00eda", "given" : "P", "non-dropping-particle" : "", "parse-names" : false, "suffix" : "" }, { "dropping-particle" : "", "family" : "Helleday", "given" : "T", "non-dropping-particle" : "", "parse-names" : false, "suffix" : "" }, { "dropping-particle" : "", "family" : "Petermann", "given" : "E", "non-dropping-particle" : "", "parse-names" : false, "suffix" : "" } ], "container-title" : "Oncogene", "id" : "ITEM-3", "issue" : "32", "issued" : { "date-parts" : [ [ "2013", "8", "8" ] ] }, "page" : "3744-53", "title" : "Increased replication initiation and conflicts with transcription underlie Cyclin E-induced replication stress.", "type" : "article-journal", "volume" : "32" }, "uris" : [ "http://www.mendeley.com/documents/?uuid=cd645a42-40ed-440a-99d5-88b12d55fd65" ] } ], "mendeley" : { "formattedCitation" : "(Gottipati et al. 2008; Stoimenov et al. 2011; Jones et al. 2013)", "plainTextFormattedCitation" : "(Gottipati et al. 2008; Stoimenov et al. 2011; Jones et al. 2013)", "previouslyFormattedCitation" : "(Gottipati et al. 2008; Stoimenov et al. 2011; Jones et al. 2013)" }, "properties" : { "noteIndex" : 0 }, "schema" : "https://github.com/citation-style-language/schema/raw/master/csl-citation.json" }</w:instrText>
      </w:r>
      <w:r w:rsidR="00F20EC0" w:rsidRPr="00DF0680">
        <w:rPr>
          <w:rFonts w:cs="Times New Roman"/>
        </w:rPr>
        <w:fldChar w:fldCharType="separate"/>
      </w:r>
      <w:r w:rsidR="005B1535" w:rsidRPr="00DF0680">
        <w:rPr>
          <w:rFonts w:cs="Times New Roman"/>
        </w:rPr>
        <w:t>(Gottipati et al. 2008; Stoimenov et al. 2011; Jones et al. 2013)</w:t>
      </w:r>
      <w:r w:rsidR="00F20EC0" w:rsidRPr="00DF0680">
        <w:rPr>
          <w:rFonts w:cs="Times New Roman"/>
        </w:rPr>
        <w:fldChar w:fldCharType="end"/>
      </w:r>
      <w:r w:rsidR="005B1535" w:rsidRPr="00DF0680">
        <w:rPr>
          <w:rFonts w:cs="Times New Roman"/>
        </w:rPr>
        <w:t>.</w:t>
      </w:r>
    </w:p>
    <w:p w:rsidR="001B5E20" w:rsidRPr="00DF0680" w:rsidRDefault="001B5E20" w:rsidP="00E664FC">
      <w:pPr>
        <w:pStyle w:val="Heading4"/>
      </w:pPr>
      <w:bookmarkStart w:id="83" w:name="_Toc417204099"/>
      <w:bookmarkStart w:id="84" w:name="_Toc417674336"/>
      <w:r w:rsidRPr="00DF0680">
        <w:t>S</w:t>
      </w:r>
      <w:r w:rsidR="005C5082" w:rsidRPr="00DF0680">
        <w:t xml:space="preserve">ingle </w:t>
      </w:r>
      <w:r w:rsidR="00CE6110" w:rsidRPr="00DF0680">
        <w:t>s</w:t>
      </w:r>
      <w:r w:rsidR="005C5082" w:rsidRPr="00DF0680">
        <w:t xml:space="preserve">trand </w:t>
      </w:r>
      <w:r w:rsidR="00CE6110" w:rsidRPr="00DF0680">
        <w:t>a</w:t>
      </w:r>
      <w:r w:rsidR="005C5082" w:rsidRPr="00DF0680">
        <w:t>nnealing</w:t>
      </w:r>
      <w:bookmarkEnd w:id="83"/>
      <w:bookmarkEnd w:id="84"/>
    </w:p>
    <w:p w:rsidR="001D3F4C" w:rsidRPr="00DF0680" w:rsidRDefault="001D3F4C" w:rsidP="001D3F4C">
      <w:pPr>
        <w:rPr>
          <w:rFonts w:cs="Times New Roman"/>
          <w:szCs w:val="24"/>
        </w:rPr>
      </w:pPr>
      <w:r w:rsidRPr="00DF0680">
        <w:rPr>
          <w:rFonts w:cs="Times New Roman"/>
          <w:szCs w:val="24"/>
        </w:rPr>
        <w:t>Single strand annealing is yet another mechanism to repair DSB. It relies on a small amount of homology close to the terminus of the DNA strand break and works to anneal direct repeats within the same DNA molecule. However, this process requires excision of the joining ends so some of the intervening sequence can be lost</w:t>
      </w:r>
      <w:r w:rsidR="009F60FC" w:rsidRPr="00DF0680">
        <w:rPr>
          <w:rFonts w:cs="Times New Roman"/>
          <w:szCs w:val="24"/>
        </w:rPr>
        <w:t xml:space="preserve">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"ISSN" : "0305-1048", "PMID" : "7731791", "abstract" : "The joining of DNA double-strand breaks in vivo is frequently accompanied by the loss of a few nucleotides at the junction between the interacting partners. In vitro systems mimic this loss and, on detailed analysis, have suggested two models for the mechanism of end-joining. One invokes the use of extensive homologous side-by-side alignment of the partners prior to joining, while the other proposes the use of small regions of homology located at or near the terminus of the interacting molecules. to discriminate between these two models, assays were conducted both in vitro and in vivo with specially designed substrates. In vitro, molecules with limited terminal homology were capable of joining, but analysis of the junctions suggested that the mechanism employed the limited homology available. In vivo, the substrates with no extensive homology end-joined with equal efficiency to those with extensive homology in two different topological arrangements. Taken together, these results suggest that extensive homology is not a prerequisite for efficient end-joining, but that small homologies close to the terminus are used preferentially, as predicted by the modified single-strand annealing model.", "author" : [ { "dropping-particle" : "", "family" : "Nicol\u00e1s", "given" : "a L", "non-dropping-particle" : "", "parse-names" : false, "suffix" : "" }, { "dropping-particle" : "", "family" : "Munz", "given" : "P L", "non-dropping-particle" : "", "parse-names" : false, "suffix" : "" }, { "dropping-particle" : "", "family" : "Young", "given" : "C S", "non-dropping-particle" : "", "parse-names" : false, "suffix" : "" } ], "container-title" : "Nucleic Acids Research", "id" : "ITEM-1", "issue" : "6", "issued" : { "date-parts" : [ [ "1995", "3", "25" ] ] }, "page" : "1036-43", "title" : "A modified single-strand annealing model best explains the joining of DNA double-strand breaks mammalian cells and cell extracts.", "type" : "article-journal", "volume" : "23" }, "uris" : [ "http://www.mendeley.com/documents/?uuid=4d839013-0956-4d9d-93b5-acd62f84b029" ] } ], "mendeley" : { "formattedCitation" : "(Nicol\u00e1s et al. 1995)", "plainTextFormattedCitation" : "(Nicol\u00e1s et al. 1995)", "previouslyFormattedCitation" : "(Nicol\u00e1s et al. 1995)"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(Nicolás et al. 1995)</w:t>
      </w:r>
      <w:r w:rsidR="00F20EC0" w:rsidRPr="00DF0680">
        <w:rPr>
          <w:rFonts w:cs="Times New Roman"/>
          <w:szCs w:val="24"/>
        </w:rPr>
        <w:fldChar w:fldCharType="end"/>
      </w:r>
      <w:r w:rsidRPr="00DF0680">
        <w:rPr>
          <w:rFonts w:cs="Times New Roman"/>
          <w:szCs w:val="24"/>
        </w:rPr>
        <w:t xml:space="preserve"> (see </w:t>
      </w:r>
      <w:r w:rsidR="00F20EC0" w:rsidRPr="00DF0680">
        <w:rPr>
          <w:rFonts w:cs="Times New Roman"/>
          <w:szCs w:val="24"/>
        </w:rPr>
        <w:fldChar w:fldCharType="begin"/>
      </w:r>
      <w:r w:rsidR="006B2135" w:rsidRPr="00DF0680">
        <w:rPr>
          <w:rFonts w:cs="Times New Roman"/>
          <w:szCs w:val="24"/>
        </w:rPr>
        <w:instrText xml:space="preserve"> REF _Ref416515127 \h </w:instrText>
      </w:r>
      <w:r w:rsidR="00F20EC0" w:rsidRPr="00DF0680">
        <w:rPr>
          <w:rFonts w:cs="Times New Roman"/>
          <w:szCs w:val="24"/>
        </w:rPr>
      </w:r>
      <w:r w:rsidR="00F20EC0" w:rsidRPr="00DF0680">
        <w:rPr>
          <w:rFonts w:cs="Times New Roman"/>
          <w:szCs w:val="24"/>
        </w:rPr>
        <w:fldChar w:fldCharType="separate"/>
      </w:r>
      <w:r w:rsidR="009801AF" w:rsidRPr="00DF0680">
        <w:t>Figure 1.4</w:t>
      </w:r>
      <w:r w:rsidR="00F20EC0" w:rsidRPr="00DF0680">
        <w:rPr>
          <w:rFonts w:cs="Times New Roman"/>
          <w:szCs w:val="24"/>
        </w:rPr>
        <w:fldChar w:fldCharType="end"/>
      </w:r>
      <w:r w:rsidRPr="00DF0680">
        <w:rPr>
          <w:rFonts w:cs="Times New Roman"/>
          <w:szCs w:val="24"/>
        </w:rPr>
        <w:t xml:space="preserve">). </w:t>
      </w:r>
      <w:r w:rsidR="00F72F5A" w:rsidRPr="00DF0680">
        <w:rPr>
          <w:rFonts w:cs="Times New Roman"/>
          <w:szCs w:val="24"/>
        </w:rPr>
        <w:t>The regions in between the homologous regions will be flipped out and serve as a substrate for nucleases such as ERCC1</w:t>
      </w:r>
      <w:r w:rsidR="00693277" w:rsidRPr="00DF0680">
        <w:rPr>
          <w:rFonts w:cs="Times New Roman"/>
          <w:szCs w:val="24"/>
        </w:rPr>
        <w:t>/XPF</w:t>
      </w:r>
      <w:r w:rsidR="00F72F5A" w:rsidRPr="00DF0680">
        <w:rPr>
          <w:rFonts w:cs="Times New Roman"/>
          <w:szCs w:val="24"/>
        </w:rPr>
        <w:t xml:space="preserve">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"author" : [ { "dropping-particle" : "", "family" : "Sargent", "given" : "RG", "non-dropping-particle" : "", "parse-names" : false, "suffix" : "" }, { "dropping-particle" : "", "family" : "Rolig", "given" : "RL", "non-dropping-particle" : "", "parse-names" : false, "suffix" : "" } ], "container-title" : "Proceedings of the National Academy of Sciences", "id" : "ITEM-1", "issue" : "24", "issued" : { "date-parts" : [ [ "1997" ] ] }, "page" : "13122-13127", "title" : "Recombination-dependent deletion formation in mammalian cells deficient in the nucleotide excision repair gene ERCC1", "type" : "article-journal", "volume" : "94" }, "uris" : [ "http://www.mendeley.com/documents/?uuid=fb0d3fba-d291-4d90-8cee-7f17967aed74" ] }, { "id" : "ITEM-2", "itemData" : { "author" : [ { "dropping-particle" : "", "family" : "Sargent", "given" : "RG", "non-dropping-particle" : "", "parse-names" : false, "suffix" : "" }, { "dropping-particle" : "", "family" : "Meservy", "given" : "JL", "non-dropping-particle" : "", "parse-names" : false, "suffix" : "" } ], "container-title" : "Nucleic Acids Research", "id" : "ITEM-2", "issue" : "19", "issued" : { "date-parts" : [ [ "2000" ] ] }, "page" : "3771-3778", "title" : "Role of the nucleotide excision repair gene ERCC1 in formation of recombination-dependent rearrangements in mammalian cells", "type" : "article-journal", "volume" : "28" }, "uris" : [ "http://www.mendeley.com/documents/?uuid=a6716dee-4b73-4bd7-a245-96ae8dda6eaf" ] }, { "id" : "ITEM-3", "itemData" : { "DOI" : "10.1093/nar/gkm888", "ISSN" : "1362-4962", "PMID" : "17962301", "abstract" : "The mammalian ERCC1-XPF endonuclease has a suggested role in the repair of DNA double-strand breaks (DSB) by single-strand annealing (SSA). Here, we investigated the role of ERCC1 in homologous recombination in mammalian cells, and confirm a role of ERCC1 in SSA. Interestingly, we also report an unexpected role for ERCC1 in gene conversion. This provides support that gene conversion in mammalian somatic cells is carried out through synthesis-dependent strand annealing, rather than through a double Holliday Junction mechanism. Moreover, we find low frequencies of SSA and gene conversion in G1-arrested cells, suggesting that SSA is not a frequent DSB repair pathway in G1-arrested mammalian cells, even in the presence of perfect repeats. Furthermore, we find that SSA is not influenced by inhibition of CDK2 (using Roscovitine), ATM (using Caffeine and KU55933), Chk1 (using CEP-3891) or DNA-PK (using NU7026).", "author" : [ { "dropping-particle" : "", "family" : "Al-Minawi", "given" : "Ali Z", "non-dropping-particle" : "", "parse-names" : false, "suffix" : "" }, { "dropping-particle" : "", "family" : "Saleh-Gohari", "given" : "Nasrollah", "non-dropping-particle" : "", "parse-names" : false, "suffix" : "" }, { "dropping-particle" : "", "family" : "Helleday", "given" : "Thomas", "non-dropping-particle" : "", "parse-names" : false, "suffix" : "" } ], "container-title" : "Nucleic Acids Research", "id" : "ITEM-3", "issue" : "1", "issued" : { "date-parts" : [ [ "2008", "1" ] ] }, "page" : "1-9", "title" : "The ERCC1/XPF endonuclease is required for efficient single-strand annealing and gene conversion in mammalian cells.", "type" : "article-journal", "volume" : "36" }, "uris" : [ "http://www.mendeley.com/documents/?uuid=d7c1c69b-cf5d-4b22-a4ca-1f6d5ed5a0b8" ] } ], "mendeley" : { "formattedCitation" : "(Sargent &amp; Rolig 1997; Sargent &amp; Meservy 2000; Al-Minawi et al. 2008)", "plainTextFormattedCitation" : "(Sargent &amp; Rolig 1997; Sargent &amp; Meservy 2000; Al-Minawi et al. 2008)", "previouslyFormattedCitation" : "(Sargent &amp; Rolig 1997; Sargent &amp; Meservy 2000; Al-Minawi et al. 2008)" }, "properties" : { "noteIndex" : 0 }, "schema" : "https://github.com/citation-style-language/schema/raw/master/csl-citation.json" }</w:instrText>
      </w:r>
      <w:r w:rsidR="00F20EC0" w:rsidRPr="00DF0680">
        <w:rPr>
          <w:rFonts w:cs="Times New Roman"/>
          <w:szCs w:val="24"/>
        </w:rPr>
        <w:fldChar w:fldCharType="separate"/>
      </w:r>
      <w:r w:rsidR="00693277" w:rsidRPr="00DF0680">
        <w:rPr>
          <w:rFonts w:cs="Times New Roman"/>
          <w:szCs w:val="24"/>
        </w:rPr>
        <w:t>(Sargent &amp; Rolig 1997; Sargent &amp; Meservy 2000; Al-Minawi et al. 2008)</w:t>
      </w:r>
      <w:r w:rsidR="00F20EC0" w:rsidRPr="00DF0680">
        <w:rPr>
          <w:rFonts w:cs="Times New Roman"/>
          <w:szCs w:val="24"/>
        </w:rPr>
        <w:fldChar w:fldCharType="end"/>
      </w:r>
      <w:r w:rsidR="00F72F5A" w:rsidRPr="00DF0680">
        <w:rPr>
          <w:rFonts w:cs="Times New Roman"/>
          <w:szCs w:val="24"/>
        </w:rPr>
        <w:t xml:space="preserve">. </w:t>
      </w:r>
    </w:p>
    <w:p w:rsidR="001B5E20" w:rsidRPr="00DF0680" w:rsidRDefault="001B5E20" w:rsidP="00E664FC">
      <w:pPr>
        <w:pStyle w:val="Heading4"/>
      </w:pPr>
      <w:bookmarkStart w:id="85" w:name="_Toc417204100"/>
      <w:bookmarkStart w:id="86" w:name="_Toc417674337"/>
      <w:r w:rsidRPr="00DF0680">
        <w:t>S</w:t>
      </w:r>
      <w:r w:rsidR="005C5082" w:rsidRPr="00DF0680">
        <w:t xml:space="preserve">ynthesis </w:t>
      </w:r>
      <w:r w:rsidR="00CE6110" w:rsidRPr="00DF0680">
        <w:t>d</w:t>
      </w:r>
      <w:r w:rsidR="005C5082" w:rsidRPr="00DF0680">
        <w:t xml:space="preserve">ependent </w:t>
      </w:r>
      <w:r w:rsidR="00CE6110" w:rsidRPr="00DF0680">
        <w:t>s</w:t>
      </w:r>
      <w:r w:rsidR="005C5082" w:rsidRPr="00DF0680">
        <w:t xml:space="preserve">trand </w:t>
      </w:r>
      <w:r w:rsidR="00CE6110" w:rsidRPr="00DF0680">
        <w:t>a</w:t>
      </w:r>
      <w:r w:rsidR="005C5082" w:rsidRPr="00DF0680">
        <w:t>nnealing</w:t>
      </w:r>
      <w:bookmarkEnd w:id="85"/>
      <w:bookmarkEnd w:id="86"/>
    </w:p>
    <w:p w:rsidR="001D3F4C" w:rsidRPr="00DF0680" w:rsidRDefault="001D3F4C" w:rsidP="001D3F4C">
      <w:pPr>
        <w:rPr>
          <w:rFonts w:cs="Times New Roman"/>
          <w:szCs w:val="24"/>
        </w:rPr>
      </w:pPr>
      <w:r w:rsidRPr="00DF0680">
        <w:rPr>
          <w:rFonts w:cs="Times New Roman"/>
          <w:szCs w:val="24"/>
        </w:rPr>
        <w:t>Synthesis-dependent strand annealing (SDSA) is another repair mechanism that relies on homology but does not require the formation of Holliday junctions and thus does not form an intermediate that needs to be resolved</w:t>
      </w:r>
      <w:r w:rsidR="008749CD" w:rsidRPr="00DF0680">
        <w:rPr>
          <w:rFonts w:cs="Times New Roman"/>
          <w:szCs w:val="24"/>
        </w:rPr>
        <w:t xml:space="preserve"> (see </w:t>
      </w:r>
      <w:r w:rsidR="00F20EC0" w:rsidRPr="00DF0680">
        <w:rPr>
          <w:rFonts w:cs="Times New Roman"/>
          <w:szCs w:val="24"/>
        </w:rPr>
        <w:fldChar w:fldCharType="begin"/>
      </w:r>
      <w:r w:rsidR="006B2135" w:rsidRPr="00DF0680">
        <w:rPr>
          <w:rFonts w:cs="Times New Roman"/>
          <w:szCs w:val="24"/>
        </w:rPr>
        <w:instrText xml:space="preserve"> REF _Ref416515127 \h </w:instrText>
      </w:r>
      <w:r w:rsidR="00F20EC0" w:rsidRPr="00DF0680">
        <w:rPr>
          <w:rFonts w:cs="Times New Roman"/>
          <w:szCs w:val="24"/>
        </w:rPr>
      </w:r>
      <w:r w:rsidR="00F20EC0" w:rsidRPr="00DF0680">
        <w:rPr>
          <w:rFonts w:cs="Times New Roman"/>
          <w:szCs w:val="24"/>
        </w:rPr>
        <w:fldChar w:fldCharType="separate"/>
      </w:r>
      <w:r w:rsidR="009801AF" w:rsidRPr="00DF0680">
        <w:t>Figure 1.4</w:t>
      </w:r>
      <w:r w:rsidR="00F20EC0" w:rsidRPr="00DF0680">
        <w:rPr>
          <w:rFonts w:cs="Times New Roman"/>
          <w:szCs w:val="24"/>
        </w:rPr>
        <w:fldChar w:fldCharType="end"/>
      </w:r>
      <w:r w:rsidRPr="00DF0680">
        <w:rPr>
          <w:rFonts w:cs="Times New Roman"/>
          <w:szCs w:val="24"/>
        </w:rPr>
        <w:t xml:space="preserve">). </w:t>
      </w:r>
      <w:r w:rsidR="00FC690E" w:rsidRPr="00DF0680">
        <w:rPr>
          <w:rFonts w:cs="Times New Roman"/>
          <w:szCs w:val="24"/>
        </w:rPr>
        <w:t xml:space="preserve">The D-loop is displaced by a DNA helicase and the newly synthesised DNA is annealed to the other single stranded DNA on the original chromatid, generating exclusively non-crossover products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"author" : [ { "dropping-particle" : "", "family" : "Nassif", "given" : "Nadine", "non-dropping-particle" : "", "parse-names" : false, "suffix" : "" }, { "dropping-particle" : "", "family" : "Penney", "given" : "Janice", "non-dropping-particle" : "", "parse-names" : false, "suffix" : "" }, { "dropping-particle" : "", "family" : "Pal", "given" : "Sebely", "non-dropping-particle" : "", "parse-names" : false, "suffix" : "" } ], "container-title" : "Molecular and Cellular Biology", "id" : "ITEM-1", "issue" : "3", "issued" : { "date-parts" : [ [ "1994" ] ] }, "page" : "1613-1625", "title" : "Efficient copying of nonhomologous sequences from ectopic sites via P-element-induced gap repair.", "type" : "article-journal", "volume" : "14" }, "uris" : [ "http://www.mendeley.com/documents/?uuid=e0d3b91a-c4c5-4a4b-b4e5-3be085f70942" ] } ], "mendeley" : { "formattedCitation" : "(Nassif et al. 1994)", "plainTextFormattedCitation" : "(Nassif et al. 1994)", "previouslyFormattedCitation" : "(Nassif et al. 1994)" }, "properties" : { "noteIndex" : 0 }, "schema" : "https://github.com/citation-style-language/schema/raw/master/csl-citation.json" }</w:instrText>
      </w:r>
      <w:r w:rsidR="00F20EC0" w:rsidRPr="00DF0680">
        <w:rPr>
          <w:rFonts w:cs="Times New Roman"/>
          <w:szCs w:val="24"/>
        </w:rPr>
        <w:fldChar w:fldCharType="separate"/>
      </w:r>
      <w:r w:rsidR="007E40B7" w:rsidRPr="00DF0680">
        <w:rPr>
          <w:rFonts w:cs="Times New Roman"/>
          <w:szCs w:val="24"/>
        </w:rPr>
        <w:t>(Nassif et al. 1994)</w:t>
      </w:r>
      <w:r w:rsidR="00F20EC0" w:rsidRPr="00DF0680">
        <w:rPr>
          <w:rFonts w:cs="Times New Roman"/>
          <w:szCs w:val="24"/>
        </w:rPr>
        <w:fldChar w:fldCharType="end"/>
      </w:r>
      <w:r w:rsidR="00FC690E" w:rsidRPr="00DF0680">
        <w:rPr>
          <w:rFonts w:cs="Times New Roman"/>
          <w:szCs w:val="24"/>
        </w:rPr>
        <w:t xml:space="preserve">. </w:t>
      </w:r>
      <w:r w:rsidR="00C706EC" w:rsidRPr="00DF0680">
        <w:rPr>
          <w:rFonts w:cs="Times New Roman"/>
          <w:szCs w:val="24"/>
        </w:rPr>
        <w:t xml:space="preserve">Recent work has implicated RECQL5 as the helicase to displace the D-loop and promote SDSA </w:t>
      </w:r>
      <w:r w:rsidR="00F20EC0" w:rsidRPr="00DF0680">
        <w:rPr>
          <w:rFonts w:cs="Times New Roman"/>
          <w:szCs w:val="24"/>
        </w:rPr>
        <w:fldChar w:fldCharType="begin" w:fldLock="1"/>
      </w:r>
      <w:r w:rsidR="00332613" w:rsidRPr="00DF0680">
        <w:rPr>
          <w:rFonts w:cs="Times New Roman"/>
          <w:szCs w:val="24"/>
        </w:rPr>
        <w:instrText>ADDIN CSL_CITATION { "citationItems" : [ { "id" : "ITEM-1", "itemData" : { "DOI" : "10.1093/nar/gkt1263", "ISSN" : "1362-4962", "PMID" : "24319145", "abstract" : "Most mitotic homologous recombination (HR) events proceed via a synthesis-dependent strand annealing mechanism to avoid crossing over, which may give rise to chromosomal rearrangements and loss of heterozygosity. The molecular mechanisms controlling HR sub-pathway choice are poorly understood. Here, we show that human RECQ5, a DNA helicase that can disrupt RAD51 nucleoprotein filaments, promotes formation of non-crossover products during DNA double-strand break-induced HR and counteracts the inhibitory effect of RAD51 on RAD52-mediated DNA annealing in vitro and in vivo. Moreover, we demonstrate that RECQ5 deficiency is associated with an increased occupancy of RAD51 at a double-strand break site, and it also causes an elevation of sister chromatid exchanges on inactivation of the Holliday junction dissolution pathway or on induction of a high load of DNA damage in the cell. Collectively, our findings suggest that RECQ5 acts during the post-synaptic phase of synthesis-dependent strand annealing to prevent formation of aberrant RAD51 filaments on the extended invading strand, thus limiting its channeling into potentially hazardous crossover pathway of HR.", "author" : [ { "dropping-particle" : "", "family" : "Paliwal", "given" : "Shreya", "non-dropping-particle" : "", "parse-names" : false, "suffix" : "" }, { "dropping-particle" : "", "family" : "Kanagaraj", "given" : "Radhakrishnan", "non-dropping-particle" : "", "parse-names" : false, "suffix" : "" }, { "dropping-particle" : "", "family" : "Sturzenegger", "given" : "Andreas", "non-dropping-particle" : "", "parse-names" : false, "suffix" : "" }, { "dropping-particle" : "", "family" : "Burdova", "given" : "Kamila", "non-dropping-particle" : "", "parse-names" : false, "suffix" : "" }, { "dropping-particle" : "", "family" : "Janscak", "given" : "Pavel", "non-dropping-particle" : "", "parse-names" : false, "suffix" : "" } ], "container-title" : "Nucleic Acids Research", "id" : "ITEM-1", "issue" : "4", "issued" : { "date-parts" : [ [ "2013", "12", "6" ] ] }, "page" : "2380-90", "title" : "Human RECQ5 helicase promotes repair of DNA double-strand breaks by synthesis-dependent strand annealing.", "type" : "article-journal", "volume" : "42" }, "uris" : [ "http://www.mendeley.com/documents/?uuid=9756a8b4-6ceb-49b9-a51d-9f3ade3d9007" ] } ], "mendeley" : { "formattedCitation" : "(Paliwal et al. 2013)", "plainTextFormattedCitation" : "(Paliwal et al. 2013)", "previouslyFormattedCitation" : "(Paliwal et al. 2013)" }, "properties" : { "noteIndex" : 0 }, "schema" : "https://github.com/citation-style-language/schema/raw/master/csl-citation.json" }</w:instrText>
      </w:r>
      <w:r w:rsidR="00F20EC0" w:rsidRPr="00DF0680">
        <w:rPr>
          <w:rFonts w:cs="Times New Roman"/>
          <w:szCs w:val="24"/>
        </w:rPr>
        <w:fldChar w:fldCharType="separate"/>
      </w:r>
      <w:r w:rsidR="00C706EC" w:rsidRPr="00DF0680">
        <w:rPr>
          <w:rFonts w:cs="Times New Roman"/>
          <w:szCs w:val="24"/>
        </w:rPr>
        <w:t>(Paliwal et al. 2013)</w:t>
      </w:r>
      <w:r w:rsidR="00F20EC0" w:rsidRPr="00DF0680">
        <w:rPr>
          <w:rFonts w:cs="Times New Roman"/>
          <w:szCs w:val="24"/>
        </w:rPr>
        <w:fldChar w:fldCharType="end"/>
      </w:r>
      <w:r w:rsidR="00C706EC" w:rsidRPr="00DF0680">
        <w:rPr>
          <w:rFonts w:cs="Times New Roman"/>
          <w:szCs w:val="24"/>
        </w:rPr>
        <w:t>.</w:t>
      </w:r>
    </w:p>
    <w:p w:rsidR="008F706B" w:rsidRPr="00DF0680" w:rsidRDefault="008F706B" w:rsidP="001D3F4C">
      <w:pPr>
        <w:rPr>
          <w:rFonts w:cs="Times New Roman"/>
          <w:szCs w:val="24"/>
        </w:rPr>
      </w:pPr>
      <w:r w:rsidRPr="00DF0680">
        <w:rPr>
          <w:rFonts w:cs="Times New Roman"/>
          <w:szCs w:val="24"/>
        </w:rPr>
        <w:lastRenderedPageBreak/>
        <w:t xml:space="preserve">The different mechanisms used to repair double-strand breaks are summarised in </w:t>
      </w:r>
      <w:r w:rsidR="00F20EC0" w:rsidRPr="00DF0680">
        <w:rPr>
          <w:rFonts w:cs="Times New Roman"/>
          <w:szCs w:val="24"/>
        </w:rPr>
        <w:fldChar w:fldCharType="begin"/>
      </w:r>
      <w:r w:rsidR="006B2135" w:rsidRPr="00DF0680">
        <w:rPr>
          <w:rFonts w:cs="Times New Roman"/>
          <w:szCs w:val="24"/>
        </w:rPr>
        <w:instrText xml:space="preserve"> REF _Ref416515127 \h </w:instrText>
      </w:r>
      <w:r w:rsidR="00F20EC0" w:rsidRPr="00DF0680">
        <w:rPr>
          <w:rFonts w:cs="Times New Roman"/>
          <w:szCs w:val="24"/>
        </w:rPr>
      </w:r>
      <w:r w:rsidR="00F20EC0" w:rsidRPr="00DF0680">
        <w:rPr>
          <w:rFonts w:cs="Times New Roman"/>
          <w:szCs w:val="24"/>
        </w:rPr>
        <w:fldChar w:fldCharType="separate"/>
      </w:r>
      <w:r w:rsidR="009801AF" w:rsidRPr="00DF0680">
        <w:t>Figure 1.4</w:t>
      </w:r>
      <w:r w:rsidR="00F20EC0" w:rsidRPr="00DF0680">
        <w:rPr>
          <w:rFonts w:cs="Times New Roman"/>
          <w:szCs w:val="24"/>
        </w:rPr>
        <w:fldChar w:fldCharType="end"/>
      </w:r>
      <w:r w:rsidRPr="00DF0680">
        <w:rPr>
          <w:rFonts w:cs="Times New Roman"/>
          <w:szCs w:val="24"/>
        </w:rPr>
        <w:t xml:space="preserve">. </w:t>
      </w:r>
    </w:p>
    <w:p w:rsidR="001B5E20" w:rsidRPr="00DF0680" w:rsidRDefault="001B5E20" w:rsidP="00E664FC">
      <w:pPr>
        <w:pStyle w:val="Heading4"/>
      </w:pPr>
      <w:bookmarkStart w:id="87" w:name="_Toc417204101"/>
      <w:bookmarkStart w:id="88" w:name="_Toc417674338"/>
      <w:r w:rsidRPr="00DF0680">
        <w:t>Fork stabilisation and restart</w:t>
      </w:r>
      <w:bookmarkEnd w:id="87"/>
      <w:bookmarkEnd w:id="88"/>
    </w:p>
    <w:p w:rsidR="003318E8" w:rsidRPr="00DF0680" w:rsidRDefault="001D3F4C" w:rsidP="001D3F4C">
      <w:pPr>
        <w:rPr>
          <w:rFonts w:cs="Times New Roman"/>
        </w:rPr>
      </w:pPr>
      <w:r w:rsidRPr="00DF0680">
        <w:rPr>
          <w:rFonts w:cs="Times New Roman"/>
        </w:rPr>
        <w:t>As described above, the replication fork can stall for a num</w:t>
      </w:r>
      <w:r w:rsidR="00155191" w:rsidRPr="00DF0680">
        <w:rPr>
          <w:rFonts w:cs="Times New Roman"/>
        </w:rPr>
        <w:t>ber of reasons whether it is single strand break</w:t>
      </w:r>
      <w:r w:rsidRPr="00DF0680">
        <w:rPr>
          <w:rFonts w:cs="Times New Roman"/>
        </w:rPr>
        <w:t xml:space="preserve">s, secondary structures within the DNA, a dNTP pool imbalance or DNA cross-links. </w:t>
      </w:r>
      <w:r w:rsidR="003318E8" w:rsidRPr="00DF0680">
        <w:rPr>
          <w:rFonts w:cs="Times New Roman"/>
        </w:rPr>
        <w:t>The mechanism of stabilizing stalled forks has not yet been completely established but current evidence suggest</w:t>
      </w:r>
      <w:r w:rsidR="005A7C03" w:rsidRPr="00DF0680">
        <w:rPr>
          <w:rFonts w:cs="Times New Roman"/>
        </w:rPr>
        <w:t>s</w:t>
      </w:r>
      <w:r w:rsidR="003318E8" w:rsidRPr="00DF0680">
        <w:rPr>
          <w:rFonts w:cs="Times New Roman"/>
        </w:rPr>
        <w:t xml:space="preserve"> that in order to keep a fork from collapsing, the cell must inhibit the progression of the MCM helicase, inhibit homologous recombination, and stabilize the polymerases. </w:t>
      </w:r>
    </w:p>
    <w:p w:rsidR="00B7112D" w:rsidRPr="00DF0680" w:rsidRDefault="00B7112D" w:rsidP="001D3F4C">
      <w:pPr>
        <w:rPr>
          <w:rFonts w:cs="Times New Roman"/>
          <w:color w:val="auto"/>
        </w:rPr>
      </w:pPr>
      <w:r w:rsidRPr="00DF0680">
        <w:rPr>
          <w:rFonts w:cs="Times New Roman"/>
        </w:rPr>
        <w:t xml:space="preserve">Currently, </w:t>
      </w:r>
      <w:r w:rsidR="004C247B" w:rsidRPr="00DF0680">
        <w:rPr>
          <w:rFonts w:cs="Times New Roman"/>
        </w:rPr>
        <w:t xml:space="preserve">there is </w:t>
      </w:r>
      <w:r w:rsidRPr="00DF0680">
        <w:rPr>
          <w:rFonts w:cs="Times New Roman"/>
        </w:rPr>
        <w:t>little evidence to suggest that ATR or Chk1 target the polymerases</w:t>
      </w:r>
      <w:r w:rsidR="008749CD" w:rsidRPr="00DF0680">
        <w:rPr>
          <w:rFonts w:cs="Times New Roman"/>
        </w:rPr>
        <w:t xml:space="preserve"> for </w:t>
      </w:r>
      <w:r w:rsidR="00027508" w:rsidRPr="00DF0680">
        <w:rPr>
          <w:rFonts w:cs="Times New Roman"/>
        </w:rPr>
        <w:t>replisome stability at forks,</w:t>
      </w:r>
      <w:r w:rsidRPr="00DF0680">
        <w:rPr>
          <w:rFonts w:cs="Times New Roman"/>
        </w:rPr>
        <w:t xml:space="preserve"> </w:t>
      </w:r>
      <w:r w:rsidR="004C247B" w:rsidRPr="00DF0680">
        <w:rPr>
          <w:rFonts w:cs="Times New Roman"/>
        </w:rPr>
        <w:t>but</w:t>
      </w:r>
      <w:r w:rsidR="00E00E5E" w:rsidRPr="00DF0680">
        <w:rPr>
          <w:rFonts w:cs="Times New Roman"/>
        </w:rPr>
        <w:t xml:space="preserve"> in yeast,</w:t>
      </w:r>
      <w:r w:rsidR="004C247B" w:rsidRPr="00DF0680">
        <w:rPr>
          <w:rFonts w:cs="Times New Roman"/>
        </w:rPr>
        <w:t xml:space="preserve"> the checkpoint protein Rad17 is phosphorylated independently of ATM, and the phosphorylated form localises to sites of DNA replication and interacts with DNA polymerase ε </w:t>
      </w:r>
      <w:r w:rsidR="00F20EC0" w:rsidRPr="00DF0680">
        <w:rPr>
          <w:rFonts w:cs="Times New Roman"/>
        </w:rPr>
        <w:fldChar w:fldCharType="begin" w:fldLock="1"/>
      </w:r>
      <w:r w:rsidR="00472A2F" w:rsidRPr="00DF0680">
        <w:rPr>
          <w:rFonts w:cs="Times New Roman"/>
        </w:rPr>
        <w:instrText>ADDIN CSL_CITATION { "citationItems" : [ { "id" : "ITEM-1", "itemData" : { "DOI" : "10.1093/nar/gkg765", "ISSN" : "1362-4962", "author" : [ { "dropping-particle" : "", "family" : "Post", "given" : "S. M.", "non-dropping-particle" : "", "parse-names" : false, "suffix" : "" }, { "dropping-particle" : "", "family" : "Tomkinson", "given" : "A. E.", "non-dropping-particle" : "", "parse-names" : false, "suffix" : "" }, { "dropping-particle" : "", "family" : "Lee", "given" : "E. Y.-H.", "non-dropping-particle" : "", "parse-names" : false, "suffix" : "" } ], "container-title" : "Nucleic Acids Research", "id" : "ITEM-1", "issue" : "19", "issued" : { "date-parts" : [ [ "2003", "10", "1" ] ] }, "page" : "5568-5575", "title" : "The human checkpoint Rad protein Rad17 is chromatin-associated throughout the cell cycle, localizes to DNA replication sites, and interacts with DNA polymerase", "type" : "article-journal", "volume" : "31" }, "uris" : [ "http://www.mendeley.com/documents/?uuid=42458d92-01ab-4417-b58b-c62cb006342a" ] }, { "id" : "ITEM-2", "itemData" : { "DOI" : "10.1016/j.molcel.2012.01.007", "ISSN" : "1097-4164", "PMID" : "22325992", "abstract" : "The S phase checkpoint pathway preserves genome stability by protecting defective DNA replication forks, but the underlying mechanisms are still understood poorly. Previous work with budding yeast suggested that the checkpoint kinases Mec1 and Rad53 might prevent collapse of the replisome when nucleotide concentrations are limiting, thereby allowing the subsequent resumption of DNA synthesis. Here we describe a direct analysis of replisome stability in budding yeast cells lacking checkpoint kinases, together with a high-resolution view of replisome progression across the genome. Surprisingly, we find that the replisome is stably associated with DNA replication forks following replication stress in the absence of Mec1 or Rad53. A component of the replicative DNA helicase is phosphorylated within the replisome in a Mec1-dependent manner upon replication stress, and our data indicate that checkpoint kinases control replisome function rather than stability, as part of a multifaceted response that allows cells to survive defects in chromosome replication.", "author" : [ { "dropping-particle" : "", "family" : "Piccoli", "given" : "Giacomo", "non-dropping-particle" : "De", "parse-names" : false, "suffix" : "" }, { "dropping-particle" : "", "family" : "Katou", "given" : "Yuki", "non-dropping-particle" : "", "parse-names" : false, "suffix" : "" }, { "dropping-particle" : "", "family" : "Itoh", "given" : "Takehiko", "non-dropping-particle" : "", "parse-names" : false, "suffix" : "" }, { "dropping-particle" : "", "family" : "Nakato", "given" : "Ryuichiro", "non-dropping-particle" : "", "parse-names" : false, "suffix" : "" }, { "dropping-particle" : "", "family" : "Shirahige", "given" : "Katsuhiko", "non-dropping-particle" : "", "parse-names" : false, "suffix" : "" }, { "dropping-particle" : "", "family" : "Labib", "given" : "Karim", "non-dropping-particle" : "", "parse-names" : false, "suffix" : "" } ], "container-title" : "Molecular Cell", "id" : "ITEM-2", "issue" : "5", "issued" : { "date-parts" : [ [ "2012", "3", "9" ] ] }, "page" : "696-704", "publisher" : "Elsevier Inc.", "title" : "Replisome stability at defective DNA replication forks is independent of S phase checkpoint kinases.", "type" : "article-journal", "volume" : "45" }, "uris" : [ "http://www.mendeley.com/documents/?uuid=4eee70a3-b26d-4f2e-b9a0-80f01deadf71" ] } ], "mendeley" : { "formattedCitation" : "(Post et al. 2003; De Piccoli et al. 2012)", "plainTextFormattedCitation" : "(Post et al. 2003; De Piccoli et al. 2012)", "previouslyFormattedCitation" : "(Post et al. 2003; De Piccoli et al. 2012)" }, "properties" : { "noteIndex" : 0 }, "schema" : "https://github.com/citation-style-language/schema/raw/master/csl-citation.json" }</w:instrText>
      </w:r>
      <w:r w:rsidR="00F20EC0" w:rsidRPr="00DF0680">
        <w:rPr>
          <w:rFonts w:cs="Times New Roman"/>
        </w:rPr>
        <w:fldChar w:fldCharType="separate"/>
      </w:r>
      <w:r w:rsidR="00724E72" w:rsidRPr="00DF0680">
        <w:rPr>
          <w:rFonts w:cs="Times New Roman"/>
        </w:rPr>
        <w:t>(Post et al. 2003; De Piccoli et al. 2012)</w:t>
      </w:r>
      <w:r w:rsidR="00F20EC0" w:rsidRPr="00DF0680">
        <w:rPr>
          <w:rFonts w:cs="Times New Roman"/>
        </w:rPr>
        <w:fldChar w:fldCharType="end"/>
      </w:r>
      <w:r w:rsidR="004C247B" w:rsidRPr="00DF0680">
        <w:rPr>
          <w:rFonts w:cs="Times New Roman"/>
        </w:rPr>
        <w:t>.</w:t>
      </w:r>
      <w:r w:rsidR="00503D0E" w:rsidRPr="00DF0680">
        <w:rPr>
          <w:rFonts w:cs="Times New Roman"/>
        </w:rPr>
        <w:t xml:space="preserve"> </w:t>
      </w:r>
      <w:r w:rsidR="00503D0E" w:rsidRPr="00DF0680">
        <w:rPr>
          <w:rFonts w:cs="Times New Roman"/>
          <w:color w:val="auto"/>
        </w:rPr>
        <w:t>Polymerases themselves have been demonstrate</w:t>
      </w:r>
      <w:r w:rsidR="00081F2E" w:rsidRPr="00DF0680">
        <w:rPr>
          <w:rFonts w:cs="Times New Roman"/>
          <w:color w:val="auto"/>
        </w:rPr>
        <w:t>d</w:t>
      </w:r>
      <w:r w:rsidR="00503D0E" w:rsidRPr="00DF0680">
        <w:rPr>
          <w:rFonts w:cs="Times New Roman"/>
          <w:color w:val="auto"/>
        </w:rPr>
        <w:t xml:space="preserve"> to be involved in </w:t>
      </w:r>
      <w:r w:rsidR="00081F2E" w:rsidRPr="00DF0680">
        <w:rPr>
          <w:rFonts w:cs="Times New Roman"/>
          <w:color w:val="auto"/>
        </w:rPr>
        <w:t xml:space="preserve">the </w:t>
      </w:r>
      <w:r w:rsidR="00503D0E" w:rsidRPr="00DF0680">
        <w:rPr>
          <w:rFonts w:cs="Times New Roman"/>
          <w:color w:val="auto"/>
        </w:rPr>
        <w:t>signalling</w:t>
      </w:r>
      <w:r w:rsidR="00081F2E" w:rsidRPr="00DF0680">
        <w:rPr>
          <w:rFonts w:cs="Times New Roman"/>
          <w:color w:val="auto"/>
        </w:rPr>
        <w:t xml:space="preserve"> of the DNA damage response</w:t>
      </w:r>
      <w:r w:rsidR="006F23CB" w:rsidRPr="00DF0680">
        <w:rPr>
          <w:rFonts w:cs="Times New Roman"/>
          <w:color w:val="auto"/>
        </w:rPr>
        <w:t xml:space="preserve"> at stalled replication forks</w:t>
      </w:r>
      <w:r w:rsidR="00081F2E" w:rsidRPr="00DF0680">
        <w:rPr>
          <w:rFonts w:cs="Times New Roman"/>
          <w:color w:val="auto"/>
        </w:rPr>
        <w:t xml:space="preserv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"author" : [ { "dropping-particle" : "", "family" : "Yan", "given" : "Shan", "non-dropping-particle" : "", "parse-names" : false, "suffix" : "" }, { "dropping-particle" : "", "family" : "Michael", "given" : "WM", "non-dropping-particle" : "", "parse-names" : false, "suffix" : "" } ], "container-title" : "Cell Cycle", "id" : "ITEM-1", "issue" : "18", "issued" : { "date-parts" : [ [ "2009" ] ] }, "page" : "2877-2884", "title" : "TopBP1 and DNA polymerase \u03b1-mediated recruitment of the 9-1-1 complex to stalled replication forks", "type" : "article-journal", "volume" : "8" }, "uris" : [ "http://www.mendeley.com/documents/?uuid=f2dab44c-b28b-4e3d-9f61-394e68f5a474" ] }, { "id" : "ITEM-2", "itemData" : { "DOI" : "10.1093/nar/gks1016", "ISBN" : "0468908900", "ISSN" : "1362-4962", "PMID" : "23118481", "abstract" : "Human DNA polymerase (pol) \u03bb functions in base excision repair and non-homologous end joining. We have previously shown that DNA pol \u03bb is involved in accurate bypass of the two frequent oxidative lesions, 7,8-dihydro-8-oxoguanine and 1,2-dihydro-2-oxoadenine during the S phase. However, nothing is known so far about the relationship of DNA pol \u03bb with the S phase DNA damage response checkpoint. Here, we show that a knockdown of DNA pol \u03bb, but not of its close homologue DNA pol \u03b2, results in replication fork stress and activates the S phase checkpoint, slowing S phase progression in different human cancer cell lines. We furthermore show that DNA pol \u03bb protects cells from oxidative DNA damage and also functions in rescuing stalled replication forks. Its absence becomes lethal for a cell when a functional checkpoint is missing, suggesting a DNA synthesis deficiency. Our results provide the first evidence, to our knowledge, that DNA pol \u03bb is required for cell cycle progression and is functionally connected to the S phase DNA damage response machinery in cancer cells.", "author" : [ { "dropping-particle" : "", "family" : "Zucca", "given" : "Elisa", "non-dropping-particle" : "", "parse-names" : false, "suffix" : "" }, { "dropping-particle" : "", "family" : "Bertoletti", "given" : "Federica", "non-dropping-particle" : "", "parse-names" : false, "suffix" : "" }, { "dropping-particle" : "", "family" : "Wimmer", "given" : "Ursula", "non-dropping-particle" : "", "parse-names" : false, "suffix" : "" }, { "dropping-particle" : "", "family" : "Ferrari", "given" : "Elena", "non-dropping-particle" : "", "parse-names" : false, "suffix" : "" }, { "dropping-particle" : "", "family" : "Mazzini", "given" : "Giuliano", "non-dropping-particle" : "", "parse-names" : false, "suffix" : "" }, { "dropping-particle" : "", "family" : "Khoronenkova", "given" : "Svetlana", "non-dropping-particle" : "", "parse-names" : false, "suffix" : "" }, { "dropping-particle" : "", "family" : "Grosse", "given" : "Nicole", "non-dropping-particle" : "", "parse-names" : false, "suffix" : "" }, { "dropping-particle" : "", "family" : "Loon", "given" : "Barbara", "non-dropping-particle" : "van", "parse-names" : false, "suffix" : "" }, { "dropping-particle" : "", "family" : "Dianov", "given" : "Grigory", "non-dropping-particle" : "", "parse-names" : false, "suffix" : "" }, { "dropping-particle" : "", "family" : "H\u00fcbscher", "given" : "Ulrich", "non-dropping-particle" : "", "parse-names" : false, "suffix" : "" }, { "dropping-particle" : "", "family" : "Maga", "given" : "Giovanni", "non-dropping-particle" : "", "parse-names" : false, "suffix" : "" } ], "container-title" : "Nucleic Acids Research", "id" : "ITEM-2", "issue" : "1", "issued" : { "date-parts" : [ [ "2013", "1", "7" ] ] }, "page" : "229-41", "title" : "Silencing of human DNA polymerase \u03bb causes replication stress and is synthetically lethal with an impaired S phase checkpoint.", "type" : "article-journal", "volume" : "41" }, "uris" : [ "http://www.mendeley.com/documents/?uuid=b9c6e184-e831-4ed4-ac57-12ef01aebe57" ] }, { "id" : "ITEM-3", "itemData" : { "DOI" : "10.1038/emboj.2013.148", "ISSN" : "1460-2075", "PMID" : "23799366", "abstract" : "Formation of primed single-stranded DNA at stalled replication forks triggers activation of the replication checkpoint signalling cascade resulting in the ATR-mediated phosphorylation of the Chk1 protein kinase, thus preventing genomic instability. By using siRNA-mediated depletion in human cells and immunodepletion and reconstitution experiments in Xenopus egg extracts, we report that the Y-family translesion (TLS) DNA polymerase kappa (Pol \u03ba) contributes to the replication checkpoint response and is required for recovery after replication stress. We found that Pol \u03ba is implicated in the synthesis of short DNA intermediates at stalled forks, facilitating the recruitment of the 9-1-1 checkpoint clamp. Furthermore, we show that Pol \u03ba interacts with the Rad9 subunit of the 9-1-1 complex. Finally, we show that this novel checkpoint function of Pol \u03ba is required for the maintenance of genomic stability and cell proliferation in unstressed human cells.", "author" : [ { "dropping-particle" : "", "family" : "B\u00e9tous", "given" : "R\u00e9my", "non-dropping-particle" : "", "parse-names" : false, "suffix" : "" }, { "dropping-particle" : "", "family" : "Pillaire", "given" : "Marie-Jeanne", "non-dropping-particle" : "", "parse-names" : false, "suffix" : "" }, { "dropping-particle" : "", "family" : "Pierini", "given" : "Laura", "non-dropping-particle" : "", "parse-names" : false, "suffix" : "" }, { "dropping-particle" : "", "family" : "Laan", "given" : "Siem", "non-dropping-particle" : "van der", "parse-names" : false, "suffix" : "" }, { "dropping-particle" : "", "family" : "Recolin", "given" : "B\u00e9n\u00e9dicte", "non-dropping-particle" : "", "parse-names" : false, "suffix" : "" }, { "dropping-particle" : "", "family" : "Ohl-S\u00e9guy", "given" : "Emma", "non-dropping-particle" : "", "parse-names" : false, "suffix" : "" }, { "dropping-particle" : "", "family" : "Guo", "given" : "Caixia", "non-dropping-particle" : "", "parse-names" : false, "suffix" : "" }, { "dropping-particle" : "", "family" : "Niimi", "given" : "Naoko", "non-dropping-particle" : "", "parse-names" : false, "suffix" : "" }, { "dropping-particle" : "", "family" : "Gr\u00faz", "given" : "Petr", "non-dropping-particle" : "", "parse-names" : false, "suffix" : "" }, { "dropping-particle" : "", "family" : "Nohmi", "given" : "Takehiko", "non-dropping-particle" : "", "parse-names" : false, "suffix" : "" }, { "dropping-particle" : "", "family" : "Friedberg", "given" : "Errol", "non-dropping-particle" : "", "parse-names" : false, "suffix" : "" }, { "dropping-particle" : "", "family" : "Cazaux", "given" : "Christophe", "non-dropping-particle" : "", "parse-names" : false, "suffix" : "" }, { "dropping-particle" : "", "family" : "Maiorano", "given" : "Domenico", "non-dropping-particle" : "", "parse-names" : false, "suffix" : "" }, { "dropping-particle" : "", "family" : "Hoffmann", "given" : "Jean-S\u00e9bastien", "non-dropping-particle" : "", "parse-names" : false, "suffix" : "" } ], "container-title" : "The EMBO Journal", "id" : "ITEM-3", "issue" : "15", "issued" : { "date-parts" : [ [ "2013", "7", "31" ] ] }, "page" : "2172-85", "title" : "DNA polymerase \u03ba-dependent DNA synthesis at stalled replication forks is important for CHK1 activation.", "type" : "article-journal", "volume" : "32" }, "uris" : [ "http://www.mendeley.com/documents/?uuid=b2fc785c-641a-4f9d-9f21-89afd00df986" ] } ], "mendeley" : { "formattedCitation" : "(Yan &amp; Michael 2009; Zucca et al. 2013; B\u00e9tous et al. 2013)", "plainTextFormattedCitation" : "(Yan &amp; Michael 2009; Zucca et al. 2013; B\u00e9tous et al. 2013)", "previouslyFormattedCitation" : "(Yan &amp; Michael 2009; Zucca et al. 2013; B\u00e9tous et al. 2013)" }, "properties" : { "noteIndex" : 0 }, "schema" : "https://github.com/citation-style-language/schema/raw/master/csl-citation.json" }</w:instrText>
      </w:r>
      <w:r w:rsidR="00F20EC0" w:rsidRPr="00DF0680">
        <w:rPr>
          <w:rFonts w:cs="Times New Roman"/>
          <w:color w:val="auto"/>
        </w:rPr>
        <w:fldChar w:fldCharType="separate"/>
      </w:r>
      <w:r w:rsidR="00081F2E" w:rsidRPr="00DF0680">
        <w:rPr>
          <w:rFonts w:cs="Times New Roman"/>
          <w:color w:val="auto"/>
        </w:rPr>
        <w:t>(Yan &amp; Michael 2009; Zucca et al. 2013; Bétous et al. 2013)</w:t>
      </w:r>
      <w:r w:rsidR="00F20EC0" w:rsidRPr="00DF0680">
        <w:rPr>
          <w:rFonts w:cs="Times New Roman"/>
          <w:color w:val="auto"/>
        </w:rPr>
        <w:fldChar w:fldCharType="end"/>
      </w:r>
      <w:r w:rsidR="00503D0E" w:rsidRPr="00DF0680">
        <w:rPr>
          <w:rFonts w:cs="Times New Roman"/>
          <w:color w:val="auto"/>
        </w:rPr>
        <w:t>.</w:t>
      </w:r>
    </w:p>
    <w:p w:rsidR="00AB0D8D" w:rsidRPr="00DF0680" w:rsidRDefault="004F2C97" w:rsidP="004F2C97">
      <w:pPr>
        <w:keepNext/>
        <w:jc w:val="center"/>
        <w:rPr>
          <w:rFonts w:cs="Times New Roman"/>
        </w:rPr>
      </w:pPr>
      <w:r w:rsidRPr="00DF0680">
        <w:lastRenderedPageBreak/>
        <w:drawing>
          <wp:inline distT="0" distB="0" distL="0" distR="0">
            <wp:extent cx="5174608" cy="4524703"/>
            <wp:effectExtent l="0" t="0" r="6992"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5173347" cy="4523600"/>
                    </a:xfrm>
                    <a:prstGeom prst="rect">
                      <a:avLst/>
                    </a:prstGeom>
                    <a:noFill/>
                    <a:ln w="9525">
                      <a:noFill/>
                      <a:miter lim="800000"/>
                      <a:headEnd/>
                      <a:tailEnd/>
                    </a:ln>
                  </pic:spPr>
                </pic:pic>
              </a:graphicData>
            </a:graphic>
          </wp:inline>
        </w:drawing>
      </w:r>
    </w:p>
    <w:p w:rsidR="00AB0D8D" w:rsidRPr="00DF0680" w:rsidRDefault="00AB0D8D" w:rsidP="00D94477">
      <w:pPr>
        <w:pStyle w:val="Caption"/>
      </w:pPr>
      <w:bookmarkStart w:id="89" w:name="_Toc409449302"/>
      <w:bookmarkStart w:id="90" w:name="_Toc417813886"/>
      <w:bookmarkStart w:id="91" w:name="_Ref416515127"/>
      <w:r w:rsidRPr="00DF0680">
        <w:t xml:space="preserve">Figure </w:t>
      </w:r>
      <w:fldSimple w:instr=" STYLEREF 1 \s ">
        <w:r w:rsidR="006119E3">
          <w:rPr>
            <w:noProof/>
          </w:rPr>
          <w:t>1</w:t>
        </w:r>
      </w:fldSimple>
      <w:r w:rsidR="006119E3">
        <w:t>.</w:t>
      </w:r>
      <w:fldSimple w:instr=" SEQ Figure \* ARABIC \s 1 ">
        <w:r w:rsidR="006119E3">
          <w:rPr>
            <w:noProof/>
          </w:rPr>
          <w:t>4</w:t>
        </w:r>
      </w:fldSimple>
      <w:bookmarkEnd w:id="91"/>
      <w:r w:rsidRPr="00DF0680">
        <w:t xml:space="preserve"> – Pathways of double-strand break repair</w:t>
      </w:r>
      <w:bookmarkEnd w:id="89"/>
      <w:bookmarkEnd w:id="90"/>
    </w:p>
    <w:p w:rsidR="00AB0D8D" w:rsidRPr="00DF0680" w:rsidRDefault="00AB0D8D" w:rsidP="00AB0D8D">
      <w:pPr>
        <w:spacing w:line="276" w:lineRule="auto"/>
        <w:rPr>
          <w:rFonts w:cs="Times New Roman"/>
        </w:rPr>
      </w:pPr>
      <w:r w:rsidRPr="00DF0680">
        <w:rPr>
          <w:rFonts w:cs="Times New Roman"/>
        </w:rPr>
        <w:t xml:space="preserve">If a double strand break is recognised by DNA-PK, the complex promotes non-homologous end joining. If the double strand break is recognised by the MRN complex or PARP1, the ends are subsequently processed by exonucleases such as DNA2 or Exo1 to reveal a 3’ ssDNA tail. Proteins, including BRCA1, BRCA2, RAD51 and RAD52, then trigger strand invasion, forming a D-loop, and the synthesis of new DNA, using the opposing strand as a template. At this stage, the D-loop can be disrupted by a helicase, and original strands annealed together in the synthesis-dependent strand annealing pathway. Alternatively, the invaded strand, extended by DNA synthesis, can be captured , forming a double Holliday Junction. This can be resolved using helicases such as BLM and WRN, or by endonucleases such as Mus81 and Gen1. If there are regions of homology, or direct repeats, either side of the DSB, the break can be repaired by single-strand annealing. This process involves strand resection, followed by annealing of the homologous sequences, and cleavage of the sequence in between the repeats. </w:t>
      </w:r>
      <w:r w:rsidR="00902269" w:rsidRPr="00DF0680">
        <w:rPr>
          <w:rFonts w:cs="Times New Roman"/>
        </w:rPr>
        <w:t>Arrow heads indicate 3’ end.</w:t>
      </w:r>
    </w:p>
    <w:p w:rsidR="00CD2397" w:rsidRPr="00DF0680" w:rsidRDefault="00CD2397" w:rsidP="001D3F4C">
      <w:pPr>
        <w:rPr>
          <w:rFonts w:cs="Times New Roman"/>
        </w:rPr>
      </w:pPr>
    </w:p>
    <w:p w:rsidR="00540AAA" w:rsidRPr="00DF0680" w:rsidRDefault="003318E8" w:rsidP="001D3F4C">
      <w:pPr>
        <w:rPr>
          <w:rFonts w:cs="Times New Roman"/>
        </w:rPr>
      </w:pPr>
      <w:r w:rsidRPr="00DF0680">
        <w:rPr>
          <w:rFonts w:cs="Times New Roman"/>
        </w:rPr>
        <w:lastRenderedPageBreak/>
        <w:t xml:space="preserve">Keeping the replicative helicase and polymerase coupled is </w:t>
      </w:r>
      <w:r w:rsidR="007A532F" w:rsidRPr="00DF0680">
        <w:rPr>
          <w:rFonts w:cs="Times New Roman"/>
        </w:rPr>
        <w:t>necessary to avoid the loss of the helicase and the generation of large stretches of ssDNA. Loss of the yeast CHK1 homolog (Rad53), increases the amount of ssDNA at stalled forks and the association of MCM with stalled forks is lost</w:t>
      </w:r>
      <w:r w:rsidR="00894B0A"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"10.1126/science.1074023", "ISSN" : "1095-9203", "PMID" : "12142537", "abstract" : "Checkpoint-mediated control of replicating chromosomes is essential for preventing cancer. In yeast, Rad53 kinase protects stalled replication forks from pathological rearrangements. To characterize the mechanisms controlling fork integrity, we analyzed replication intermediates formed in response to replication blocks using electron microscopy. At the forks, wild-type cells accumulate short single-stranded regions, which likely causes checkpoint activation, whereas rad53 mutants exhibit extensive single-stranded gaps and hemi-replicated intermediates, consistent with a lagging-strand synthesis defect. Further, rad53 cells accumulate Holliday junctions through fork reversal. We speculate that, in checkpoint mutants, abnormal replication intermediates begin to form because of uncoordinated replication and are further processed by unscheduled recombination pathways, causing genome instability.", "author" : [ { "dropping-particle" : "", "family" : "Sogo", "given" : "Jos\u00e9 M", "non-dropping-particle" : "", "parse-names" : false, "suffix" : "" }, { "dropping-particle" : "", "family" : "Lopes", "given" : "Massimo", "non-dropping-particle" : "", "parse-names" : false, "suffix" : "" }, { "dropping-particle" : "", "family" : "Foiani", "given" : "Marco", "non-dropping-particle" : "", "parse-names" : false, "suffix" : "" } ], "container-title" : "Science", "id" : "ITEM-1", "issue" : "5581", "issued" : { "date-parts" : [ [ "2002", "7", "26" ] ] }, "page" : "599-602", "title" : "Fork reversal and ssDNA accumulation at stalled replication forks owing to checkpoint defects.", "type" : "article-journal", "volume" : "297" }, "uris" : [ "http://www.mendeley.com/documents/?uuid=4a37b450-7ceb-4734-9e9d-9e77852ca8f2" ] }, { "id" : "ITEM-2", "itemData" : { "DOI" : "10.1101/gad.361805", "ISSN" : "0890-9369", "PMID" : "16357221", "abstract" : "The yeast checkpoint kinases Mec1 and Rad53 are required for genomic stability in the presence of replicative stress. When replication forks stall, the stable maintenance of replisome components requires the ATR kinase Mec1/Ddc2 and the RecQ helicase Sgs1. It was unclear whether either Mec1 or Sgs1 action requires the checkpoint effector kinase, Rad53. By combining sgs1Delta with checkpoint-deficient alleles, we can now distinguish the role of Mec1 at stalled forks from that of Rad53. We show that the S-phase-specific mec1-100 allele, like the sgs1Delta mutation, partially destabilizes DNA polymerases at stalled forks, yet combining the mec1-100 and sgs1Delta mutations leads to complete disassociation of the replisome, loss of RPA, irreversible termination of nucleotide incorporation, and compromised recovery from hydroxyurea (HU) arrest. These events coincide with a dramatic increase in both spontaneous and HU-induced chromosomal rearrangements. Importantly, in sgs1Delta cells, RPA levels at stalled forks do not change, although Ddc2 recruitment is compromised, explaining the partial Sgs1 and Mec1 interdependence. Loss of Rad53 kinase, on the other hand, does not affect the levels of DNA polymerases at arrested forks, but leads to MCM protein dissociation. Finally, confirming its unique role during replicative stress, Mec1, and not Tel1, is shown to modify fork-associated histone H2A.", "author" : [ { "dropping-particle" : "", "family" : "Cobb", "given" : "Jennifer a", "non-dropping-particle" : "", "parse-names" : false, "suffix" : "" }, { "dropping-particle" : "", "family" : "Schleker", "given" : "Thomas", "non-dropping-particle" : "", "parse-names" : false, "suffix" : "" }, { "dropping-particle" : "", "family" : "Rojas", "given" : "Vanesa", "non-dropping-particle" : "", "parse-names" : false, "suffix" : "" }, { "dropping-particle" : "", "family" : "Bjergbaek", "given" : "Lotte", "non-dropping-particle" : "", "parse-names" : false, "suffix" : "" }, { "dropping-particle" : "", "family" : "Tercero", "given" : "Jos\u00e9 Antonio", "non-dropping-particle" : "", "parse-names" : false, "suffix" : "" }, { "dropping-particle" : "", "family" : "Gasser", "given" : "Susan M", "non-dropping-particle" : "", "parse-names" : false, "suffix" : "" } ], "container-title" : "Genes &amp; Development", "id" : "ITEM-2", "issue" : "24", "issued" : { "date-parts" : [ [ "2005", "12", "15" ] ] }, "page" : "3055-69", "title" : "Replisome instability, fork collapse, and gross chromosomal rearrangements arise synergistically from Mec1 kinase and RecQ helicase mutations.", "type" : "article-journal", "volume" : "19" }, "uris" : [ "http://www.mendeley.com/documents/?uuid=e4a48a69-d8a9-4e9d-9d06-5e624cbf5118" ] } ], "mendeley" : { "formattedCitation" : "(Sogo et al. 2002; Cobb et al. 2005)", "plainTextFormattedCitation" : "(Sogo et al. 2002; Cobb et al. 2005)", "previouslyFormattedCitation" : "(Sogo et al. 2002; Cobb et al. 2005)"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(Sogo et al. 2002; Cobb et al. 2005)</w:t>
      </w:r>
      <w:r w:rsidR="00F20EC0" w:rsidRPr="00DF0680">
        <w:rPr>
          <w:rFonts w:cs="Times New Roman"/>
        </w:rPr>
        <w:fldChar w:fldCharType="end"/>
      </w:r>
      <w:r w:rsidR="007A532F" w:rsidRPr="00DF0680">
        <w:rPr>
          <w:rFonts w:cs="Times New Roman"/>
        </w:rPr>
        <w:t xml:space="preserve">. </w:t>
      </w:r>
      <w:r w:rsidR="006D2466" w:rsidRPr="00DF0680">
        <w:rPr>
          <w:rFonts w:cs="Times New Roman"/>
        </w:rPr>
        <w:t xml:space="preserve">MCM2 is also a target for phosphorylation by ATR, and ATR and ATRIP directly interact with MCM7 </w:t>
      </w:r>
      <w:r w:rsidR="00F20EC0" w:rsidRPr="00DF0680">
        <w:rPr>
          <w:rFonts w:cs="Times New Roman"/>
        </w:rPr>
        <w:fldChar w:fldCharType="begin" w:fldLock="1"/>
      </w:r>
      <w:r w:rsidR="001112F6" w:rsidRPr="00DF0680">
        <w:rPr>
          <w:rFonts w:cs="Times New Roman"/>
        </w:rPr>
        <w:instrText>ADDIN CSL_CITATION { "citationItems" : [ { "id" : "ITEM-1", "itemData" : { "DOI" : "10.1073/pnas.0403410101", "ISSN" : "0027-8424", "PMID" : "15210935", "abstract" : "The minichromosome maintenance (MCM) 2-7 helicase complex functions to initiate and elongate replication forks. Cell cycle checkpoint signaling pathways regulate DNA replication to maintain genomic stability. We describe four lines of evidence that ATM/ATR-dependent (ataxia-telangiectasia-mutated/ATM- and Rad3-related) checkpoint pathways are directly linked to three members of the MCM complex. First, ATM phosphorylates MCM3 on S535 in response to ionizing radiation. Second, ATR phosphorylates MCM2 on S108 in response to multiple forms of DNA damage and stalling of replication forks. Third, ATR-interacting protein (ATRIP)-ATR interacts with MCM7. Fourth, reducing the amount of MCM7 in cells disrupts checkpoint signaling and causes an intra-S-phase checkpoint defect. Thus, the MCM complex is a platform for multiple DNA damage-dependent regulatory signals that control DNA replication.", "author" : [ { "dropping-particle" : "", "family" : "Cortez", "given" : "David", "non-dropping-particle" : "", "parse-names" : false, "suffix" : "" }, { "dropping-particle" : "", "family" : "Glick", "given" : "Gloria", "non-dropping-particle" : "", "parse-names" : false, "suffix" : "" }, { "dropping-particle" : "", "family" : "Elledge", "given" : "Stephen J", "non-dropping-particle" : "", "parse-names" : false, "suffix" : "" } ], "container-title" : "Proceedings of the National Academy of Sciences", "id" : "ITEM-1", "issue" : "27", "issued" : { "date-parts" : [ [ "2004", "7", "6" ] ] }, "page" : "10078-83", "title" : "Minichromosome maintenance proteins are direct targets of the ATM and ATR checkpoint kinases.", "type" : "article-journal", "volume" : "101" }, "uris" : [ "http://www.mendeley.com/documents/?uuid=37e0f884-d44f-4221-b59c-8299c12593a2" ] } ], "mendeley" : { "formattedCitation" : "(Cortez et al. 2004)", "plainTextFormattedCitation" : "(Cortez et al. 2004)", "previouslyFormattedCitation" : "(Cortez et al. 2004)"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(Cortez et al. 2004)</w:t>
      </w:r>
      <w:r w:rsidR="00F20EC0" w:rsidRPr="00DF0680">
        <w:rPr>
          <w:rFonts w:cs="Times New Roman"/>
        </w:rPr>
        <w:fldChar w:fldCharType="end"/>
      </w:r>
      <w:r w:rsidR="00A111FE" w:rsidRPr="00DF0680">
        <w:rPr>
          <w:rFonts w:cs="Times New Roman"/>
        </w:rPr>
        <w:t>. A</w:t>
      </w:r>
      <w:r w:rsidR="006D2466" w:rsidRPr="00DF0680">
        <w:rPr>
          <w:rFonts w:cs="Times New Roman"/>
        </w:rPr>
        <w:t xml:space="preserve">lthough the function of this modification is unknown, the evidence suggests that the helicase and polymerase remain coupled in an ATR dependent fashion </w:t>
      </w:r>
      <w:r w:rsidR="00F20EC0" w:rsidRPr="00DF0680">
        <w:rPr>
          <w:rFonts w:cs="Times New Roman"/>
        </w:rPr>
        <w:fldChar w:fldCharType="begin" w:fldLock="1"/>
      </w:r>
      <w:r w:rsidR="00332613" w:rsidRPr="00DF0680">
        <w:rPr>
          <w:rFonts w:cs="Times New Roman"/>
        </w:rPr>
        <w:instrText>ADDIN CSL_CITATION { "citationItems" : [ { "id" : "ITEM-1", "itemData" : { "DOI" : "10.1016/j.dnarep.2007.02.015", "ISSN" : "1568-7864", "PMID" : "17531546", "abstract" : "The proper detection and repair of DNA damage is essential to the maintenance of genomic stability. The genome is particularly vulnerable during DNA replication, when endogenous and exogenous events can hinder replication fork progression. Stalled replication forks can fold into deleterious conformations and are also unstable structures that are prone to collapse or break. These events can lead to inappropriate processing of the DNA, ultimately resulting in genomic instability, chromosomal alterations and cancer. To cope with stalled replication forks, the cell relies on the replication checkpoint to block cell cycle progression, downregulate origin firing, stabilize the fork itself, and restart replication. The ATR (ATM and Rad3-related) kinase and its downstream effector kinase, Chk1, are central regulators of the replication checkpoint. Loss of these checkpoint proteins causes replication fork collapse and chromosomal rearrangements which may ultimately predispose affected individuals to cancer. This review summarizes our current understanding of how the ATR pathway recognizes and stabilizes stalled replication forks.", "author" : [ { "dropping-particle" : "", "family" : "Paulsen", "given" : "Renee D", "non-dropping-particle" : "", "parse-names" : false, "suffix" : "" }, { "dropping-particle" : "", "family" : "Cimprich", "given" : "Karlene a", "non-dropping-particle" : "", "parse-names" : false, "suffix" : "" } ], "container-title" : "DNA Repair", "id" : "ITEM-1", "issue" : "7", "issued" : { "date-parts" : [ [ "2007", "7", "1" ] ] }, "page" : "953-66", "title" : "The ATR pathway: fine-tuning the fork.", "type" : "article-journal", "volume" : "6" }, "uris" : [ "http://www.mendeley.com/documents/?uuid=03dfb69c-c94d-479f-bf51-7981e856b05c" ] } ], "mendeley" : { "formattedCitation" : "(Paulsen &amp; Cimprich 2007)", "plainTextFormattedCitation" : "(Paulsen &amp; Cimprich 2007)", "previouslyFormattedCitation" : "(Paulsen &amp; Cimprich 2007)"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(Paulsen &amp; Cimprich 2007)</w:t>
      </w:r>
      <w:r w:rsidR="00F20EC0" w:rsidRPr="00DF0680">
        <w:rPr>
          <w:rFonts w:cs="Times New Roman"/>
        </w:rPr>
        <w:fldChar w:fldCharType="end"/>
      </w:r>
      <w:r w:rsidR="006D2466" w:rsidRPr="00DF0680">
        <w:rPr>
          <w:rFonts w:cs="Times New Roman"/>
        </w:rPr>
        <w:t xml:space="preserve">. </w:t>
      </w:r>
      <w:r w:rsidR="003831E3" w:rsidRPr="00DF0680">
        <w:rPr>
          <w:rFonts w:cs="Times New Roman"/>
        </w:rPr>
        <w:t xml:space="preserve">Work in yeast has shown that Cdc45 may be important in stalling the helicase during replication stress through binding to ssDNA </w:t>
      </w:r>
      <w:r w:rsidR="00F20EC0" w:rsidRPr="00DF0680">
        <w:rPr>
          <w:rFonts w:cs="Times New Roman"/>
        </w:rPr>
        <w:fldChar w:fldCharType="begin" w:fldLock="1"/>
      </w:r>
      <w:r w:rsidR="00332613" w:rsidRPr="00DF0680">
        <w:rPr>
          <w:rFonts w:cs="Times New Roman"/>
        </w:rPr>
        <w:instrText>ADDIN CSL_CITATION { "citationItems" : [ { "id" : "ITEM-1", "itemData" : { "DOI" : "10.1074/jbc.M112.440941", "ISSN" : "1083-351X", "PMID" : "23382391", "abstract" : "Replicative polymerase stalling is coordinated with replicative helicase stalling in eukaryotes, but the mechanism underlying this coordination is not known. Cdc45 activates the Mcm2-7 helicase. We report here that Cdc45 from budding yeast binds tightly to long (\u2265 40 nucleotides) genomic single-stranded DNA (ssDNA) and that 60mer ssDNA specifically disrupts the interaction between Cdc45 and Mcm2-7. We identified a mutant of Cdc45 that does not bind to ssDNA. When this mutant of cdc45 is expressed in budding yeast cells exposed to hydroxyurea, cell growth is severely inhibited, and excess RPA accumulates at or near an origin. Chromatin immunoprecipitation suggests that helicase movement is uncoupled from polymerase movement for mutant cells exposed to hydroxyurea. These data suggest that Cdc45-ssDNA interaction is important for stalling the helicase during replication stress.", "author" : [ { "dropping-particle" : "", "family" : "Bruck", "given" : "Irina", "non-dropping-particle" : "", "parse-names" : false, "suffix" : "" }, { "dropping-particle" : "", "family" : "Kaplan", "given" : "Daniel L", "non-dropping-particle" : "", "parse-names" : false, "suffix" : "" } ], "container-title" : "The Journal of Biological Chemistry", "id" : "ITEM-1", "issue" : "11", "issued" : { "date-parts" : [ [ "2013", "3", "15" ] ] }, "page" : "7550-63", "title" : "Cdc45 protein-single-stranded DNA interaction is important for stalling the helicase during replication stress.", "type" : "article-journal", "volume" : "288" }, "uris" : [ "http://www.mendeley.com/documents/?uuid=6409f90a-0dca-4329-a59d-17e81562cb22" ] } ], "mendeley" : { "formattedCitation" : "(Bruck &amp; Kaplan 2013)", "plainTextFormattedCitation" : "(Bruck &amp; Kaplan 2013)", "previouslyFormattedCitation" : "(Bruck &amp; Kaplan 2013)" }, "properties" : { "noteIndex" : 0 }, "schema" : "https://github.com/citation-style-language/schema/raw/master/csl-citation.json" }</w:instrText>
      </w:r>
      <w:r w:rsidR="00F20EC0" w:rsidRPr="00DF0680">
        <w:rPr>
          <w:rFonts w:cs="Times New Roman"/>
        </w:rPr>
        <w:fldChar w:fldCharType="separate"/>
      </w:r>
      <w:r w:rsidR="003831E3" w:rsidRPr="00DF0680">
        <w:rPr>
          <w:rFonts w:cs="Times New Roman"/>
        </w:rPr>
        <w:t>(Bruck &amp; Kaplan 2013)</w:t>
      </w:r>
      <w:r w:rsidR="00F20EC0" w:rsidRPr="00DF0680">
        <w:rPr>
          <w:rFonts w:cs="Times New Roman"/>
        </w:rPr>
        <w:fldChar w:fldCharType="end"/>
      </w:r>
      <w:r w:rsidR="003831E3" w:rsidRPr="00DF0680">
        <w:rPr>
          <w:rFonts w:cs="Times New Roman"/>
        </w:rPr>
        <w:t>.</w:t>
      </w:r>
    </w:p>
    <w:p w:rsidR="004B713B" w:rsidRPr="00DF0680" w:rsidRDefault="008E5B09" w:rsidP="001D3F4C">
      <w:pPr>
        <w:rPr>
          <w:rFonts w:cs="Times New Roman"/>
        </w:rPr>
      </w:pPr>
      <w:r w:rsidRPr="00DF0680">
        <w:rPr>
          <w:rFonts w:cs="Times New Roman"/>
        </w:rPr>
        <w:t xml:space="preserve">Fork regression </w:t>
      </w:r>
      <w:r w:rsidR="00663625" w:rsidRPr="00DF0680">
        <w:rPr>
          <w:rFonts w:cs="Times New Roman"/>
        </w:rPr>
        <w:t>can occur</w:t>
      </w:r>
      <w:r w:rsidR="001B7A77" w:rsidRPr="00DF0680">
        <w:rPr>
          <w:rFonts w:cs="Times New Roman"/>
        </w:rPr>
        <w:t xml:space="preserve"> at stalled forks and is a mechanism of restart. </w:t>
      </w:r>
      <w:r w:rsidR="0090280C" w:rsidRPr="00DF0680">
        <w:rPr>
          <w:rFonts w:cs="Times New Roman"/>
        </w:rPr>
        <w:t>This mechanism of DNA remodelling is performed by many different helicases</w:t>
      </w:r>
      <w:r w:rsidR="001B7A77" w:rsidRPr="00DF0680">
        <w:rPr>
          <w:rFonts w:cs="Times New Roman"/>
        </w:rPr>
        <w:t xml:space="preserve">, one of which is SMARCAL1. </w:t>
      </w:r>
      <w:r w:rsidR="005A7ACE" w:rsidRPr="00DF0680">
        <w:rPr>
          <w:rFonts w:cs="Times New Roman"/>
        </w:rPr>
        <w:t>SMARCAL1</w:t>
      </w:r>
      <w:r w:rsidR="004B713B" w:rsidRPr="00DF0680">
        <w:rPr>
          <w:rFonts w:cs="Times New Roman"/>
        </w:rPr>
        <w:t xml:space="preserve"> (also known as HARP)</w:t>
      </w:r>
      <w:r w:rsidR="005A7ACE" w:rsidRPr="00DF0680">
        <w:rPr>
          <w:rFonts w:cs="Times New Roman"/>
        </w:rPr>
        <w:t xml:space="preserve"> is a strand-annealing DNA helicase, defects in which cause the autosomal-recessive Schimke immune-osseous dysplasia, which has symptoms of renal dysfunction, T-cell immunodeficiency and skeletal abnormalities caused by dysfunctional bone growth </w:t>
      </w:r>
      <w:r w:rsidR="00F20EC0" w:rsidRPr="00DF0680">
        <w:rPr>
          <w:rFonts w:cs="Times New Roman"/>
        </w:rPr>
        <w:fldChar w:fldCharType="begin" w:fldLock="1"/>
      </w:r>
      <w:r w:rsidR="00332613" w:rsidRPr="00DF0680">
        <w:rPr>
          <w:rFonts w:cs="Times New Roman"/>
        </w:rPr>
        <w:instrText>ADDIN CSL_CITATION { "citationItems" : [ { "id" : "ITEM-1", "itemData" : { "DOI" : "10.1038/ng821", "ISSN" : "1061-4036", "PMID" : "11799392", "abstract" : "Schimke immuno-osseous dysplasia (SIOD, MIM 242900) is an autosomal-recessive pleiotropic disorder with the diagnostic features of spondyloepiphyseal dysplasia, renal dysfunction and T-cell immunodeficiency. Using genome-wide linkage mapping and a positional candidate approach, we determined that mutations in SMARCAL1 (SWI/SNF2-related, matrix-associated, actin-dependent regulator of chromatin, subfamily a-like 1), are responsible for SIOD. Through analysis of data from persons with SIOD in 26 unrelated families, we observed that affected individuals from 13 of 23 families with severe disease had two alleles with nonsense, frameshift or splicing mutations, whereas affected individuals from 3 of 3 families with milder disease had a missense mutation on each allele. These observations indicate that some missense mutations allow retention of partial SMARCAL1 function and thus cause milder disease.", "author" : [ { "dropping-particle" : "", "family" : "Boerkoel", "given" : "Cornelius F", "non-dropping-particle" : "", "parse-names" : false, "suffix" : "" }, { "dropping-particle" : "", "family" : "Takashima", "given" : "Hiroshi", "non-dropping-particle" : "", "parse-names" : false, "suffix" : "" }, { "dropping-particle" : "", "family" : "John", "given" : "Joy", "non-dropping-particle" : "", "parse-names" : false, "suffix" : "" }, { "dropping-particle" : "", "family" : "Yan", "given" : "Jiong", "non-dropping-particle" : "", "parse-names" : false, "suffix" : "" }, { "dropping-particle" : "", "family" : "Stankiewicz", "given" : "Pawel", "non-dropping-particle" : "", "parse-names" : false, "suffix" : "" }, { "dropping-particle" : "", "family" : "Rosenbarker", "given" : "Lisa", "non-dropping-particle" : "", "parse-names" : false, "suffix" : "" }, { "dropping-particle" : "", "family" : "Andr\u00e9", "given" : "Jean-Luc", "non-dropping-particle" : "", "parse-names" : false, "suffix" : "" }, { "dropping-particle" : "", "family" : "Bogdanovic", "given" : "Radovan", "non-dropping-particle" : "", "parse-names" : false, "suffix" : "" }, { "dropping-particle" : "", "family" : "Burguet", "given" : "Antoine", "non-dropping-particle" : "", "parse-names" : false, "suffix" : "" }, { "dropping-particle" : "", "family" : "Cockfield", "given" : "Sandra", "non-dropping-particle" : "", "parse-names" : false, "suffix" : "" }, { "dropping-particle" : "", "family" : "Cordeiro", "given" : "Isabel", "non-dropping-particle" : "", "parse-names" : false, "suffix" : "" }, { "dropping-particle" : "", "family" : "Fr\u00fcnd", "given" : "Stefan", "non-dropping-particle" : "", "parse-names" : false, "suffix" : "" }, { "dropping-particle" : "", "family" : "Illies", "given" : "Friederike", "non-dropping-particle" : "", "parse-names" : false, "suffix" : "" }, { "dropping-particle" : "", "family" : "Joseph", "given" : "Mark", "non-dropping-particle" : "", "parse-names" : false, "suffix" : "" }, { "dropping-particle" : "", "family" : "Kaitila", "given" : "Ilkka", "non-dropping-particle" : "", "parse-names" : false, "suffix" : "" }, { "dropping-particle" : "", "family" : "Lama", "given" : "Giuliana", "non-dropping-particle" : "", "parse-names" : false, "suffix" : "" }, { "dropping-particle" : "", "family" : "Loirat", "given" : "Chantal", "non-dropping-particle" : "", "parse-names" : false, "suffix" : "" }, { "dropping-particle" : "", "family" : "McLeod", "given" : "D Ross", "non-dropping-particle" : "", "parse-names" : false, "suffix" : "" }, { "dropping-particle" : "V", "family" : "Milford", "given" : "David", "non-dropping-particle" : "", "parse-names" : false, "suffix" : "" }, { "dropping-particle" : "", "family" : "Petty", "given" : "Elizabeth M", "non-dropping-particle" : "", "parse-names" : false, "suffix" : "" }, { "dropping-particle" : "", "family" : "Rodrigo", "given" : "Francisco", "non-dropping-particle" : "", "parse-names" : false, "suffix" : "" }, { "dropping-particle" : "", "family" : "Saraiva", "given" : "Jorge M", "non-dropping-particle" : "", "parse-names" : false, "suffix" : "" }, { "dropping-particle" : "", "family" : "Schmidt", "given" : "Beate", "non-dropping-particle" : "", "parse-names" : false, "suffix" : "" }, { "dropping-particle" : "", "family" : "Smith", "given" : "Graham C", "non-dropping-particle" : "", "parse-names" : false, "suffix" : "" }, { "dropping-particle" : "", "family" : "Spranger", "given" : "J\u00fcrgen", "non-dropping-particle" : "", "parse-names" : false, "suffix" : "" }, { "dropping-particle" : "", "family" : "Stein", "given" : "Anja", "non-dropping-particle" : "", "parse-names" : false, "suffix" : "" }, { "dropping-particle" : "", "family" : "Thiele", "given" : "Hannelore", "non-dropping-particle" : "", "parse-names" : false, "suffix" : "" }, { "dropping-particle" : "", "family" : "Tizard", "given" : "Jane", "non-dropping-particle" : "", "parse-names" : false, "suffix" : "" }, { "dropping-particle" : "", "family" : "Weksberg", "given" : "Rosanna", "non-dropping-particle" : "", "parse-names" : false, "suffix" : "" }, { "dropping-particle" : "", "family" : "Lupski", "given" : "James R", "non-dropping-particle" : "", "parse-names" : false, "suffix" : "" }, { "dropping-particle" : "", "family" : "Stockton", "given" : "David W", "non-dropping-particle" : "", "parse-names" : false, "suffix" : "" } ], "container-title" : "Nature Genetics", "id" : "ITEM-1", "issue" : "2", "issued" : { "date-parts" : [ [ "2002", "2" ] ] }, "page" : "215-20", "title" : "Mutant chromatin remodeling protein SMARCAL1 causes Schimke immuno-osseous dysplasia.", "type" : "article-journal", "volume" : "30" }, "uris" : [ "http://www.mendeley.com/documents/?uuid=63ba4828-f010-4a35-8bc1-d90fc79f7085" ] } ], "mendeley" : { "formattedCitation" : "(Boerkoel et al. 2002)", "plainTextFormattedCitation" : "(Boerkoel et al. 2002)", "previouslyFormattedCitation" : "(Boerkoel et al. 2002)"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(Boerkoel et al. 2002)</w:t>
      </w:r>
      <w:r w:rsidR="00F20EC0" w:rsidRPr="00DF0680">
        <w:rPr>
          <w:rFonts w:cs="Times New Roman"/>
        </w:rPr>
        <w:fldChar w:fldCharType="end"/>
      </w:r>
      <w:r w:rsidR="005A7ACE" w:rsidRPr="00DF0680">
        <w:rPr>
          <w:rFonts w:cs="Times New Roman"/>
        </w:rPr>
        <w:t xml:space="preserve">. </w:t>
      </w:r>
      <w:r w:rsidR="0090280C" w:rsidRPr="00DF0680">
        <w:rPr>
          <w:rFonts w:cs="Times New Roman"/>
        </w:rPr>
        <w:t>SMARCAL1</w:t>
      </w:r>
      <w:r w:rsidR="005A7ACE" w:rsidRPr="00DF0680">
        <w:rPr>
          <w:rFonts w:cs="Times New Roman"/>
        </w:rPr>
        <w:t xml:space="preserve"> has been shown to localize to stalled replication forks through an interaction with RPA </w:t>
      </w:r>
      <w:r w:rsidR="007C5C56" w:rsidRPr="00DF0680">
        <w:rPr>
          <w:rFonts w:cs="Times New Roman"/>
        </w:rPr>
        <w:t>and l</w:t>
      </w:r>
      <w:r w:rsidR="005A7ACE" w:rsidRPr="00DF0680">
        <w:rPr>
          <w:rFonts w:cs="Times New Roman"/>
        </w:rPr>
        <w:t>oss of this helicase causes hypersensitivity to replication stress inducing agents</w:t>
      </w:r>
      <w:r w:rsidR="004B713B" w:rsidRPr="00DF0680">
        <w:rPr>
          <w:rFonts w:cs="Times New Roman"/>
        </w:rPr>
        <w:t>, increased spontaneous DNA damage and a G2/M arrest</w:t>
      </w:r>
      <w:r w:rsidR="007C5C56"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"10.1101/gad.1839909", "ISSN" : "1549-5477", "PMID" : "19793861", "abstract" : "Mutations in SMARCAL1 (HARP) cause Schimke immunoosseous dysplasia (SIOD). The mechanistic basis for this disease is unknown. Using functional genomic screens, we identified SMARCAL1 as a genome maintenance protein. Silencing and overexpression of SMARCAL1 leads to activation of the DNA damage response during S phase in the absence of any genotoxic agent. SMARCAL1 contains a Replication protein A (RPA)-binding motif similar to that found in the replication stress response protein TIPIN (Timeless-Interacting Protein), which is both necessary and sufficient to target SMARCAL1 to stalled replication forks. RPA binding is critical for the cellular function of SMARCAL1; however, it is not necessary for the annealing helicase activity of SMARCAL1 in vitro. An SIOD-associated SMARCAL1 mutant fails to prevent replication-associated DNA damage from accumulating in cells in which endogenous SMARCAL1 is silenced. Ataxia-telangiectasia mutated (ATM), ATM and Rad3-related (ATR), and DNA-dependent protein kinase (DNA-PK) phosphorylate SMARCAL1 in response to replication stress. Loss of SMARCAL1 activity causes increased RPA loading onto chromatin and persistent RPA phosphorylation after a transient exposure to replication stress. Furthermore, SMARCAL1-deficient cells are hypersensitive to replication stress agents. Thus, SMARCAL1 is a replication stress response protein, and the pleiotropic phenotypes of SIOD are at least partly due to defects in genome maintenance during DNA replication.", "author" : [ { "dropping-particle" : "", "family" : "Bansbach", "given" : "Carol E", "non-dropping-particle" : "", "parse-names" : false, "suffix" : "" }, { "dropping-particle" : "", "family" : "B\u00e9tous", "given" : "R\u00e9my", "non-dropping-particle" : "", "parse-names" : false, "suffix" : "" }, { "dropping-particle" : "", "family" : "Lovejoy", "given" : "Courtney a", "non-dropping-particle" : "", "parse-names" : false, "suffix" : "" }, { "dropping-particle" : "", "family" : "Glick", "given" : "Gloria G", "non-dropping-particle" : "", "parse-names" : false, "suffix" : "" }, { "dropping-particle" : "", "family" : "Cortez", "given" : "David", "non-dropping-particle" : "", "parse-names" : false, "suffix" : "" } ], "container-title" : "Genes &amp; Development", "id" : "ITEM-1", "issue" : "20", "issued" : { "date-parts" : [ [ "2009", "10", "15" ] ] }, "page" : "2405-14", "title" : "The annealing helicase SMARCAL1 maintains genome integrity at stalled replication forks.", "type" : "article-journal", "volume" : "23" }, "uris" : [ "http://www.mendeley.com/documents/?uuid=f465e2b4-acbe-4abc-92ea-609f47c9f0d5" ] }, { "id" : "ITEM-2", "itemData" : { "DOI" : "10.1101/gad.1831509.2400", "author" : [ { "dropping-particle" : "", "family" : "Yusufzai", "given" : "Timur", "non-dropping-particle" : "", "parse-names" : false, "suffix" : "" }, { "dropping-particle" : "", "family" : "Kong", "given" : "Xiangduo", "non-dropping-particle" : "", "parse-names" : false, "suffix" : "" } ], "container-title" : "Genes &amp; Development", "id" : "ITEM-2", "issue" : "20", "issued" : { "date-parts" : [ [ "2009" ] ] }, "page" : "2400-2404", "title" : "The annealing helicase HARP is recruited to DNA repair sites via an interaction with RPA", "type" : "article-journal", "volume" : "23" }, "uris" : [ "http://www.mendeley.com/documents/?uuid=817cf500-6423-46cc-a70a-a6ff022a6173" ] }, { "id" : "ITEM-3", "itemData" : { "DOI" : "10.1101/gad.1836409.2394", "author" : [ { "dropping-particle" : "", "family" : "Yuan", "given" : "Jingsong", "non-dropping-particle" : "", "parse-names" : false, "suffix" : "" }, { "dropping-particle" : "", "family" : "Ghosal", "given" : "Gargi", "non-dropping-particle" : "", "parse-names" : false, "suffix" : "" }, { "dropping-particle" : "", "family" : "Chen", "given" : "Junjie", "non-dropping-particle" : "", "parse-names" : false, "suffix" : "" } ], "container-title" : "Genes &amp; Development", "id" : "ITEM-3", "issue" : "20", "issued" : { "date-parts" : [ [ "2009" ] ] }, "page" : "2394-2399", "title" : "The annealing helicase HARP protects stalled replication forks", "type" : "article-journal", "volume" : "23" }, "uris" : [ "http://www.mendeley.com/documents/?uuid=f66a9e63-6d02-4f3a-83b7-61c75e974a99" ] } ], "mendeley" : { "formattedCitation" : "(Bansbach et al. 2009; Yusufzai &amp; Kong 2009; Yuan et al. 2009)", "plainTextFormattedCitation" : "(Bansbach et al. 2009; Yusufzai &amp; Kong 2009; Yuan et al. 2009)", "previouslyFormattedCitation" : "(Bansbach et al. 2009; Yusufzai &amp; Kong 2009; Yuan et al. 2009)" }, "properties" : { "noteIndex" : 0 }, "schema" : "https://github.com/citation-style-language/schema/raw/master/csl-citation.json" }</w:instrText>
      </w:r>
      <w:r w:rsidR="00F20EC0" w:rsidRPr="00DF0680">
        <w:rPr>
          <w:rFonts w:cs="Times New Roman"/>
        </w:rPr>
        <w:fldChar w:fldCharType="separate"/>
      </w:r>
      <w:r w:rsidR="004B713B" w:rsidRPr="00DF0680">
        <w:rPr>
          <w:rFonts w:cs="Times New Roman"/>
        </w:rPr>
        <w:t>(Bansbach et al. 2009; Yusufzai &amp; Kong 2009; Yuan et al. 2009)</w:t>
      </w:r>
      <w:r w:rsidR="00F20EC0" w:rsidRPr="00DF0680">
        <w:rPr>
          <w:rFonts w:cs="Times New Roman"/>
        </w:rPr>
        <w:fldChar w:fldCharType="end"/>
      </w:r>
      <w:r w:rsidR="005A7ACE" w:rsidRPr="00DF0680">
        <w:rPr>
          <w:rFonts w:cs="Times New Roman"/>
        </w:rPr>
        <w:t xml:space="preserve">. </w:t>
      </w:r>
      <w:r w:rsidR="005A7C03" w:rsidRPr="00DF0680">
        <w:rPr>
          <w:rFonts w:cs="Times New Roman"/>
          <w:i/>
        </w:rPr>
        <w:t>In vitro</w:t>
      </w:r>
      <w:r w:rsidR="005A7C03" w:rsidRPr="00DF0680">
        <w:rPr>
          <w:rFonts w:cs="Times New Roman"/>
        </w:rPr>
        <w:t>, i</w:t>
      </w:r>
      <w:r w:rsidR="007C5C56" w:rsidRPr="00DF0680">
        <w:rPr>
          <w:rFonts w:cs="Times New Roman"/>
        </w:rPr>
        <w:t xml:space="preserve">t catalyses regression of stalled forks by annealing two single strands of DNA into the “chicken-foot” structure, and </w:t>
      </w:r>
      <w:r w:rsidR="005A7C03" w:rsidRPr="00DF0680">
        <w:rPr>
          <w:rFonts w:cs="Times New Roman"/>
          <w:i/>
        </w:rPr>
        <w:t>in vivo</w:t>
      </w:r>
      <w:r w:rsidR="007C5C56" w:rsidRPr="00DF0680">
        <w:rPr>
          <w:rFonts w:cs="Times New Roman"/>
        </w:rPr>
        <w:t xml:space="preserve"> prevents MUS81</w:t>
      </w:r>
      <w:r w:rsidR="00902269" w:rsidRPr="00DF0680">
        <w:rPr>
          <w:rFonts w:cs="Times New Roman"/>
        </w:rPr>
        <w:t>-</w:t>
      </w:r>
      <w:r w:rsidR="005A7C03" w:rsidRPr="00DF0680">
        <w:rPr>
          <w:rFonts w:cs="Times New Roman"/>
        </w:rPr>
        <w:t>dependent double-strand breaks</w:t>
      </w:r>
      <w:r w:rsidR="007C5C56"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"10.1101/gad.178459.111", "ISSN" : "1549-5477", "PMID" : "22279047", "abstract" : "SMARCAL1 (SWI/SNF-related, matrix-associated, actin-dependent regulator of chromatin, subfamily A-like1) maintains genome integrity during DNA replication. Here we investigated its mechanism of action. We found that SMARCAL1 travels with elongating replication forks, and its absence leads to MUS81-dependent double-strand break formation. Binding to specific nucleic acid substrates activates SMARCAL1 activity in a reaction that requires its HARP2 (Hep-A-related protein 2) domain. Homology modeling indicates that the HARP domain is similar in structure to the DNA-binding domain of the PUR proteins. Limited proteolysis, small-angle X-ray scattering, and functional assays indicate that the core enzymatic unit consists of the HARP2 and ATPase domains that fold into a stable structure. Surprisingly, SMARCAL1 is capable of binding three-way and four-way Holliday junctions and model replication forks that lack a designed ssDNA region. Furthermore, SMARCAL1 remodels these DNA substrates by promoting branch migration and fork regression. SMARCAL1 mutations that cause Schimke immunoosseous dysplasia or that inactivate the HARP2 domain abrogate these activities. These results suggest that SMARCAL1 continuously surveys replication forks for damage. If damage is present, it remodels the fork to promote repair and restart. Failures in the process lead to activation of an alternative repair mechanism that depends on MUS81-catalyzed cleavage of the damaged fork.", "author" : [ { "dropping-particle" : "", "family" : "B\u00e9tous", "given" : "R\u00e9my", "non-dropping-particle" : "", "parse-names" : false, "suffix" : "" }, { "dropping-particle" : "", "family" : "Mason", "given" : "Aaron C", "non-dropping-particle" : "", "parse-names" : false, "suffix" : "" }, { "dropping-particle" : "", "family" : "Rambo", "given" : "Robert P", "non-dropping-particle" : "", "parse-names" : false, "suffix" : "" }, { "dropping-particle" : "", "family" : "Bansbach", "given" : "Carol E", "non-dropping-particle" : "", "parse-names" : false, "suffix" : "" }, { "dropping-particle" : "", "family" : "Badu-Nkansah", "given" : "Akosua", "non-dropping-particle" : "", "parse-names" : false, "suffix" : "" }, { "dropping-particle" : "", "family" : "Sirbu", "given" : "Bianca M", "non-dropping-particle" : "", "parse-names" : false, "suffix" : "" }, { "dropping-particle" : "", "family" : "Eichman", "given" : "Brandt F", "non-dropping-particle" : "", "parse-names" : false, "suffix" : "" }, { "dropping-particle" : "", "family" : "Cortez", "given" : "David", "non-dropping-particle" : "", "parse-names" : false, "suffix" : "" } ], "container-title" : "Genes &amp; Development", "id" : "ITEM-1", "issue" : "2", "issued" : { "date-parts" : [ [ "2012", "1", "15" ] ] }, "page" : "151-62", "title" : "SMARCAL1 catalyzes fork regression and Holliday junction migration to maintain genome stability during DNA replication.", "type" : "article-journal", "volume" : "26" }, "uris" : [ "http://www.mendeley.com/documents/?uuid=ac6841de-cfbc-48fd-9889-089c8a2f2d9c" ] } ], "mendeley" : { "formattedCitation" : "(B\u00e9tous et al. 2012)", "plainTextFormattedCitation" : "(B\u00e9tous et al. 2012)", "previouslyFormattedCitation" : "(B\u00e9tous et al. 2012)"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(Bétous et al. 2012)</w:t>
      </w:r>
      <w:r w:rsidR="00F20EC0" w:rsidRPr="00DF0680">
        <w:rPr>
          <w:rFonts w:cs="Times New Roman"/>
        </w:rPr>
        <w:fldChar w:fldCharType="end"/>
      </w:r>
      <w:r w:rsidR="007C5C56" w:rsidRPr="00DF0680">
        <w:rPr>
          <w:rFonts w:cs="Times New Roman"/>
        </w:rPr>
        <w:t xml:space="preserve">. </w:t>
      </w:r>
      <w:r w:rsidR="0090280C" w:rsidRPr="00DF0680">
        <w:rPr>
          <w:rFonts w:cs="Times New Roman"/>
        </w:rPr>
        <w:t xml:space="preserve">But as too much SMARCAL1 activity is detrimental </w:t>
      </w:r>
      <w:r w:rsidR="00A111FE" w:rsidRPr="00DF0680">
        <w:rPr>
          <w:rFonts w:cs="Times New Roman"/>
        </w:rPr>
        <w:t>to the cell by</w:t>
      </w:r>
      <w:r w:rsidR="005922AD" w:rsidRPr="00DF0680">
        <w:rPr>
          <w:rFonts w:cs="Times New Roman"/>
        </w:rPr>
        <w:t xml:space="preserve"> causing fork collapse, it</w:t>
      </w:r>
      <w:r w:rsidR="0090280C" w:rsidRPr="00DF0680">
        <w:rPr>
          <w:rFonts w:cs="Times New Roman"/>
        </w:rPr>
        <w:t xml:space="preserve">s activity is regulated through phosphorylation by ATR </w:t>
      </w:r>
      <w:r w:rsidR="00F20EC0" w:rsidRPr="00DF0680">
        <w:rPr>
          <w:rFonts w:cs="Times New Roman"/>
        </w:rPr>
        <w:fldChar w:fldCharType="begin" w:fldLock="1"/>
      </w:r>
      <w:r w:rsidR="00332613" w:rsidRPr="00DF0680">
        <w:rPr>
          <w:rFonts w:cs="Times New Roman"/>
        </w:rPr>
        <w:instrText>ADDIN CSL_CITATION { "citationItems" : [ { "id" : "ITEM-1", "itemData" : { "DOI" : "10.1101/gad.214080.113", "ISSN" : "1549-5477", "PMID" : "23873943", "abstract" : "The DNA damage response kinase ataxia telangiectasia and Rad3-related (ATR) coordinates much of the cellular response to replication stress. The exact mechanisms by which ATR regulates DNA synthesis in conditions of replication stress are largely unknown, but this activity is critical for the viability and proliferation of cancer cells, making ATR a potential therapeutic target. Here we use selective ATR inhibitors to demonstrate that acute inhibition of ATR kinase activity yields rapid cell lethality, disrupts the timing of replication initiation, slows replication elongation, and induces fork collapse. We define the mechanism of this fork collapse, which includes SLX4-dependent cleavage yielding double-strand breaks and CtIP-dependent resection generating excess single-stranded template and nascent DNA strands. Our data suggest that the DNA substrates of these nucleases are generated at least in part by the SMARCAL1 DNA translocase. Properly regulated SMARCAL1 promotes stalled fork repair and restart; however, unregulated SMARCAL1 contributes to fork collapse when ATR is inactivated in both mammalian and Xenopus systems. ATR phosphorylates SMARCAL1 on S652, thereby limiting its fork regression activities and preventing aberrant fork processing. Thus, phosphorylation of SMARCAL1 is one mechanism by which ATR prevents fork collapse, promotes the completion of DNA replication, and maintains genome integrity.", "author" : [ { "dropping-particle" : "", "family" : "Couch", "given" : "Frank B", "non-dropping-particle" : "", "parse-names" : false, "suffix" : "" }, { "dropping-particle" : "", "family" : "Bansbach", "given" : "Carol E", "non-dropping-particle" : "", "parse-names" : false, "suffix" : "" }, { "dropping-particle" : "", "family" : "Driscoll", "given" : "Robert", "non-dropping-particle" : "", "parse-names" : false, "suffix" : "" }, { "dropping-particle" : "", "family" : "Luzwick", "given" : "Jessica W", "non-dropping-particle" : "", "parse-names" : false, "suffix" : "" }, { "dropping-particle" : "", "family" : "Glick", "given" : "Gloria G", "non-dropping-particle" : "", "parse-names" : false, "suffix" : "" }, { "dropping-particle" : "", "family" : "B\u00e9tous", "given" : "R\u00e9my", "non-dropping-particle" : "", "parse-names" : false, "suffix" : "" }, { "dropping-particle" : "", "family" : "Carroll", "given" : "Clinton M", "non-dropping-particle" : "", "parse-names" : false, "suffix" : "" }, { "dropping-particle" : "", "family" : "Jung", "given" : "Sung Yun", "non-dropping-particle" : "", "parse-names" : false, "suffix" : "" }, { "dropping-particle" : "", "family" : "Qin", "given" : "Jun", "non-dropping-particle" : "", "parse-names" : false, "suffix" : "" }, { "dropping-particle" : "", "family" : "Cimprich", "given" : "Karlene a", "non-dropping-particle" : "", "parse-names" : false, "suffix" : "" }, { "dropping-particle" : "", "family" : "Cortez", "given" : "David", "non-dropping-particle" : "", "parse-names" : false, "suffix" : "" } ], "container-title" : "Genes &amp; Development", "id" : "ITEM-1", "issue" : "14", "issued" : { "date-parts" : [ [ "2013", "7", "15" ] ] }, "page" : "1610-23", "title" : "ATR phosphorylates SMARCAL1 to prevent replication fork collapse.", "type" : "article-journal", "volume" : "27" }, "uris" : [ "http://www.mendeley.com/documents/?uuid=27e591cd-b02c-4d0c-ab03-6ff5150366ee" ] } ], "mendeley" : { "formattedCitation" : "(Couch et al. 2013)", "plainTextFormattedCitation" : "(Couch et al. 2013)", "previouslyFormattedCitation" : "(Couch et al. 2013)"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(Couch et al. 2013)</w:t>
      </w:r>
      <w:r w:rsidR="00F20EC0" w:rsidRPr="00DF0680">
        <w:rPr>
          <w:rFonts w:cs="Times New Roman"/>
        </w:rPr>
        <w:fldChar w:fldCharType="end"/>
      </w:r>
      <w:r w:rsidR="0090280C" w:rsidRPr="00DF0680">
        <w:rPr>
          <w:rFonts w:cs="Times New Roman"/>
        </w:rPr>
        <w:t xml:space="preserve">. </w:t>
      </w:r>
    </w:p>
    <w:p w:rsidR="00DF403C" w:rsidRPr="00DF0680" w:rsidRDefault="00DF403C" w:rsidP="001D3F4C">
      <w:pPr>
        <w:rPr>
          <w:rFonts w:cs="Times New Roman"/>
        </w:rPr>
      </w:pPr>
      <w:r w:rsidRPr="00DF0680">
        <w:rPr>
          <w:rFonts w:cs="Times New Roman"/>
        </w:rPr>
        <w:t xml:space="preserve">FANCM has also been shown to be able to </w:t>
      </w:r>
      <w:proofErr w:type="gramStart"/>
      <w:r w:rsidRPr="00DF0680">
        <w:rPr>
          <w:rFonts w:cs="Times New Roman"/>
        </w:rPr>
        <w:t>regress</w:t>
      </w:r>
      <w:proofErr w:type="gramEnd"/>
      <w:r w:rsidRPr="00DF0680">
        <w:rPr>
          <w:rFonts w:cs="Times New Roman"/>
        </w:rPr>
        <w:t xml:space="preserve"> stalled forks. As well as branch migration activity and the displacement of D-loops, FANCM can displace RPA on single stranded DNA and regress stalled fork structures into 4-way intermediates / regressed forks</w:t>
      </w:r>
      <w:r w:rsidR="006E4C2C" w:rsidRPr="00DF0680">
        <w:rPr>
          <w:rFonts w:cs="Times New Roman"/>
        </w:rPr>
        <w:t xml:space="preserve"> </w:t>
      </w:r>
      <w:r w:rsidR="006E4C2C" w:rsidRPr="00DF0680">
        <w:rPr>
          <w:rFonts w:cs="Times New Roman"/>
          <w:i/>
        </w:rPr>
        <w:t>in vitro</w:t>
      </w:r>
      <w:r w:rsidRPr="00DF0680">
        <w:rPr>
          <w:rFonts w:cs="Times New Roman"/>
        </w:rPr>
        <w:t xml:space="preserve"> </w:t>
      </w:r>
      <w:r w:rsidR="00F20EC0" w:rsidRPr="00DF0680">
        <w:rPr>
          <w:rFonts w:cs="Times New Roman"/>
        </w:rPr>
        <w:fldChar w:fldCharType="begin" w:fldLock="1"/>
      </w:r>
      <w:r w:rsidR="00724E72" w:rsidRPr="00DF0680">
        <w:rPr>
          <w:rFonts w:cs="Times New Roman"/>
        </w:rPr>
        <w:instrText>ADDIN CSL_CITATION { "citationItems" : [ { "id" : "ITEM-1", "itemData" : { "author" : [ { "dropping-particle" : "", "family" : "Gari", "given" : "K", "non-dropping-particle" : "", "parse-names" : false, "suffix" : "" }, { "dropping-particle" : "", "family" : "D\u00e9caillet", "given" : "C", "non-dropping-particle" : "", "parse-names" : false, "suffix" : "" }, { "dropping-particle" : "", "family" : "Delannoy", "given" : "M", "non-dropping-particle" : "", "parse-names" : false, "suffix" : "" } ], "container-title" : "Proceedings of the National Academy of Sciences", "id" : "ITEM-1", "issue" : "42", "issued" : { "date-parts" : [ [ "2008" ] ] }, "page" : "16107-12", "title" : "Remodeling of DNA replication structures by the branch point translocase FANCM", "type" : "article-journal", "volume" : "105" }, "uris" : [ "http://www.mendeley.com/documents/?uuid=a8d7363d-3861-440f-9824-d19254d39917" ] }, { "id" : "ITEM-2", "itemData" : { "DOI" : "10.1016/j.molcel.2007.11.032", "ISSN" : "1097-2765", "PMID" : "18206976", "abstract" : "Fanconi anemia (FA) is a genetically heterogeneous cancer-prone disorder associated with chromosomal instability and cellular hypersensitivity to DNA crosslinking agents. The FA pathway is suspected to play a crucial role in the cellular response to DNA replication stress. At a molecular level, however, the function of most of the FA proteins is unknown. FANCM displays DNA-dependent ATPase activity and promotes the dissociation of DNA triplexes, but the physiological significance of this activity remains elusive. Here we show that purified FANCM binds to Holliday junctions and replication forks with high specificity and promotes migration of their junction point in an ATPase-dependent manner. Furthermore, we provide evidence that FANCM can dissociate large recombination intermediates, via branch migration of Holliday junctions through 2.6 kb of DNA. Our data suggest a direct role for FANCM in DNA processing, consistent with the current view that FA proteins coordinate DNA repair at stalled replication forks.", "author" : [ { "dropping-particle" : "", "family" : "Gari", "given" : "K", "non-dropping-particle" : "", "parse-names" : false, "suffix" : "" }, { "dropping-particle" : "", "family" : "D\u00e9caillet", "given" : "C", "non-dropping-particle" : "", "parse-names" : false, "suffix" : "" }, { "dropping-particle" : "", "family" : "Stasiak", "given" : "A Z", "non-dropping-particle" : "", "parse-names" : false, "suffix" : "" }, { "dropping-particle" : "", "family" : "Stasiak", "given" : "A", "non-dropping-particle" : "", "parse-names" : false, "suffix" : "" }, { "dropping-particle" : "", "family" : "Constantinou", "given" : "A", "non-dropping-particle" : "", "parse-names" : false, "suffix" : "" } ], "container-title" : "Molecular Cell", "id" : "ITEM-2", "issue" : "1", "issued" : { "date-parts" : [ [ "2008", "1", "18" ] ] }, "page" : "141-8", "title" : "The Fanconi anemia protein FANCM can promote branch migration of Holliday junctions and replication forks.", "type" : "article-journal", "volume" : "29" }, "uris" : [ "http://www.mendeley.com/documents/?uuid=580726cb-2e8b-42ab-932c-559896be5d33" ] } ], "mendeley" : { "formattedCitation" : "(Gari et al. 2008a; Gari et al. 2008b)", "plainTextFormattedCitation" : "(Gari et al. 2008a; Gari et al. 2008b)", "previouslyFormattedCitation" : "(Gari et al. 2008a; Gari et al. 2008b)" }, "properties" : { "noteIndex" : 0 }, "schema" : "https://github.com/citation-style-language/schema/raw/master/csl-citation.json" }</w:instrText>
      </w:r>
      <w:r w:rsidR="00F20EC0" w:rsidRPr="00DF0680">
        <w:rPr>
          <w:rFonts w:cs="Times New Roman"/>
        </w:rPr>
        <w:fldChar w:fldCharType="separate"/>
      </w:r>
      <w:r w:rsidR="00EA1B48" w:rsidRPr="00DF0680">
        <w:rPr>
          <w:rFonts w:cs="Times New Roman"/>
        </w:rPr>
        <w:t>(Gari et al. 2008a; Gari et al. 2008b)</w:t>
      </w:r>
      <w:r w:rsidR="00F20EC0" w:rsidRPr="00DF0680">
        <w:rPr>
          <w:rFonts w:cs="Times New Roman"/>
        </w:rPr>
        <w:fldChar w:fldCharType="end"/>
      </w:r>
      <w:r w:rsidRPr="00DF0680">
        <w:rPr>
          <w:rFonts w:cs="Times New Roman"/>
        </w:rPr>
        <w:t xml:space="preserve">. </w:t>
      </w:r>
    </w:p>
    <w:p w:rsidR="00A63115" w:rsidRPr="00DF0680" w:rsidRDefault="00293155" w:rsidP="001D3F4C">
      <w:pPr>
        <w:rPr>
          <w:rFonts w:cs="Times New Roman"/>
        </w:rPr>
      </w:pPr>
      <w:r w:rsidRPr="00DF0680">
        <w:rPr>
          <w:rFonts w:cs="Times New Roman"/>
        </w:rPr>
        <w:t>Helicase</w:t>
      </w:r>
      <w:r w:rsidR="00A63115" w:rsidRPr="00DF0680">
        <w:rPr>
          <w:rFonts w:cs="Times New Roman"/>
        </w:rPr>
        <w:t xml:space="preserve">-like </w:t>
      </w:r>
      <w:r w:rsidRPr="00DF0680">
        <w:rPr>
          <w:rFonts w:cs="Times New Roman"/>
        </w:rPr>
        <w:t>transcription factor (HLTF) has many roles in dealing with replication stress. It has E3 ligase activity, ubiquitinates PCNA upon DNA damage</w:t>
      </w:r>
      <w:r w:rsidR="00CB1E6B" w:rsidRPr="00DF0680">
        <w:rPr>
          <w:rFonts w:cs="Times New Roman"/>
        </w:rPr>
        <w:t xml:space="preserve"> (crucial for recruiting translesion polymerases)</w:t>
      </w:r>
      <w:r w:rsidRPr="00DF0680">
        <w:rPr>
          <w:rFonts w:cs="Times New Roman"/>
        </w:rPr>
        <w:t xml:space="preserve">, and inactivating HLTF increases cell sensitivity to </w:t>
      </w:r>
      <w:r w:rsidRPr="00DF0680">
        <w:rPr>
          <w:rFonts w:cs="Times New Roman"/>
        </w:rPr>
        <w:lastRenderedPageBreak/>
        <w:t xml:space="preserve">MMS </w:t>
      </w:r>
      <w:r w:rsidR="00F20EC0" w:rsidRPr="00DF0680">
        <w:rPr>
          <w:rFonts w:cs="Times New Roman"/>
        </w:rPr>
        <w:fldChar w:fldCharType="begin" w:fldLock="1"/>
      </w:r>
      <w:r w:rsidR="00332613" w:rsidRPr="00DF0680">
        <w:rPr>
          <w:rFonts w:cs="Times New Roman"/>
        </w:rPr>
        <w:instrText>ADDIN CSL_CITATION { "citationItems" : [ { "id" : "ITEM-1", "itemData" : { "DOI" : "10.1073/pnas.0805685105", "ISSN" : "0027-8424", "author" : [ { "dropping-particle" : "", "family" : "Motegi", "given" : "a.", "non-dropping-particle" : "", "parse-names" : false, "suffix" : "" }, { "dropping-particle" : "", "family" : "Liaw", "given" : "H.-J.", "non-dropping-particle" : "", "parse-names" : false, "suffix" : "" }, { "dropping-particle" : "", "family" : "Lee", "given" : "K.-Y.", "non-dropping-particle" : "", "parse-names" : false, "suffix" : "" }, { "dropping-particle" : "", "family" : "Roest", "given" : "H. P.", "non-dropping-particle" : "", "parse-names" : false, "suffix" : "" }, { "dropping-particle" : "", "family" : "Maas", "given" : "a.", "non-dropping-particle" : "", "parse-names" : false, "suffix" : "" }, { "dropping-particle" : "", "family" : "Wu", "given" : "X.", "non-dropping-particle" : "", "parse-names" : false, "suffix" : "" }, { "dropping-particle" : "", "family" : "Moinova", "given" : "H.", "non-dropping-particle" : "", "parse-names" : false, "suffix" : "" }, { "dropping-particle" : "", "family" : "Markowitz", "given" : "S. D.", "non-dropping-particle" : "", "parse-names" : false, "suffix" : "" }, { "dropping-particle" : "", "family" : "Ding", "given" : "H.", "non-dropping-particle" : "", "parse-names" : false, "suffix" : "" }, { "dropping-particle" : "", "family" : "Hoeijmakers", "given" : "J. H. J.", "non-dropping-particle" : "", "parse-names" : false, "suffix" : "" }, { "dropping-particle" : "", "family" : "Myung", "given" : "K.", "non-dropping-particle" : "", "parse-names" : false, "suffix" : "" } ], "container-title" : "Proceedings of the National Academy of Sciences", "id" : "ITEM-1", "issue" : "34", "issued" : { "date-parts" : [ [ "2008", "8", "21" ] ] }, "page" : "12411-12416", "title" : "Polyubiquitination of proliferating cell nuclear antigen by HLTF and SHPRH prevents genomic instability from stalled replication forks", "type" : "article-journal", "volume" : "105" }, "uris" : [ "http://www.mendeley.com/documents/?uuid=fb3babf1-bfab-4881-a17d-3472bfe88700" ] }, { "id" : "ITEM-2", "itemData" : { "DOI" : "10.1016/j.bbrc.2009.08.151", "ISSN" : "1090-2104", "PMID" : "19723507", "abstract" : "HLTF is highly similar in domain organisation to yeast Rad5. We identify PTIP and RPA70, both involved in DNA replication and DNA repair, as HLTF-interacting proteins although cells depleted of HLTF did not show defects in cellular responses to DNA damage. In vitro, HLTF has ATPase activity and E3 ubiquitin ligase activity with a range of E2 ubiquitin conjugating enzymes. HLTF expression is severely reduced in a range of cancer cells, and we suggest that the HLTF antibodies generated in this study could be used for cancer diagnostic purposes.", "author" : [ { "dropping-particle" : "", "family" : "MacKay", "given" : "Craig", "non-dropping-particle" : "", "parse-names" : false, "suffix" : "" }, { "dropping-particle" : "", "family" : "Toth", "given" : "Rachel", "non-dropping-particle" : "", "parse-names" : false, "suffix" : "" }, { "dropping-particle" : "", "family" : "Rouse", "given" : "John", "non-dropping-particle" : "", "parse-names" : false, "suffix" : "" } ], "container-title" : "Biochemical and Biophysical Research Communications", "id" : "ITEM-2", "issue" : "2", "issued" : { "date-parts" : [ [ "2009", "12", "11" ] ] }, "page" : "187-91", "publisher" : "Elsevier Inc.", "title" : "Biochemical characterisation of the SWI/SNF family member HLTF.", "type" : "article-journal", "volume" : "390" }, "uris" : [ "http://www.mendeley.com/documents/?uuid=0ef3f0eb-1bc3-4cc1-97b2-c7661d510ccf" ] } ], "mendeley" : { "formattedCitation" : "(Motegi et al. 2008; MacKay et al. 2009)", "plainTextFormattedCitation" : "(Motegi et al. 2008; MacKay et al. 2009)", "previouslyFormattedCitation" : "(Motegi et al. 2008; MacKay et al. 2009)"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(Motegi et al. 2008; MacKay et al. 2009)</w:t>
      </w:r>
      <w:r w:rsidR="00F20EC0" w:rsidRPr="00DF0680">
        <w:rPr>
          <w:rFonts w:cs="Times New Roman"/>
        </w:rPr>
        <w:fldChar w:fldCharType="end"/>
      </w:r>
      <w:r w:rsidRPr="00DF0680">
        <w:rPr>
          <w:rFonts w:cs="Times New Roman"/>
        </w:rPr>
        <w:t xml:space="preserve">. </w:t>
      </w:r>
      <w:r w:rsidR="005922AD" w:rsidRPr="00DF0680">
        <w:rPr>
          <w:rFonts w:cs="Times New Roman"/>
        </w:rPr>
        <w:t>Using it</w:t>
      </w:r>
      <w:r w:rsidR="00390A46" w:rsidRPr="00DF0680">
        <w:rPr>
          <w:rFonts w:cs="Times New Roman"/>
        </w:rPr>
        <w:t>s translocase activity, it can regress stalled forks into 4-way junctions and dislodge proteins bound to the forks, such as PCNA, RFC and RPA</w:t>
      </w:r>
      <w:r w:rsidR="00685A61" w:rsidRPr="00DF0680">
        <w:rPr>
          <w:rFonts w:cs="Times New Roman"/>
        </w:rPr>
        <w:t xml:space="preserve"> </w:t>
      </w:r>
      <w:r w:rsidR="00685A61" w:rsidRPr="00DF0680">
        <w:rPr>
          <w:rFonts w:cs="Times New Roman"/>
          <w:i/>
        </w:rPr>
        <w:t>in vitro</w:t>
      </w:r>
      <w:r w:rsidR="00390A46" w:rsidRPr="00DF0680">
        <w:rPr>
          <w:rFonts w:cs="Times New Roman"/>
        </w:rPr>
        <w:t>, a characteristic that other helicases (such as BLM) don’t have</w:t>
      </w:r>
      <w:r w:rsidR="00DC75CD"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"10.1128/MCB.00863-09", "ISSN" : "1098-5549", "PMID" : "19948885", "abstract" : "Unrepaired DNA lesions can block the progression of the replication fork, leading to genomic instability and cancer in higher-order eukaryotes. In Saccharomyces cerevisiae, replication through DNA lesions can be mediated by translesion synthesis DNA polymerases, leading to error-free or error-prone damage bypass, or by Rad5-mediated template switching to the sister chromatid that is inherently error free. While translesion synthesis pathways are highly conserved from yeast to humans, very little is known of a Rad5-like pathway in human cells. Here we show that a human homologue of Rad5, HLTF, can facilitate fork regression and has a role in replication of damaged DNA. We found that HLTF is able to reverse model replication forks, a process which depends on its double-stranded DNA translocase activity. Furthermore, from analysis of isolated dually labeled chromosomal fibers, we demonstrate that in vivo, HLTF promotes the restart of replication forks blocked at DNA lesions. These findings suggest that HLTF can promote error-free replication of damaged DNA and support a role for HLTF in preventing mutagenesis and carcinogenesis, providing thereby for its potential tumor suppressor role.", "author" : [ { "dropping-particle" : "", "family" : "Blasty\u00e1k", "given" : "Andr\u00e1s", "non-dropping-particle" : "", "parse-names" : false, "suffix" : "" }, { "dropping-particle" : "", "family" : "Hajd\u00fa", "given" : "Ildik\u00f3", "non-dropping-particle" : "", "parse-names" : false, "suffix" : "" }, { "dropping-particle" : "", "family" : "Unk", "given" : "Ildik\u00f3", "non-dropping-particle" : "", "parse-names" : false, "suffix" : "" }, { "dropping-particle" : "", "family" : "Haracska", "given" : "Lajos", "non-dropping-particle" : "", "parse-names" : false, "suffix" : "" } ], "container-title" : "Molecular and Cellular Biology", "id" : "ITEM-1", "issue" : "3", "issued" : { "date-parts" : [ [ "2010", "2" ] ] }, "page" : "684-93", "title" : "Role of double-stranded DNA translocase activity of human HLTF in replication of damaged DNA.", "type" : "article-journal", "volume" : "30" }, "uris" : [ "http://www.mendeley.com/documents/?uuid=f4394bf4-1333-40a7-aeae-f8e41386bc44" ] }, { "id" : "ITEM-2", "itemData" : { "DOI" : "10.1073/pnas.1101951108", "ISSN" : "1091-6490", "PMID" : "21795603", "abstract" : "Human helicase-like transcription factor (HLTF) exhibits ubiquitin ligase activity for proliferating cell nuclear antigen (PCNA) polyubiquitylation as well as double-stranded DNA translocase activity for remodeling stalled replication fork by fork reversal, which can support damage bypass by template switching. However, a stalled replication fork is surrounded by various DNA-binding proteins which can inhibit the access of damage bypass players, and it is unknown how these proteins become displaced. Here we reveal that HLTF has an ATP hydrolysis-dependent protein remodeling activity, by which it can remove proteins bound to the replication fork. Moreover, we demonstrate that HLTF can displace a broad spectrum of proteins such as replication protein A (RPA), PCNA, and replication factor C (RFC), thereby providing the first example for a protein clearing activity at the stalled replication fork. Our findings clarify how remodeling of a stalled replication fork can occur if it is engaged in interactions with masses of proteins.", "author" : [ { "dropping-particle" : "", "family" : "Achar", "given" : "Yathish Jagadheesh", "non-dropping-particle" : "", "parse-names" : false, "suffix" : "" }, { "dropping-particle" : "", "family" : "Balogh", "given" : "David", "non-dropping-particle" : "", "parse-names" : false, "suffix" : "" }, { "dropping-particle" : "", "family" : "Haracska", "given" : "Lajos", "non-dropping-particle" : "", "parse-names" : false, "suffix" : "" } ], "container-title" : "Proceedings of the National Academy of Sciences", "id" : "ITEM-2", "issue" : "34", "issued" : { "date-parts" : [ [ "2011", "8", "23" ] ] }, "page" : "14073-8", "title" : "Coordinated protein and DNA remodeling by human HLTF on stalled replication fork.", "type" : "article-journal", "volume" : "108" }, "uris" : [ "http://www.mendeley.com/documents/?uuid=1ea86e95-1de5-412d-8a41-d8c0ab357699" ] } ], "mendeley" : { "formattedCitation" : "(Blasty\u00e1k et al. 2010; Achar et al. 2011)", "plainTextFormattedCitation" : "(Blasty\u00e1k et al. 2010; Achar et al. 2011)", "previouslyFormattedCitation" : "(Blasty\u00e1k et al. 2010; Achar et al. 2011)"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(Blastyák et al. 2010; Achar et al. 2011)</w:t>
      </w:r>
      <w:r w:rsidR="00F20EC0" w:rsidRPr="00DF0680">
        <w:rPr>
          <w:rFonts w:cs="Times New Roman"/>
        </w:rPr>
        <w:fldChar w:fldCharType="end"/>
      </w:r>
      <w:r w:rsidR="00DC75CD" w:rsidRPr="00DF0680">
        <w:rPr>
          <w:rFonts w:cs="Times New Roman"/>
        </w:rPr>
        <w:t xml:space="preserve">. </w:t>
      </w:r>
      <w:r w:rsidR="00333C37" w:rsidRPr="00DF0680">
        <w:rPr>
          <w:rFonts w:cs="Times New Roman"/>
        </w:rPr>
        <w:t>Recent wo</w:t>
      </w:r>
      <w:r w:rsidR="00A33C1A" w:rsidRPr="00DF0680">
        <w:rPr>
          <w:rFonts w:cs="Times New Roman"/>
        </w:rPr>
        <w:t xml:space="preserve">rk </w:t>
      </w:r>
      <w:r w:rsidR="00685A61" w:rsidRPr="00DF0680">
        <w:rPr>
          <w:rFonts w:cs="Times New Roman"/>
          <w:i/>
        </w:rPr>
        <w:t>in vitro</w:t>
      </w:r>
      <w:r w:rsidR="00685A61" w:rsidRPr="00DF0680">
        <w:rPr>
          <w:rFonts w:cs="Times New Roman"/>
        </w:rPr>
        <w:t xml:space="preserve"> </w:t>
      </w:r>
      <w:r w:rsidR="00A33C1A" w:rsidRPr="00DF0680">
        <w:rPr>
          <w:rFonts w:cs="Times New Roman"/>
        </w:rPr>
        <w:t>has also implicated HLTF in</w:t>
      </w:r>
      <w:r w:rsidR="00333C37" w:rsidRPr="00DF0680">
        <w:rPr>
          <w:rFonts w:cs="Times New Roman"/>
        </w:rPr>
        <w:t xml:space="preserve"> ATPase and RAD51-independent </w:t>
      </w:r>
      <w:r w:rsidR="00A33C1A" w:rsidRPr="00DF0680">
        <w:rPr>
          <w:rFonts w:cs="Times New Roman"/>
        </w:rPr>
        <w:t xml:space="preserve">D-loop formation, which can be extended by DNA polymerases, suggesting a possible template-switching activity for HLTF, as well as being involved in </w:t>
      </w:r>
      <w:r w:rsidR="00CB1E6B" w:rsidRPr="00DF0680">
        <w:rPr>
          <w:rFonts w:cs="Times New Roman"/>
        </w:rPr>
        <w:t>translesion synthesis</w:t>
      </w:r>
      <w:r w:rsidR="00A33C1A" w:rsidRPr="00DF0680">
        <w:rPr>
          <w:rFonts w:cs="Times New Roman"/>
        </w:rPr>
        <w:t xml:space="preserve"> and fork reversal </w:t>
      </w:r>
      <w:r w:rsidR="00F20EC0" w:rsidRPr="00DF0680">
        <w:rPr>
          <w:rFonts w:cs="Times New Roman"/>
        </w:rPr>
        <w:fldChar w:fldCharType="begin" w:fldLock="1"/>
      </w:r>
      <w:r w:rsidR="00332613" w:rsidRPr="00DF0680">
        <w:rPr>
          <w:rFonts w:cs="Times New Roman"/>
        </w:rPr>
        <w:instrText>ADDIN CSL_CITATION { "citationItems" : [ { "id" : "ITEM-1", "itemData" : { "DOI" : "10.1093/nar/gkt1040", "ISSN" : "1362-4962", "PMID" : "24198246", "abstract" : "Stalling of replication forks at unrepaired DNA lesions can result in discontinuities opposite the damage in the newly synthesized DNA strand. Translesion synthesis or facilitating the copy from the newly synthesized strand of the sister duplex by template switching can overcome such discontinuities. During template switch, a new primer-template junction has to be formed and two mechanisms, including replication fork reversal and D-loop formation have been suggested. Genetic evidence indicates a major role for yeast Rad5 in template switch and that both Rad5 and its human orthologue, Helicase-like transcription factor (HLTF), a potential tumour suppressor can facilitate replication fork reversal. This study demonstrates the ability of HLTF and Rad5 to form a D-loop without requiring ATP binding and/or hydrolysis. We also show that this strand-pairing activity is independent of RAD51 in vitro and is not mechanistically related to that of another member of the SWI/SNF family, RAD54. In addition, the 3'-end of the invading strand in the D-loop can serve as a primer and is extended by DNA polymerase. Our data indicate that HLTF is involved in a RAD51-independent D-loop branch of template switch pathway that can promote repair of gaps formed during replication of damaged DNA.", "author" : [ { "dropping-particle" : "", "family" : "Burkovics", "given" : "Peter", "non-dropping-particle" : "", "parse-names" : false, "suffix" : "" }, { "dropping-particle" : "", "family" : "Sebesta", "given" : "Marek", "non-dropping-particle" : "", "parse-names" : false, "suffix" : "" }, { "dropping-particle" : "", "family" : "Balogh", "given" : "David", "non-dropping-particle" : "", "parse-names" : false, "suffix" : "" }, { "dropping-particle" : "", "family" : "Haracska", "given" : "Lajos", "non-dropping-particle" : "", "parse-names" : false, "suffix" : "" }, { "dropping-particle" : "", "family" : "Krejci", "given" : "Lumir", "non-dropping-particle" : "", "parse-names" : false, "suffix" : "" } ], "container-title" : "Nucleic Acids Research", "id" : "ITEM-1", "issue" : "3", "issued" : { "date-parts" : [ [ "2014", "2" ] ] }, "page" : "1711-20", "title" : "Strand invasion by HLTF as a mechanism for template switch in fork rescue.", "type" : "article-journal", "volume" : "42" }, "uris" : [ "http://www.mendeley.com/documents/?uuid=ba8d6a29-16ec-4d09-82ac-b1315b2c0b1b" ] } ], "mendeley" : { "formattedCitation" : "(Burkovics et al. 2014)", "plainTextFormattedCitation" : "(Burkovics et al. 2014)", "previouslyFormattedCitation" : "(Burkovics et al. 2014)"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(Burkovics et al. 2014)</w:t>
      </w:r>
      <w:r w:rsidR="00F20EC0" w:rsidRPr="00DF0680">
        <w:rPr>
          <w:rFonts w:cs="Times New Roman"/>
        </w:rPr>
        <w:fldChar w:fldCharType="end"/>
      </w:r>
      <w:r w:rsidR="00A33C1A" w:rsidRPr="00DF0680">
        <w:rPr>
          <w:rFonts w:cs="Times New Roman"/>
        </w:rPr>
        <w:t>.</w:t>
      </w:r>
    </w:p>
    <w:p w:rsidR="00133B57" w:rsidRPr="00DF0680" w:rsidRDefault="00133B57" w:rsidP="001D3F4C">
      <w:pPr>
        <w:rPr>
          <w:rFonts w:cs="Times New Roman"/>
          <w:color w:val="auto"/>
        </w:rPr>
      </w:pPr>
      <w:r w:rsidRPr="00DF0680">
        <w:rPr>
          <w:rFonts w:cs="Times New Roman"/>
          <w:color w:val="auto"/>
        </w:rPr>
        <w:t xml:space="preserve">Two of the RECQ helicases have </w:t>
      </w:r>
      <w:r w:rsidR="00A56200" w:rsidRPr="00DF0680">
        <w:rPr>
          <w:rFonts w:cs="Times New Roman"/>
          <w:color w:val="auto"/>
        </w:rPr>
        <w:t xml:space="preserve">also </w:t>
      </w:r>
      <w:r w:rsidRPr="00DF0680">
        <w:rPr>
          <w:rFonts w:cs="Times New Roman"/>
          <w:color w:val="auto"/>
        </w:rPr>
        <w:t xml:space="preserve">been implicated in fork reversal and restart. Both WRN and BLM can unwind </w:t>
      </w:r>
      <w:r w:rsidR="005B29AF" w:rsidRPr="00DF0680">
        <w:rPr>
          <w:rFonts w:cs="Times New Roman"/>
          <w:color w:val="auto"/>
        </w:rPr>
        <w:t xml:space="preserve">replication fork structures and anneal complementary single strands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"author" : [ { "dropping-particle" : "", "family" : "Machwe", "given" : "Amrita", "non-dropping-particle" : "", "parse-names" : false, "suffix" : "" }, { "dropping-particle" : "", "family" : "Xiao", "given" : "Liren", "non-dropping-particle" : "", "parse-names" : false, "suffix" : "" }, { "dropping-particle" : "", "family" : "Groden", "given" : "Joanna", "non-dropping-particle" : "", "parse-names" : false, "suffix" : "" }, { "dropping-particle" : "", "family" : "Orren", "given" : "DK", "non-dropping-particle" : "", "parse-names" : false, "suffix" : "" } ], "container-title" : "Biochemistry", "id" : "ITEM-1", "issue" : "47", "issued" : { "date-parts" : [ [ "2006" ] ] }, "page" : "13939-46", "title" : "The Werner and Bloom syndrome proteins catalyze regression of a model replication fork", "type" : "article-journal", "volume" : "45" }, "uris" : [ "http://www.mendeley.com/documents/?uuid=b4018965-e01e-423c-bb1f-e42f7abb8725" ] }, { "id" : "ITEM-2", "itemData" : { "DOI" : "10.1093/nar/gki712", "ISSN" : "1362-4962", "PMID" : "16024743", "abstract" : "The product of the gene mutated in Bloom's syndrome, BLM, is a 3'-5' DNA helicase belonging to the highly conserved RecQ family. In addition to a conventional DNA strand separation activity, BLM catalyzes both the disruption of non-B-form DNA, such as G-quadruplexes, and the branch migration of Holliday junctions. Here, we have characterized a new activity for BLM: the promotion of single-stranded DNA (ssDNA) annealing. This activity does not require Mg(2+), is inhibited by ssDNA binding proteins and ATP, and is dependent on DNA length. Through analysis of various truncation mutants of BLM, we show that the C-terminal domain is essential for strand annealing and identify a 60 amino acid stretch of this domain as being important for both ssDNA binding and strand annealing. We present a model in which the ssDNA annealing activity of BLM facilitates its role in the processing of DNA intermediates that arise during repair of damaged replication forks.", "author" : [ { "dropping-particle" : "", "family" : "Cheok", "given" : "Chit Fang", "non-dropping-particle" : "", "parse-names" : false, "suffix" : "" }, { "dropping-particle" : "", "family" : "Wu", "given" : "Leonard", "non-dropping-particle" : "", "parse-names" : false, "suffix" : "" }, { "dropping-particle" : "", "family" : "Garcia", "given" : "Patrick L", "non-dropping-particle" : "", "parse-names" : false, "suffix" : "" }, { "dropping-particle" : "", "family" : "Janscak", "given" : "Pavel", "non-dropping-particle" : "", "parse-names" : false, "suffix" : "" }, { "dropping-particle" : "", "family" : "Hickson", "given" : "Ian D", "non-dropping-particle" : "", "parse-names" : false, "suffix" : "" } ], "container-title" : "Nucleic Acids Research", "id" : "ITEM-2", "issue" : "12", "issued" : { "date-parts" : [ [ "2005", "1" ] ] }, "page" : "3932-41", "title" : "The Bloom's syndrome helicase promotes the annealing of complementary single-stranded DNA.", "type" : "article-journal", "volume" : "33" }, "uris" : [ "http://www.mendeley.com/documents/?uuid=5c362849-232f-4149-bad6-686b21435698" ] } ], "mendeley" : { "formattedCitation" : "(Machwe et al. 2006; Cheok et al. 2005)", "plainTextFormattedCitation" : "(Machwe et al. 2006; Cheok et al. 2005)", "previouslyFormattedCitation" : "(Machwe et al. 2006; Cheok et al. 2005)"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(Machwe et al. 2006; Cheok et al. 2005)</w:t>
      </w:r>
      <w:r w:rsidR="00F20EC0" w:rsidRPr="00DF0680">
        <w:rPr>
          <w:rFonts w:cs="Times New Roman"/>
          <w:color w:val="auto"/>
        </w:rPr>
        <w:fldChar w:fldCharType="end"/>
      </w:r>
      <w:r w:rsidR="005B29AF" w:rsidRPr="00DF0680">
        <w:rPr>
          <w:rFonts w:cs="Times New Roman"/>
          <w:color w:val="auto"/>
        </w:rPr>
        <w:t xml:space="preserve">. </w:t>
      </w:r>
      <w:r w:rsidR="00C679A4" w:rsidRPr="00DF0680">
        <w:rPr>
          <w:rFonts w:cs="Times New Roman"/>
          <w:color w:val="auto"/>
        </w:rPr>
        <w:t>As well as fork regression activity, WRN and BLM can both convert regressed</w:t>
      </w:r>
      <w:r w:rsidR="008749CD" w:rsidRPr="00DF0680">
        <w:rPr>
          <w:rFonts w:cs="Times New Roman"/>
          <w:color w:val="auto"/>
        </w:rPr>
        <w:t xml:space="preserve"> forks</w:t>
      </w:r>
      <w:r w:rsidR="00C679A4" w:rsidRPr="00DF0680">
        <w:rPr>
          <w:rFonts w:cs="Times New Roman"/>
          <w:color w:val="auto"/>
        </w:rPr>
        <w:t xml:space="preserve"> back into functional replication forks</w:t>
      </w:r>
      <w:r w:rsidR="00685A61" w:rsidRPr="00DF0680">
        <w:rPr>
          <w:rFonts w:cs="Times New Roman"/>
          <w:color w:val="auto"/>
        </w:rPr>
        <w:t xml:space="preserve"> </w:t>
      </w:r>
      <w:r w:rsidR="00685A61" w:rsidRPr="00DF0680">
        <w:rPr>
          <w:rFonts w:cs="Times New Roman"/>
          <w:i/>
          <w:color w:val="auto"/>
        </w:rPr>
        <w:t>in vitro</w:t>
      </w:r>
      <w:r w:rsidR="00C679A4" w:rsidRPr="00DF0680">
        <w:rPr>
          <w:rFonts w:cs="Times New Roman"/>
          <w:color w:val="auto"/>
        </w:rPr>
        <w:t xml:space="preserv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"10.1021/bi2001054", "ISSN" : "1520-4995", "PMID" : "21736299", "abstract" : "Cells cope with blockage of replication fork progression in a manner that allows DNA synthesis to be completed and genomic instability minimized. Models for resolution of blocked replication involve fork regression to form Holliday junction structures. The human RecQ helicases WRN and BLM (deficient in Werner and Bloom syndromes, respectively) are critical for maintaining genomic stability and thought to function in accurate resolution of replication blockage. Consistent with this notion, WRN and BLM localize to sites of blocked replication after certain DNA-damaging treatments and exhibit enhanced activity on replication and recombination intermediates. Here we examine the actions of WRN and BLM on a special Holliday junction substrate reflective of a regressed replication fork. Our results demonstrate that, in reactions requiring ATP hydrolysis, both WRN and BLM convert this Holliday junction substrate primarily to a four-stranded replication fork structure, suggesting they target the Holliday junction to initiate branch migration. In agreement, the Holliday junction binding protein RuvA inhibits the WRN- and BLM-mediated conversion reactions. Importantly, this conversion product is suitable for replication with its leading daughter strand readily extended by DNA polymerases. Furthermore, binding to and conversion of this Holliday junction are optimal at low MgCl(2) concentrations, suggesting that WRN and BLM preferentially act on the square planar (open) conformation of Holliday junctions. Our findings suggest that, subsequent to fork regression events, WRN and/or BLM could re-establish functional replication forks to help overcome fork blockage. Such a function is highly consistent with phenotypes associated with WRN- and BLM-deficient cells.", "author" : [ { "dropping-particle" : "", "family" : "Machwe", "given" : "Amrita", "non-dropping-particle" : "", "parse-names" : false, "suffix" : "" }, { "dropping-particle" : "", "family" : "Karale", "given" : "Rajashree", "non-dropping-particle" : "", "parse-names" : false, "suffix" : "" }, { "dropping-particle" : "", "family" : "Xu", "given" : "Xioahua", "non-dropping-particle" : "", "parse-names" : false, "suffix" : "" }, { "dropping-particle" : "", "family" : "Liu", "given" : "Yilun", "non-dropping-particle" : "", "parse-names" : false, "suffix" : "" }, { "dropping-particle" : "", "family" : "Orren", "given" : "David K", "non-dropping-particle" : "", "parse-names" : false, "suffix" : "" } ], "container-title" : "Biochemistry", "id" : "ITEM-1", "issue" : "32", "issued" : { "date-parts" : [ [ "2011", "8", "16" ] ] }, "page" : "6774-88", "title" : "The Werner and Bloom syndrome proteins help resolve replication blockage by converting (regressed) holliday junctions to functional replication forks.", "type" : "article-journal", "volume" : "50" }, "uris" : [ "http://www.mendeley.com/documents/?uuid=4ca0b4ef-aa8b-41ab-846e-bc4b37e08e59" ] }, { "id" : "ITEM-2", "itemData" : { "author" : [ { "dropping-particle" : "", "family" : "Machwe", "given" : "Amrita", "non-dropping-particle" : "", "parse-names" : false, "suffix" : "" }, { "dropping-particle" : "", "family" : "Xiao", "given" : "Liren", "non-dropping-particle" : "", "parse-names" : false, "suffix" : "" }, { "dropping-particle" : "", "family" : "Groden", "given" : "Joanna", "non-dropping-particle" : "", "parse-names" : false, "suffix" : "" }, { "dropping-particle" : "", "family" : "Orren", "given" : "DK", "non-dropping-particle" : "", "parse-names" : false, "suffix" : "" } ], "container-title" : "Biochemistry", "id" : "ITEM-2", "issue" : "47", "issued" : { "date-parts" : [ [ "2006" ] ] }, "page" : "13939-46", "title" : "The Werner and Bloom syndrome proteins catalyze regression of a model replication fork", "type" : "article-journal", "volume" : "45" }, "uris" : [ "http://www.mendeley.com/documents/?uuid=b4018965-e01e-423c-bb1f-e42f7abb8725" ] }, { "id" : "ITEM-3", "itemData" : { "DOI" : "10.1074/jbc.M604268200", "ISSN" : "0021-9258", "PMID" : "16766518", "abstract" : "Homozygous inactivation of BLM gives rise to Bloom's syndrome, a disorder associated with genomic instability and cancer predisposition. BLM encodes a member of the RecQ DNA helicase family that is required for the maintenance of genome stability and the suppression of sister-chromatid exchanges. BLM has been proposed to function in the rescue of replication forks that have collapsed or stalled as a result of encountering lesions that block fork progression. One proposed mechanism of fork rescue involves regression in which the nascent leading and lagging strands anneal to create a so-called \"chicken foot\" structure. Here we have developed an in vitro system for analysis of fork regression and show that BLM, but not Escherichia coli RecQ, can promote the regression of a model replication fork. BLM-mediated fork regression is ATP-dependent and occurs processively, generating regressed arms of &gt;250 bp in length. These data establish the existence of a eukaryotic protein that could promote replication fork regression in vivo and suggest a novel pathway through which BLM might suppress genetic exchanges.", "author" : [ { "dropping-particle" : "", "family" : "Ralf", "given" : "Christine", "non-dropping-particle" : "", "parse-names" : false, "suffix" : "" }, { "dropping-particle" : "", "family" : "Hickson", "given" : "Ian D", "non-dropping-particle" : "", "parse-names" : false, "suffix" : "" }, { "dropping-particle" : "", "family" : "Wu", "given" : "Leonard", "non-dropping-particle" : "", "parse-names" : false, "suffix" : "" } ], "container-title" : "The Journal of Biological Chemistry", "id" : "ITEM-3", "issue" : "32", "issued" : { "date-parts" : [ [ "2006", "8", "11" ] ] }, "page" : "22839-46", "title" : "The Bloom's syndrome helicase can promote the regression of a model replication fork.", "type" : "article-journal", "volume" : "281" }, "uris" : [ "http://www.mendeley.com/documents/?uuid=cdfd9e64-3223-42b6-9aae-087636728295" ] } ], "mendeley" : { "formattedCitation" : "(Machwe et al. 2011; Machwe et al. 2006; Ralf et al. 2006)", "plainTextFormattedCitation" : "(Machwe et al. 2011; Machwe et al. 2006; Ralf et al. 2006)", "previouslyFormattedCitation" : "(Machwe et al. 2011; Machwe et al. 2006; Ralf et al. 2006)"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(Machwe et al. 2011; Machwe et al. 2006; Ralf et al. 2006)</w:t>
      </w:r>
      <w:r w:rsidR="00F20EC0" w:rsidRPr="00DF0680">
        <w:rPr>
          <w:rFonts w:cs="Times New Roman"/>
          <w:color w:val="auto"/>
        </w:rPr>
        <w:fldChar w:fldCharType="end"/>
      </w:r>
      <w:r w:rsidR="00C679A4" w:rsidRPr="00DF0680">
        <w:rPr>
          <w:rFonts w:cs="Times New Roman"/>
          <w:color w:val="auto"/>
        </w:rPr>
        <w:t xml:space="preserve">. BLM has been shown to promote fork restart </w:t>
      </w:r>
      <w:r w:rsidR="008749CD" w:rsidRPr="00DF0680">
        <w:rPr>
          <w:rFonts w:cs="Times New Roman"/>
          <w:color w:val="auto"/>
        </w:rPr>
        <w:t xml:space="preserve">and suppresses new origin firing in a helicase and ATR kinase target residue dependent manner, </w:t>
      </w:r>
      <w:r w:rsidR="00C679A4" w:rsidRPr="00DF0680">
        <w:rPr>
          <w:rFonts w:cs="Times New Roman"/>
          <w:color w:val="auto"/>
        </w:rPr>
        <w:t xml:space="preserve">using DNA fibre assays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"10.1038/nsmb1267", "ISSN" : "1545-9993", "PMID" : "17603497", "abstract" : "Mutations in BLM give rise to Bloom's syndrome, a genetic disorder associated with cancer predisposition and chromosomal instability. Using a dual-labeling system in isolated chromosome fibers, we show that the BLM protein is required for two aspects of the cellular response to replicative stress: efficient replication-fork restart and suppression of new origin firing. These functions require the helicase activity of BLM and the Thr99 residue targeted by stress-activated kinases.", "author" : [ { "dropping-particle" : "", "family" : "Davies", "given" : "Sally L", "non-dropping-particle" : "", "parse-names" : false, "suffix" : "" }, { "dropping-particle" : "", "family" : "North", "given" : "Phillip S", "non-dropping-particle" : "", "parse-names" : false, "suffix" : "" }, { "dropping-particle" : "", "family" : "Hickson", "given" : "Ian D", "non-dropping-particle" : "", "parse-names" : false, "suffix" : "" } ], "container-title" : "Nature Structural &amp; Molecular Biology", "id" : "ITEM-1", "issue" : "7", "issued" : { "date-parts" : [ [ "2007", "7" ] ] }, "page" : "677-9", "title" : "Role for BLM in replication-fork restart and suppression of origin firing after replicative stress.", "type" : "article-journal", "volume" : "14" }, "uris" : [ "http://www.mendeley.com/documents/?uuid=1de27403-f6da-45b8-8fd6-3a2e79934200" ] } ], "mendeley" : { "formattedCitation" : "(Davies et al. 2007)", "plainTextFormattedCitation" : "(Davies et al. 2007)", "previouslyFormattedCitation" : "(Davies et al. 2007)"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(Davies et al. 2007)</w:t>
      </w:r>
      <w:r w:rsidR="00F20EC0" w:rsidRPr="00DF0680">
        <w:rPr>
          <w:rFonts w:cs="Times New Roman"/>
          <w:color w:val="auto"/>
        </w:rPr>
        <w:fldChar w:fldCharType="end"/>
      </w:r>
      <w:r w:rsidR="00051280" w:rsidRPr="00DF0680">
        <w:rPr>
          <w:rFonts w:cs="Times New Roman"/>
          <w:color w:val="auto"/>
        </w:rPr>
        <w:t xml:space="preserve">. </w:t>
      </w:r>
      <w:r w:rsidR="00171CC0" w:rsidRPr="00DF0680">
        <w:rPr>
          <w:rFonts w:cs="Times New Roman"/>
          <w:color w:val="auto"/>
        </w:rPr>
        <w:t>WRN too is phosphorylated by ATR which is required for its co-localisation with RPA</w:t>
      </w:r>
      <w:r w:rsidR="00C43FB5" w:rsidRPr="00DF0680">
        <w:rPr>
          <w:rFonts w:cs="Times New Roman"/>
          <w:color w:val="auto"/>
        </w:rPr>
        <w:t>, fork restart activity and DSB</w:t>
      </w:r>
      <w:r w:rsidR="00171CC0" w:rsidRPr="00DF0680">
        <w:rPr>
          <w:rFonts w:cs="Times New Roman"/>
          <w:color w:val="auto"/>
        </w:rPr>
        <w:t xml:space="preserve"> suppression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"10.1038/emboj.2010.205", "ISSN" : "1460-2075", "PMID" : "20802463", "abstract" : "Accurate response to replication arrest is crucial to preserve genome stability and requires both the ATR and ATM functions. The Werner syndrome protein (WRN) is implicated in the recovery of stalled replication forks, and although an ATR/ATM-dependent phosphorylation of WRN was observed after replication arrest, the function of such modifications during the response to perturbed replication is not yet appreciated. Here, we report that WRN is directly phosphorylated by ATR at multiple C-terminal S/TQ residues. Suppression of ATR-mediated phosphorylation of WRN prevents proper accumulation of WRN in nuclear foci, co-localisation with RPA and causes breakage of stalled forks. On the other hand, inhibition of ATM kinase activity or expression of an ATM-unphosphorylable WRN allele leads to retention of WRN in nuclear foci and impaired recruitment of RAD51 recombinase resulting in reduced viability after fork collapse. Altogether, our findings indicate that ATR and ATM promote recovery from perturbed replication by differently regulating WRN at defined moments of the response to replication fork arrest.", "author" : [ { "dropping-particle" : "", "family" : "Ammazzalorso", "given" : "Francesca", "non-dropping-particle" : "", "parse-names" : false, "suffix" : "" }, { "dropping-particle" : "", "family" : "Pirzio", "given" : "Livia Maria", "non-dropping-particle" : "", "parse-names" : false, "suffix" : "" }, { "dropping-particle" : "", "family" : "Bignami", "given" : "Margherita", "non-dropping-particle" : "", "parse-names" : false, "suffix" : "" }, { "dropping-particle" : "", "family" : "Franchitto", "given" : "Annapaola", "non-dropping-particle" : "", "parse-names" : false, "suffix" : "" }, { "dropping-particle" : "", "family" : "Pichierri", "given" : "Pietro", "non-dropping-particle" : "", "parse-names" : false, "suffix" : "" } ], "container-title" : "The EMBO Journal", "id" : "ITEM-1", "issue" : "18", "issued" : { "date-parts" : [ [ "2010", "9", "15" ] ] }, "page" : "3156-69", "publisher" : "Nature Publishing Group", "title" : "ATR and ATM differently regulate WRN to prevent DSBs at stalled replication forks and promote replication fork recovery.", "type" : "article-journal", "volume" : "29" }, "uris" : [ "http://www.mendeley.com/documents/?uuid=9b9b51de-4328-4b12-ac1c-9b25f40a719e" ] } ], "mendeley" : { "formattedCitation" : "(Ammazzalorso et al. 2010)", "plainTextFormattedCitation" : "(Ammazzalorso et al. 2010)", "previouslyFormattedCitation" : "(Ammazzalorso et al. 2010)"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(Ammazzalorso et al. 2010)</w:t>
      </w:r>
      <w:r w:rsidR="00F20EC0" w:rsidRPr="00DF0680">
        <w:rPr>
          <w:rFonts w:cs="Times New Roman"/>
          <w:color w:val="auto"/>
        </w:rPr>
        <w:fldChar w:fldCharType="end"/>
      </w:r>
      <w:r w:rsidR="00171CC0" w:rsidRPr="00DF0680">
        <w:rPr>
          <w:rFonts w:cs="Times New Roman"/>
          <w:color w:val="auto"/>
        </w:rPr>
        <w:t xml:space="preserve">. The same paper suggested that phosphorylation on different sites by ATM </w:t>
      </w:r>
      <w:r w:rsidR="0023782A" w:rsidRPr="00DF0680">
        <w:rPr>
          <w:rFonts w:cs="Times New Roman"/>
          <w:color w:val="auto"/>
        </w:rPr>
        <w:t xml:space="preserve">may re-localise WRN away from forks once they have collapsed and this allows RAD51 foci to form. The ATR phosphorylation and localisation of WRN has been shown to depend on the 9-1-1 and TopBP1 complex </w:t>
      </w:r>
      <w:r w:rsidR="00F20EC0" w:rsidRPr="00DF0680">
        <w:rPr>
          <w:rFonts w:cs="Times New Roman"/>
          <w:color w:val="auto"/>
        </w:rPr>
        <w:fldChar w:fldCharType="begin" w:fldLock="1"/>
      </w:r>
      <w:r w:rsidR="00525765" w:rsidRPr="00DF0680">
        <w:rPr>
          <w:rFonts w:cs="Times New Roman"/>
          <w:color w:val="auto"/>
        </w:rPr>
        <w:instrText>ADDIN CSL_CITATION { "citationItems" : [ { "id" : "ITEM-1", "itemData" : { "DOI" : "10.1038/onc.2011.468", "ISSN" : "1476-5594", "PMID" : "22002307", "abstract" : "The WRN protein belongs to the RecQ family of DNA helicases and is implicated in replication fork restart, but how its function is regulated remains unknown. We show that WRN interacts with the 9.1.1 complex, one of the central factors of the replication checkpoint. This interaction is mediated by the binding of the RAD1 subunit to the N-terminal region of WRN and is instrumental for WRN relocalization in nuclear foci and its phosphorylation in response to replication arrest. We also find that ATR-dependent WRN phosphorylation depends on TopBP1, which is recruited by the 9.1.1 complex in response to replication arrest. Finally, we provide evidence for a cooperation between WRN and 9.1.1 complex in preventing accumulation of DNA breakage and maintaining genome integrity at naturally occurring replication fork stalling sites. Taken together, our data unveil a novel functional interplay between WRN helicase and the replication checkpoint, contributing to shed light into the molecular mechanism underlying the response to replication fork arrest.", "author" : [ { "dropping-particle" : "", "family" : "Pichierri", "given" : "P", "non-dropping-particle" : "", "parse-names" : false, "suffix" : "" }, { "dropping-particle" : "", "family" : "Nicolai", "given" : "S", "non-dropping-particle" : "", "parse-names" : false, "suffix" : "" }, { "dropping-particle" : "", "family" : "Cignolo", "given" : "L", "non-dropping-particle" : "", "parse-names" : false, "suffix" : "" }, { "dropping-particle" : "", "family" : "Bignami", "given" : "M", "non-dropping-particle" : "", "parse-names" : false, "suffix" : "" }, { "dropping-particle" : "", "family" : "Franchitto", "given" : "a", "non-dropping-particle" : "", "parse-names" : false, "suffix" : "" } ], "container-title" : "Oncogene", "id" : "ITEM-1", "issue" : "23", "issued" : { "date-parts" : [ [ "2012", "6", "7" ] ] }, "page" : "2809-23", "publisher" : "Nature Publishing Group", "title" : "The RAD9-RAD1-HUS1 (9.1.1) complex interacts with WRN and is crucial to regulate its response to replication fork stalling.", "type" : "article-journal", "volume" : "31" }, "uris" : [ "http://www.mendeley.com/documents/?uuid=61df86f4-83ba-4289-af71-3a50e56e3176" ] } ], "mendeley" : { "formattedCitation" : "(Pichierri et al. 2012)", "plainTextFormattedCitation" : "(Pichierri et al. 2012)", "previouslyFormattedCitation" : "(Pichierri et al. 2012)"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(Pichierri et al. 2012)</w:t>
      </w:r>
      <w:r w:rsidR="00F20EC0" w:rsidRPr="00DF0680">
        <w:rPr>
          <w:rFonts w:cs="Times New Roman"/>
          <w:color w:val="auto"/>
        </w:rPr>
        <w:fldChar w:fldCharType="end"/>
      </w:r>
      <w:r w:rsidR="0023782A" w:rsidRPr="00DF0680">
        <w:rPr>
          <w:rFonts w:cs="Times New Roman"/>
          <w:color w:val="auto"/>
        </w:rPr>
        <w:t xml:space="preserve">. </w:t>
      </w:r>
      <w:r w:rsidR="00A119F3" w:rsidRPr="00DF0680">
        <w:rPr>
          <w:rFonts w:cs="Times New Roman"/>
          <w:color w:val="auto"/>
        </w:rPr>
        <w:t>DNA-PK has been shown to phosphorylate WRN helicase at serines 440 and 467, and mutations in these residues cause WRN to stay at sites of DSBs after 24 hours rather than re</w:t>
      </w:r>
      <w:r w:rsidR="007F1538" w:rsidRPr="00DF0680">
        <w:rPr>
          <w:rFonts w:cs="Times New Roman"/>
          <w:color w:val="auto"/>
        </w:rPr>
        <w:t>-</w:t>
      </w:r>
      <w:r w:rsidR="00A119F3" w:rsidRPr="00DF0680">
        <w:rPr>
          <w:rFonts w:cs="Times New Roman"/>
          <w:color w:val="auto"/>
        </w:rPr>
        <w:t xml:space="preserve">localise to the nucleoli, and make the cell slightly more sensitive to etoposide </w:t>
      </w:r>
      <w:r w:rsidR="00F20EC0" w:rsidRPr="00DF0680">
        <w:rPr>
          <w:rFonts w:cs="Times New Roman"/>
          <w:color w:val="auto"/>
        </w:rPr>
        <w:fldChar w:fldCharType="begin" w:fldLock="1"/>
      </w:r>
      <w:r w:rsidR="00DA6E78" w:rsidRPr="00DF0680">
        <w:rPr>
          <w:rFonts w:cs="Times New Roman"/>
          <w:color w:val="auto"/>
        </w:rPr>
        <w:instrText>ADDIN CSL_CITATION { "citationItems" : [ { "id" : "ITEM-1", "itemData" : { "ISSN" : "1945-4589", "PMID" : "24429382", "abstract" : "WRN protein, defective in Werner syndrome (WS), a human segmental progeria, is a target of serine/threonine kinases involved in sensing DNA damage. DNA-PK phosphorylates WRN in response to DNA double strand breaks (DSBs). However, the main phosphorylation sites and functional importance of the phosphorylation of WRN has remained unclear. Here, we identify Ser-440 and -467 in WRN as major phosphorylation sites mediated by DNA-PK.In vitro, DNA-PK fails to phosphorylate a GST-WRN fragment with S440A and/or S467A substitution. In addition, full length WRN with the mutation expressed in 293T cells was not phosphorylated in response to DSBs produced by bleomycin. Accumulation of the mutant WRN at the site of laser-induced DSBs occurred with the same kinetics as wild type WRN in live HeLa cells. While the wild type WRN relocalized to the nucleoli after 24 hours recovery from etoposide-induced DSBs, the mutant WRN remained mostly in the nucleoplasm. Consistent with this, WS cells expressing the mutants exhibited less DNA repair efficiency and more sensitivity to etoposide, compared to those expressing wild type. Our findings indicate that phosphorylation of Ser-440 and -467 in WRN are important for relocalization of WRN to nucleoli, and that it is required for efficient DSB repair.", "author" : [ { "dropping-particle" : "", "family" : "Kusumoto-Matsuo", "given" : "Rika", "non-dropping-particle" : "", "parse-names" : false, "suffix" : "" }, { "dropping-particle" : "", "family" : "Ghosh", "given" : "Deblina", "non-dropping-particle" : "", "parse-names" : false, "suffix" : "" }, { "dropping-particle" : "", "family" : "Karmakar", "given" : "Parimal", "non-dropping-particle" : "", "parse-names" : false, "suffix" : "" }, { "dropping-particle" : "", "family" : "May", "given" : "Alfred", "non-dropping-particle" : "", "parse-names" : false, "suffix" : "" }, { "dropping-particle" : "", "family" : "Ramsden", "given" : "Dale", "non-dropping-particle" : "", "parse-names" : false, "suffix" : "" }, { "dropping-particle" : "", "family" : "Bohr", "given" : "Vilhelm a", "non-dropping-particle" : "", "parse-names" : false, "suffix" : "" } ], "container-title" : "Aging", "id" : "ITEM-1", "issue" : "1", "issued" : { "date-parts" : [ [ "2014", "1", "14" ] ] }, "page" : "70-81", "title" : "Serines 440 and 467 in the Werner syndrome protein are phosphorylated by DNA-PK and affects its dynamics in response to DNA double strand breaks.", "type" : "article-journal", "volume" : "6" }, "uris" : [ "http://www.mendeley.com/documents/?uuid=dcaeeabc-d801-4a66-b5c7-8c8f14ea11ac" ] } ], "mendeley" : { "formattedCitation" : "(Kusumoto-Matsuo et al. 2014)", "plainTextFormattedCitation" : "(Kusumoto-Matsuo et al. 2014)", "previouslyFormattedCitation" : "(Kusumoto-Matsuo et al. 2014)"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(Kusumoto-Matsuo et al. 2014)</w:t>
      </w:r>
      <w:r w:rsidR="00F20EC0" w:rsidRPr="00DF0680">
        <w:rPr>
          <w:rFonts w:cs="Times New Roman"/>
          <w:color w:val="auto"/>
        </w:rPr>
        <w:fldChar w:fldCharType="end"/>
      </w:r>
      <w:r w:rsidR="00A119F3" w:rsidRPr="00DF0680">
        <w:rPr>
          <w:rFonts w:cs="Times New Roman"/>
          <w:color w:val="auto"/>
        </w:rPr>
        <w:t>.</w:t>
      </w:r>
    </w:p>
    <w:p w:rsidR="003318E8" w:rsidRPr="00DF0680" w:rsidRDefault="00745829" w:rsidP="003318E8">
      <w:pPr>
        <w:rPr>
          <w:rFonts w:cs="Times New Roman"/>
        </w:rPr>
      </w:pPr>
      <w:r w:rsidRPr="00DF0680">
        <w:rPr>
          <w:rFonts w:cs="Times New Roman"/>
        </w:rPr>
        <w:t>Stabilization of the replication fork gives the cell time to repair the damage before replication continues. If the barrier cannot be removed</w:t>
      </w:r>
      <w:r w:rsidR="008749CD" w:rsidRPr="00DF0680">
        <w:rPr>
          <w:rFonts w:cs="Times New Roman"/>
        </w:rPr>
        <w:t xml:space="preserve"> or</w:t>
      </w:r>
      <w:r w:rsidRPr="00DF0680">
        <w:rPr>
          <w:rFonts w:cs="Times New Roman"/>
        </w:rPr>
        <w:t xml:space="preserve"> bypassed, </w:t>
      </w:r>
      <w:r w:rsidR="008749CD" w:rsidRPr="00DF0680">
        <w:rPr>
          <w:rFonts w:cs="Times New Roman"/>
        </w:rPr>
        <w:t>if</w:t>
      </w:r>
      <w:r w:rsidRPr="00DF0680">
        <w:rPr>
          <w:rFonts w:cs="Times New Roman"/>
        </w:rPr>
        <w:t xml:space="preserve"> replication cannot be completed by </w:t>
      </w:r>
      <w:r w:rsidR="0015355B" w:rsidRPr="00DF0680">
        <w:rPr>
          <w:rFonts w:cs="Times New Roman"/>
        </w:rPr>
        <w:t xml:space="preserve">dormant </w:t>
      </w:r>
      <w:r w:rsidRPr="00DF0680">
        <w:rPr>
          <w:rFonts w:cs="Times New Roman"/>
        </w:rPr>
        <w:t>origin firing</w:t>
      </w:r>
      <w:r w:rsidR="0015355B"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"10.1101/gad.457807", "ISBN" : "4413833880", "ISSN" : "0890-9369", "PMID" : "18079179", "abstract" : "In late mitosis and early G1, Mcm2-7 complexes are loaded onto DNA to license replication origins for use in the upcoming S phase. However, the amount of Mcm2-7 loaded is in significant excess over the number of origins normally used. We show here that in human cells, excess chromatin-bound Mcm2-7 license dormant replication origins that do not fire during normal DNA replication, in part due to checkpoint activity. Dormant origins were activated within active replicon clusters if replication fork progression was inhibited, despite the activation of S-phase checkpoints. After lowering levels of chromatin-bound Mcm2-7 in human cells by RNA interference (RNAi), the use of dormant origins was suppressed in response to replicative stress. Although cells with lowered chromatin-bound Mcm2-7 replicated at normal rates, when challenged with replication inhibitors they had dramatically reduced rates of DNA synthesis and reduced viability. These results suggest that the use of dormant origins licensed by excess Mcm2-7 is a new and physiologically important mechanism that cells utilize to maintain DNA replication rates under conditions of replicative stress. We propose that checkpoint kinase activity can preferentially suppress initiation within inactive replicon clusters, thereby directing new initiation events toward active clusters that are experiencing replication problems.", "author" : [ { "dropping-particle" : "", "family" : "Ge", "given" : "Xin Quan", "non-dropping-particle" : "", "parse-names" : false, "suffix" : "" }, { "dropping-particle" : "", "family" : "Jackson", "given" : "Dean a", "non-dropping-particle" : "", "parse-names" : false, "suffix" : "" }, { "dropping-particle" : "", "family" : "Blow", "given" : "J Julian", "non-dropping-particle" : "", "parse-names" : false, "suffix" : "" } ], "container-title" : "Genes &amp; Development", "id" : "ITEM-1", "issue" : "24", "issued" : { "date-parts" : [ [ "2007", "12", "15" ] ] }, "page" : "3331-41", "title" : "Dormant origins licensed by excess Mcm2-7 are required for human cells to survive replicative stress.", "type" : "article-journal", "volume" : "21" }, "uris" : [ "http://www.mendeley.com/documents/?uuid=89919521-2ecd-4781-b89a-9aecdfa6a94f" ] }, { "id" : "ITEM-2", "itemData" : { "DOI" : "10.1073/pnas.0803978105", "ISSN" : "1091-6490", "PMID" : "18579778", "abstract" : "The six main minichromosome maintenance proteins (Mcm2-7), which presumably constitute the core of the replicative DNA helicase, are present in chromatin in large excess relative to the number of active replication forks. To evaluate the relevance of this apparent surplus of Mcm2-7 complexes in human cells, their levels were down-regulated by using RNA interference. Interestingly, cells continued to proliferate for several days after the acute (&gt;90%) reduction of Mcm2-7 concentration. However, they became hypersensitive to DNA replication stress, accumulated DNA lesions, and eventually activated a checkpoint response that prevented mitotic division. When this checkpoint was abrogated by the addition of caffeine, cells quickly lost viability, and their karyotypes revealed striking chromosomal aberrations. Single-molecule analyses revealed that cells with a reduced concentration of Mcm2-7 complexes display normal fork progression but have lost the potential to activate \"dormant\" origins that serve a backup function during DNA replication. Our data show that the chromatin-bound \"excess\" Mcm2-7 complexes play an important role in maintaining genomic integrity under conditions of replicative stress.", "author" : [ { "dropping-particle" : "", "family" : "Ibarra", "given" : "Arkaitz", "non-dropping-particle" : "", "parse-names" : false, "suffix" : "" }, { "dropping-particle" : "", "family" : "Schwob", "given" : "Etienne", "non-dropping-particle" : "", "parse-names" : false, "suffix" : "" }, { "dropping-particle" : "", "family" : "M\u00e9ndez", "given" : "Juan", "non-dropping-particle" : "", "parse-names" : false, "suffix" : "" } ], "container-title" : "Proceedings of the National Academy of Sciences", "id" : "ITEM-2", "issue" : "26", "issued" : { "date-parts" : [ [ "2008", "7", "1" ] ] }, "page" : "8956-61", "title" : "Excess MCM proteins protect human cells from replicative stress by licensing backup origins of replication.", "type" : "article-journal", "volume" : "105" }, "uris" : [ "http://www.mendeley.com/documents/?uuid=5790b858-2de3-4578-9106-86bfd850c84b" ] } ], "mendeley" : { "formattedCitation" : "(Ge et al. 2007; Ibarra et al. 2008)", "plainTextFormattedCitation" : "(Ge et al. 2007; Ibarra et al. 2008)", "previouslyFormattedCitation" : "(Ge et al. 2007; Ibarra et al. 2008)" }, "properties" : { "noteIndex" : 0 }, "schema" : "https://github.com/citation-style-language/schema/raw/master/csl-citation.json" }</w:instrText>
      </w:r>
      <w:r w:rsidR="00F20EC0" w:rsidRPr="00DF0680">
        <w:rPr>
          <w:rFonts w:cs="Times New Roman"/>
        </w:rPr>
        <w:fldChar w:fldCharType="separate"/>
      </w:r>
      <w:r w:rsidR="0015355B" w:rsidRPr="00DF0680">
        <w:rPr>
          <w:rFonts w:cs="Times New Roman"/>
        </w:rPr>
        <w:t>(Ge et al. 2007; Ibarra et al. 2008)</w:t>
      </w:r>
      <w:r w:rsidR="00F20EC0" w:rsidRPr="00DF0680">
        <w:rPr>
          <w:rFonts w:cs="Times New Roman"/>
        </w:rPr>
        <w:fldChar w:fldCharType="end"/>
      </w:r>
      <w:r w:rsidRPr="00DF0680">
        <w:rPr>
          <w:rFonts w:cs="Times New Roman"/>
        </w:rPr>
        <w:t xml:space="preserve">, or if the fork collapses, the </w:t>
      </w:r>
      <w:r w:rsidR="00DD7AE8" w:rsidRPr="00DF0680">
        <w:rPr>
          <w:rFonts w:cs="Times New Roman"/>
        </w:rPr>
        <w:t>fork</w:t>
      </w:r>
      <w:r w:rsidRPr="00DF0680">
        <w:rPr>
          <w:rFonts w:cs="Times New Roman"/>
        </w:rPr>
        <w:t xml:space="preserve"> needs to restart</w:t>
      </w:r>
      <w:r w:rsidR="001209B9" w:rsidRPr="00DF0680">
        <w:rPr>
          <w:rFonts w:cs="Times New Roman"/>
        </w:rPr>
        <w:t xml:space="preserve">. </w:t>
      </w:r>
      <w:r w:rsidR="003318E8" w:rsidRPr="00DF0680">
        <w:rPr>
          <w:rFonts w:cs="Times New Roman"/>
        </w:rPr>
        <w:t>How the replication fork restarts has yet to be completely characterised but a large number of models have been suggested</w:t>
      </w:r>
      <w:r w:rsidR="008749CD" w:rsidRPr="00DF0680">
        <w:rPr>
          <w:rFonts w:cs="Times New Roman"/>
        </w:rPr>
        <w:t xml:space="preserve"> as shown in </w:t>
      </w:r>
      <w:r w:rsidR="00F20EC0" w:rsidRPr="00DF0680">
        <w:rPr>
          <w:rFonts w:cs="Times New Roman"/>
        </w:rPr>
        <w:fldChar w:fldCharType="begin"/>
      </w:r>
      <w:r w:rsidR="006B2135" w:rsidRPr="00DF0680">
        <w:rPr>
          <w:rFonts w:cs="Times New Roman"/>
        </w:rPr>
        <w:instrText xml:space="preserve"> REF _Ref416515180 \h </w:instrText>
      </w:r>
      <w:r w:rsidR="00F20EC0" w:rsidRPr="00DF0680">
        <w:rPr>
          <w:rFonts w:cs="Times New Roman"/>
        </w:rPr>
      </w:r>
      <w:r w:rsidR="00F20EC0" w:rsidRPr="00DF0680">
        <w:rPr>
          <w:rFonts w:cs="Times New Roman"/>
        </w:rPr>
        <w:fldChar w:fldCharType="separate"/>
      </w:r>
      <w:r w:rsidR="009801AF" w:rsidRPr="00DF0680">
        <w:t>Figure 1.5</w:t>
      </w:r>
      <w:r w:rsidR="00F20EC0" w:rsidRPr="00DF0680">
        <w:rPr>
          <w:rFonts w:cs="Times New Roman"/>
        </w:rPr>
        <w:fldChar w:fldCharType="end"/>
      </w:r>
      <w:r w:rsidR="003318E8" w:rsidRPr="00DF0680">
        <w:rPr>
          <w:rFonts w:cs="Times New Roman"/>
        </w:rPr>
        <w:t xml:space="preserve">. </w:t>
      </w:r>
    </w:p>
    <w:p w:rsidR="00091D29" w:rsidRPr="00DF0680" w:rsidRDefault="00D1106D" w:rsidP="003318E8">
      <w:pPr>
        <w:rPr>
          <w:rFonts w:cs="Times New Roman"/>
          <w:color w:val="auto"/>
        </w:rPr>
      </w:pPr>
      <w:r w:rsidRPr="00DF0680">
        <w:rPr>
          <w:rFonts w:cs="Times New Roman"/>
          <w:color w:val="auto"/>
        </w:rPr>
        <w:lastRenderedPageBreak/>
        <w:t xml:space="preserve">Replication forks stalled by UV-induced lesions have been shown to restart by re-priming, ahead of the lesion, but this leaves single stranded gaps which readily collapse to form double strand breaks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"10.1093/nar/gkr420", "ISSN" : "1362-4962", "PMID" : "21646340", "abstract" : "Restarting stalled replication forks is vital to avoid fatal replication errors. Previously, it was demonstrated that hydroxyurea-stalled replication forks rescue replication either by an active restart mechanism or by new origin firing. To our surprise, using the DNA fibre assay, we only detect a slightly reduced fork speed on a UV-damaged template during the first hour after UV exposure, and no evidence for persistent replication fork arrest. Interestingly, no evidence for persistent UV-induced fork stalling was observed even in translesion synthesis defective, Pol\u03b7(mut) cells. In contrast, using an assay to measure DNA molecule elongation at the fork, we observe that continuous DNA elongation is severely blocked by UV irradiation, particularly in UV-damaged Pol\u03b7(mut) cells. In conclusion, our data suggest that UV-blocked replication forks restart effectively through re-priming past the lesion, leaving only a small gap opposite the lesion. This allows continuation of replication on damaged DNA. If left unfilled, the gaps may collapse into DNA double-strand breaks that are repaired by a recombination pathway, similar to the fate of replication forks collapsed after hydroxyurea treatment.", "author" : [ { "dropping-particle" : "", "family" : "Elvers", "given" : "Ingegerd", "non-dropping-particle" : "", "parse-names" : false, "suffix" : "" }, { "dropping-particle" : "", "family" : "Johansson", "given" : "Fredrik", "non-dropping-particle" : "", "parse-names" : false, "suffix" : "" }, { "dropping-particle" : "", "family" : "Groth", "given" : "Petra", "non-dropping-particle" : "", "parse-names" : false, "suffix" : "" }, { "dropping-particle" : "", "family" : "Erixon", "given" : "Klaus", "non-dropping-particle" : "", "parse-names" : false, "suffix" : "" }, { "dropping-particle" : "", "family" : "Helleday", "given" : "Thomas", "non-dropping-particle" : "", "parse-names" : false, "suffix" : "" } ], "container-title" : "Nucleic Acids Research", "id" : "ITEM-1", "issue" : "16", "issued" : { "date-parts" : [ [ "2011", "9", "1" ] ] }, "page" : "7049-57", "title" : "UV stalled replication forks restart by re-priming in human fibroblasts.", "type" : "article-journal", "volume" : "39" }, "uris" : [ "http://www.mendeley.com/documents/?uuid=d12f30be-ddef-4cdf-b0bb-67b72f98c58d" ] } ], "mendeley" : { "formattedCitation" : "(Elvers et al. 2011)", "plainTextFormattedCitation" : "(Elvers et al. 2011)", "previouslyFormattedCitation" : "(Elvers et al. 2011)"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(Elvers et al. 2011)</w:t>
      </w:r>
      <w:r w:rsidR="00F20EC0" w:rsidRPr="00DF0680">
        <w:rPr>
          <w:rFonts w:cs="Times New Roman"/>
          <w:color w:val="auto"/>
        </w:rPr>
        <w:fldChar w:fldCharType="end"/>
      </w:r>
      <w:r w:rsidRPr="00DF0680">
        <w:rPr>
          <w:rFonts w:cs="Times New Roman"/>
          <w:color w:val="auto"/>
        </w:rPr>
        <w:t xml:space="preserve">. </w:t>
      </w:r>
    </w:p>
    <w:p w:rsidR="00C81C13" w:rsidRPr="00DF0680" w:rsidRDefault="00C81C13" w:rsidP="00C81C13">
      <w:pPr>
        <w:rPr>
          <w:rFonts w:cs="Times New Roman"/>
          <w:color w:val="auto"/>
        </w:rPr>
      </w:pPr>
      <w:r w:rsidRPr="00DF0680">
        <w:rPr>
          <w:rFonts w:cs="Times New Roman"/>
          <w:color w:val="auto"/>
        </w:rPr>
        <w:t xml:space="preserve">MUS81-EME2 aids replication restart by introducing double strand breaks in DNA </w:t>
      </w:r>
      <w:r w:rsidR="00282E11" w:rsidRPr="00DF0680">
        <w:rPr>
          <w:rFonts w:cs="Times New Roman"/>
          <w:color w:val="auto"/>
        </w:rPr>
        <w:t>by collapsing</w:t>
      </w:r>
      <w:r w:rsidRPr="00DF0680">
        <w:rPr>
          <w:rFonts w:cs="Times New Roman"/>
          <w:color w:val="auto"/>
        </w:rPr>
        <w:t xml:space="preserve"> stalled forks. Cells without MUS81 (or EME2) are defective in fork restart after 24 hours of hydroxyurea, but not after only 6 hours, suggesting a role in a late acting response to prolonged replication stress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"10.1038/nsmb1313", "ISSN" : "1545-9985", "PMID" : "17934473", "abstract" : "Faithful duplication of the genome requires structure-specific endonucleases such as the RuvABC complex in Escherichia coli. These enzymes help to resolve problems at replication forks that have been disrupted by DNA damage in the template. Much less is known about the identities of these enzymes in mammalian cells. Mus81 is the catalytic component of a eukaryotic structure-specific endonuclease that preferentially cleaves branched DNA substrates reminiscent of replication and recombination intermediates. Here we explore the mechanisms by which Mus81 maintains chromosomal stability. We found that Mus81 is involved in the formation of double-strand DNA breaks in response to the inhibition of replication. Moreover, in the absence of chromosome processing by Mus81, recovery of stalled DNA replication forks is attenuated and chromosomal aberrations arise. We suggest that Mus81 suppresses chromosomal instability by converting potentially detrimental replication-associated DNA structures into intermediates that are more amenable to DNA repair.", "author" : [ { "dropping-particle" : "", "family" : "Hanada", "given" : "Katsuhiro", "non-dropping-particle" : "", "parse-names" : false, "suffix" : "" }, { "dropping-particle" : "", "family" : "Budzowska", "given" : "Magda", "non-dropping-particle" : "", "parse-names" : false, "suffix" : "" }, { "dropping-particle" : "", "family" : "Davies", "given" : "Sally L", "non-dropping-particle" : "", "parse-names" : false, "suffix" : "" }, { "dropping-particle" : "", "family" : "Drunen", "given" : "Ellen", "non-dropping-particle" : "van", "parse-names" : false, "suffix" : "" }, { "dropping-particle" : "", "family" : "Onizawa", "given" : "Hideo", "non-dropping-particle" : "", "parse-names" : false, "suffix" : "" }, { "dropping-particle" : "", "family" : "Beverloo", "given" : "H Berna", "non-dropping-particle" : "", "parse-names" : false, "suffix" : "" }, { "dropping-particle" : "", "family" : "Maas", "given" : "Alex", "non-dropping-particle" : "", "parse-names" : false, "suffix" : "" }, { "dropping-particle" : "", "family" : "Essers", "given" : "Jeroen", "non-dropping-particle" : "", "parse-names" : false, "suffix" : "" }, { "dropping-particle" : "", "family" : "Hickson", "given" : "Ian D", "non-dropping-particle" : "", "parse-names" : false, "suffix" : "" }, { "dropping-particle" : "", "family" : "Kanaar", "given" : "Roland", "non-dropping-particle" : "", "parse-names" : false, "suffix" : "" } ], "container-title" : "Nature Structural &amp; Molecular Biology", "id" : "ITEM-1", "issue" : "11", "issued" : { "date-parts" : [ [ "2007", "11" ] ] }, "page" : "1096-104", "title" : "The structure-specific endonuclease Mus81 contributes to replication restart by generating double-strand DNA breaks.", "type" : "article-journal", "volume" : "14" }, "uris" : [ "http://www.mendeley.com/documents/?uuid=2fa07191-de26-4124-9e67-94871d6bd437" ] }, { "id" : "ITEM-2", "itemData" : { "DOI" : "10.1016/j.celrep.2014.04.007", "ISSN" : "2211-1247", "PMID" : "24813886", "abstract" : "Replication forks frequently stall at regions of the genome that are difficult to replicate or contain lesions that cause replication blockage. An important mechanism for the restart of a stalled fork involves endonucleolytic cleavage that can lead to fork restoration and replication progression. Here, we show that the structure-selective endonuclease MUS81-EME2 is responsible for fork cleavage and restart in human cells. The MUS81-EME2 protein, whose actions are restricted to S phase, is also responsible for telomere maintenance in telomerase-negative ALT (Alternative Lengthening of Telomeres) cells. In contrast, the G2/M functions of MUS81, such as the cleavage of recombination intermediates and fragile site expression, are promoted by MUS81-EME1. These results define distinct and temporal roles for MUS81-EME1 and MUS81-EME2 in the maintenance of genome stability.", "author" : [ { "dropping-particle" : "", "family" : "Pepe", "given" : "Alessandra", "non-dropping-particle" : "", "parse-names" : false, "suffix" : "" }, { "dropping-particle" : "", "family" : "West", "given" : "Stephen C", "non-dropping-particle" : "", "parse-names" : false, "suffix" : "" } ], "container-title" : "Cell Reports", "id" : "ITEM-2", "issue" : "4", "issued" : { "date-parts" : [ [ "2014", "5", "7" ] ] }, "page" : "1048-55", "publisher" : "The Authors", "title" : "MUS81-EME2 Promotes Replication Fork Restart.", "type" : "article-journal", "volume" : "7" }, "uris" : [ "http://www.mendeley.com/documents/?uuid=da135038-a63a-4b36-9e9f-27763b9500c5" ] } ], "mendeley" : { "formattedCitation" : "(Hanada et al. 2007; Pepe &amp; West 2014)", "plainTextFormattedCitation" : "(Hanada et al. 2007; Pepe &amp; West 2014)", "previouslyFormattedCitation" : "(Hanada et al. 2007; Pepe &amp; West 2014)" }, "properties" : { "noteIndex" : 0 }, "schema" : "https://github.com/citation-style-language/schema/raw/master/csl-citation.json" }</w:instrText>
      </w:r>
      <w:r w:rsidR="00F20EC0" w:rsidRPr="00DF0680">
        <w:rPr>
          <w:rFonts w:cs="Times New Roman"/>
          <w:color w:val="auto"/>
        </w:rPr>
        <w:fldChar w:fldCharType="separate"/>
      </w:r>
      <w:r w:rsidRPr="00DF0680">
        <w:rPr>
          <w:rFonts w:cs="Times New Roman"/>
          <w:color w:val="auto"/>
        </w:rPr>
        <w:t>(Hanada et al. 2007; Pepe &amp; West 2014)</w:t>
      </w:r>
      <w:r w:rsidR="00F20EC0" w:rsidRPr="00DF0680">
        <w:rPr>
          <w:rFonts w:cs="Times New Roman"/>
          <w:color w:val="auto"/>
        </w:rPr>
        <w:fldChar w:fldCharType="end"/>
      </w:r>
      <w:r w:rsidRPr="00DF0680">
        <w:rPr>
          <w:rFonts w:cs="Times New Roman"/>
          <w:color w:val="auto"/>
        </w:rPr>
        <w:t xml:space="preserve">. MUS81 has also been shown to have a similar role in forming DSBs and promoting progression at stalled replication forks induced by Top1 inhibition by camptothecin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"10.1083/jcb.201104003", "ISSN" : "1540-8140", "PMID" : "22123861", "abstract" : "Deoxyribonucleic acid (DNA) topoisomerases are essential for removing the supercoiling that normally builds up ahead of replication forks. The camptothecin (CPT) Top1 (topoisomerase I) inhibitors exert their anticancer activity by reversibly trapping Top1-DNA cleavage complexes (Top1cc's) and inducing replication-associated DNA double-strand breaks (DSBs). In this paper, we propose a new mechanism by which cells avoid Top1-induced replication-dependent DNA damage. We show that the structure-specific endonuclease Mus81-Eme1 is responsible for generating DSBs in response to Top1 inhibition and for allowing cell survival. We provide evidence that Mus81 cleaves replication forks rather than excises Top1cc's. DNA combing demonstrated that Mus81 also allows efficient replication fork progression after CPT treatment. We propose that Mus81 cleaves stalled replication forks, which allows dissipation of the excessive supercoiling resulting from Top1 inhibition, spontaneous reversal of Top1cc, and replication fork progression.", "author" : [ { "dropping-particle" : "", "family" : "Regairaz", "given" : "Marie", "non-dropping-particle" : "", "parse-names" : false, "suffix" : "" }, { "dropping-particle" : "", "family" : "Zhang", "given" : "Yong-Wei", "non-dropping-particle" : "", "parse-names" : false, "suffix" : "" }, { "dropping-particle" : "", "family" : "Fu", "given" : "Haiqing", "non-dropping-particle" : "", "parse-names" : false, "suffix" : "" }, { "dropping-particle" : "", "family" : "Agama", "given" : "Keli K", "non-dropping-particle" : "", "parse-names" : false, "suffix" : "" }, { "dropping-particle" : "", "family" : "Tata", "given" : "Nalini", "non-dropping-particle" : "", "parse-names" : false, "suffix" : "" }, { "dropping-particle" : "", "family" : "Agrawal", "given" : "Surbhi", "non-dropping-particle" : "", "parse-names" : false, "suffix" : "" }, { "dropping-particle" : "", "family" : "Aladjem", "given" : "Mirit I", "non-dropping-particle" : "", "parse-names" : false, "suffix" : "" }, { "dropping-particle" : "", "family" : "Pommier", "given" : "Yves", "non-dropping-particle" : "", "parse-names" : false, "suffix" : "" } ], "container-title" : "The Journal of Cell Biology", "id" : "ITEM-1", "issue" : "5", "issued" : { "date-parts" : [ [ "2011", "11", "28" ] ] }, "page" : "739-49", "title" : "Mus81-mediated DNA cleavage resolves replication forks stalled by topoisomerase I-DNA complexes.", "type" : "article-journal", "volume" : "195" }, "uris" : [ "http://www.mendeley.com/documents/?uuid=f69f0bd6-c4ad-484e-a0c5-d570ccb511f1" ] } ], "mendeley" : { "formattedCitation" : "(Regairaz et al. 2011)", "plainTextFormattedCitation" : "(Regairaz et al. 2011)", "previouslyFormattedCitation" : "(Regairaz et al. 2011)" }, "properties" : { "noteIndex" : 0 }, "schema" : "https://github.com/citation-style-language/schema/raw/master/csl-citation.json" }</w:instrText>
      </w:r>
      <w:r w:rsidR="00F20EC0" w:rsidRPr="00DF0680">
        <w:rPr>
          <w:rFonts w:cs="Times New Roman"/>
          <w:color w:val="auto"/>
        </w:rPr>
        <w:fldChar w:fldCharType="separate"/>
      </w:r>
      <w:r w:rsidRPr="00DF0680">
        <w:rPr>
          <w:rFonts w:cs="Times New Roman"/>
          <w:color w:val="auto"/>
        </w:rPr>
        <w:t>(Regairaz et al. 2011)</w:t>
      </w:r>
      <w:r w:rsidR="00F20EC0" w:rsidRPr="00DF0680">
        <w:rPr>
          <w:rFonts w:cs="Times New Roman"/>
          <w:color w:val="auto"/>
        </w:rPr>
        <w:fldChar w:fldCharType="end"/>
      </w:r>
      <w:r w:rsidRPr="00DF0680">
        <w:rPr>
          <w:rFonts w:cs="Times New Roman"/>
          <w:color w:val="auto"/>
        </w:rPr>
        <w:t xml:space="preserve">. </w:t>
      </w:r>
      <w:r w:rsidR="00D25138" w:rsidRPr="00DF0680">
        <w:rPr>
          <w:rFonts w:cs="Times New Roman"/>
          <w:color w:val="auto"/>
        </w:rPr>
        <w:t xml:space="preserve">Cells depleted of MUS81 or EME2 have less broken DNA and more stalled forks after hydroxyurea treatment, demonstrating that MUS81-EME2 is responsible for collapsing stalled replication forks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"10.1016/j.celrep.2014.04.007", "ISSN" : "2211-1247", "PMID" : "24813886", "abstract" : "Replication forks frequently stall at regions of the genome that are difficult to replicate or contain lesions that cause replication blockage. An important mechanism for the restart of a stalled fork involves endonucleolytic cleavage that can lead to fork restoration and replication progression. Here, we show that the structure-selective endonuclease MUS81-EME2 is responsible for fork cleavage and restart in human cells. The MUS81-EME2 protein, whose actions are restricted to S phase, is also responsible for telomere maintenance in telomerase-negative ALT (Alternative Lengthening of Telomeres) cells. In contrast, the G2/M functions of MUS81, such as the cleavage of recombination intermediates and fragile site expression, are promoted by MUS81-EME1. These results define distinct and temporal roles for MUS81-EME1 and MUS81-EME2 in the maintenance of genome stability.", "author" : [ { "dropping-particle" : "", "family" : "Pepe", "given" : "Alessandra", "non-dropping-particle" : "", "parse-names" : false, "suffix" : "" }, { "dropping-particle" : "", "family" : "West", "given" : "Stephen C", "non-dropping-particle" : "", "parse-names" : false, "suffix" : "" } ], "container-title" : "Cell Reports", "id" : "ITEM-1", "issue" : "4", "issued" : { "date-parts" : [ [ "2014", "5", "7" ] ] }, "page" : "1048-55", "publisher" : "The Authors", "title" : "MUS81-EME2 Promotes Replication Fork Restart.", "type" : "article-journal", "volume" : "7" }, "uris" : [ "http://www.mendeley.com/documents/?uuid=da135038-a63a-4b36-9e9f-27763b9500c5" ] } ], "mendeley" : { "formattedCitation" : "(Pepe &amp; West 2014)", "plainTextFormattedCitation" : "(Pepe &amp; West 2014)", "previouslyFormattedCitation" : "(Pepe &amp; West 2014)" }, "properties" : { "noteIndex" : 0 }, "schema" : "https://github.com/citation-style-language/schema/raw/master/csl-citation.json" }</w:instrText>
      </w:r>
      <w:r w:rsidR="00F20EC0" w:rsidRPr="00DF0680">
        <w:rPr>
          <w:rFonts w:cs="Times New Roman"/>
          <w:color w:val="auto"/>
        </w:rPr>
        <w:fldChar w:fldCharType="separate"/>
      </w:r>
      <w:r w:rsidR="00D25138" w:rsidRPr="00DF0680">
        <w:rPr>
          <w:rFonts w:cs="Times New Roman"/>
          <w:color w:val="auto"/>
        </w:rPr>
        <w:t>(Pepe &amp; West 2014)</w:t>
      </w:r>
      <w:r w:rsidR="00F20EC0" w:rsidRPr="00DF0680">
        <w:rPr>
          <w:rFonts w:cs="Times New Roman"/>
          <w:color w:val="auto"/>
        </w:rPr>
        <w:fldChar w:fldCharType="end"/>
      </w:r>
      <w:r w:rsidR="00D25138" w:rsidRPr="00DF0680">
        <w:rPr>
          <w:rFonts w:cs="Times New Roman"/>
          <w:color w:val="auto"/>
        </w:rPr>
        <w:t>.</w:t>
      </w:r>
    </w:p>
    <w:p w:rsidR="00282C55" w:rsidRPr="00DF0680" w:rsidRDefault="00EB2410" w:rsidP="003318E8">
      <w:pPr>
        <w:rPr>
          <w:rFonts w:cs="Times New Roman"/>
          <w:color w:val="auto"/>
        </w:rPr>
      </w:pPr>
      <w:r w:rsidRPr="00DF0680">
        <w:rPr>
          <w:rFonts w:cs="Times New Roman"/>
          <w:color w:val="auto"/>
        </w:rPr>
        <w:t xml:space="preserve">Stalled forks can restart by homologous recombination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"10.1016/j.molcel.2010.07.015", "ISSN" : "1097-4164", "PMID" : "20705238", "abstract" : "Template switching induced by stalled replication forks has recently been proposed to underlie complex genomic rearrangements. However, the resulting models are not supported by robust physical evidence. Here, we analyzed replication and recombination intermediates in a well-defined fission yeast system that blocks replication forks. We show that, in response to fork arrest, chromosomal rearrangements result from Rad52-dependent nascent strand template exchange occurring during fork restart. This template exchange occurs by both Rad51-dependent and -independent mechanisms. We demonstrate that Rqh1, the BLM homolog, limits Rad51-dependent template exchange without affecting fork restart. In contrast, we report that the Srs2 helicase promotes both fork restart and template exchange. Our data demonstrate that template exchange occurs during recombination-dependent fork restart at the expense of genome rearrangements.", "author" : [ { "dropping-particle" : "", "family" : "Lambert", "given" : "Sarah", "non-dropping-particle" : "", "parse-names" : false, "suffix" : "" }, { "dropping-particle" : "", "family" : "Mizuno", "given" : "Ken'ichi", "non-dropping-particle" : "", "parse-names" : false, "suffix" : "" }, { "dropping-particle" : "", "family" : "Blaisonneau", "given" : "Jo\u00ebl", "non-dropping-particle" : "", "parse-names" : false, "suffix" : "" }, { "dropping-particle" : "", "family" : "Martineau", "given" : "Sylvain", "non-dropping-particle" : "", "parse-names" : false, "suffix" : "" }, { "dropping-particle" : "", "family" : "Chanet", "given" : "Roland", "non-dropping-particle" : "", "parse-names" : false, "suffix" : "" }, { "dropping-particle" : "", "family" : "Fr\u00e9on", "given" : "Karine", "non-dropping-particle" : "", "parse-names" : false, "suffix" : "" }, { "dropping-particle" : "", "family" : "Murray", "given" : "Johanne M", "non-dropping-particle" : "", "parse-names" : false, "suffix" : "" }, { "dropping-particle" : "", "family" : "Carr", "given" : "Antony M", "non-dropping-particle" : "", "parse-names" : false, "suffix" : "" }, { "dropping-particle" : "", "family" : "Baldacci", "given" : "Giuseppe", "non-dropping-particle" : "", "parse-names" : false, "suffix" : "" } ], "container-title" : "Molecular Cell", "id" : "ITEM-1", "issue" : "3", "issued" : { "date-parts" : [ [ "2010", "8", "13" ] ] }, "page" : "346-59", "title" : "Homologous recombination restarts blocked replication forks at the expense of genome rearrangements by template exchange.", "type" : "article-journal", "volume" : "39" }, "uris" : [ "http://www.mendeley.com/documents/?uuid=f453cbeb-e71a-4270-bc1d-21d052986422" ] } ], "mendeley" : { "formattedCitation" : "(Lambert et al. 2010)", "plainTextFormattedCitation" : "(Lambert et al. 2010)", "previouslyFormattedCitation" : "(Lambert et al. 2010)" }, "properties" : { "noteIndex" : 0 }, "schema" : "https://github.com/citation-style-language/schema/raw/master/csl-citation.json" }</w:instrText>
      </w:r>
      <w:r w:rsidR="00F20EC0" w:rsidRPr="00DF0680">
        <w:rPr>
          <w:rFonts w:cs="Times New Roman"/>
          <w:color w:val="auto"/>
        </w:rPr>
        <w:fldChar w:fldCharType="separate"/>
      </w:r>
      <w:r w:rsidRPr="00DF0680">
        <w:rPr>
          <w:rFonts w:cs="Times New Roman"/>
          <w:color w:val="auto"/>
        </w:rPr>
        <w:t>(Lambert et al. 2010)</w:t>
      </w:r>
      <w:r w:rsidR="00F20EC0" w:rsidRPr="00DF0680">
        <w:rPr>
          <w:rFonts w:cs="Times New Roman"/>
          <w:color w:val="auto"/>
        </w:rPr>
        <w:fldChar w:fldCharType="end"/>
      </w:r>
      <w:r w:rsidRPr="00DF0680">
        <w:rPr>
          <w:rFonts w:cs="Times New Roman"/>
          <w:color w:val="auto"/>
        </w:rPr>
        <w:t xml:space="preserve">. By doing so, the cell avoids genome rearrangements. </w:t>
      </w:r>
      <w:r w:rsidR="00ED1852" w:rsidRPr="00DF0680">
        <w:rPr>
          <w:rFonts w:cs="Times New Roman"/>
          <w:color w:val="auto"/>
        </w:rPr>
        <w:t xml:space="preserve">Whether a fork </w:t>
      </w:r>
      <w:r w:rsidR="003B6558" w:rsidRPr="00DF0680">
        <w:rPr>
          <w:rFonts w:cs="Times New Roman"/>
          <w:color w:val="auto"/>
        </w:rPr>
        <w:t>uses</w:t>
      </w:r>
      <w:r w:rsidR="00ED1852" w:rsidRPr="00DF0680">
        <w:rPr>
          <w:rFonts w:cs="Times New Roman"/>
          <w:color w:val="auto"/>
        </w:rPr>
        <w:t xml:space="preserve"> </w:t>
      </w:r>
      <w:r w:rsidR="00091D29" w:rsidRPr="00DF0680">
        <w:rPr>
          <w:rFonts w:cs="Times New Roman"/>
          <w:color w:val="auto"/>
        </w:rPr>
        <w:t xml:space="preserve">RAD51 for </w:t>
      </w:r>
      <w:r w:rsidR="00ED1852" w:rsidRPr="00DF0680">
        <w:rPr>
          <w:rFonts w:cs="Times New Roman"/>
          <w:color w:val="auto"/>
        </w:rPr>
        <w:t xml:space="preserve">homologous recombination </w:t>
      </w:r>
      <w:r w:rsidR="003B6558" w:rsidRPr="00DF0680">
        <w:rPr>
          <w:rFonts w:cs="Times New Roman"/>
          <w:color w:val="auto"/>
        </w:rPr>
        <w:t xml:space="preserve">to recover </w:t>
      </w:r>
      <w:r w:rsidR="00ED1852" w:rsidRPr="00DF0680">
        <w:rPr>
          <w:rFonts w:cs="Times New Roman"/>
          <w:color w:val="auto"/>
        </w:rPr>
        <w:t xml:space="preserve">from a regressed fork, or from a double stranded DNA break after a fork has collapsed, is investigated in a paper </w:t>
      </w:r>
      <w:r w:rsidR="003B6558" w:rsidRPr="00DF0680">
        <w:rPr>
          <w:rFonts w:cs="Times New Roman"/>
          <w:color w:val="auto"/>
        </w:rPr>
        <w:t xml:space="preserve">by Petermann et al. looking at forks inactivated by short and long exposure to hydroxyurea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"10.1016/j.molcel.2010.01.021", "ISSN" : "1097-4164", "PMID" : "20188668", "abstract" : "Faithful DNA replication is essential to all life. Hydroxyurea (HU) depletes the cells of dNTPs, which initially results in stalled replication forks that, after prolonged treatment, collapse into DSBs. Here, we report that stalled replication forks are efficiently restarted in a RAD51-dependent process that does not trigger homologous recombination (HR). The XRCC3 protein, which is required for RAD51 foci formation, is also required for replication restart of HU-stalled forks, suggesting that RAD51-mediated strand invasion supports fork restart. In contrast, replication forks collapsed by prolonged replication blocks do not restart, and global replication is rescued by new origin firing. We find that RAD51-dependent HR is triggered for repair of collapsed replication forks, without apparent restart. In conclusion, our data suggest that restart of stalled replication forks and HR repair of collapsed replication forks require two distinct RAD51-mediated pathways.", "author" : [ { "dropping-particle" : "", "family" : "Petermann", "given" : "Eva", "non-dropping-particle" : "", "parse-names" : false, "suffix" : "" }, { "dropping-particle" : "", "family" : "Orta", "given" : "Manuel Lu\u00eds", "non-dropping-particle" : "", "parse-names" : false, "suffix" : "" }, { "dropping-particle" : "", "family" : "Issaeva", "given" : "Natalia", "non-dropping-particle" : "", "parse-names" : false, "suffix" : "" }, { "dropping-particle" : "", "family" : "Schultz", "given" : "Niklas", "non-dropping-particle" : "", "parse-names" : false, "suffix" : "" }, { "dropping-particle" : "", "family" : "Helleday", "given" : "Thomas", "non-dropping-particle" : "", "parse-names" : false, "suffix" : "" } ], "container-title" : "Molecular Cell", "id" : "ITEM-1", "issue" : "4", "issued" : { "date-parts" : [ [ "2010", "2", "26" ] ] }, "page" : "492-502", "title" : "Hydroxyurea-stalled replication forks become progressively inactivated and require two different RAD51-mediated pathways for restart and repair.", "type" : "article-journal", "volume" : "37" }, "uris" : [ "http://www.mendeley.com/documents/?uuid=5dfc892b-8fed-4943-81ae-c7b454fc57c2" ] } ], "mendeley" : { "formattedCitation" : "(Petermann et al. 2010)", "plainTextFormattedCitation" : "(Petermann et al. 2010)", "previouslyFormattedCitation" : "(Petermann et al. 2010)"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(Petermann et al. 2010)</w:t>
      </w:r>
      <w:r w:rsidR="00F20EC0" w:rsidRPr="00DF0680">
        <w:rPr>
          <w:rFonts w:cs="Times New Roman"/>
          <w:color w:val="auto"/>
        </w:rPr>
        <w:fldChar w:fldCharType="end"/>
      </w:r>
      <w:r w:rsidR="003B6558" w:rsidRPr="00DF0680">
        <w:rPr>
          <w:rFonts w:cs="Times New Roman"/>
          <w:color w:val="auto"/>
        </w:rPr>
        <w:t>.</w:t>
      </w:r>
      <w:r w:rsidR="00830811" w:rsidRPr="00DF0680">
        <w:rPr>
          <w:rFonts w:cs="Times New Roman"/>
          <w:color w:val="auto"/>
        </w:rPr>
        <w:t xml:space="preserve"> </w:t>
      </w:r>
      <w:r w:rsidR="00E84CF8" w:rsidRPr="00DF0680">
        <w:rPr>
          <w:rFonts w:cs="Times New Roman"/>
          <w:color w:val="auto"/>
        </w:rPr>
        <w:t>This work led to the model that RAD51 stabilises the “chicken foot” structure and could promote homologous recombination to restart stalled replication forks after short-term replication stress. However, when these replication forks have been stalled and are inactive for longer periods of time, they collapse due to MUS81 action, and the DSBs produced can</w:t>
      </w:r>
      <w:r w:rsidR="00685A61" w:rsidRPr="00DF0680">
        <w:rPr>
          <w:rFonts w:cs="Times New Roman"/>
          <w:color w:val="auto"/>
        </w:rPr>
        <w:t xml:space="preserve"> b</w:t>
      </w:r>
      <w:r w:rsidR="00B77100" w:rsidRPr="00DF0680">
        <w:rPr>
          <w:rFonts w:cs="Times New Roman"/>
          <w:color w:val="auto"/>
        </w:rPr>
        <w:t>e</w:t>
      </w:r>
      <w:r w:rsidR="00E84CF8" w:rsidRPr="00DF0680">
        <w:rPr>
          <w:rFonts w:cs="Times New Roman"/>
          <w:color w:val="auto"/>
        </w:rPr>
        <w:t xml:space="preserve"> repaired by RAD51-mediated homologous recombination. </w:t>
      </w:r>
      <w:r w:rsidR="00F51D8E" w:rsidRPr="00DF0680">
        <w:rPr>
          <w:rFonts w:cs="Times New Roman"/>
          <w:color w:val="auto"/>
        </w:rPr>
        <w:t xml:space="preserve">Similarly, collapsed forks that have been induced from replication machinery coming across single strand breaks have been shown to be repaired through homologous recombination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"10.1128/MCB.25.16.7158", "author" : [ { "dropping-particle" : "", "family" : "Saleh-Gohari", "given" : "N", "non-dropping-particle" : "", "parse-names" : false, "suffix" : "" }, { "dropping-particle" : "", "family" : "Bryant", "given" : "HE", "non-dropping-particle" : "", "parse-names" : false, "suffix" : "" } ], "container-title" : "Molecular and Cellular Biology", "id" : "ITEM-1", "issue" : "16", "issued" : { "date-parts" : [ [ "2005" ] ] }, "note" : "From Duplicate 1 ( ", "page" : "7158-7169", "title" : "Spontaneous homologous recombination is induced by collapsed replication forks that are caused by endogenous DNA single-strand breaks", "type" : "article-journal", "volume" : "25" }, "uris" : [ "http://www.mendeley.com/documents/?uuid=8ff330f2-92a2-4180-8905-691a8b539aa0" ] } ], "mendeley" : { "formattedCitation" : "(Saleh-Gohari &amp; Bryant 2005)", "plainTextFormattedCitation" : "(Saleh-Gohari &amp; Bryant 2005)", "previouslyFormattedCitation" : "(Saleh-Gohari &amp; Bryant 2005)" }, "properties" : { "noteIndex" : 0 }, "schema" : "https://github.com/citation-style-language/schema/raw/master/csl-citation.json" }</w:instrText>
      </w:r>
      <w:r w:rsidR="00F20EC0" w:rsidRPr="00DF0680">
        <w:rPr>
          <w:rFonts w:cs="Times New Roman"/>
          <w:color w:val="auto"/>
        </w:rPr>
        <w:fldChar w:fldCharType="separate"/>
      </w:r>
      <w:r w:rsidR="00F51D8E" w:rsidRPr="00DF0680">
        <w:rPr>
          <w:rFonts w:cs="Times New Roman"/>
          <w:color w:val="auto"/>
        </w:rPr>
        <w:t>(Saleh-Gohari &amp; Bryant 2005)</w:t>
      </w:r>
      <w:r w:rsidR="00F20EC0" w:rsidRPr="00DF0680">
        <w:rPr>
          <w:rFonts w:cs="Times New Roman"/>
          <w:color w:val="auto"/>
        </w:rPr>
        <w:fldChar w:fldCharType="end"/>
      </w:r>
      <w:r w:rsidR="00F51D8E" w:rsidRPr="00DF0680">
        <w:rPr>
          <w:rFonts w:cs="Times New Roman"/>
          <w:color w:val="auto"/>
        </w:rPr>
        <w:t>.</w:t>
      </w:r>
    </w:p>
    <w:p w:rsidR="001D3F4C" w:rsidRPr="00DF0680" w:rsidRDefault="001D3F4C" w:rsidP="001D3F4C">
      <w:pPr>
        <w:rPr>
          <w:rFonts w:cs="Times New Roman"/>
        </w:rPr>
      </w:pPr>
      <w:r w:rsidRPr="00DF0680">
        <w:rPr>
          <w:rFonts w:cs="Times New Roman"/>
        </w:rPr>
        <w:t xml:space="preserve">Another model involves the PARP proteins which have been shown to detect stalled replication forks and recruit Mre11 for </w:t>
      </w:r>
      <w:r w:rsidR="001C7E68" w:rsidRPr="00DF0680">
        <w:rPr>
          <w:rFonts w:cs="Times New Roman"/>
        </w:rPr>
        <w:t>the generation</w:t>
      </w:r>
      <w:r w:rsidRPr="00DF0680">
        <w:rPr>
          <w:rFonts w:cs="Times New Roman"/>
        </w:rPr>
        <w:t xml:space="preserve"> of single strand DNA which leads to HR and restarting of the stalled fo</w:t>
      </w:r>
      <w:r w:rsidR="001C7E68" w:rsidRPr="00DF0680">
        <w:rPr>
          <w:rFonts w:cs="Times New Roman"/>
        </w:rPr>
        <w:t xml:space="preserve">rk </w:t>
      </w:r>
      <w:r w:rsidR="00F20EC0" w:rsidRPr="00DF0680">
        <w:rPr>
          <w:rFonts w:cs="Times New Roman"/>
        </w:rPr>
        <w:fldChar w:fldCharType="begin" w:fldLock="1"/>
      </w:r>
      <w:r w:rsidR="00332613" w:rsidRPr="00DF0680">
        <w:rPr>
          <w:rFonts w:cs="Times New Roman"/>
        </w:rPr>
        <w:instrText>ADDIN CSL_CITATION { "citationItems" : [ { "id" : "ITEM-1", "itemData" : { "DOI" : "10.1038/emboj.2009.206", "ISSN" : "1460-2075", "PMID" : "19629035", "abstract" : "If replication forks are perturbed, a multifaceted response including several DNA repair and cell cycle checkpoint pathways is activated to ensure faithful DNA replication. Here, we show that poly(ADP-ribose) polymerase 1 (PARP1) binds to and is activated by stalled replication forks that contain small gaps. PARP1 collaborates with Mre11 to promote replication fork restart after release from replication blocks, most likely by recruiting Mre11 to the replication fork to promote resection of DNA. Both PARP1 and PARP2 are required for hydroxyurea-induced homologous recombination to promote cell survival after replication blocks. Together, our data suggest that PARP1 and PARP2 detect disrupted replication forks and attract Mre11 for end processing that is required for subsequent recombination repair and restart of replication forks.", "author" : [ { "dropping-particle" : "", "family" : "Bryant", "given" : "Helen E", "non-dropping-particle" : "", "parse-names" : false, "suffix" : "" }, { "dropping-particle" : "", "family" : "Petermann", "given" : "Eva", "non-dropping-particle" : "", "parse-names" : false, "suffix" : "" }, { "dropping-particle" : "", "family" : "Schultz", "given" : "Niklas", "non-dropping-particle" : "", "parse-names" : false, "suffix" : "" }, { "dropping-particle" : "", "family" : "Jemth", "given" : "Ann-Sofie", "non-dropping-particle" : "", "parse-names" : false, "suffix" : "" }, { "dropping-particle" : "", "family" : "Loseva", "given" : "Olga", "non-dropping-particle" : "", "parse-names" : false, "suffix" : "" }, { "dropping-particle" : "", "family" : "Issaeva", "given" : "Natalia", "non-dropping-particle" : "", "parse-names" : false, "suffix" : "" }, { "dropping-particle" : "", "family" : "Johansson", "given" : "Fredrik", "non-dropping-particle" : "", "parse-names" : false, "suffix" : "" }, { "dropping-particle" : "", "family" : "Fernandez", "given" : "Serena", "non-dropping-particle" : "", "parse-names" : false, "suffix" : "" }, { "dropping-particle" : "", "family" : "McGlynn", "given" : "Peter", "non-dropping-particle" : "", "parse-names" : false, "suffix" : "" }, { "dropping-particle" : "", "family" : "Helleday", "given" : "Thomas", "non-dropping-particle" : "", "parse-names" : false, "suffix" : "" } ], "container-title" : "The EMBO Journal", "id" : "ITEM-1", "issue" : "17", "issued" : { "date-parts" : [ [ "2009", "9", "2" ] ] }, "page" : "2601-15", "title" : "PARP is activated at stalled forks to mediate Mre11-dependent replication restart and recombination.", "type" : "article-journal", "volume" : "28" }, "uris" : [ "http://www.mendeley.com/documents/?uuid=904f7c12-42fd-4c2b-b69e-5f23dc675baa" ] } ], "mendeley" : { "formattedCitation" : "(Bryant et al. 2009)", "plainTextFormattedCitation" : "(Bryant et al. 2009)", "previouslyFormattedCitation" : "(Bryant et al. 2009)"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(Bryant et al. 2009)</w:t>
      </w:r>
      <w:r w:rsidR="00F20EC0" w:rsidRPr="00DF0680">
        <w:rPr>
          <w:rFonts w:cs="Times New Roman"/>
        </w:rPr>
        <w:fldChar w:fldCharType="end"/>
      </w:r>
      <w:r w:rsidR="001C7E68" w:rsidRPr="00DF0680">
        <w:rPr>
          <w:rFonts w:cs="Times New Roman"/>
        </w:rPr>
        <w:t xml:space="preserve">. </w:t>
      </w:r>
    </w:p>
    <w:p w:rsidR="0063585C" w:rsidRPr="00DF0680" w:rsidRDefault="0063585C" w:rsidP="00A025CF">
      <w:pPr>
        <w:rPr>
          <w:rFonts w:cs="Times New Roman"/>
        </w:rPr>
      </w:pPr>
    </w:p>
    <w:p w:rsidR="00AB0D8D" w:rsidRPr="00DF0680" w:rsidRDefault="00AB0D8D" w:rsidP="00AB0D8D">
      <w:pPr>
        <w:keepNext/>
        <w:rPr>
          <w:rFonts w:cs="Times New Roman"/>
        </w:rPr>
      </w:pPr>
      <w:r w:rsidRPr="00DF0680">
        <w:rPr>
          <w:rFonts w:cs="Times New Roman"/>
        </w:rPr>
        <w:lastRenderedPageBreak/>
        <w:drawing>
          <wp:inline distT="0" distB="0" distL="0" distR="0">
            <wp:extent cx="5400040" cy="5023918"/>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5400040" cy="5023918"/>
                    </a:xfrm>
                    <a:prstGeom prst="rect">
                      <a:avLst/>
                    </a:prstGeom>
                    <a:noFill/>
                    <a:ln w="9525">
                      <a:noFill/>
                      <a:miter lim="800000"/>
                      <a:headEnd/>
                      <a:tailEnd/>
                    </a:ln>
                  </pic:spPr>
                </pic:pic>
              </a:graphicData>
            </a:graphic>
          </wp:inline>
        </w:drawing>
      </w:r>
    </w:p>
    <w:p w:rsidR="00AB0D8D" w:rsidRPr="00DF0680" w:rsidRDefault="00AB0D8D" w:rsidP="00D94477">
      <w:pPr>
        <w:pStyle w:val="Caption"/>
      </w:pPr>
    </w:p>
    <w:p w:rsidR="003121F5" w:rsidRPr="00DF0680" w:rsidRDefault="00AB0D8D" w:rsidP="00D94477">
      <w:pPr>
        <w:pStyle w:val="Caption"/>
      </w:pPr>
      <w:bookmarkStart w:id="92" w:name="_Toc409449303"/>
      <w:bookmarkStart w:id="93" w:name="_Toc417813887"/>
      <w:bookmarkStart w:id="94" w:name="_Ref416515180"/>
      <w:r w:rsidRPr="00DF0680">
        <w:t xml:space="preserve">Figure </w:t>
      </w:r>
      <w:fldSimple w:instr=" STYLEREF 1 \s ">
        <w:r w:rsidR="006119E3">
          <w:rPr>
            <w:noProof/>
          </w:rPr>
          <w:t>1</w:t>
        </w:r>
      </w:fldSimple>
      <w:r w:rsidR="006119E3">
        <w:t>.</w:t>
      </w:r>
      <w:fldSimple w:instr=" SEQ Figure \* ARABIC \s 1 ">
        <w:r w:rsidR="006119E3">
          <w:rPr>
            <w:noProof/>
          </w:rPr>
          <w:t>5</w:t>
        </w:r>
      </w:fldSimple>
      <w:bookmarkEnd w:id="94"/>
      <w:r w:rsidRPr="00DF0680">
        <w:t xml:space="preserve"> – Pathways of replication restart from a stalled fork</w:t>
      </w:r>
      <w:bookmarkEnd w:id="92"/>
      <w:bookmarkEnd w:id="93"/>
    </w:p>
    <w:p w:rsidR="00AB0D8D" w:rsidRPr="00DF0680" w:rsidRDefault="00AB0D8D" w:rsidP="00AB0D8D">
      <w:pPr>
        <w:spacing w:line="276" w:lineRule="auto"/>
        <w:rPr>
          <w:rFonts w:cs="Times New Roman"/>
        </w:rPr>
      </w:pPr>
      <w:r w:rsidRPr="00DF0680">
        <w:rPr>
          <w:rFonts w:cs="Times New Roman"/>
        </w:rPr>
        <w:t>When a replication fork stalls, the polymerase and helicase become uncoupled. This leads to long stretches of ssDNA which can either be re-annealed, or the replication fork can regress, using helicases, into a four-way branched DNA structure known as a “chicken foot”. If this structure is cleaved by</w:t>
      </w:r>
      <w:r w:rsidR="008B366A" w:rsidRPr="00DF0680">
        <w:rPr>
          <w:rFonts w:cs="Times New Roman"/>
        </w:rPr>
        <w:t xml:space="preserve"> endonucleases, a one-ended DSB</w:t>
      </w:r>
      <w:r w:rsidRPr="00DF0680">
        <w:rPr>
          <w:rFonts w:cs="Times New Roman"/>
        </w:rPr>
        <w:t xml:space="preserve"> is formed which triggers homologous recombination and subsequent replication restart. Homologous recombination can also be activated directly from the chicken foot structure to restart replication without fork collapse and the formation of a double strand break. The 3’ single stranded DNA end can invade the double-stranded DNA ahead of the stalled fork. This end can then be extended by polymerases before the Holliday junctions are resolved. </w:t>
      </w:r>
      <w:r w:rsidR="00902269" w:rsidRPr="00DF0680">
        <w:rPr>
          <w:rFonts w:cs="Times New Roman"/>
        </w:rPr>
        <w:t>Arrow heads indicate 3’ end.</w:t>
      </w:r>
    </w:p>
    <w:p w:rsidR="00902269" w:rsidRPr="00DF0680" w:rsidRDefault="00AB0D8D" w:rsidP="00AB0D8D">
      <w:pPr>
        <w:spacing w:line="276" w:lineRule="auto"/>
        <w:rPr>
          <w:rFonts w:cs="Times New Roman"/>
        </w:rPr>
      </w:pPr>
      <w:r w:rsidRPr="00DF0680">
        <w:rPr>
          <w:rFonts w:cs="Times New Roman"/>
        </w:rPr>
        <w:t>Adapted by permission from Macmillan Publishers Ltd: Nature Reviews Molecular Cell Biology (Petermann et al. 2010), copyright 2010.</w:t>
      </w:r>
    </w:p>
    <w:p w:rsidR="00902269" w:rsidRPr="00DF0680" w:rsidRDefault="00902269">
      <w:pPr>
        <w:spacing w:line="276" w:lineRule="auto"/>
        <w:jc w:val="left"/>
        <w:rPr>
          <w:rFonts w:cs="Times New Roman"/>
        </w:rPr>
      </w:pPr>
      <w:r w:rsidRPr="00DF0680">
        <w:rPr>
          <w:rFonts w:cs="Times New Roman"/>
        </w:rPr>
        <w:br w:type="page"/>
      </w:r>
    </w:p>
    <w:p w:rsidR="004613BA" w:rsidRPr="00DF0680" w:rsidRDefault="00D924EE" w:rsidP="00E664FC">
      <w:pPr>
        <w:pStyle w:val="Heading2"/>
      </w:pPr>
      <w:bookmarkStart w:id="95" w:name="_Toc417204102"/>
      <w:bookmarkStart w:id="96" w:name="_Toc417204710"/>
      <w:bookmarkStart w:id="97" w:name="_Toc417204770"/>
      <w:bookmarkStart w:id="98" w:name="_Toc417674339"/>
      <w:r w:rsidRPr="00DF0680">
        <w:lastRenderedPageBreak/>
        <w:t>REC</w:t>
      </w:r>
      <w:r w:rsidR="004613BA" w:rsidRPr="00DF0680">
        <w:t>Q family</w:t>
      </w:r>
      <w:bookmarkEnd w:id="95"/>
      <w:bookmarkEnd w:id="96"/>
      <w:bookmarkEnd w:id="97"/>
      <w:bookmarkEnd w:id="98"/>
    </w:p>
    <w:p w:rsidR="002B6773" w:rsidRPr="00DF0680" w:rsidRDefault="00D924EE" w:rsidP="002B6773">
      <w:pPr>
        <w:rPr>
          <w:rFonts w:cs="Times New Roman"/>
        </w:rPr>
      </w:pPr>
      <w:r w:rsidRPr="00DF0680">
        <w:rPr>
          <w:rFonts w:cs="Times New Roman"/>
        </w:rPr>
        <w:t>The REC</w:t>
      </w:r>
      <w:r w:rsidR="002B6773" w:rsidRPr="00DF0680">
        <w:rPr>
          <w:rFonts w:cs="Times New Roman"/>
        </w:rPr>
        <w:t>Q helicases are conserved th</w:t>
      </w:r>
      <w:r w:rsidRPr="00DF0680">
        <w:rPr>
          <w:rFonts w:cs="Times New Roman"/>
        </w:rPr>
        <w:t>roughout evolution, with one REC</w:t>
      </w:r>
      <w:r w:rsidR="002B6773" w:rsidRPr="00DF0680">
        <w:rPr>
          <w:rFonts w:cs="Times New Roman"/>
        </w:rPr>
        <w:t xml:space="preserve">Q helicase found in </w:t>
      </w:r>
      <w:r w:rsidR="002B6773" w:rsidRPr="00DF0680">
        <w:rPr>
          <w:rFonts w:cs="Times New Roman"/>
          <w:i/>
        </w:rPr>
        <w:t>E.</w:t>
      </w:r>
      <w:r w:rsidR="00B77100" w:rsidRPr="00DF0680">
        <w:rPr>
          <w:rFonts w:cs="Times New Roman"/>
          <w:i/>
        </w:rPr>
        <w:t xml:space="preserve"> </w:t>
      </w:r>
      <w:r w:rsidR="002B6773" w:rsidRPr="00DF0680">
        <w:rPr>
          <w:rFonts w:cs="Times New Roman"/>
          <w:i/>
        </w:rPr>
        <w:t>coli</w:t>
      </w:r>
      <w:r w:rsidR="002B6773" w:rsidRPr="00DF0680">
        <w:rPr>
          <w:rFonts w:cs="Times New Roman"/>
        </w:rPr>
        <w:t xml:space="preserve">, one found in </w:t>
      </w:r>
      <w:r w:rsidR="002B6773" w:rsidRPr="00DF0680">
        <w:rPr>
          <w:rFonts w:cs="Times New Roman"/>
          <w:i/>
        </w:rPr>
        <w:t>S. cerevisiae</w:t>
      </w:r>
      <w:r w:rsidR="002B6773" w:rsidRPr="00DF0680">
        <w:rPr>
          <w:rFonts w:cs="Times New Roman"/>
        </w:rPr>
        <w:t xml:space="preserve"> and five found in </w:t>
      </w:r>
      <w:r w:rsidR="00B77100" w:rsidRPr="00DF0680">
        <w:rPr>
          <w:rFonts w:cs="Times New Roman"/>
          <w:i/>
        </w:rPr>
        <w:t>H. s</w:t>
      </w:r>
      <w:r w:rsidR="002B6773" w:rsidRPr="00DF0680">
        <w:rPr>
          <w:rFonts w:cs="Times New Roman"/>
          <w:i/>
        </w:rPr>
        <w:t>apiens</w:t>
      </w:r>
      <w:r w:rsidR="00FC2C30" w:rsidRPr="00DF0680">
        <w:rPr>
          <w:rFonts w:cs="Times New Roman"/>
          <w:i/>
        </w:rPr>
        <w:t xml:space="preserve"> </w:t>
      </w:r>
      <w:r w:rsidR="00FC2C30" w:rsidRPr="00DF0680">
        <w:rPr>
          <w:rFonts w:cs="Times New Roman"/>
        </w:rPr>
        <w:t xml:space="preserve">(see </w:t>
      </w:r>
      <w:r w:rsidR="00F20EC0" w:rsidRPr="00DF0680">
        <w:rPr>
          <w:rFonts w:cs="Times New Roman"/>
        </w:rPr>
        <w:fldChar w:fldCharType="begin"/>
      </w:r>
      <w:r w:rsidR="006B2135" w:rsidRPr="00DF0680">
        <w:rPr>
          <w:rFonts w:cs="Times New Roman"/>
        </w:rPr>
        <w:instrText xml:space="preserve"> REF _Ref416515198 \h </w:instrText>
      </w:r>
      <w:r w:rsidR="00F20EC0" w:rsidRPr="00DF0680">
        <w:rPr>
          <w:rFonts w:cs="Times New Roman"/>
        </w:rPr>
      </w:r>
      <w:r w:rsidR="00F20EC0" w:rsidRPr="00DF0680">
        <w:rPr>
          <w:rFonts w:cs="Times New Roman"/>
        </w:rPr>
        <w:fldChar w:fldCharType="separate"/>
      </w:r>
      <w:r w:rsidR="009801AF" w:rsidRPr="00DF0680">
        <w:t>Figure 1.6</w:t>
      </w:r>
      <w:r w:rsidR="00F20EC0" w:rsidRPr="00DF0680">
        <w:rPr>
          <w:rFonts w:cs="Times New Roman"/>
        </w:rPr>
        <w:fldChar w:fldCharType="end"/>
      </w:r>
      <w:r w:rsidR="00FC2C30" w:rsidRPr="00DF0680">
        <w:rPr>
          <w:rFonts w:cs="Times New Roman"/>
        </w:rPr>
        <w:t>)</w:t>
      </w:r>
      <w:r w:rsidR="002B6773" w:rsidRPr="00DF0680">
        <w:rPr>
          <w:rFonts w:cs="Times New Roman"/>
        </w:rPr>
        <w:t xml:space="preserve">. They have roles in replication, base excision repair, double-strand break repair, transcription, telomere maintenance and mitochondrial function </w:t>
      </w:r>
      <w:r w:rsidR="00F20EC0" w:rsidRPr="00DF0680">
        <w:rPr>
          <w:rFonts w:cs="Times New Roman"/>
        </w:rPr>
        <w:fldChar w:fldCharType="begin" w:fldLock="1"/>
      </w:r>
      <w:r w:rsidR="00332613" w:rsidRPr="00DF0680">
        <w:rPr>
          <w:rFonts w:cs="Times New Roman"/>
        </w:rPr>
        <w:instrText>ADDIN CSL_CITATION { "citationItems" : [ { "id" : "ITEM-1", "itemData" : { "DOI" : "10.1146/annurev-biochem-060713-035428", "ISSN" : "1545-4509", "PMID" : "24606147", "abstract" : "RecQ helicases are an important family of genome surveillance proteins conserved from bacteria to human. Each of the five human RecQ helicases plays critical roles in genome maintenance and stability, and the RecQ protein family members are often referred to as guardians of the genome. The importance of these proteins in cellular homeostasis is underscored by the fact that defects in BLM, WRN, and RECQL4 are linked to distinct heritable human disease syndromes. Each human RecQ helicase has a unique set of protein-interacting partners, and these interactions dictate its specialized functions in genome maintenance, including DNA repair, recombination, replication, and transcription. Human RecQ helicases also interact with each other, and these interactions have significant impact on enzyme function. Future research goals in this field include a better understanding of the division of labor among the human RecQ helicases and learning how human RecQ helicases collaborate and cooperate to enhance genome stability. Expected final online publication date for the Annual Review of Biochemistry Volume 83 is June 02, 2014. Please see http://www.annualreviews.org/catalog/pubdates.aspx for revised estimates.", "author" : [ { "dropping-particle" : "", "family" : "Croteau", "given" : "Deborah L", "non-dropping-particle" : "", "parse-names" : false, "suffix" : "" }, { "dropping-particle" : "", "family" : "Popuri", "given" : "Venkateswarlu", "non-dropping-particle" : "", "parse-names" : false, "suffix" : "" }, { "dropping-particle" : "", "family" : "Opresko", "given" : "Patricia L", "non-dropping-particle" : "", "parse-names" : false, "suffix" : "" }, { "dropping-particle" : "", "family" : "Bohr", "given" : "Vilhelm a", "non-dropping-particle" : "", "parse-names" : false, "suffix" : "" } ], "container-title" : "Annual Review of Biochemistry", "id" : "ITEM-1", "issued" : { "date-parts" : [ [ "2014", "3", "3" ] ] }, "page" : "519-52", "title" : "Human RecQ Helicases in DNA Repair, Recombination, and Replication.", "type" : "article-journal", "volume" : "83" }, "uris" : [ "http://www.mendeley.com/documents/?uuid=414b9d43-f2fe-4d4f-b92a-720ffdacc410" ] } ], "mendeley" : { "formattedCitation" : "(Croteau et al. 2014)", "plainTextFormattedCitation" : "(Croteau et al. 2014)", "previouslyFormattedCitation" : "(Croteau et al. 2014)" }, "properties" : { "noteIndex" : 0 }, "schema" : "https://github.com/citation-style-language/schema/raw/master/csl-citation.json" }</w:instrText>
      </w:r>
      <w:r w:rsidR="00F20EC0" w:rsidRPr="00DF0680">
        <w:rPr>
          <w:rFonts w:cs="Times New Roman"/>
        </w:rPr>
        <w:fldChar w:fldCharType="separate"/>
      </w:r>
      <w:r w:rsidR="002B6773" w:rsidRPr="00DF0680">
        <w:rPr>
          <w:rFonts w:cs="Times New Roman"/>
        </w:rPr>
        <w:t>(Croteau et al. 2014)</w:t>
      </w:r>
      <w:r w:rsidR="00F20EC0" w:rsidRPr="00DF0680">
        <w:rPr>
          <w:rFonts w:cs="Times New Roman"/>
        </w:rPr>
        <w:fldChar w:fldCharType="end"/>
      </w:r>
      <w:r w:rsidR="002B6773" w:rsidRPr="00DF0680">
        <w:rPr>
          <w:rFonts w:cs="Times New Roman"/>
        </w:rPr>
        <w:t xml:space="preserve">. They all share a homologous helicase and RecQ C-Terminal domain, which contains </w:t>
      </w:r>
      <w:r w:rsidR="00F33E1F" w:rsidRPr="00DF0680">
        <w:rPr>
          <w:rFonts w:cs="Times New Roman"/>
        </w:rPr>
        <w:t>a zinc-binding motif, a helix-hairpin-helix winged-helix domain and a β</w:t>
      </w:r>
      <w:r w:rsidRPr="00DF0680">
        <w:rPr>
          <w:rFonts w:cs="Times New Roman"/>
        </w:rPr>
        <w:t>-hairpin motif, but the human REC</w:t>
      </w:r>
      <w:r w:rsidR="00F33E1F" w:rsidRPr="00DF0680">
        <w:rPr>
          <w:rFonts w:cs="Times New Roman"/>
        </w:rPr>
        <w:t>Q helicases have distinct, separate function in cells. In t</w:t>
      </w:r>
      <w:r w:rsidRPr="00DF0680">
        <w:rPr>
          <w:rFonts w:cs="Times New Roman"/>
        </w:rPr>
        <w:t>his section, the role of the REC</w:t>
      </w:r>
      <w:r w:rsidR="00F33E1F" w:rsidRPr="00DF0680">
        <w:rPr>
          <w:rFonts w:cs="Times New Roman"/>
        </w:rPr>
        <w:t>Q helicases in maintaining genome integrity, and their role in cancer, will be discussed.</w:t>
      </w:r>
    </w:p>
    <w:p w:rsidR="008F69FA" w:rsidRPr="00DF0680" w:rsidRDefault="008F69FA" w:rsidP="002B6773">
      <w:pPr>
        <w:rPr>
          <w:rFonts w:cs="Times New Roman"/>
        </w:rPr>
      </w:pPr>
    </w:p>
    <w:p w:rsidR="008F69FA" w:rsidRPr="00DF0680" w:rsidRDefault="00A76682" w:rsidP="008B366A">
      <w:pPr>
        <w:keepNext/>
        <w:jc w:val="center"/>
        <w:rPr>
          <w:rFonts w:cs="Times New Roman"/>
        </w:rPr>
      </w:pPr>
      <w:r w:rsidRPr="00DF0680">
        <w:drawing>
          <wp:inline distT="0" distB="0" distL="0" distR="0">
            <wp:extent cx="5400040" cy="2797280"/>
            <wp:effectExtent l="0" t="0" r="0"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5400040" cy="2797280"/>
                    </a:xfrm>
                    <a:prstGeom prst="rect">
                      <a:avLst/>
                    </a:prstGeom>
                    <a:noFill/>
                    <a:ln w="9525">
                      <a:noFill/>
                      <a:miter lim="800000"/>
                      <a:headEnd/>
                      <a:tailEnd/>
                    </a:ln>
                  </pic:spPr>
                </pic:pic>
              </a:graphicData>
            </a:graphic>
          </wp:inline>
        </w:drawing>
      </w:r>
    </w:p>
    <w:p w:rsidR="008F69FA" w:rsidRPr="00DF0680" w:rsidRDefault="008F69FA" w:rsidP="00D94477">
      <w:pPr>
        <w:pStyle w:val="Caption"/>
      </w:pPr>
    </w:p>
    <w:p w:rsidR="008F69FA" w:rsidRPr="00DF0680" w:rsidRDefault="008F69FA" w:rsidP="00D94477">
      <w:pPr>
        <w:pStyle w:val="Caption"/>
      </w:pPr>
      <w:bookmarkStart w:id="99" w:name="_Toc409449304"/>
      <w:bookmarkStart w:id="100" w:name="_Toc417813888"/>
      <w:bookmarkStart w:id="101" w:name="_Ref416515198"/>
      <w:r w:rsidRPr="00DF0680">
        <w:t xml:space="preserve">Figure </w:t>
      </w:r>
      <w:fldSimple w:instr=" STYLEREF 1 \s ">
        <w:r w:rsidR="006119E3">
          <w:rPr>
            <w:noProof/>
          </w:rPr>
          <w:t>1</w:t>
        </w:r>
      </w:fldSimple>
      <w:r w:rsidR="006119E3">
        <w:t>.</w:t>
      </w:r>
      <w:fldSimple w:instr=" SEQ Figure \* ARABIC \s 1 ">
        <w:r w:rsidR="006119E3">
          <w:rPr>
            <w:noProof/>
          </w:rPr>
          <w:t>6</w:t>
        </w:r>
      </w:fldSimple>
      <w:bookmarkEnd w:id="101"/>
      <w:r w:rsidRPr="00DF0680">
        <w:t xml:space="preserve"> – The RECQ helicases and their domain structure</w:t>
      </w:r>
      <w:bookmarkEnd w:id="99"/>
      <w:bookmarkEnd w:id="100"/>
    </w:p>
    <w:p w:rsidR="00B036EA" w:rsidRPr="00DF0680" w:rsidRDefault="008F69FA" w:rsidP="008F69FA">
      <w:pPr>
        <w:spacing w:line="276" w:lineRule="auto"/>
        <w:rPr>
          <w:rFonts w:cs="Times New Roman"/>
        </w:rPr>
      </w:pPr>
      <w:r w:rsidRPr="00DF0680">
        <w:rPr>
          <w:rFonts w:cs="Times New Roman"/>
        </w:rPr>
        <w:t xml:space="preserve">Shown are the RECQ helicases from </w:t>
      </w:r>
      <w:r w:rsidR="00B77100" w:rsidRPr="00DF0680">
        <w:rPr>
          <w:rFonts w:cs="Times New Roman"/>
          <w:i/>
          <w:iCs/>
        </w:rPr>
        <w:t>E. coli</w:t>
      </w:r>
      <w:r w:rsidRPr="00DF0680">
        <w:rPr>
          <w:rFonts w:cs="Times New Roman"/>
        </w:rPr>
        <w:t xml:space="preserve">, </w:t>
      </w:r>
      <w:r w:rsidRPr="00DF0680">
        <w:rPr>
          <w:rFonts w:cs="Times New Roman"/>
          <w:i/>
          <w:iCs/>
        </w:rPr>
        <w:t xml:space="preserve">S. cerevisiae </w:t>
      </w:r>
      <w:r w:rsidRPr="00DF0680">
        <w:rPr>
          <w:rFonts w:cs="Times New Roman"/>
        </w:rPr>
        <w:t xml:space="preserve">and </w:t>
      </w:r>
      <w:r w:rsidRPr="00DF0680">
        <w:rPr>
          <w:rFonts w:cs="Times New Roman"/>
          <w:i/>
          <w:iCs/>
        </w:rPr>
        <w:t xml:space="preserve">H. sapiens </w:t>
      </w:r>
      <w:r w:rsidRPr="00DF0680">
        <w:rPr>
          <w:rFonts w:cs="Times New Roman"/>
        </w:rPr>
        <w:t xml:space="preserve">and their corresponding size in amino acids. They are aligned according to their homologous RECQ helicase domain shown in </w:t>
      </w:r>
      <w:r w:rsidRPr="00DF0680">
        <w:rPr>
          <w:rFonts w:cs="Times New Roman"/>
          <w:i/>
          <w:iCs/>
        </w:rPr>
        <w:t>green</w:t>
      </w:r>
      <w:r w:rsidRPr="00DF0680">
        <w:rPr>
          <w:rFonts w:cs="Times New Roman"/>
        </w:rPr>
        <w:t xml:space="preserve">. </w:t>
      </w:r>
      <w:r w:rsidRPr="00DF0680">
        <w:rPr>
          <w:rFonts w:cs="Times New Roman"/>
          <w:i/>
          <w:iCs/>
        </w:rPr>
        <w:t>Orange</w:t>
      </w:r>
      <w:r w:rsidRPr="00DF0680">
        <w:rPr>
          <w:rFonts w:cs="Times New Roman"/>
        </w:rPr>
        <w:t xml:space="preserve"> is the RQC domain containing a zinc-binding motif, a helix-hairpin-helix winged-helix domain and a β-hairpin motif and the </w:t>
      </w:r>
      <w:r w:rsidRPr="00DF0680">
        <w:rPr>
          <w:rFonts w:cs="Times New Roman"/>
          <w:i/>
          <w:iCs/>
        </w:rPr>
        <w:t>yellow</w:t>
      </w:r>
      <w:r w:rsidRPr="00DF0680">
        <w:rPr>
          <w:rFonts w:cs="Times New Roman"/>
        </w:rPr>
        <w:t xml:space="preserve"> regions are rich in acidic residues. The </w:t>
      </w:r>
      <w:r w:rsidRPr="00DF0680">
        <w:rPr>
          <w:rFonts w:cs="Times New Roman"/>
          <w:i/>
          <w:iCs/>
        </w:rPr>
        <w:t>dark grey</w:t>
      </w:r>
      <w:r w:rsidRPr="00DF0680">
        <w:rPr>
          <w:rFonts w:cs="Times New Roman"/>
        </w:rPr>
        <w:t xml:space="preserve"> is the nuclear localisation signal and the </w:t>
      </w:r>
      <w:r w:rsidRPr="00DF0680">
        <w:rPr>
          <w:rFonts w:cs="Times New Roman"/>
          <w:i/>
          <w:iCs/>
        </w:rPr>
        <w:t xml:space="preserve">red </w:t>
      </w:r>
      <w:r w:rsidRPr="00DF0680">
        <w:rPr>
          <w:rFonts w:cs="Times New Roman"/>
        </w:rPr>
        <w:t xml:space="preserve">is the HDRC domain. </w:t>
      </w:r>
      <w:r w:rsidRPr="00DF0680">
        <w:rPr>
          <w:rFonts w:cs="Times New Roman"/>
          <w:i/>
          <w:iCs/>
        </w:rPr>
        <w:t>Blue</w:t>
      </w:r>
      <w:r w:rsidRPr="00DF0680">
        <w:rPr>
          <w:rFonts w:cs="Times New Roman"/>
        </w:rPr>
        <w:t xml:space="preserve"> represents an exonuclease domain. </w:t>
      </w:r>
    </w:p>
    <w:p w:rsidR="00B036EA" w:rsidRPr="00DF0680" w:rsidRDefault="00B036EA">
      <w:pPr>
        <w:spacing w:line="276" w:lineRule="auto"/>
        <w:jc w:val="left"/>
        <w:rPr>
          <w:rFonts w:cs="Times New Roman"/>
        </w:rPr>
      </w:pPr>
      <w:r w:rsidRPr="00DF0680">
        <w:rPr>
          <w:rFonts w:cs="Times New Roman"/>
        </w:rPr>
        <w:br w:type="page"/>
      </w:r>
    </w:p>
    <w:p w:rsidR="000903C3" w:rsidRPr="00DF0680" w:rsidRDefault="000903C3" w:rsidP="00E664FC">
      <w:pPr>
        <w:pStyle w:val="Heading3"/>
      </w:pPr>
      <w:bookmarkStart w:id="102" w:name="_Toc417204103"/>
      <w:bookmarkStart w:id="103" w:name="_Toc417674340"/>
      <w:r w:rsidRPr="00DF0680">
        <w:lastRenderedPageBreak/>
        <w:t>RecQ</w:t>
      </w:r>
      <w:bookmarkEnd w:id="102"/>
      <w:bookmarkEnd w:id="103"/>
    </w:p>
    <w:p w:rsidR="00410C23" w:rsidRPr="00DF0680" w:rsidRDefault="000903C3" w:rsidP="00A025CF">
      <w:pPr>
        <w:rPr>
          <w:rFonts w:cs="Times New Roman"/>
        </w:rPr>
      </w:pPr>
      <w:r w:rsidRPr="00DF0680">
        <w:rPr>
          <w:rFonts w:cs="Times New Roman"/>
        </w:rPr>
        <w:t xml:space="preserve">The </w:t>
      </w:r>
      <w:r w:rsidRPr="00DF0680">
        <w:rPr>
          <w:rFonts w:cs="Times New Roman"/>
          <w:i/>
        </w:rPr>
        <w:t xml:space="preserve">recQ </w:t>
      </w:r>
      <w:r w:rsidRPr="00DF0680">
        <w:rPr>
          <w:rFonts w:cs="Times New Roman"/>
        </w:rPr>
        <w:t xml:space="preserve">gene was first identified as a mutation in </w:t>
      </w:r>
      <w:r w:rsidRPr="00DF0680">
        <w:rPr>
          <w:rFonts w:cs="Times New Roman"/>
          <w:i/>
        </w:rPr>
        <w:t>Escherichia coli</w:t>
      </w:r>
      <w:r w:rsidRPr="00DF0680">
        <w:rPr>
          <w:rFonts w:cs="Times New Roman"/>
        </w:rPr>
        <w:t xml:space="preserve"> causing resistance to thymineless death and causing increased sensitivity to UV radiation and recombination deficiency in a </w:t>
      </w:r>
      <w:r w:rsidRPr="00DF0680">
        <w:rPr>
          <w:rFonts w:cs="Times New Roman"/>
          <w:i/>
        </w:rPr>
        <w:t xml:space="preserve">recBC sbcB </w:t>
      </w:r>
      <w:r w:rsidRPr="00DF0680">
        <w:rPr>
          <w:rFonts w:cs="Times New Roman"/>
        </w:rPr>
        <w:t>background</w:t>
      </w:r>
      <w:r w:rsidR="00A119F3"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"Nakayama", "given" : "H", "non-dropping-particle" : "", "parse-names" : false, "suffix" : "" }, { "dropping-particle" : "", "family" : "Nakayama", "given" : "K", "non-dropping-particle" : "", "parse-names" : false, "suffix" : "" } ], "container-title" : "Molecular and General Genetics", "id" : "ITEM-1", "issue" : "3", "issued" : { "date-parts" : [ [ "1984" ] ] }, "page" : "474-480", "title" : "Isolation and genetic characterization of a thymineless death-resistant mutant of Escherichia coli K12: identification of a new mutation (recQ1) that blocks the RecF recombination pathway", "type" : "article-journal", "volume" : "195" }, "uris" : [ "http://www.mendeley.com/documents/?uuid=bd043adc-c328-4d5a-8311-445fa9b531a3" ] }, { "id" : "ITEM-2", "itemData" : { "author" : [ { "dropping-particle" : "", "family" : "Nakayama", "given" : "K", "non-dropping-particle" : "", "parse-names" : false, "suffix" : "" }, { "dropping-particle" : "", "family" : "Irino", "given" : "Nobuto", "non-dropping-particle" : "", "parse-names" : false, "suffix" : "" }, { "dropping-particle" : "", "family" : "Nakayama", "given" : "Hiroaki", "non-dropping-particle" : "", "parse-names" : false, "suffix" : "" } ], "container-title" : "Molecular and General Genetics", "id" : "ITEM-2", "issue" : "2", "issued" : { "date-parts" : [ [ "1985" ] ] }, "page" : "266-271", "title" : "The recQ gene of Escherichia coli K12: molecular cloning and isolation of insertion mutants", "type" : "article-journal", "volume" : "200" }, "uris" : [ "http://www.mendeley.com/documents/?uuid=2a7d27cb-f8bf-4ecf-8589-e73abd165db5" ] } ], "mendeley" : { "formattedCitation" : "(Nakayama &amp; Nakayama 1984; Nakayama et al. 1985)", "plainTextFormattedCitation" : "(Nakayama &amp; Nakayama 1984; Nakayama et al. 1985)", "previouslyFormattedCitation" : "(Nakayama &amp; Nakayama 1984; Nakayama et al. 1985)"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(Nakayama &amp; Nakayama 1984; Nakayama et al. 1985)</w:t>
      </w:r>
      <w:r w:rsidR="00F20EC0" w:rsidRPr="00DF0680">
        <w:rPr>
          <w:rFonts w:cs="Times New Roman"/>
        </w:rPr>
        <w:fldChar w:fldCharType="end"/>
      </w:r>
      <w:r w:rsidRPr="00DF0680">
        <w:rPr>
          <w:rFonts w:cs="Times New Roman"/>
        </w:rPr>
        <w:t xml:space="preserve">. The same group sequenced the gene, identifying the open reading frame and primary structure, and used mitomycin C and UV irradiation with a β-galactosidase assay to show that regulation of the </w:t>
      </w:r>
      <w:r w:rsidRPr="00DF0680">
        <w:rPr>
          <w:rFonts w:cs="Times New Roman"/>
          <w:i/>
        </w:rPr>
        <w:t>recQ</w:t>
      </w:r>
      <w:r w:rsidRPr="00DF0680">
        <w:rPr>
          <w:rFonts w:cs="Times New Roman"/>
        </w:rPr>
        <w:t xml:space="preserve"> gene is through the SOS system (the DNA damage response in bacteria)</w:t>
      </w:r>
      <w:r w:rsidR="006E3C88"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"ISSN" : "0026-8925", "PMID" : "3027506", "abstract" : "A 2,695 bp chromosomal segment of Escherichia coli K12 containing the recQ gene was sequenced. Analysis of the sequence revealed an open reading frame thought to represent recQ, with a clockwise direction of transcription relative to the standard genetic map of E. coli K12 and having a coding capacity for a protein of Mr 68,350. The -10 region of the presumptive recQ promoter overlapped the putative terminator for the upstream gene pldA, and was immediately followed by a 15 bp stretch of DNA bearing a strong resemblance to the reported sequences of LexA repressor binding sites. This latter finding suggested the possibility of SOS regulation of recQ gene expression, which was substantiated by experiments with recQ-lacZ fusions.", "author" : [ { "dropping-particle" : "", "family" : "Irino", "given" : "N", "non-dropping-particle" : "", "parse-names" : false, "suffix" : "" }, { "dropping-particle" : "", "family" : "Nakayama", "given" : "K", "non-dropping-particle" : "", "parse-names" : false, "suffix" : "" }, { "dropping-particle" : "", "family" : "Nakayama", "given" : "H", "non-dropping-particle" : "", "parse-names" : false, "suffix" : "" } ], "container-title" : "Molecular &amp; General Genetics", "id" : "ITEM-1", "issue" : "2", "issued" : { "date-parts" : [ [ "1986", "11" ] ] }, "page" : "298-304", "title" : "The recQ gene of Escherichia coli K12: primary structure and evidence for SOS regulation.", "type" : "article-journal", "volume" : "205" }, "uris" : [ "http://www.mendeley.com/documents/?uuid=5a8c90fa-6e2c-4f4d-81d9-fab8d7b6717e" ] } ], "mendeley" : { "formattedCitation" : "(Irino et al. 1986)", "plainTextFormattedCitation" : "(Irino et al. 1986)", "previouslyFormattedCitation" : "(Irino et al. 1986)"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(Irino et al. 1986)</w:t>
      </w:r>
      <w:r w:rsidR="00F20EC0" w:rsidRPr="00DF0680">
        <w:rPr>
          <w:rFonts w:cs="Times New Roman"/>
        </w:rPr>
        <w:fldChar w:fldCharType="end"/>
      </w:r>
      <w:r w:rsidRPr="00DF0680">
        <w:rPr>
          <w:rFonts w:cs="Times New Roman"/>
        </w:rPr>
        <w:t xml:space="preserve">. </w:t>
      </w:r>
    </w:p>
    <w:p w:rsidR="00410C23" w:rsidRPr="00DF0680" w:rsidRDefault="000903C3" w:rsidP="00A025CF">
      <w:pPr>
        <w:rPr>
          <w:rFonts w:cs="Times New Roman"/>
        </w:rPr>
      </w:pPr>
      <w:r w:rsidRPr="00DF0680">
        <w:rPr>
          <w:rFonts w:cs="Times New Roman"/>
        </w:rPr>
        <w:t>Purifying the RecQ protein</w:t>
      </w:r>
      <w:r w:rsidR="00FC2C30" w:rsidRPr="00DF0680">
        <w:rPr>
          <w:rFonts w:cs="Times New Roman"/>
        </w:rPr>
        <w:t xml:space="preserve"> and </w:t>
      </w:r>
      <w:r w:rsidR="00FC2C30" w:rsidRPr="00DF0680">
        <w:rPr>
          <w:rFonts w:cs="Times New Roman"/>
          <w:i/>
        </w:rPr>
        <w:t>in vitro</w:t>
      </w:r>
      <w:r w:rsidR="00FC2C30" w:rsidRPr="00DF0680">
        <w:rPr>
          <w:rFonts w:cs="Times New Roman"/>
        </w:rPr>
        <w:t xml:space="preserve"> assays</w:t>
      </w:r>
      <w:r w:rsidRPr="00DF0680">
        <w:rPr>
          <w:rFonts w:cs="Times New Roman"/>
        </w:rPr>
        <w:t xml:space="preserve"> led to </w:t>
      </w:r>
      <w:r w:rsidR="0016691B" w:rsidRPr="00DF0680">
        <w:rPr>
          <w:rFonts w:cs="Times New Roman"/>
        </w:rPr>
        <w:t>the discovery of</w:t>
      </w:r>
      <w:r w:rsidRPr="00DF0680">
        <w:rPr>
          <w:rFonts w:cs="Times New Roman"/>
        </w:rPr>
        <w:t xml:space="preserve"> its role as a DNA-dependant ATPase</w:t>
      </w:r>
      <w:r w:rsidR="006E3C88" w:rsidRPr="00DF0680">
        <w:rPr>
          <w:rFonts w:cs="Times New Roman"/>
        </w:rPr>
        <w:t xml:space="preserve"> </w:t>
      </w:r>
      <w:r w:rsidR="00F20EC0" w:rsidRPr="00DF0680">
        <w:rPr>
          <w:rFonts w:cs="Times New Roman"/>
        </w:rPr>
        <w:fldChar w:fldCharType="begin" w:fldLock="1"/>
      </w:r>
      <w:r w:rsidR="001112F6" w:rsidRPr="00DF0680">
        <w:rPr>
          <w:rFonts w:cs="Times New Roman"/>
        </w:rPr>
        <w:instrText>ADDIN CSL_CITATION { "citationItems" : [ { "id" : "ITEM-1", "itemData" : { "ISSN" : "0027-8424", "PMID" : "2164680", "abstract" : "The Escherichia coli recQ gene, a member of the RecF recombination gene family, was set in an overexpression plasmid, and its product was purified to near-homogeneity. The purified RecQ protein exhibited a DNA-dependent ATPase and a helicase activity. Without DNA, no ATPase activity was detected. The capacity as ATPase cofactor varied with the type of DNA in the following order: circular single strand greater than linear single strand much greater than circular or linear duplex. As a helicase, RecQ protein displaced an annealed 71-base or 143-base single-stranded fragment from circular or linear phage M13 DNA, and the direction of unwinding seemed to be 3'----5' with respect to the DNA single strand to which the enzyme supposedly bound. Furthermore, the protein could unwind 143-base-pair blunt-ended duplex DNA at a higher enzyme concentration. It is concluded that RecQ protein is a previously unreported helicase, which might possibly serve to generate single-stranded tails for a strand transfer reaction in the process of recombination.", "author" : [ { "dropping-particle" : "", "family" : "Umezu", "given" : "K", "non-dropping-particle" : "", "parse-names" : false, "suffix" : "" }, { "dropping-particle" : "", "family" : "Nakayama", "given" : "K", "non-dropping-particle" : "", "parse-names" : false, "suffix" : "" }, { "dropping-particle" : "", "family" : "Nakayama", "given" : "H", "non-dropping-particle" : "", "parse-names" : false, "suffix" : "" } ], "container-title" : "Proceedings of the National Academy of Sciences", "id" : "ITEM-1", "issue" : "14", "issued" : { "date-parts" : [ [ "1990", "7" ] ] }, "page" : "5363-7", "title" : "Escherichia coli RecQ protein is a DNA helicase.", "type" : "article-journal", "volume" : "87" }, "uris" : [ "http://www.mendeley.com/documents/?uuid=3ddbb9bb-cfaf-4735-b369-3e31fd899180" ] } ], "mendeley" : { "formattedCitation" : "(Umezu et al. 1990)", "plainTextFormattedCitation" : "(Umezu et al. 1990)", "previouslyFormattedCitation" : "(Umezu et al. 1990)"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(Umezu et al. 1990)</w:t>
      </w:r>
      <w:r w:rsidR="00F20EC0" w:rsidRPr="00DF0680">
        <w:rPr>
          <w:rFonts w:cs="Times New Roman"/>
        </w:rPr>
        <w:fldChar w:fldCharType="end"/>
      </w:r>
      <w:r w:rsidRPr="00DF0680">
        <w:rPr>
          <w:rFonts w:cs="Times New Roman"/>
        </w:rPr>
        <w:t xml:space="preserve">. Umezu </w:t>
      </w:r>
      <w:r w:rsidRPr="00DF0680">
        <w:rPr>
          <w:rFonts w:cs="Times New Roman"/>
          <w:i/>
        </w:rPr>
        <w:t>et al.</w:t>
      </w:r>
      <w:r w:rsidRPr="00DF0680">
        <w:rPr>
          <w:rFonts w:cs="Times New Roman"/>
        </w:rPr>
        <w:t xml:space="preserve"> showed  RecQ to have 3’ - 5’ helicase activity, preferring duplex DNA with a single stranded overhang, but able to unwind blunt-ended DNA duplexes at higher enzyme concentrations</w:t>
      </w:r>
      <w:r w:rsidR="006E3C88" w:rsidRPr="00DF0680">
        <w:rPr>
          <w:rFonts w:cs="Times New Roman"/>
        </w:rPr>
        <w:t xml:space="preserve"> </w:t>
      </w:r>
      <w:r w:rsidR="00F20EC0" w:rsidRPr="00DF0680">
        <w:rPr>
          <w:rFonts w:cs="Times New Roman"/>
        </w:rPr>
        <w:fldChar w:fldCharType="begin" w:fldLock="1"/>
      </w:r>
      <w:r w:rsidR="001112F6" w:rsidRPr="00DF0680">
        <w:rPr>
          <w:rFonts w:cs="Times New Roman"/>
        </w:rPr>
        <w:instrText>ADDIN CSL_CITATION { "citationItems" : [ { "id" : "ITEM-1", "itemData" : { "ISSN" : "0027-8424", "PMID" : "2164680", "abstract" : "The Escherichia coli recQ gene, a member of the RecF recombination gene family, was set in an overexpression plasmid, and its product was purified to near-homogeneity. The purified RecQ protein exhibited a DNA-dependent ATPase and a helicase activity. Without DNA, no ATPase activity was detected. The capacity as ATPase cofactor varied with the type of DNA in the following order: circular single strand greater than linear single strand much greater than circular or linear duplex. As a helicase, RecQ protein displaced an annealed 71-base or 143-base single-stranded fragment from circular or linear phage M13 DNA, and the direction of unwinding seemed to be 3'----5' with respect to the DNA single strand to which the enzyme supposedly bound. Furthermore, the protein could unwind 143-base-pair blunt-ended duplex DNA at a higher enzyme concentration. It is concluded that RecQ protein is a previously unreported helicase, which might possibly serve to generate single-stranded tails for a strand transfer reaction in the process of recombination.", "author" : [ { "dropping-particle" : "", "family" : "Umezu", "given" : "K", "non-dropping-particle" : "", "parse-names" : false, "suffix" : "" }, { "dropping-particle" : "", "family" : "Nakayama", "given" : "K", "non-dropping-particle" : "", "parse-names" : false, "suffix" : "" }, { "dropping-particle" : "", "family" : "Nakayama", "given" : "H", "non-dropping-particle" : "", "parse-names" : false, "suffix" : "" } ], "container-title" : "Proceedings of the National Academy of Sciences", "id" : "ITEM-1", "issue" : "14", "issued" : { "date-parts" : [ [ "1990", "7" ] ] }, "page" : "5363-7", "title" : "Escherichia coli RecQ protein is a DNA helicase.", "type" : "article-journal", "volume" : "87" }, "uris" : [ "http://www.mendeley.com/documents/?uuid=3ddbb9bb-cfaf-4735-b369-3e31fd899180" ] } ], "mendeley" : { "formattedCitation" : "(Umezu et al. 1990)", "plainTextFormattedCitation" : "(Umezu et al. 1990)", "previouslyFormattedCitation" : "(Umezu et al. 1990)"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(Umezu et al. 1990)</w:t>
      </w:r>
      <w:r w:rsidR="00F20EC0" w:rsidRPr="00DF0680">
        <w:rPr>
          <w:rFonts w:cs="Times New Roman"/>
        </w:rPr>
        <w:fldChar w:fldCharType="end"/>
      </w:r>
      <w:r w:rsidRPr="00DF0680">
        <w:rPr>
          <w:rFonts w:cs="Times New Roman"/>
        </w:rPr>
        <w:t xml:space="preserve">. Further </w:t>
      </w:r>
      <w:r w:rsidR="003263CF" w:rsidRPr="00DF0680">
        <w:rPr>
          <w:rFonts w:cs="Times New Roman"/>
          <w:i/>
        </w:rPr>
        <w:t>in vitro</w:t>
      </w:r>
      <w:r w:rsidR="003263CF" w:rsidRPr="00DF0680">
        <w:rPr>
          <w:rFonts w:cs="Times New Roman"/>
        </w:rPr>
        <w:t xml:space="preserve"> </w:t>
      </w:r>
      <w:r w:rsidRPr="00DF0680">
        <w:rPr>
          <w:rFonts w:cs="Times New Roman"/>
        </w:rPr>
        <w:t>work highlighted that relatively large amounts of RecQ were required for significant unwinding and that the helicase activity was greatly improved when SSB protein was added (10-fold with partial duplex and threefold with blunt ended substrates)</w:t>
      </w:r>
      <w:r w:rsidR="006E3C88"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"10.1006/jmbi.1993.1231", "ISSN" : "0022-2836", "PMID" : "8387604", "abstract" : "RecQ protein of Escherichia coli is a DNA helicase implicated in the RecF pathway of genetic recombination. To gain insight into the mode of its action, the effect of single-stranded DNA-binding proteins (SSBs) on the RecQ-mediated unwinding reaction was investigated. When the unwinding of M13-based, circular partially duplex substrates was measured as a function of the enzyme dose, a markedly sigmoidal relation was revealed, with relatively large amounts of the enzyme being necessary for substantial unwinding to occur. For instance, unwinding 50% of a 71 base-pair (bp) partial duplex substrate in ten minutes required an enzyme-to-substrate molar ratio of about 60. However, these features, indicating the enzyme's \"inefficiency\", were reversed by SSBs: in the presence of a saturating amount of E. coli SSB the sigmoidal relation was converted to a typically hyperbolic one, and the enzyme-to-substrate molar ratio at 50% unwinding of the 71 bp substrate was reduced to as low as 0.5. Phage T4 gene 32 protein also showed similar stimulatory activity. Further, the single-stranded DNA-dependent ATPase activity of RecQ was found to be relatively insensitive to E. coli SSB; its large excess brought about only a 60% inhibition. It is postulated that RecQ helicase is highly adapted to an SSB-rich environment, where the strand exchange reaction mediated by RecA protein, perhaps coupled closely with the RecQ reaction, should also take place.", "author" : [ { "dropping-particle" : "", "family" : "Umezu", "given" : "K", "non-dropping-particle" : "", "parse-names" : false, "suffix" : "" }, { "dropping-particle" : "", "family" : "Nakayama", "given" : "H", "non-dropping-particle" : "", "parse-names" : false, "suffix" : "" } ], "container-title" : "Journal of Molecular Biology", "id" : "ITEM-1", "issue" : "4", "issued" : { "date-parts" : [ [ "1993", "4", "20" ] ] }, "page" : "1145-50", "title" : "RecQ DNA helicase of Escherichia coli. Characterization of the helix-unwinding activity with emphasis on the effect of single-stranded DNA-binding protein.", "type" : "article-journal", "volume" : "230" }, "uris" : [ "http://www.mendeley.com/documents/?uuid=ef470400-8922-4d43-895d-979e745305b0" ] }, { "id" : "ITEM-2", "itemData" : { "author" : [ { "dropping-particle" : "", "family" : "Kowalczykowski", "given" : "SC", "non-dropping-particle" : "", "parse-names" : false, "suffix" : "" } ], "container-title" : "Microbiological Reviews", "id" : "ITEM-2", "issue" : "3", "issued" : { "date-parts" : [ [ "1994" ] ] }, "page" : "401-65", "title" : "Biochemistry of homologous recombination in Escherichia coli.", "type" : "article-journal", "volume" : "58" }, "uris" : [ "http://www.mendeley.com/documents/?uuid=c1f3e8e6-e603-4087-a251-74494cdab89e" ] } ], "mendeley" : { "formattedCitation" : "(Umezu &amp; Nakayama 1993; Kowalczykowski 1994)", "plainTextFormattedCitation" : "(Umezu &amp; Nakayama 1993; Kowalczykowski 1994)", "previouslyFormattedCitation" : "(Umezu &amp; Nakayama 1993; Kowalczykowski 1994)"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(Umezu &amp; Nakayama 1993; Kowalczykowski 1994)</w:t>
      </w:r>
      <w:r w:rsidR="00F20EC0" w:rsidRPr="00DF0680">
        <w:rPr>
          <w:rFonts w:cs="Times New Roman"/>
        </w:rPr>
        <w:fldChar w:fldCharType="end"/>
      </w:r>
      <w:r w:rsidRPr="00DF0680">
        <w:rPr>
          <w:rFonts w:cs="Times New Roman"/>
        </w:rPr>
        <w:t>. Further studies showed that this improvement is due to a direct interaction between the two proteins. The C-terminus of SSB binds to the winged-helix domain of RecQ and abolishing either of these conserved sites diminishes SSB-stimulated helicase activity</w:t>
      </w:r>
      <w:r w:rsidR="006E3C88"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"10.1074/jbc.M608011200", "ISBN" : "1924719258", "ISSN" : "0021-9258", "PMID" : "17483090", "abstract" : "RecQ DNA helicases are critical components of DNA replication, recombination, and repair machinery in all eukaryotes and bacteria. Eukaryotic RecQ helicases are known to associate with numerous genome maintenance proteins that modulate their cellular functions, but there is little information regarding protein complexes involving the prototypical bacterial RecQ proteins. Here we use an affinity purification scheme to identify three heterologous proteins that associate with Escherichia coli RecQ: SSB (single-stranded DNA-binding protein), exonuclease I, and RecJ exonuclease. The RecQ-SSB interaction is direct and is mediated by the RecQ winged helix subdomain and the C terminus of SSB. Interaction with SSB has important functional consequences for RecQ. SSB stimulates RecQ-mediated DNA unwinding, whereas deletion of the C-terminal RecQ-binding site from SSB produces a variant that blocks RecQ DNA binding and unwinding activities, suggesting that RecQ recognizes both the SSB C terminus and DNA in SSB.DNA nucleoprotein complexes. These findings, together with the noted interactions between human RecQ proteins and Replication Protein A, identify SSB as a broadly conserved RecQ-binding protein. These results also provide a simple model that explains RecQ integration into genome maintenance processes in E. coli through its association with SSB.", "author" : [ { "dropping-particle" : "", "family" : "Shereda", "given" : "Robert D", "non-dropping-particle" : "", "parse-names" : false, "suffix" : "" }, { "dropping-particle" : "", "family" : "Bernstein", "given" : "Douglas a", "non-dropping-particle" : "", "parse-names" : false, "suffix" : "" }, { "dropping-particle" : "", "family" : "Keck", "given" : "James L", "non-dropping-particle" : "", "parse-names" : false, "suffix" : "" } ], "container-title" : "The Journal of Biological Chemistry", "id" : "ITEM-1", "issue" : "26", "issued" : { "date-parts" : [ [ "2007", "6", "29" ] ] }, "page" : "19247-58", "title" : "A central role for SSB in Escherichia coli RecQ DNA helicase function.", "type" : "article-journal", "volume" : "282" }, "uris" : [ "http://www.mendeley.com/documents/?uuid=832a00c9-d15a-4b7d-8732-71903ddadb20" ] }, { "id" : "ITEM-2", "itemData" : { "DOI" : "10.1016/j.jmb.2008.12.065", "ISSN" : "1089-8638", "PMID" : "19150358", "abstract" : "RecQ DNA helicases act in conjunction with heterologous partner proteins to catalyze DNA metabolic activities, including recombination initiation and stalled replication fork processing. For the prototypical Escherichia coli RecQ protein, direct interaction with single-stranded DNA-binding protein (SSB) stimulates its DNA unwinding activity. Complex formation between RecQ and SSB is mediated by the RecQ winged-helix domain, which binds the nine C-terminal-most residues of SSB, a highly conserved sequence known as the SSB-Ct element. Using nuclear magnetic resonance and mutational analyses, we identify the SSB-Ct binding pocket on E. coli RecQ. The binding site shares a striking electrostatic similarity with the previously identified SSB-Ct binding site on E. coli exonuclease I, although the SSB binding domains in the two proteins are not otherwise related structurally. Substitutions that alter RecQ residues implicated in SSB-Ct binding impair RecQ binding to SSB and SSB/DNA nucleoprotein complexes. These substitutions also diminish SSB-stimulated DNA helicase activity in the variants, although additional biochemical changes in the RecQ variants indicate a role for the winged-helix domain in helicase activity beyond SSB protein binding. Sequence changes in the SSB-Ct element are sufficient to abolish interaction with RecQ in the absence of DNA and to diminish RecQ binding and helicase activity on SSB/DNA substrates. These results support a model in which RecQ has evolved an SSB-Ct binding site on its winged-helix domain as an adaptation that aids its cellular functions on SSB/DNA nucleoprotein substrates.", "author" : [ { "dropping-particle" : "", "family" : "Shereda", "given" : "Robert D", "non-dropping-particle" : "", "parse-names" : false, "suffix" : "" }, { "dropping-particle" : "", "family" : "Reiter", "given" : "Nicholas J", "non-dropping-particle" : "", "parse-names" : false, "suffix" : "" }, { "dropping-particle" : "", "family" : "Butcher", "given" : "Samuel E", "non-dropping-particle" : "", "parse-names" : false, "suffix" : "" }, { "dropping-particle" : "", "family" : "Keck", "given" : "James L", "non-dropping-particle" : "", "parse-names" : false, "suffix" : "" } ], "container-title" : "Journal of Molecular Biology", "id" : "ITEM-2", "issue" : "3", "issued" : { "date-parts" : [ [ "2009", "2", "27" ] ] }, "page" : "612-25", "publisher" : "Elsevier Ltd", "title" : "Identification of the SSB binding site on E. coli RecQ reveals a conserved surface for binding SSB's C terminus.", "type" : "article-journal", "volume" : "386" }, "uris" : [ "http://www.mendeley.com/documents/?uuid=0eb00856-a1db-426a-aeb1-a950f4d350a4" ] } ], "mendeley" : { "formattedCitation" : "(Shereda et al. 2007; Shereda et al. 2009)", "plainTextFormattedCitation" : "(Shereda et al. 2007; Shereda et al. 2009)", "previouslyFormattedCitation" : "(Shereda et al. 2007; Shereda et al. 2009)"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(Shereda et al. 2007; Shereda et al. 2009)</w:t>
      </w:r>
      <w:r w:rsidR="00F20EC0" w:rsidRPr="00DF0680">
        <w:rPr>
          <w:rFonts w:cs="Times New Roman"/>
        </w:rPr>
        <w:fldChar w:fldCharType="end"/>
      </w:r>
      <w:r w:rsidRPr="00DF0680">
        <w:rPr>
          <w:rFonts w:cs="Times New Roman"/>
        </w:rPr>
        <w:t>.</w:t>
      </w:r>
      <w:r w:rsidR="00CF6CB7" w:rsidRPr="00DF0680">
        <w:rPr>
          <w:rFonts w:cs="Times New Roman"/>
        </w:rPr>
        <w:t xml:space="preserve"> The zinc finger motif is crucial for its DNA binding activity</w:t>
      </w:r>
      <w:r w:rsidR="00F00E91" w:rsidRPr="00DF0680">
        <w:rPr>
          <w:rFonts w:cs="Times New Roman"/>
        </w:rPr>
        <w:t>, and</w:t>
      </w:r>
      <w:r w:rsidRPr="00DF0680">
        <w:rPr>
          <w:rFonts w:cs="Times New Roman"/>
        </w:rPr>
        <w:t xml:space="preserve"> </w:t>
      </w:r>
      <w:r w:rsidR="00F00E91" w:rsidRPr="00DF0680">
        <w:rPr>
          <w:rFonts w:cs="Times New Roman"/>
        </w:rPr>
        <w:t>i</w:t>
      </w:r>
      <w:r w:rsidR="00CF6CB7" w:rsidRPr="00DF0680">
        <w:rPr>
          <w:rFonts w:cs="Times New Roman"/>
        </w:rPr>
        <w:t>t</w:t>
      </w:r>
      <w:r w:rsidR="00B42627" w:rsidRPr="00DF0680">
        <w:rPr>
          <w:rFonts w:cs="Times New Roman"/>
        </w:rPr>
        <w:t xml:space="preserve"> can bind to and unwind a variety of DNA substrates</w:t>
      </w:r>
      <w:r w:rsidR="00BA036E" w:rsidRPr="00DF0680">
        <w:rPr>
          <w:rFonts w:cs="Times New Roman"/>
        </w:rPr>
        <w:t xml:space="preserve"> </w:t>
      </w:r>
      <w:r w:rsidR="00BA036E" w:rsidRPr="00DF0680">
        <w:rPr>
          <w:rFonts w:cs="Times New Roman"/>
          <w:i/>
        </w:rPr>
        <w:t>in vitro</w:t>
      </w:r>
      <w:r w:rsidR="00B42627" w:rsidRPr="00DF0680">
        <w:rPr>
          <w:rFonts w:cs="Times New Roman"/>
        </w:rPr>
        <w:t xml:space="preserve">, including 3-way and 4-way junctions, 5’ and 3’ ssDNA overhangs and flayed duplexes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"Harmon", "given" : "FG", "non-dropping-particle" : "", "parse-names" : false, "suffix" : "" }, { "dropping-particle" : "", "family" : "Kowalczykowski", "given" : "SC", "non-dropping-particle" : "", "parse-names" : false, "suffix" : "" } ], "container-title" : "Genes &amp; Development", "id" : "ITEM-1", "issue" : "8", "issued" : { "date-parts" : [ [ "1998" ] ] }, "page" : "1134-1144", "title" : "RecQ helicase, in concert with RecA and SSB proteins, initiates and disrupts DNA recombination", "type" : "article-journal", "volume" : "12" }, "uris" : [ "http://www.mendeley.com/documents/?uuid=3505799c-7dbe-4c2a-896a-f007599028c7" ] }, { "id" : "ITEM-2", "itemData" : { "DOI" : "10.1074/jbc.M405008200", "ISSN" : "0021-9258", "PMID" : "15292213", "abstract" : "The RecQ family of DNA helicases has been shown to be important for the maintenance of genomic integrity. Mutations in human RecQ genes lead to genomic instability and cancer. Several RecQ family of helicases contain a putative zinc finger motif of the C4 type at the C terminus that has been identified in the crystalline structure of RecQ helicase from Escherichia coli. To better understand the role of this motif in helicase from E. coli, we constructed a series of single mutations altering the conserved cysteines as well as other highly conserved residues. All of the resulting mutant proteins exhibited a high level of susceptibility to degradation, making functional analysis impossible. In contrast, a double mutant protein in which both cysteine residues Cys397 and Cys400 in the zinc finger motif were replaced by asparagine residues was purified to homogeneity. Slight local conformational changes were detected, but the rest of the mutant protein has a well defined tertiary structure. Furthermore, the mutant enzyme displayed ATP binding affinity similar to the wild-type enzyme but was severely impaired in DNA binding and in subsequent ATPase and helicase activities. These results revealed that the zinc finger binding motif is involved in maintaining the integrity of the whole protein as well as DNA binding. We also showed that the zinc atom is not essential to enzymatic activity.", "author" : [ { "dropping-particle" : "", "family" : "Liu", "given" : "Jie Lin", "non-dropping-particle" : "", "parse-names" : false, "suffix" : "" }, { "dropping-particle" : "", "family" : "Rigolet", "given" : "Pascal", "non-dropping-particle" : "", "parse-names" : false, "suffix" : "" }, { "dropping-particle" : "", "family" : "Dou", "given" : "Shuo-Xing", "non-dropping-particle" : "", "parse-names" : false, "suffix" : "" }, { "dropping-particle" : "", "family" : "Wang", "given" : "Peng-Ye", "non-dropping-particle" : "", "parse-names" : false, "suffix" : "" }, { "dropping-particle" : "", "family" : "Xi", "given" : "Xu Guang", "non-dropping-particle" : "", "parse-names" : false, "suffix" : "" } ], "container-title" : "The Journal of Biological Chemistry", "id" : "ITEM-2", "issue" : "41", "issued" : { "date-parts" : [ [ "2004", "10", "8" ] ] }, "page" : "42794-802", "title" : "The zinc finger motif of Escherichia coli RecQ is implicated in both DNA binding and protein folding.", "type" : "article-journal", "volume" : "279" }, "uris" : [ "http://www.mendeley.com/documents/?uuid=5f95c943-36ab-45e1-9855-21e32ac8f892" ] } ], "mendeley" : { "formattedCitation" : "(Harmon &amp; Kowalczykowski 1998; Liu et al. 2004)", "plainTextFormattedCitation" : "(Harmon &amp; Kowalczykowski 1998; Liu et al. 2004)", "previouslyFormattedCitation" : "(Harmon &amp; Kowalczykowski 1998; Liu et al. 2004)"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(Harmon &amp; Kowalczykowski 1998; Liu et al. 2004)</w:t>
      </w:r>
      <w:r w:rsidR="00F20EC0" w:rsidRPr="00DF0680">
        <w:rPr>
          <w:rFonts w:cs="Times New Roman"/>
        </w:rPr>
        <w:fldChar w:fldCharType="end"/>
      </w:r>
      <w:r w:rsidR="00B42627" w:rsidRPr="00DF0680">
        <w:rPr>
          <w:rFonts w:cs="Times New Roman"/>
        </w:rPr>
        <w:t xml:space="preserve">. </w:t>
      </w:r>
    </w:p>
    <w:p w:rsidR="00C456FC" w:rsidRPr="00DF0680" w:rsidRDefault="003263CF" w:rsidP="00C456FC">
      <w:pPr>
        <w:rPr>
          <w:rFonts w:cs="Times New Roman"/>
        </w:rPr>
      </w:pPr>
      <w:r w:rsidRPr="00DF0680">
        <w:rPr>
          <w:rFonts w:cs="Times New Roman"/>
        </w:rPr>
        <w:t>W</w:t>
      </w:r>
      <w:r w:rsidR="00B42627" w:rsidRPr="00DF0680">
        <w:rPr>
          <w:rFonts w:cs="Times New Roman"/>
        </w:rPr>
        <w:t xml:space="preserve">ith RecA and SSB, </w:t>
      </w:r>
      <w:r w:rsidRPr="00DF0680">
        <w:rPr>
          <w:rFonts w:cs="Times New Roman"/>
          <w:i/>
        </w:rPr>
        <w:t>in vitro</w:t>
      </w:r>
      <w:r w:rsidRPr="00DF0680">
        <w:rPr>
          <w:rFonts w:cs="Times New Roman"/>
        </w:rPr>
        <w:t xml:space="preserve"> </w:t>
      </w:r>
      <w:r w:rsidR="00B42627" w:rsidRPr="00DF0680">
        <w:rPr>
          <w:rFonts w:cs="Times New Roman"/>
        </w:rPr>
        <w:t xml:space="preserve">RecQ can both initiate homologous pairing, and disrupt joint molecules formed by RecA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"Harmon", "given" : "FG", "non-dropping-particle" : "", "parse-names" : false, "suffix" : "" }, { "dropping-particle" : "", "family" : "Kowalczykowski", "given" : "SC", "non-dropping-particle" : "", "parse-names" : false, "suffix" : "" } ], "container-title" : "Genes &amp; Development", "id" : "ITEM-1", "issue" : "8", "issued" : { "date-parts" : [ [ "1998" ] ] }, "page" : "1134-1144", "title" : "RecQ helicase, in concert with RecA and SSB proteins, initiates and disrupts DNA recombination", "type" : "article-journal", "volume" : "12" }, "uris" : [ "http://www.mendeley.com/documents/?uuid=3505799c-7dbe-4c2a-896a-f007599028c7" ] } ], "mendeley" : { "formattedCitation" : "(Harmon &amp; Kowalczykowski 1998)", "plainTextFormattedCitation" : "(Harmon &amp; Kowalczykowski 1998)", "previouslyFormattedCitation" : "(Harmon &amp; Kowalczykowski 1998)"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(Harmon &amp; Kowalczykowski 1998)</w:t>
      </w:r>
      <w:r w:rsidR="00F20EC0" w:rsidRPr="00DF0680">
        <w:rPr>
          <w:rFonts w:cs="Times New Roman"/>
        </w:rPr>
        <w:fldChar w:fldCharType="end"/>
      </w:r>
      <w:r w:rsidR="00B42627" w:rsidRPr="00DF0680">
        <w:rPr>
          <w:rFonts w:cs="Times New Roman"/>
        </w:rPr>
        <w:t xml:space="preserve">. </w:t>
      </w:r>
      <w:r w:rsidR="00CF6CB7" w:rsidRPr="00DF0680">
        <w:rPr>
          <w:rFonts w:cs="Times New Roman"/>
        </w:rPr>
        <w:t>It was shown to suppress spontaneous and UV-light induced illegitimate recombination</w:t>
      </w:r>
      <w:r w:rsidR="00BA036E" w:rsidRPr="00DF0680">
        <w:rPr>
          <w:rFonts w:cs="Times New Roman"/>
        </w:rPr>
        <w:t xml:space="preserve"> in </w:t>
      </w:r>
      <w:r w:rsidR="00B77100" w:rsidRPr="00DF0680">
        <w:rPr>
          <w:rFonts w:cs="Times New Roman"/>
          <w:i/>
        </w:rPr>
        <w:t>E. coli</w:t>
      </w:r>
      <w:r w:rsidR="00CF6CB7" w:rsidRPr="00DF0680">
        <w:rPr>
          <w:rFonts w:cs="Times New Roman"/>
        </w:rPr>
        <w:t xml:space="preserve">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"Hanada", "given" : "K", "non-dropping-particle" : "", "parse-names" : false, "suffix" : "" }, { "dropping-particle" : "", "family" : "Ukita", "given" : "T", "non-dropping-particle" : "", "parse-names" : false, "suffix" : "" }, { "dropping-particle" : "", "family" : "Kohno", "given" : "Y", "non-dropping-particle" : "", "parse-names" : false, "suffix" : "" } ], "container-title" : "Proceedings of the National Academy of Sciences", "id" : "ITEM-1", "issue" : "8", "issued" : { "date-parts" : [ [ "1997" ] ] }, "page" : "3860-3865", "title" : "RecQ DNA helicase is a suppressor of illegitimate recombination in Escherichia coli", "type" : "article-journal", "volume" : "94" }, "uris" : [ "http://www.mendeley.com/documents/?uuid=f468c3f9-2594-4e38-960e-b4f4220bcedd" ] } ], "mendeley" : { "formattedCitation" : "(Hanada et al. 1997)", "plainTextFormattedCitation" : "(Hanada et al. 1997)", "previouslyFormattedCitation" : "(Hanada et al. 1997)"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(Hanada et al. 1997)</w:t>
      </w:r>
      <w:r w:rsidR="00F20EC0" w:rsidRPr="00DF0680">
        <w:rPr>
          <w:rFonts w:cs="Times New Roman"/>
        </w:rPr>
        <w:fldChar w:fldCharType="end"/>
      </w:r>
      <w:r w:rsidR="00CF6CB7" w:rsidRPr="00DF0680">
        <w:rPr>
          <w:rFonts w:cs="Times New Roman"/>
        </w:rPr>
        <w:t xml:space="preserve">. Along with the exonuclease RecJ, RecQ processes the lagging strand of DNA at replication forks blocked by UV </w:t>
      </w:r>
      <w:r w:rsidR="00F20EC0" w:rsidRPr="00DF0680">
        <w:rPr>
          <w:rFonts w:cs="Times New Roman"/>
        </w:rPr>
        <w:fldChar w:fldCharType="begin" w:fldLock="1"/>
      </w:r>
      <w:r w:rsidR="00332613" w:rsidRPr="00DF0680">
        <w:rPr>
          <w:rFonts w:cs="Times New Roman"/>
        </w:rPr>
        <w:instrText>ADDIN CSL_CITATION { "citationItems" : [ { "id" : "ITEM-1", "itemData" : { "DOI" : "10.1007/s004380051116", "ISSN" : "0026-8925", "author" : [ { "dropping-particle" : "", "family" : "Courcelle", "given" : "J.", "non-dropping-particle" : "", "parse-names" : false, "suffix" : "" }, { "dropping-particle" : "", "family" : "Hanawalt", "given" : "P. C.", "non-dropping-particle" : "", "parse-names" : false, "suffix" : "" } ], "container-title" : "Molecular and General Genetics", "id" : "ITEM-1", "issue" : "3", "issued" : { "date-parts" : [ [ "1999", "11", "4" ] ] }, "page" : "543-551", "title" : "RecQ and RecJ process blocked replication forks prior to the resumption of replication in UV-irradiated Escherichia coli", "type" : "article-journal", "volume" : "262" }, "uris" : [ "http://www.mendeley.com/documents/?uuid=3dc174dd-de8e-47d3-b6b6-fd14e270a80d" ] } ], "mendeley" : { "formattedCitation" : "(Courcelle &amp; Hanawalt 1999)", "plainTextFormattedCitation" : "(Courcelle &amp; Hanawalt 1999)", "previouslyFormattedCitation" : "(Courcelle &amp; Hanawalt 1999)"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(Courcelle &amp; Hanawalt 1999)</w:t>
      </w:r>
      <w:r w:rsidR="00F20EC0" w:rsidRPr="00DF0680">
        <w:rPr>
          <w:rFonts w:cs="Times New Roman"/>
        </w:rPr>
        <w:fldChar w:fldCharType="end"/>
      </w:r>
      <w:r w:rsidR="00CF6CB7" w:rsidRPr="00DF0680">
        <w:rPr>
          <w:rFonts w:cs="Times New Roman"/>
        </w:rPr>
        <w:t xml:space="preserve">. </w:t>
      </w:r>
      <w:r w:rsidR="00F00E91" w:rsidRPr="00DF0680">
        <w:rPr>
          <w:rFonts w:cs="Times New Roman"/>
        </w:rPr>
        <w:t xml:space="preserve">In cells lacking recombination intermediate-removal proteins, RecQ promotes death by the accumulation of bimolecular recombination intermediates (BRIs) </w:t>
      </w:r>
      <w:r w:rsidR="00F20EC0" w:rsidRPr="00DF0680">
        <w:rPr>
          <w:rFonts w:cs="Times New Roman"/>
        </w:rPr>
        <w:fldChar w:fldCharType="begin" w:fldLock="1"/>
      </w:r>
      <w:r w:rsidR="00332613" w:rsidRPr="00DF0680">
        <w:rPr>
          <w:rFonts w:cs="Times New Roman"/>
        </w:rPr>
        <w:instrText>ADDIN CSL_CITATION { "citationItems" : [ { "id" : "ITEM-1", "itemData" : { "DOI" : "10.1016/j.molcel.2007.03.012", "ISSN" : "1097-2765", "PMID" : "17466628", "abstract" : "The RecQ-helicase family is widespread, is highly conserved, and includes human orthologs that suppress genomic instability and cancer. In vivo, some RecQ homologs promote reduction of steady-state levels of bimolecular recombination intermediates (BRIs), which block chromosome segregation if not resolved. We find that, in vivo, E. coli RecQ can promote the opposite: the net accumulation of BRIs. We report that cells lacking Ruv and UvrD BRI-resolution and -prevention proteins die and display failed chromosome segregation attributable to accumulation of BRIs. Death and segregation failure require RecA and RecF strand exchange proteins. FISH data show that replication is completed during chromosome-segregation failure/death of ruv uvrD recA(Ts) cells. Surprisingly, RecQ (and RecJ) promotes this death. The data imply that RecQ promotes the net accumulation of BRIs in vivo, indicating a second paradigm for the in vivo effect of RecQ-like proteins. The E. coli RecQ paradigm may provide a useful model for some human RecQ homologs.", "author" : [ { "dropping-particle" : "", "family" : "Magner", "given" : "Daniel B", "non-dropping-particle" : "", "parse-names" : false, "suffix" : "" }, { "dropping-particle" : "", "family" : "Blankschien", "given" : "Matthew D", "non-dropping-particle" : "", "parse-names" : false, "suffix" : "" }, { "dropping-particle" : "", "family" : "Lee", "given" : "Jennifer a", "non-dropping-particle" : "", "parse-names" : false, "suffix" : "" }, { "dropping-particle" : "", "family" : "Pennington", "given" : "Jeanine M", "non-dropping-particle" : "", "parse-names" : false, "suffix" : "" }, { "dropping-particle" : "", "family" : "Lupski", "given" : "James R", "non-dropping-particle" : "", "parse-names" : false, "suffix" : "" }, { "dropping-particle" : "", "family" : "Rosenberg", "given" : "Susan M", "non-dropping-particle" : "", "parse-names" : false, "suffix" : "" } ], "container-title" : "Molecular Cell", "id" : "ITEM-1", "issue" : "2", "issued" : { "date-parts" : [ [ "2007", "4", "27" ] ] }, "page" : "273-86", "title" : "RecQ promotes toxic recombination in cells lacking recombination intermediate-removal proteins.", "type" : "article-journal", "volume" : "26" }, "uris" : [ "http://www.mendeley.com/documents/?uuid=7c2af286-e0be-4f25-8b43-0b78a609b6d9" ] } ], "mendeley" : { "formattedCitation" : "(Magner et al. 2007)", "plainTextFormattedCitation" : "(Magner et al. 2007)", "previouslyFormattedCitation" : "(Magner et al. 2007)"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(Magner et al. 2007)</w:t>
      </w:r>
      <w:r w:rsidR="00F20EC0" w:rsidRPr="00DF0680">
        <w:rPr>
          <w:rFonts w:cs="Times New Roman"/>
        </w:rPr>
        <w:fldChar w:fldCharType="end"/>
      </w:r>
      <w:r w:rsidR="00F00E91" w:rsidRPr="00DF0680">
        <w:rPr>
          <w:rFonts w:cs="Times New Roman"/>
        </w:rPr>
        <w:t xml:space="preserve"> suggesting that RecQ promotes recombination but cannot resolve the intermediates</w:t>
      </w:r>
      <w:r w:rsidR="00D657E4" w:rsidRPr="00DF0680">
        <w:rPr>
          <w:rFonts w:cs="Times New Roman"/>
        </w:rPr>
        <w:t xml:space="preserve"> in these defective backgrounds</w:t>
      </w:r>
      <w:r w:rsidR="00F00E91" w:rsidRPr="00DF0680">
        <w:rPr>
          <w:rFonts w:cs="Times New Roman"/>
        </w:rPr>
        <w:t xml:space="preserve">. </w:t>
      </w:r>
      <w:r w:rsidR="00511FF2" w:rsidRPr="00DF0680">
        <w:rPr>
          <w:rFonts w:cs="Times New Roman"/>
        </w:rPr>
        <w:t xml:space="preserve">RecQ also stimulates DNA catenation by Topoisomerase </w:t>
      </w:r>
      <w:r w:rsidR="00511FF2" w:rsidRPr="00DF0680">
        <w:rPr>
          <w:rFonts w:cs="Times New Roman"/>
        </w:rPr>
        <w:lastRenderedPageBreak/>
        <w:t>III and translocates along single stranded DNA, using the energy from the hydrolysis of one ATP molecule to move approximately one and a half nucleotides</w:t>
      </w:r>
      <w:r w:rsidR="001D128B" w:rsidRPr="00DF0680">
        <w:rPr>
          <w:rFonts w:cs="Times New Roman"/>
        </w:rPr>
        <w:t xml:space="preserve"> in length</w:t>
      </w:r>
      <w:r w:rsidR="00511FF2"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"10.1073/pnas.1114468109/-/DCSupplemental.www.pnas.org/cgi/doi/10.1073/pnas.1114468109", "author" : [ { "dropping-particle" : "", "family" : "Sarl\u00f3s", "given" : "Kata", "non-dropping-particle" : "", "parse-names" : false, "suffix" : "" }, { "dropping-particle" : "", "family" : "Gyimesi", "given" : "M\u00e1t\u00e9", "non-dropping-particle" : "", "parse-names" : false, "suffix" : "" }, { "dropping-particle" : "", "family" : "Kov\u00e1cs", "given" : "Mih\u00e1ly", "non-dropping-particle" : "", "parse-names" : false, "suffix" : "" } ], "container-title" : "Proceedings of the National Academy of Sciences", "id" : "ITEM-1", "issue" : "25", "issued" : { "date-parts" : [ [ "2012" ] ] }, "page" : "9804-9", "title" : "RecQ helicase translocates along single-stranded DNA with a moderate processivity and tight mechanochemical coupling", "type" : "article-journal", "volume" : "109" }, "uris" : [ "http://www.mendeley.com/documents/?uuid=f73dd4a0-598b-4c35-88d3-0a6a1bbad781" ] }, { "id" : "ITEM-2", "itemData" : { "DOI" : "10.1073/pnas.1119952109", "ISSN" : "1091-6490", "PMID" : "22307597", "abstract" : "Helicases are ubiquitous enzymes that unwind double-stranded DNA (dsDNA) to reveal single-stranded DNA (ssDNA) during essential processes such as replication, transcription, or repair. The Escherichia coli RecQ protein is a 3' to 5' helicase, which functions in the processes of homologous recombination and replication fork restart. Here, we analyzed the relationship between ATP hydrolysis by RecQ and its translocation on ssDNA. We monitored a single round of RecQ translocation on ssDNA by measuring the rates of inorganic phosphate release during translocation, and the dissociation of RecQ from ssDNA. We find that RecQ translocates with a rate of 16( \u00b1 4) nucleotides/s and moves on average only 36( \u00b1 2) nucleotides before dissociating. Fitting to an n-step kinetic model suggests that the helicase displays a nonuniform translocation mechanism in which it moves approximately five nucleotides rapidly before undergoing a rate-limiting kinetic slow step. Unexpectedly, RecQ requires a length of 34( \u00b1 3) nucleotides to bind and translocate on ssDNA. This large site size suggests that several monomers are required to bind DNA prior to translocation. Energetically, the RecQ helicase couples the hydrolysis of one ATP molecule to the translocation of more than one nucleotide (1.6 \u00b1 0.3). Thus, our data show that RecQ translocates on ssDNA by efficiently coupling the hydrolysis of one ATP molecule into structural alterations that result in movement of approximately two nucleotides, presumably by an inchworm mechanism. These attributes are consistent with the function of RecQ in recombination and replication.", "author" : [ { "dropping-particle" : "", "family" : "Rad", "given" : "Behzad", "non-dropping-particle" : "", "parse-names" : false, "suffix" : "" }, { "dropping-particle" : "", "family" : "Kowalczykowski", "given" : "Stephen C", "non-dropping-particle" : "", "parse-names" : false, "suffix" : "" } ], "container-title" : "Proceedings of the National Academy of Sciences", "id" : "ITEM-2", "issue" : "5", "issued" : { "date-parts" : [ [ "2012", "1", "31" ] ] }, "page" : "1443-8", "title" : "Efficient coupling of ATP hydrolysis to translocation by RecQ helicase.", "type" : "article-journal", "volume" : "109" }, "uris" : [ "http://www.mendeley.com/documents/?uuid=929a3af8-c1d3-4c82-8ebe-c5c2835e0b19" ] }, { "id" : "ITEM-3", "itemData" : { "ISSN" : "1097-2765", "PMID" : "10360177", "abstract" : "E. coli RecQ protein is a multifunctional helicase with homologs that include the S. cerevisiae Sgs1 helicase and the H. sapiens Wrn and Blm helicases. Here we show that RecQ helicase unwinds a covalently closed double-stranded DNA (dsDNA) substrate and that this activity specifically stimulates E. coli topoisomerase III (Topo III) to fully catenate dsDNA molecules. We propose that these proteins functionally interact and that their shared activity is responsible for control of DNA recombination. RecQ helicase has a comparable effect on the Topo III homolog of S. cerevisiae, consistent with other RecQ and Topo III homologs acting together in a similar capacity. These findings highlight a novel, conserved activity that offers insight into the function of the other RecQ-like helicases.", "author" : [ { "dropping-particle" : "", "family" : "Harmon", "given" : "F G", "non-dropping-particle" : "", "parse-names" : false, "suffix" : "" }, { "dropping-particle" : "", "family" : "DiGate", "given" : "R J", "non-dropping-particle" : "", "parse-names" : false, "suffix" : "" }, { "dropping-particle" : "", "family" : "Kowalczykowski", "given" : "S C", "non-dropping-particle" : "", "parse-names" : false, "suffix" : "" } ], "container-title" : "Molecular Cell", "id" : "ITEM-3", "issue" : "5", "issued" : { "date-parts" : [ [ "1999", "5" ] ] }, "page" : "611-20", "title" : "RecQ helicase and topoisomerase III comprise a novel DNA strand passage function: a conserved mechanism for control of DNA recombination.", "type" : "article-journal", "volume" : "3" }, "uris" : [ "http://www.mendeley.com/documents/?uuid=a8af7d12-0e90-4225-9f12-6374f8ef3893" ] }, { "id" : "ITEM-4", "itemData" : { "DOI" : "10.1074/jbc.M302994200", "ISBN" : "4266842678", "ISSN" : "0021-9258", "PMID" : "12909639", "abstract" : "Together, RecQ helicase and topoisomerase III (Topo III) of Escherichia coli comprise a potent DNA strand passage activity that can catenate covalently closed DNA (Harmon, F. G., DiGate, R. J., and Kowalczykowski, S. C. (1999) Mol. Cell 3, 611-620). Here we directly assessed the structure of the catenated DNA species formed by RecQ helicase and Topo III using atomic force microscopy. The images show complex catenated DNA species involving crossovers between multiple double-stranded DNA molecules that are consistent with full catenanes. E. coli single-stranded DNA-binding protein significantly stimulated both the topoisomerase activity of Topo III alone and the DNA strand passage activity of RecQ helicase and Topo III. Titration data suggest that an intermediate of the RecQ helicase unwinding process, perhaps a RecQ helicase-DNA fork, is the target for Topo III action. Catenated DNA is the predominant product under conditions of molecular crowding; however, we also discovered that RecQ helicase and single-stranded DNA-binding protein greatly stimulated the intramolecular strand passage (\"supercoiling\") activity of Topo III, as revealed by changes in the linking number of uncatenated DNA. Together our results demonstrate that RecQ helicase and Topo III function together to comprise a potent and concerted single-strand DNA passage activity that can mediate both catenation-decatenation processes and changes in DNA topology.", "author" : [ { "dropping-particle" : "", "family" : "Harmon", "given" : "Frank G", "non-dropping-particle" : "", "parse-names" : false, "suffix" : "" }, { "dropping-particle" : "", "family" : "Brockman", "given" : "Joel P", "non-dropping-particle" : "", "parse-names" : false, "suffix" : "" }, { "dropping-particle" : "", "family" : "Kowalczykowski", "given" : "Stephen C", "non-dropping-particle" : "", "parse-names" : false, "suffix" : "" } ], "container-title" : "The Journal of Biological Chemistry", "id" : "ITEM-4", "issue" : "43", "issued" : { "date-parts" : [ [ "2003", "10", "24" ] ] }, "page" : "42668-78", "title" : "RecQ helicase stimulates both DNA catenation and changes in DNA topology by topoisomerase III.", "type" : "article-journal", "volume" : "278" }, "uris" : [ "http://www.mendeley.com/documents/?uuid=e480d619-2ba2-444a-97f0-f0e2880b2077" ] } ], "mendeley" : { "formattedCitation" : "(Sarl\u00f3s et al. 2012; Rad &amp; Kowalczykowski 2012; Harmon et al. 1999; Harmon et al. 2003)", "plainTextFormattedCitation" : "(Sarl\u00f3s et al. 2012; Rad &amp; Kowalczykowski 2012; Harmon et al. 1999; Harmon et al. 2003)", "previouslyFormattedCitation" : "(Sarl\u00f3s et al. 2012; Rad &amp; Kowalczykowski 2012; Harmon et al. 1999; Harmon et al. 2003)"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(Sarlós et al. 2012; Rad &amp; Kowalczykowski 2012; Harmon et al. 1999; Harmon et al. 2003)</w:t>
      </w:r>
      <w:r w:rsidR="00F20EC0" w:rsidRPr="00DF0680">
        <w:rPr>
          <w:rFonts w:cs="Times New Roman"/>
        </w:rPr>
        <w:fldChar w:fldCharType="end"/>
      </w:r>
      <w:r w:rsidR="00511FF2" w:rsidRPr="00DF0680">
        <w:rPr>
          <w:rFonts w:cs="Times New Roman"/>
        </w:rPr>
        <w:t xml:space="preserve">. </w:t>
      </w:r>
      <w:r w:rsidR="00315A67" w:rsidRPr="00DF0680">
        <w:rPr>
          <w:rFonts w:cs="Times New Roman"/>
        </w:rPr>
        <w:t>This may play a role in recombination, with t</w:t>
      </w:r>
      <w:r w:rsidR="00C456FC" w:rsidRPr="00DF0680">
        <w:rPr>
          <w:rFonts w:cs="Times New Roman"/>
        </w:rPr>
        <w:t xml:space="preserve">opoisomerase III suggested to play a role in a recombination pathway with RecQ to resolve recombination intermediates </w:t>
      </w:r>
      <w:r w:rsidR="00F20EC0" w:rsidRPr="00DF0680">
        <w:rPr>
          <w:rFonts w:cs="Times New Roman"/>
        </w:rPr>
        <w:fldChar w:fldCharType="begin" w:fldLock="1"/>
      </w:r>
      <w:r w:rsidR="00332613" w:rsidRPr="00DF0680">
        <w:rPr>
          <w:rFonts w:cs="Times New Roman"/>
        </w:rPr>
        <w:instrText>ADDIN CSL_CITATION { "citationItems" : [ { "id" : "ITEM-1", "itemData" : { "DOI" : "10.1111/j.1365-2958.2005.04812.x", "ISSN" : "0950-382X", "PMID" : "16164551", "abstract" : "The physiological role of topoisomerase III is unclear for any organism. We show here that the removal of topoisomerase III in temperature sensitive topoisomerase IV mutants in Escherichia coli results in inviability at the permissive temperature. The removal of topoisomerase III has no effect on the accumulation of catenated intermediates of DNA replication, even when topoisomerase IV activity is removed. Either recQ or recA null mutations, but not helD null or lexA3, partially rescued the synthetic lethality of the double topoisomerase III/IV mutant, indicating a role for topoisomerase III in recombination. We find a bias against deleting the gene encoding topoisomerase III in ruvC53 or DeltaruvABC backgrounds compared with the isogenic wild-type strains. The topoisomerase III RuvC double mutants that can be constructed are five- to 10-fold more sensitive to UV irradiation and mitomycin C treatment and are twofold less efficient in transduction efficiency than ruvC53 mutants. The overexpression of ruvABC allows the construction of the topoisomerase III/IV double mutant. These data are consistent with a role for topoisomerase III in disentangling recombination intermediates as an alternative to RuvABC to maintain the stability of the genome.", "author" : [ { "dropping-particle" : "", "family" : "Lopez", "given" : "Christopher R", "non-dropping-particle" : "", "parse-names" : false, "suffix" : "" }, { "dropping-particle" : "", "family" : "Yang", "given" : "Shirley", "non-dropping-particle" : "", "parse-names" : false, "suffix" : "" }, { "dropping-particle" : "", "family" : "Deibler", "given" : "Richard W", "non-dropping-particle" : "", "parse-names" : false, "suffix" : "" }, { "dropping-particle" : "", "family" : "Ray", "given" : "Starlight a", "non-dropping-particle" : "", "parse-names" : false, "suffix" : "" }, { "dropping-particle" : "", "family" : "Pennington", "given" : "Jeanine M", "non-dropping-particle" : "", "parse-names" : false, "suffix" : "" }, { "dropping-particle" : "", "family" : "Digate", "given" : "Russell J", "non-dropping-particle" : "", "parse-names" : false, "suffix" : "" }, { "dropping-particle" : "", "family" : "Hastings", "given" : "P J", "non-dropping-particle" : "", "parse-names" : false, "suffix" : "" }, { "dropping-particle" : "", "family" : "Rosenberg", "given" : "Susan M", "non-dropping-particle" : "", "parse-names" : false, "suffix" : "" }, { "dropping-particle" : "", "family" : "Zechiedrich", "given" : "E Lynn", "non-dropping-particle" : "", "parse-names" : false, "suffix" : "" } ], "container-title" : "Molecular Microbiology", "id" : "ITEM-1", "issue" : "1", "issued" : { "date-parts" : [ [ "2005", "10" ] ] }, "page" : "80-101", "title" : "A role for topoisomerase III in a recombination pathway alternative to RuvABC.", "type" : "article-journal", "volume" : "58" }, "uris" : [ "http://www.mendeley.com/documents/?uuid=06d04781-2c1e-49ca-9f0e-06209b285346" ] } ], "mendeley" : { "formattedCitation" : "(Lopez et al. 2005)", "plainTextFormattedCitation" : "(Lopez et al. 2005)", "previouslyFormattedCitation" : "(Lopez et al. 2005)" }, "properties" : { "noteIndex" : 0 }, "schema" : "https://github.com/citation-style-language/schema/raw/master/csl-citation.json" }</w:instrText>
      </w:r>
      <w:r w:rsidR="00F20EC0" w:rsidRPr="00DF0680">
        <w:rPr>
          <w:rFonts w:cs="Times New Roman"/>
        </w:rPr>
        <w:fldChar w:fldCharType="separate"/>
      </w:r>
      <w:r w:rsidR="00C456FC" w:rsidRPr="00DF0680">
        <w:rPr>
          <w:rFonts w:cs="Times New Roman"/>
        </w:rPr>
        <w:t>(Lopez et al. 2005)</w:t>
      </w:r>
      <w:r w:rsidR="00F20EC0" w:rsidRPr="00DF0680">
        <w:rPr>
          <w:rFonts w:cs="Times New Roman"/>
        </w:rPr>
        <w:fldChar w:fldCharType="end"/>
      </w:r>
      <w:r w:rsidR="00C456FC" w:rsidRPr="00DF0680">
        <w:rPr>
          <w:rFonts w:cs="Times New Roman"/>
        </w:rPr>
        <w:t>.</w:t>
      </w:r>
    </w:p>
    <w:p w:rsidR="00B84677" w:rsidRPr="00DF0680" w:rsidRDefault="00B84677" w:rsidP="00E664FC">
      <w:pPr>
        <w:pStyle w:val="Heading3"/>
      </w:pPr>
      <w:bookmarkStart w:id="104" w:name="_Toc417204104"/>
      <w:bookmarkStart w:id="105" w:name="_Toc417674341"/>
      <w:r w:rsidRPr="00DF0680">
        <w:t>Sgs1</w:t>
      </w:r>
      <w:bookmarkEnd w:id="104"/>
      <w:bookmarkEnd w:id="105"/>
    </w:p>
    <w:p w:rsidR="00DD791B" w:rsidRPr="00DF0680" w:rsidRDefault="00B84677" w:rsidP="00833F1B">
      <w:pPr>
        <w:rPr>
          <w:rFonts w:cs="Times New Roman"/>
        </w:rPr>
      </w:pPr>
      <w:r w:rsidRPr="00DF0680">
        <w:rPr>
          <w:rFonts w:cs="Times New Roman"/>
        </w:rPr>
        <w:t>S</w:t>
      </w:r>
      <w:r w:rsidR="005C5082" w:rsidRPr="00DF0680">
        <w:rPr>
          <w:rFonts w:cs="Times New Roman"/>
        </w:rPr>
        <w:t xml:space="preserve">low </w:t>
      </w:r>
      <w:r w:rsidRPr="00DF0680">
        <w:rPr>
          <w:rFonts w:cs="Times New Roman"/>
        </w:rPr>
        <w:t>g</w:t>
      </w:r>
      <w:r w:rsidR="005C5082" w:rsidRPr="00DF0680">
        <w:rPr>
          <w:rFonts w:cs="Times New Roman"/>
        </w:rPr>
        <w:t xml:space="preserve">rowth </w:t>
      </w:r>
      <w:r w:rsidRPr="00DF0680">
        <w:rPr>
          <w:rFonts w:cs="Times New Roman"/>
        </w:rPr>
        <w:t>s</w:t>
      </w:r>
      <w:r w:rsidR="005C5082" w:rsidRPr="00DF0680">
        <w:rPr>
          <w:rFonts w:cs="Times New Roman"/>
        </w:rPr>
        <w:t xml:space="preserve">uppressor </w:t>
      </w:r>
      <w:r w:rsidRPr="00DF0680">
        <w:rPr>
          <w:rFonts w:cs="Times New Roman"/>
        </w:rPr>
        <w:t xml:space="preserve">1 </w:t>
      </w:r>
      <w:r w:rsidR="005C5082" w:rsidRPr="00DF0680">
        <w:rPr>
          <w:rFonts w:cs="Times New Roman"/>
        </w:rPr>
        <w:t>(</w:t>
      </w:r>
      <w:r w:rsidR="005C5082" w:rsidRPr="00DF0680">
        <w:rPr>
          <w:rFonts w:cs="Times New Roman"/>
          <w:i/>
        </w:rPr>
        <w:t>Sgs1</w:t>
      </w:r>
      <w:r w:rsidR="005C5082" w:rsidRPr="00DF0680">
        <w:rPr>
          <w:rFonts w:cs="Times New Roman"/>
        </w:rPr>
        <w:t xml:space="preserve">) </w:t>
      </w:r>
      <w:r w:rsidRPr="00DF0680">
        <w:rPr>
          <w:rFonts w:cs="Times New Roman"/>
        </w:rPr>
        <w:t xml:space="preserve">was initially identified </w:t>
      </w:r>
      <w:r w:rsidR="00593B52" w:rsidRPr="00DF0680">
        <w:rPr>
          <w:rFonts w:cs="Times New Roman"/>
        </w:rPr>
        <w:t xml:space="preserve">in </w:t>
      </w:r>
      <w:r w:rsidR="00593B52" w:rsidRPr="00DF0680">
        <w:rPr>
          <w:rFonts w:cs="Times New Roman"/>
          <w:i/>
        </w:rPr>
        <w:t>Saccharomyces cerevisiae</w:t>
      </w:r>
      <w:r w:rsidR="00593B52" w:rsidRPr="00DF0680">
        <w:rPr>
          <w:rFonts w:cs="Times New Roman"/>
        </w:rPr>
        <w:t xml:space="preserve"> </w:t>
      </w:r>
      <w:r w:rsidRPr="00DF0680">
        <w:rPr>
          <w:rFonts w:cs="Times New Roman"/>
        </w:rPr>
        <w:t xml:space="preserve">as an </w:t>
      </w:r>
      <w:r w:rsidR="00B77100" w:rsidRPr="00DF0680">
        <w:rPr>
          <w:rFonts w:cs="Times New Roman"/>
          <w:i/>
        </w:rPr>
        <w:t>E. coli</w:t>
      </w:r>
      <w:r w:rsidRPr="00DF0680">
        <w:rPr>
          <w:rFonts w:cs="Times New Roman"/>
          <w:i/>
        </w:rPr>
        <w:t xml:space="preserve"> </w:t>
      </w:r>
      <w:r w:rsidRPr="00DF0680">
        <w:rPr>
          <w:rFonts w:cs="Times New Roman"/>
        </w:rPr>
        <w:t>RecQ homolog and was found to regulate chromosome segregation, binding to, and acting in the same pathway as, Topoisomerase II</w:t>
      </w:r>
      <w:r w:rsidR="000E03AC" w:rsidRPr="00DF0680">
        <w:rPr>
          <w:rFonts w:cs="Times New Roman"/>
        </w:rPr>
        <w:t xml:space="preserve"> and Topoisomerase III</w:t>
      </w:r>
      <w:r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"Watt", "given" : "PM", "non-dropping-particle" : "", "parse-names" : false, "suffix" : "" }, { "dropping-particle" : "", "family" : "Louis", "given" : "EJ", "non-dropping-particle" : "", "parse-names" : false, "suffix" : "" }, { "dropping-particle" : "", "family" : "Borts", "given" : "RH", "non-dropping-particle" : "", "parse-names" : false, "suffix" : "" }, { "dropping-particle" : "", "family" : "Hickson", "given" : "ID", "non-dropping-particle" : "", "parse-names" : false, "suffix" : "" } ], "container-title" : "Cell", "id" : "ITEM-1", "issue" : "2", "issued" : { "date-parts" : [ [ "1995" ] ] }, "page" : "253-260", "title" : "Sgs1: a eukaryotic homolog of E. coli RecQ that interacts with topoisomerase II in vivo and is required for faithful chromosome segregation.", "type" : "article-journal", "volume" : "81" }, "uris" : [ "http://www.mendeley.com/documents/?uuid=6d85bf94-e64f-4aed-922d-9c181ca9536e" ] }, { "id" : "ITEM-2", "itemData" : { "DOI" : "10.1128/MCB.14.12.8391.Updated", "author" : [ { "dropping-particle" : "", "family" : "Gangloff", "given" : "Serge", "non-dropping-particle" : "", "parse-names" : false, "suffix" : "" }, { "dropping-particle" : "", "family" : "McDonald", "given" : "JP", "non-dropping-particle" : "", "parse-names" : false, "suffix" : "" } ], "container-title" : "Molecular and Cellular Biology", "id" : "ITEM-2", "issue" : "12", "issued" : { "date-parts" : [ [ "1994" ] ] }, "title" : "The yeast type I topoisomerase Top3 interacts with Sgs1, a DNA helicase homolog: a potential eukaryotic reverse gyrase.", "type" : "article-journal", "volume" : "14" }, "uris" : [ "http://www.mendeley.com/documents/?uuid=ecb1f45f-67a8-4f1c-ae29-826218f22a0b" ] }, { "id" : "ITEM-3", "itemData" : { "author" : [ { "dropping-particle" : "", "family" : "Ng", "given" : "SW", "non-dropping-particle" : "", "parse-names" : false, "suffix" : "" }, { "dropping-particle" : "", "family" : "Liu", "given" : "Yan", "non-dropping-particle" : "", "parse-names" : false, "suffix" : "" }, { "dropping-particle" : "", "family" : "Hasselblatt", "given" : "KT", "non-dropping-particle" : "", "parse-names" : false, "suffix" : "" } ], "container-title" : "Nucleic Acids Research", "id" : "ITEM-3", "issue" : "4", "issued" : { "date-parts" : [ [ "1999" ] ] }, "page" : "993-1000", "title" : "A new human topoisomerase III that interacts with SGS1 protein", "type" : "article-journal", "volume" : "27" }, "uris" : [ "http://www.mendeley.com/documents/?uuid=e230c081-6d9e-4fe7-a2e9-66a38dc4a240" ] } ], "mendeley" : { "formattedCitation" : "(Watt et al. 1995; Gangloff &amp; McDonald 1994; Ng et al. 1999)", "plainTextFormattedCitation" : "(Watt et al. 1995; Gangloff &amp; McDonald 1994; Ng et al. 1999)", "previouslyFormattedCitation" : "(Watt et al. 1995; Gangloff &amp; McDonald 1994; Ng et al. 1999)"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(Watt et al. 1995; Gangloff &amp; McDonald 1994; Ng et al. 1999)</w:t>
      </w:r>
      <w:r w:rsidR="00F20EC0" w:rsidRPr="00DF0680">
        <w:rPr>
          <w:rFonts w:cs="Times New Roman"/>
        </w:rPr>
        <w:fldChar w:fldCharType="end"/>
      </w:r>
      <w:r w:rsidRPr="00DF0680">
        <w:rPr>
          <w:rFonts w:cs="Times New Roman"/>
        </w:rPr>
        <w:t xml:space="preserve">. </w:t>
      </w:r>
      <w:r w:rsidR="00593B52" w:rsidRPr="00DF0680">
        <w:rPr>
          <w:rFonts w:cs="Times New Roman"/>
        </w:rPr>
        <w:t xml:space="preserve">Like the </w:t>
      </w:r>
      <w:r w:rsidR="00B77100" w:rsidRPr="00DF0680">
        <w:rPr>
          <w:rFonts w:cs="Times New Roman"/>
          <w:i/>
        </w:rPr>
        <w:t>E. coli</w:t>
      </w:r>
      <w:r w:rsidR="00593B52" w:rsidRPr="00DF0680">
        <w:rPr>
          <w:rFonts w:cs="Times New Roman"/>
        </w:rPr>
        <w:t xml:space="preserve"> RecQ,</w:t>
      </w:r>
      <w:r w:rsidR="008E15FE" w:rsidRPr="00DF0680">
        <w:rPr>
          <w:rFonts w:cs="Times New Roman"/>
        </w:rPr>
        <w:t xml:space="preserve"> </w:t>
      </w:r>
      <w:r w:rsidR="00593B52" w:rsidRPr="00DF0680">
        <w:rPr>
          <w:rFonts w:cs="Times New Roman"/>
        </w:rPr>
        <w:t>Sgs1 helicase has DNA-dependant ATPase activity and unwinds DNA in a 3’ to 5’ direction, but prefers binding to forked substrates</w:t>
      </w:r>
      <w:r w:rsidR="00E90BBA" w:rsidRPr="00DF0680">
        <w:rPr>
          <w:rFonts w:cs="Times New Roman"/>
        </w:rPr>
        <w:t xml:space="preserve"> </w:t>
      </w:r>
      <w:r w:rsidR="00E90BBA" w:rsidRPr="00DF0680">
        <w:rPr>
          <w:rFonts w:cs="Times New Roman"/>
          <w:i/>
        </w:rPr>
        <w:t>in vitro</w:t>
      </w:r>
      <w:r w:rsidR="00593B52"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"10.1074/jbc.273.16.9644", "ISBN" : "6174951901", "ISSN" : "00219258", "author" : [ { "dropping-particle" : "", "family" : "Bennett", "given" : "R. J.", "non-dropping-particle" : "", "parse-names" : false, "suffix" : "" } ], "container-title" : "Journal of Biological Chemistry", "id" : "ITEM-1", "issue" : "16", "issued" : { "date-parts" : [ [ "1998", "4", "17" ] ] }, "page" : "9644-9650", "title" : "Purification and Characterization of the Sgs1 DNA Helicase Activity of Saccharomyces cerevisiae", "type" : "article-journal", "volume" : "273" }, "uris" : [ "http://www.mendeley.com/documents/?uuid=4b1e2d4a-fe64-4d3b-8575-2bde2468f068" ] } ], "mendeley" : { "formattedCitation" : "(Bennett 1998)", "plainTextFormattedCitation" : "(Bennett 1998)", "previouslyFormattedCitation" : "(Bennett 1998)"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(Bennett 1998)</w:t>
      </w:r>
      <w:r w:rsidR="00F20EC0" w:rsidRPr="00DF0680">
        <w:rPr>
          <w:rFonts w:cs="Times New Roman"/>
        </w:rPr>
        <w:fldChar w:fldCharType="end"/>
      </w:r>
      <w:r w:rsidR="00593B52" w:rsidRPr="00DF0680">
        <w:rPr>
          <w:rFonts w:cs="Times New Roman"/>
        </w:rPr>
        <w:t xml:space="preserve">. </w:t>
      </w:r>
      <w:r w:rsidR="00833F1B" w:rsidRPr="00DF0680">
        <w:rPr>
          <w:rFonts w:cs="Times New Roman"/>
        </w:rPr>
        <w:t xml:space="preserve">Mutation of Sgs1 was found to cause a mitotic hyperrecombination phenotype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"Watt", "given" : "PM", "non-dropping-particle" : "", "parse-names" : false, "suffix" : "" }, { "dropping-particle" : "", "family" : "Hickson", "given" : "ID", "non-dropping-particle" : "", "parse-names" : false, "suffix" : "" }, { "dropping-particle" : "", "family" : "Borts", "given" : "RH", "non-dropping-particle" : "", "parse-names" : false, "suffix" : "" }, { "dropping-particle" : "", "family" : "Louis", "given" : "EJ", "non-dropping-particle" : "", "parse-names" : false, "suffix" : "" } ], "container-title" : "Genetics", "id" : "ITEM-1", "issue" : "3", "issued" : { "date-parts" : [ [ "1996" ] ] }, "page" : "935-45", "title" : "SGS1, a homologue of the Bloom's and Werner's syndrome genes, is required for maintenance of genome stability in Saccharomyces cerevisiae", "type" : "article-journal", "volume" : "144" }, "uris" : [ "http://www.mendeley.com/documents/?uuid=abecfc19-9892-40e1-86f9-7de1c618e49d" ] } ], "mendeley" : { "formattedCitation" : "(Watt et al. 1996)", "plainTextFormattedCitation" : "(Watt et al. 1996)", "previouslyFormattedCitation" : "(Watt et al. 1996)"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(Watt et al. 1996)</w:t>
      </w:r>
      <w:r w:rsidR="00F20EC0" w:rsidRPr="00DF0680">
        <w:rPr>
          <w:rFonts w:cs="Times New Roman"/>
        </w:rPr>
        <w:fldChar w:fldCharType="end"/>
      </w:r>
      <w:r w:rsidR="00902FFB" w:rsidRPr="00DF0680">
        <w:rPr>
          <w:rFonts w:cs="Times New Roman"/>
        </w:rPr>
        <w:t xml:space="preserve"> and cells without Sgs1 are more sensitive to ionizing and ultraviolet radiation </w:t>
      </w:r>
      <w:r w:rsidR="00F20EC0" w:rsidRPr="00DF0680">
        <w:rPr>
          <w:rFonts w:cs="Times New Roman"/>
        </w:rPr>
        <w:fldChar w:fldCharType="begin" w:fldLock="1"/>
      </w:r>
      <w:r w:rsidR="00332613" w:rsidRPr="00DF0680">
        <w:rPr>
          <w:rFonts w:cs="Times New Roman"/>
        </w:rPr>
        <w:instrText>ADDIN CSL_CITATION { "citationItems" : [ { "id" : "ITEM-1", "itemData" : { "DOI" : "10.1038/76055", "ISSN" : "1061-4036", "PMID" : "10835635", "abstract" : "DNA helicases are involved in many aspects of DNA metabolism, including transcription, replication, recombination and repair. In the yeast Saccharomyces cerevisiae, the absence of the Sgs1 helicase results in genomic instability and accelerated ageing. In human cells, mutations in orthologues of SGS1 lead to Bloom (BS), Werner (WS) or Rothmund-Thomson (RTS) syndromes, which are rare, autosomal recessive diseases characterized by genetic instability associated with cancer predisposition. Although data concerning these human diseases are accumulating, there is still no clear idea of the function of the proteins involved. Here we show that sgs1Delta mutants are deficient in DNA repair and are defective for induced recombination events that involve homologous chromosomes. The role of homologous recombination is further evidenced in haploid cells in which both Sgs1p and Srs2p are absent. Yeast SRS2 encodes another DNA helicase involved in the maintenance of genome integrity. Our data suggest that some defects observed in BS, WS or RTS are the consequence of unrestrained recombination.", "author" : [ { "dropping-particle" : "", "family" : "Gangloff", "given" : "S", "non-dropping-particle" : "", "parse-names" : false, "suffix" : "" }, { "dropping-particle" : "", "family" : "Soustelle", "given" : "C", "non-dropping-particle" : "", "parse-names" : false, "suffix" : "" }, { "dropping-particle" : "", "family" : "Fabre", "given" : "F", "non-dropping-particle" : "", "parse-names" : false, "suffix" : "" } ], "container-title" : "Nature Genetics", "id" : "ITEM-1", "issue" : "2", "issued" : { "date-parts" : [ [ "2000", "6" ] ] }, "page" : "192-4", "title" : "Homologous recombination is responsible for cell death in the absence of the Sgs1 and Srs2 helicases.", "type" : "article-journal", "volume" : "25" }, "uris" : [ "http://www.mendeley.com/documents/?uuid=204e4d3d-a6f6-4931-80b2-48ffc526de8e" ] } ], "mendeley" : { "formattedCitation" : "(Gangloff et al. 2000)", "plainTextFormattedCitation" : "(Gangloff et al. 2000)", "previouslyFormattedCitation" : "(Gangloff et al.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(Gangloff et al. 2000)</w:t>
      </w:r>
      <w:r w:rsidR="00F20EC0" w:rsidRPr="00DF0680">
        <w:rPr>
          <w:rFonts w:cs="Times New Roman"/>
        </w:rPr>
        <w:fldChar w:fldCharType="end"/>
      </w:r>
      <w:r w:rsidR="00902FFB" w:rsidRPr="00DF0680">
        <w:rPr>
          <w:rFonts w:cs="Times New Roman"/>
        </w:rPr>
        <w:t xml:space="preserve">. </w:t>
      </w:r>
      <w:r w:rsidR="002C1BBD" w:rsidRPr="00DF0680">
        <w:rPr>
          <w:rFonts w:cs="Times New Roman"/>
        </w:rPr>
        <w:t>S</w:t>
      </w:r>
      <w:r w:rsidR="008749CD" w:rsidRPr="00DF0680">
        <w:rPr>
          <w:rFonts w:cs="Times New Roman"/>
        </w:rPr>
        <w:t>gs1 was also suggested to work o</w:t>
      </w:r>
      <w:r w:rsidR="002C1BBD" w:rsidRPr="00DF0680">
        <w:rPr>
          <w:rFonts w:cs="Times New Roman"/>
        </w:rPr>
        <w:t xml:space="preserve">n the same pathway as another helicase Srs2 as double mutants drastically reduced growth rates and plating efficiency </w:t>
      </w:r>
      <w:r w:rsidR="00F20EC0" w:rsidRPr="00DF0680">
        <w:rPr>
          <w:rFonts w:cs="Times New Roman"/>
        </w:rPr>
        <w:fldChar w:fldCharType="begin" w:fldLock="1"/>
      </w:r>
      <w:r w:rsidR="00332613" w:rsidRPr="00DF0680">
        <w:rPr>
          <w:rFonts w:cs="Times New Roman"/>
        </w:rPr>
        <w:instrText>ADDIN CSL_CITATION { "citationItems" : [ { "id" : "ITEM-1", "itemData" : { "DOI" : "10.1038/76055", "ISSN" : "1061-4036", "PMID" : "10835635", "abstract" : "DNA helicases are involved in many aspects of DNA metabolism, including transcription, replication, recombination and repair. In the yeast Saccharomyces cerevisiae, the absence of the Sgs1 helicase results in genomic instability and accelerated ageing. In human cells, mutations in orthologues of SGS1 lead to Bloom (BS), Werner (WS) or Rothmund-Thomson (RTS) syndromes, which are rare, autosomal recessive diseases characterized by genetic instability associated with cancer predisposition. Although data concerning these human diseases are accumulating, there is still no clear idea of the function of the proteins involved. Here we show that sgs1Delta mutants are deficient in DNA repair and are defective for induced recombination events that involve homologous chromosomes. The role of homologous recombination is further evidenced in haploid cells in which both Sgs1p and Srs2p are absent. Yeast SRS2 encodes another DNA helicase involved in the maintenance of genome integrity. Our data suggest that some defects observed in BS, WS or RTS are the consequence of unrestrained recombination.", "author" : [ { "dropping-particle" : "", "family" : "Gangloff", "given" : "S", "non-dropping-particle" : "", "parse-names" : false, "suffix" : "" }, { "dropping-particle" : "", "family" : "Soustelle", "given" : "C", "non-dropping-particle" : "", "parse-names" : false, "suffix" : "" }, { "dropping-particle" : "", "family" : "Fabre", "given" : "F", "non-dropping-particle" : "", "parse-names" : false, "suffix" : "" } ], "container-title" : "Nature Genetics", "id" : "ITEM-1", "issue" : "2", "issued" : { "date-parts" : [ [ "2000", "6" ] ] }, "page" : "192-4", "title" : "Homologous recombination is responsible for cell death in the absence of the Sgs1 and Srs2 helicases.", "type" : "article-journal", "volume" : "25" }, "uris" : [ "http://www.mendeley.com/documents/?uuid=204e4d3d-a6f6-4931-80b2-48ffc526de8e" ] }, { "id" : "ITEM-2", "itemData" : { "author" : [ { "dropping-particle" : "", "family" : "Rong", "given" : "Lei", "non-dropping-particle" : "", "parse-names" : false, "suffix" : "" }, { "dropping-particle" : "", "family" : "Klein", "given" : "HL", "non-dropping-particle" : "", "parse-names" : false, "suffix" : "" } ], "container-title" : "Journal of Biological Chemistry", "id" : "ITEM-2", "issue" : "2", "issued" : { "date-parts" : [ [ "1993" ] ] }, "page" : "1252-1259", "title" : "Purification and characterization of the SRS2 DNA helicase of the yeast Saccharomyces cerevisiae.", "type" : "article-journal", "volume" : "268" }, "uris" : [ "http://www.mendeley.com/documents/?uuid=1fab2d59-af7e-46f3-a672-511b29d783d9" ] } ], "mendeley" : { "formattedCitation" : "(Gangloff et al. 2000; Rong &amp; Klein 1993)", "plainTextFormattedCitation" : "(Gangloff et al. 2000; Rong &amp; Klein 1993)", "previouslyFormattedCitation" : "(Gangloff et al. 2000; Rong &amp; Klein 1993)"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(Gangloff et al. 2000; Rong &amp; Klein 1993)</w:t>
      </w:r>
      <w:r w:rsidR="00F20EC0" w:rsidRPr="00DF0680">
        <w:rPr>
          <w:rFonts w:cs="Times New Roman"/>
        </w:rPr>
        <w:fldChar w:fldCharType="end"/>
      </w:r>
      <w:r w:rsidR="00E90BBA" w:rsidRPr="00DF0680">
        <w:rPr>
          <w:rFonts w:cs="Times New Roman"/>
        </w:rPr>
        <w:t xml:space="preserve">. These experiments serve to highlight this RecQ helicase’s role in genome maintenance, cell viability and DNA damage repair. </w:t>
      </w:r>
    </w:p>
    <w:p w:rsidR="0074564B" w:rsidRPr="00DF0680" w:rsidRDefault="005808A6" w:rsidP="00833F1B">
      <w:pPr>
        <w:rPr>
          <w:rFonts w:cs="Times New Roman"/>
        </w:rPr>
      </w:pPr>
      <w:r w:rsidRPr="00DF0680">
        <w:rPr>
          <w:rFonts w:cs="Times New Roman"/>
        </w:rPr>
        <w:t xml:space="preserve">Mms4/Mus81 is a complex required in the absence of Sgs1 </w:t>
      </w:r>
      <w:r w:rsidR="00F20EC0" w:rsidRPr="00DF0680">
        <w:rPr>
          <w:rFonts w:cs="Times New Roman"/>
        </w:rPr>
        <w:fldChar w:fldCharType="begin" w:fldLock="1"/>
      </w:r>
      <w:r w:rsidR="00525765" w:rsidRPr="00DF0680">
        <w:rPr>
          <w:rFonts w:cs="Times New Roman"/>
        </w:rPr>
        <w:instrText>ADDIN CSL_CITATION { "citationItems" : [ { "id" : "ITEM-1", "itemData" : { "ISSN" : "0016-6731", "PMID" : "11139495", "abstract" : "The Saccharomyces cerevisiae Sgs1 protein is a member of the RecQ family of DNA helicases and is required for genome stability, but not cell viability. To identify proteins that function in the absence of Sgs1, a synthetic-lethal screen was performed. We obtained mutations in six complementation groups that we refer to as SLX genes. Most of the SLX genes encode uncharacterized open reading frames that are conserved in other species. None of these genes is required for viability and all SLX null mutations are synthetically lethal with mutations in TOP3, encoding the SGS1-interacting DNA topoisomerase. Analysis of the null mutants identified a pair of genes in each of three phenotypic classes. Mutations in MMS4 (SLX2) and SLX3 generate identical phenotypes, including weak UV and strong MMS hypersensitivity, complete loss of sporulation, and synthetic growth defects with mutations in TOP1. Mms4 and Slx3 proteins coimmunoprecipitate from cell extracts, suggesting that they function in a complex. Mutations in SLX5 and SLX8 generate hydroxyurea sensitivity, reduced sporulation efficiency, and a slow-growth phenotype characterized by heterogeneous colony morphology. The Slx5 and Slx8 proteins contain RING finger domains and coimmunoprecipitate from cell extracts. The SLX1 and SLX4 genes are required for viability in the presence of an sgs1 temperature-sensitive allele at the restrictive temperature and Slx1 and Slx4 proteins are similarly associated in cell extracts. We propose that the MMS4/SLX3, SLX5/8, and SLX1/4 gene pairs encode heterodimeric complexes and speculate that these complexes are required to resolve recombination intermediates that arise in response to DNA damage, during meiosis, and in the absence of SGS1/TOP3.", "author" : [ { "dropping-particle" : "", "family" : "Mullen", "given" : "J R", "non-dropping-particle" : "", "parse-names" : false, "suffix" : "" }, { "dropping-particle" : "", "family" : "Kaliraman", "given" : "V", "non-dropping-particle" : "", "parse-names" : false, "suffix" : "" }, { "dropping-particle" : "", "family" : "Ibrahim", "given" : "S S", "non-dropping-particle" : "", "parse-names" : false, "suffix" : "" }, { "dropping-particle" : "", "family" : "Brill", "given" : "S J", "non-dropping-particle" : "", "parse-names" : false, "suffix" : "" } ], "container-title" : "Genetics", "id" : "ITEM-1", "issue" : "1", "issued" : { "date-parts" : [ [ "2001", "1" ] ] }, "page" : "103-18", "title" : "Requirement for three novel protein complexes in the absence of the Sgs1 DNA helicase in Saccharomyces cerevisiae.", "type" : "article-journal", "volume" : "157" }, "uris" : [ "http://www.mendeley.com/documents/?uuid=558626f9-350f-48ae-adce-4f34218f1050" ] } ], "mendeley" : { "formattedCitation" : "(Mullen et al. 2001)", "plainTextFormattedCitation" : "(Mullen et al. 2001)", "previouslyFormattedCitation" : "(Mullen et al. 2001)"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(Mullen et al. 2001)</w:t>
      </w:r>
      <w:r w:rsidR="00F20EC0" w:rsidRPr="00DF0680">
        <w:rPr>
          <w:rFonts w:cs="Times New Roman"/>
        </w:rPr>
        <w:fldChar w:fldCharType="end"/>
      </w:r>
      <w:r w:rsidRPr="00DF0680">
        <w:rPr>
          <w:rFonts w:cs="Times New Roman"/>
        </w:rPr>
        <w:t xml:space="preserve">. Preferably functioning at replication fork structures, it is a nuclease that is thought to resolve stalled forks and generate DSBs, more so in the absence of Sgs1. It is this </w:t>
      </w:r>
      <w:r w:rsidR="008749CD" w:rsidRPr="00DF0680">
        <w:rPr>
          <w:rFonts w:cs="Times New Roman"/>
        </w:rPr>
        <w:t>repair of</w:t>
      </w:r>
      <w:r w:rsidRPr="00DF0680">
        <w:rPr>
          <w:rFonts w:cs="Times New Roman"/>
        </w:rPr>
        <w:t xml:space="preserve"> recombination </w:t>
      </w:r>
      <w:r w:rsidR="008749CD" w:rsidRPr="00DF0680">
        <w:rPr>
          <w:rFonts w:cs="Times New Roman"/>
        </w:rPr>
        <w:t>intermediates that is thought to contribute</w:t>
      </w:r>
      <w:r w:rsidRPr="00DF0680">
        <w:rPr>
          <w:rFonts w:cs="Times New Roman"/>
        </w:rPr>
        <w:t xml:space="preserve"> to the hyper-recombination phenotype seen in Sgs1 null cells </w:t>
      </w:r>
      <w:r w:rsidR="00F20EC0" w:rsidRPr="00DF0680">
        <w:rPr>
          <w:rFonts w:cs="Times New Roman"/>
        </w:rPr>
        <w:fldChar w:fldCharType="begin" w:fldLock="1"/>
      </w:r>
      <w:r w:rsidR="00332613" w:rsidRPr="00DF0680">
        <w:rPr>
          <w:rFonts w:cs="Times New Roman"/>
        </w:rPr>
        <w:instrText>ADDIN CSL_CITATION { "citationItems" : [ { "id" : "ITEM-1", "itemData" : { "DOI" : "10.1101/gad.932201", "ISSN" : "0890-9369", "PMID" : "11641278", "abstract" : "The RecQ DNA helicases, human BLM and yeast Sgs1, form a complex with topoisomerase III (Top3) and are thought to act during DNA replication to restart forks that have paused due to DNA damage or topological stress. We have shown previously that yeast cells lacking SGS1 or TOP3 require MMS4 and MUS81 for viability. Here we show that Mms4 and Mus81 form a heterodimeric structure-specific endonuclease that cleaves branched DNA. Both subunits are required for optimal expression, substrate binding, and nuclease activity. Mms4 and Mus81 are conserved proteins related to the Rad1-Rad10 (XPF/ERCC1) endonuclease required for nucleotide excision repair (NER). However, the Mms4-Mus81 endonuclease is 25 times more active on branched duplex DNA and replication fork substrates than simple Y-forms, the preferred substrate for the NER complexes. We also present genetic data that indicate a novel role for Mms4-Mus81 in meiotic recombination. Our results suggest that stalled replication forks are substrates for Mms4-Mus81 cleavage-particularly in the absence of Sgs1 or BLM. Repair of this double-strand break (DSB) by homologous recombination may be responsible for the elevated levels of sister chromatid exchange (SCE) found in BLM(-/-) cells.", "author" : [ { "dropping-particle" : "", "family" : "Kaliraman", "given" : "V", "non-dropping-particle" : "", "parse-names" : false, "suffix" : "" }, { "dropping-particle" : "", "family" : "Mullen", "given" : "J R", "non-dropping-particle" : "", "parse-names" : false, "suffix" : "" }, { "dropping-particle" : "", "family" : "Fricke", "given" : "W M", "non-dropping-particle" : "", "parse-names" : false, "suffix" : "" }, { "dropping-particle" : "", "family" : "Bastin-Shanower", "given" : "S a", "non-dropping-particle" : "", "parse-names" : false, "suffix" : "" }, { "dropping-particle" : "", "family" : "Brill", "given" : "S J", "non-dropping-particle" : "", "parse-names" : false, "suffix" : "" } ], "container-title" : "Genes &amp; Development", "id" : "ITEM-1", "issue" : "20", "issued" : { "date-parts" : [ [ "2001", "10", "15" ] ] }, "page" : "2730-40", "title" : "Functional overlap between Sgs1-Top3 and the Mms4-Mus81 endonuclease.", "type" : "article-journal", "volume" : "15" }, "uris" : [ "http://www.mendeley.com/documents/?uuid=ea467342-3fc9-493e-b009-fc40274dbef3" ] } ], "mendeley" : { "formattedCitation" : "(Kaliraman et al. 2001)", "plainTextFormattedCitation" : "(Kaliraman et al. 2001)", "previouslyFormattedCitation" : "(Kaliraman et al. 2001)"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(Kaliraman et al. 2001)</w:t>
      </w:r>
      <w:r w:rsidR="00F20EC0" w:rsidRPr="00DF0680">
        <w:rPr>
          <w:rFonts w:cs="Times New Roman"/>
        </w:rPr>
        <w:fldChar w:fldCharType="end"/>
      </w:r>
      <w:r w:rsidRPr="00DF0680">
        <w:rPr>
          <w:rFonts w:cs="Times New Roman"/>
        </w:rPr>
        <w:t xml:space="preserve">. </w:t>
      </w:r>
      <w:r w:rsidR="00DD791B" w:rsidRPr="00DF0680">
        <w:rPr>
          <w:rFonts w:cs="Times New Roman"/>
        </w:rPr>
        <w:t>In normal cells, Srs2 and Sgs1-Top3 suppre</w:t>
      </w:r>
      <w:r w:rsidR="008749CD" w:rsidRPr="00DF0680">
        <w:rPr>
          <w:rFonts w:cs="Times New Roman"/>
        </w:rPr>
        <w:t>ss</w:t>
      </w:r>
      <w:r w:rsidR="00DD791B" w:rsidRPr="00DF0680">
        <w:rPr>
          <w:rFonts w:cs="Times New Roman"/>
        </w:rPr>
        <w:t xml:space="preserve"> the number of crossovers formed by</w:t>
      </w:r>
      <w:r w:rsidR="005822DE" w:rsidRPr="00DF0680">
        <w:rPr>
          <w:rFonts w:cs="Times New Roman"/>
        </w:rPr>
        <w:t xml:space="preserve"> DSB repair and instead promote</w:t>
      </w:r>
      <w:r w:rsidR="00DD791B" w:rsidRPr="00DF0680">
        <w:rPr>
          <w:rFonts w:cs="Times New Roman"/>
        </w:rPr>
        <w:t xml:space="preserve"> synthesis-dependant strand-annealing </w:t>
      </w:r>
      <w:r w:rsidR="00F20EC0" w:rsidRPr="00DF0680">
        <w:rPr>
          <w:rFonts w:cs="Times New Roman"/>
        </w:rPr>
        <w:fldChar w:fldCharType="begin" w:fldLock="1"/>
      </w:r>
      <w:r w:rsidR="00525765" w:rsidRPr="00DF0680">
        <w:rPr>
          <w:rFonts w:cs="Times New Roman"/>
        </w:rPr>
        <w:instrText>ADDIN CSL_CITATION { "citationItems" : [ { "id" : "ITEM-1", "itemData" : { "DOI" : "10.1016/S0092-8674(03)00886-9", "ISSN" : "00928674", "author" : [ { "dropping-particle" : "", "family" : "Ira", "given" : "Grzegorz", "non-dropping-particle" : "", "parse-names" : false, "suffix" : "" }, { "dropping-particle" : "", "family" : "Malkova", "given" : "Anna", "non-dropping-particle" : "", "parse-names" : false, "suffix" : "" }, { "dropping-particle" : "", "family" : "Liberi", "given" : "Giordano", "non-dropping-particle" : "", "parse-names" : false, "suffix" : "" }, { "dropping-particle" : "", "family" : "Foiani", "given" : "Marco", "non-dropping-particle" : "", "parse-names" : false, "suffix" : "" }, { "dropping-particle" : "", "family" : "Haber", "given" : "James E.", "non-dropping-particle" : "", "parse-names" : false, "suffix" : "" } ], "container-title" : "Cell", "id" : "ITEM-1", "issue" : "4", "issued" : { "date-parts" : [ [ "2003", "11" ] ] }, "page" : "401-411", "title" : "Srs2 and Sgs1\u2013Top3 Suppress Crossovers during Double-Strand Break Repair in Yeast", "type" : "article-journal", "volume" : "115" }, "uris" : [ "http://www.mendeley.com/documents/?uuid=8d5bfc38-366e-4e49-8810-bdc81fd23981" ] } ], "mendeley" : { "formattedCitation" : "(Ira et al. 2003)", "plainTextFormattedCitation" : "(Ira et al. 2003)", "previouslyFormattedCitation" : "(Ira et al. 2003)"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(Ira et al. 2003)</w:t>
      </w:r>
      <w:r w:rsidR="00F20EC0" w:rsidRPr="00DF0680">
        <w:rPr>
          <w:rFonts w:cs="Times New Roman"/>
        </w:rPr>
        <w:fldChar w:fldCharType="end"/>
      </w:r>
      <w:r w:rsidR="00DD791B" w:rsidRPr="00DF0680">
        <w:rPr>
          <w:rFonts w:cs="Times New Roman"/>
        </w:rPr>
        <w:t xml:space="preserve">. </w:t>
      </w:r>
    </w:p>
    <w:p w:rsidR="0074564B" w:rsidRPr="00DF0680" w:rsidRDefault="0074564B" w:rsidP="00833F1B">
      <w:pPr>
        <w:rPr>
          <w:rFonts w:cs="Times New Roman"/>
        </w:rPr>
      </w:pPr>
      <w:r w:rsidRPr="00DF0680">
        <w:rPr>
          <w:rFonts w:cs="Times New Roman"/>
        </w:rPr>
        <w:t xml:space="preserve">Along with acting as a Holliday junction resolvase with Top3 </w:t>
      </w:r>
      <w:r w:rsidR="00F20EC0" w:rsidRPr="00DF0680">
        <w:rPr>
          <w:rFonts w:cs="Times New Roman"/>
        </w:rPr>
        <w:fldChar w:fldCharType="begin" w:fldLock="1"/>
      </w:r>
      <w:r w:rsidR="00332613" w:rsidRPr="00DF0680">
        <w:rPr>
          <w:rFonts w:cs="Times New Roman"/>
        </w:rPr>
        <w:instrText>ADDIN CSL_CITATION { "citationItems" : [ { "id" : "ITEM-1", "itemData" : { "DOI" : "10.1073/pnas.1014240108/-/DCSupplemental.www.pnas.org/cgi/doi/10.1073/pnas.1014240108", "author" : [ { "dropping-particle" : "", "family" : "Mankouri", "given" : "HW", "non-dropping-particle" : "", "parse-names" : false, "suffix" : "" } ], "container-title" : "Proceedings of the National Academy of Sciences", "id" : "ITEM-1", "issue" : "12", "issued" : { "date-parts" : [ [ "2011" ] ] }, "page" : "4944-9", "title" : "Holliday junction-containing DNA structures persist in cells lacking Sgs1 or Top3 following exposure to DNA damage", "type" : "article-journal", "volume" : "108" }, "uris" : [ "http://www.mendeley.com/documents/?uuid=75517511-09a9-4eb1-8a4d-65af4ac2ae9e" ] }, { "id" : "ITEM-2", "itemData" : { "DOI" : "10.1074/jbc.M109.083196", "ISSN" : "1083-351X", "PMID" : "20086270", "abstract" : "The highly conserved RecQ family of DNA helicases has multiple roles in the maintenance of genome stability. Sgs1, the single RecQ homologue in Saccharomyces cerevisiae, acts both early and late during homologous recombination. Here we present the expression, purification, and biochemical analysis of full-length Sgs1. Unlike the truncated form of Sgs1 characterized previously, full-length Sgs1 binds diverse single-stranded and double-stranded DNA substrates, including DNA duplexes with 5'- and 3'-single-stranded DNA overhangs. Similarly, Sgs1 unwinds a variety of DNA substrates, including blunt-ended duplex DNA. Significantly, a substrate containing a Holliday junction is unwound most efficiently. DNA unwinding is catalytic, requires ATP, and is stimulated by replication protein A. Unlike RecQ homologues from multicellular organisms, Sgs1 is remarkably active at picomolar concentrations and can efficiently unwind duplex DNA molecules as long as 23,000 base pairs. Our analysis shows that Sgs1 resembles Escherichia coli RecQ protein more than any of the human RecQ homologues with regard to its helicase activity. The full-length recombinant protein will be invaluable for further investigation of Sgs1 biochemistry.", "author" : [ { "dropping-particle" : "", "family" : "Cejka", "given" : "Petr", "non-dropping-particle" : "", "parse-names" : false, "suffix" : "" }, { "dropping-particle" : "", "family" : "Kowalczykowski", "given" : "Stephen C", "non-dropping-particle" : "", "parse-names" : false, "suffix" : "" } ], "container-title" : "The Journal of Biological Chemistry", "id" : "ITEM-2", "issue" : "11", "issued" : { "date-parts" : [ [ "2010", "3", "12" ] ] }, "page" : "8290-301", "title" : "The full-length Saccharomyces cerevisiae Sgs1 protein is a vigorous DNA helicase that preferentially unwinds holliday junctions.", "type" : "article-journal", "volume" : "285" }, "uris" : [ "http://www.mendeley.com/documents/?uuid=320a3d98-bb62-4ea2-b9a7-4ff3be83a8ce" ] } ], "mendeley" : { "formattedCitation" : "(Mankouri 2011; Cejka &amp; Kowalczykowski 2010)", "plainTextFormattedCitation" : "(Mankouri 2011; Cejka &amp; Kowalczykowski 2010)", "previouslyFormattedCitation" : "(Mankouri 2011; Cejka &amp; Kowalczykowski 2010)"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(Mankouri 2011; Cejka &amp; Kowalczykowski 2010)</w:t>
      </w:r>
      <w:r w:rsidR="00F20EC0" w:rsidRPr="00DF0680">
        <w:rPr>
          <w:rFonts w:cs="Times New Roman"/>
        </w:rPr>
        <w:fldChar w:fldCharType="end"/>
      </w:r>
      <w:r w:rsidRPr="00DF0680">
        <w:rPr>
          <w:rFonts w:cs="Times New Roman"/>
        </w:rPr>
        <w:t xml:space="preserve">, Sgs1 can also promote genetic stability by activating the S-phase checkpoint. It does so in a helicase and Top3 independent manner. The helicase binds to Rad53 and this checkpoint activating activity works in the same pathway as Mrc1 to stabilise the polymerases at the forks </w:t>
      </w:r>
      <w:r w:rsidR="00F20EC0" w:rsidRPr="00DF0680">
        <w:rPr>
          <w:rFonts w:cs="Times New Roman"/>
        </w:rPr>
        <w:fldChar w:fldCharType="begin" w:fldLock="1"/>
      </w:r>
      <w:r w:rsidR="00332613" w:rsidRPr="00DF0680">
        <w:rPr>
          <w:rFonts w:cs="Times New Roman"/>
        </w:rPr>
        <w:instrText>ADDIN CSL_CITATION { "citationItems" : [ { "id" : "ITEM-1", "itemData" : { "DOI" : "10.1038/sj.emboj.7600511", "ISSN" : "0261-4189", "PMID" : "15616582", "abstract" : "The RecQ helicase Sgs1p forms a complex with the type 1 DNA topoisomerase Top3p that resolves double Holliday junctions resulting from Rad51-mediated exchange. We find, however, that Sgs1p functions independently of both Top3p and Rad51p to stimulate the checkpoint kinase Rad53p when replication forks stall due to dNTP depletion on hydroxyurea. Checkpoint activation does not require Sgs1p function as a helicase, and correlates with its ability to bind the Rad53p kinase FHA1 motif directly. On the other hand, Sgs1p's helicase activity is required together with Top3p and the strand-exchange factor Rad51p, to help stabilise DNA polymerase epsilon at stalled replication forks. In this function, the Sgs1p/Top3p complex acts in parallel to the Claspin-related adaptor, Mrc1p, although the sgs1 and mrc1 mutations are epistatic for Rad53p activation. We thus identify two distinct pathways through which Sgs1p contributes to genomic integrity: checkpoint kinase activation requires Sgs1p as a noncatalytic Rad53p-binding site, while the combined Top3p/Sgs1p resolvase activity contributes to replisome stability and recovery from arrested replication forks.", "author" : [ { "dropping-particle" : "", "family" : "Bjergbaek", "given" : "Lotte", "non-dropping-particle" : "", "parse-names" : false, "suffix" : "" }, { "dropping-particle" : "", "family" : "Cobb", "given" : "Jennifer a", "non-dropping-particle" : "", "parse-names" : false, "suffix" : "" }, { "dropping-particle" : "", "family" : "Tsai-Pflugfelder", "given" : "Monica", "non-dropping-particle" : "", "parse-names" : false, "suffix" : "" }, { "dropping-particle" : "", "family" : "Gasser", "given" : "Susan M", "non-dropping-particle" : "", "parse-names" : false, "suffix" : "" } ], "container-title" : "The EMBO Journal", "id" : "ITEM-1", "issue" : "2", "issued" : { "date-parts" : [ [ "2005", "1", "26" ] ] }, "page" : "405-17", "title" : "Mechanistically distinct roles for Sgs1p in checkpoint activation and replication fork maintenance.", "type" : "article-journal", "volume" : "24" }, "uris" : [ "http://www.mendeley.com/documents/?uuid=1fef2494-8bad-4ee1-8440-0281fb9547de" ] } ], "mendeley" : { "formattedCitation" : "(Bjergbaek et al. 2005)", "plainTextFormattedCitation" : "(Bjergbaek et al. 2005)", "previouslyFormattedCitation" : "(Bjergbaek et al. 2005)"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(Bjergbaek et al. 2005)</w:t>
      </w:r>
      <w:r w:rsidR="00F20EC0" w:rsidRPr="00DF0680">
        <w:rPr>
          <w:rFonts w:cs="Times New Roman"/>
        </w:rPr>
        <w:fldChar w:fldCharType="end"/>
      </w:r>
      <w:r w:rsidRPr="00DF0680">
        <w:rPr>
          <w:rFonts w:cs="Times New Roman"/>
        </w:rPr>
        <w:t xml:space="preserve">. </w:t>
      </w:r>
    </w:p>
    <w:p w:rsidR="00833F1B" w:rsidRPr="00DF0680" w:rsidRDefault="006057C5" w:rsidP="00833F1B">
      <w:pPr>
        <w:rPr>
          <w:rFonts w:cs="Times New Roman"/>
        </w:rPr>
      </w:pPr>
      <w:r w:rsidRPr="00DF0680">
        <w:rPr>
          <w:rFonts w:cs="Times New Roman"/>
        </w:rPr>
        <w:lastRenderedPageBreak/>
        <w:t>Sgs1 can also function to promote homologous recombination through</w:t>
      </w:r>
      <w:r w:rsidR="00DD791B" w:rsidRPr="00DF0680">
        <w:rPr>
          <w:rFonts w:cs="Times New Roman"/>
        </w:rPr>
        <w:t xml:space="preserve"> DSB resection</w:t>
      </w:r>
      <w:r w:rsidRPr="00DF0680">
        <w:rPr>
          <w:rFonts w:cs="Times New Roman"/>
        </w:rPr>
        <w:t>,</w:t>
      </w:r>
      <w:r w:rsidR="00DD791B" w:rsidRPr="00DF0680">
        <w:rPr>
          <w:rFonts w:cs="Times New Roman"/>
        </w:rPr>
        <w:t xml:space="preserve"> working with Exo1 </w:t>
      </w:r>
      <w:r w:rsidR="00F20EC0" w:rsidRPr="00DF0680">
        <w:rPr>
          <w:rFonts w:cs="Times New Roman"/>
        </w:rPr>
        <w:fldChar w:fldCharType="begin" w:fldLock="1"/>
      </w:r>
      <w:r w:rsidR="00332613" w:rsidRPr="00DF0680">
        <w:rPr>
          <w:rFonts w:cs="Times New Roman"/>
        </w:rPr>
        <w:instrText>ADDIN CSL_CITATION { "citationItems" : [ { "id" : "ITEM-1", "itemData" : { "DOI" : "10.1101/gad.503108.Freely", "author" : [ { "dropping-particle" : "", "family" : "Gravel", "given" : "Serge", "non-dropping-particle" : "", "parse-names" : false, "suffix" : "" }, { "dropping-particle" : "", "family" : "Chapman", "given" : "JR", "non-dropping-particle" : "", "parse-names" : false, "suffix" : "" } ], "container-title" : "Genes &amp; Development", "id" : "ITEM-1", "issue" : "20", "issued" : { "date-parts" : [ [ "2008" ] ] }, "page" : "2767-2772", "title" : "DNA helicases Sgs1 and BLM promote DNA double-strand break resection", "type" : "article-journal", "volume" : "22" }, "uris" : [ "http://www.mendeley.com/documents/?uuid=fc0f2aef-81ba-40bf-8c1f-d2a0a2159cd3" ] }, { "id" : "ITEM-2", "itemData" : { "DOI" : "10.1038/nature07312", "ISSN" : "1476-4687", "PMID" : "18806779", "abstract" : "DNA ends exposed after introduction of double-strand breaks (DSBs) undergo 5'-3' nucleolytic degradation to generate single-stranded DNA, the substrate for binding by the Rad51 protein to initiate homologous recombination. This process is poorly understood in eukaryotes, but several factors have been implicated, including the Mre11 complex (Mre11-Rad50-Xrs2/NBS1), Sae2/CtIP/Ctp1 and Exo1. Here we demonstrate that yeast Exo1 nuclease and Sgs1 helicase function in alternative pathways for DSB processing. Novel, partially resected intermediates accumulate in a double mutant lacking Exo1 and Sgs1, which are poor substrates for homologous recombination. The early processing step that generates partly resected intermediates is dependent on Sae2. When Sae2 is absent, in addition to Exo1 and Sgs1, unprocessed DSBs accumulate and homology-dependent repair fails. These results suggest a two-step mechanism for DSB processing during homologous recombination. First, the Mre11 complex and Sae2 remove a small oligonucleotide(s) from the DNA ends to form an early intermediate. Second, Exo1 and/or Sgs1 rapidly process this intermediate to generate extensive tracts of single-stranded DNA that serve as substrate for Rad51.", "author" : [ { "dropping-particle" : "", "family" : "Mimitou", "given" : "Eleni P", "non-dropping-particle" : "", "parse-names" : false, "suffix" : "" }, { "dropping-particle" : "", "family" : "Symington", "given" : "Lorraine S", "non-dropping-particle" : "", "parse-names" : false, "suffix" : "" } ], "container-title" : "Nature", "id" : "ITEM-2", "issue" : "7214", "issued" : { "date-parts" : [ [ "2008", "10", "9" ] ] }, "page" : "770-4", "title" : "Sae2, Exo1 and Sgs1 collaborate in DNA double-strand break processing.", "type" : "article-journal", "volume" : "455" }, "uris" : [ "http://www.mendeley.com/documents/?uuid=ad899dd4-87fb-4a97-860d-d45d080c6416" ] }, { "id" : "ITEM-3", "itemData" : { "DOI" : "10.1016/j.cell.2008.08.037", "ISSN" : "1097-4172", "PMID" : "18805091", "abstract" : "Formation of single-strand DNA (ssDNA) tails at a double-strand break (DSB) is a key step in homologous recombination and DNA-damage signaling. The enzyme(s) producing ssDNA at DSBs in eukaryotes remain unknown. We monitored 5'-strand resection at inducible DSB ends in yeast and identified proteins required for two stages of resection: initiation and long-range 5'-strand resection. We show that the Mre11-Rad50-Xrs2 complex (MRX) initiates 5' degradation, whereas Sgs1 and Dna2 degrade 5' strands exposing long 3' strands. Deletion of SGS1 or DNA2 reduces resection and DSB repair by single-strand annealing between distant repeats while the remaining long-range resection activity depends on the exonuclease Exo1. In exo1Deltasgs1Delta double mutants, the MRX complex together with Sae2 nuclease generate, in a stepwise manner, only few hundred nucleotides of ssDNA at the break, resulting in inefficient gene conversion and G2/M damage checkpoint arrest. These results provide important insights into the early steps of DSB repair in eukaryotes.", "author" : [ { "dropping-particle" : "", "family" : "Zhu", "given" : "Zhu", "non-dropping-particle" : "", "parse-names" : false, "suffix" : "" }, { "dropping-particle" : "", "family" : "Chung", "given" : "Woo-Hyun", "non-dropping-particle" : "", "parse-names" : false, "suffix" : "" }, { "dropping-particle" : "", "family" : "Shim", "given" : "Eun Yong", "non-dropping-particle" : "", "parse-names" : false, "suffix" : "" }, { "dropping-particle" : "", "family" : "Lee", "given" : "Sang Eun", "non-dropping-particle" : "", "parse-names" : false, "suffix" : "" }, { "dropping-particle" : "", "family" : "Ira", "given" : "Grzegorz", "non-dropping-particle" : "", "parse-names" : false, "suffix" : "" } ], "container-title" : "Cell", "id" : "ITEM-3", "issue" : "6", "issued" : { "date-parts" : [ [ "2008", "9", "19" ] ] }, "page" : "981-94", "title" : "Sgs1 helicase and two nucleases Dna2 and Exo1 resect DNA double-strand break ends.", "type" : "article-journal", "volume" : "134" }, "uris" : [ "http://www.mendeley.com/documents/?uuid=971e863a-f00e-4149-b230-d6e7310c3b5b" ] } ], "mendeley" : { "formattedCitation" : "(Gravel &amp; Chapman 2008; Mimitou &amp; Symington 2008; Zhu et al. 2008)", "plainTextFormattedCitation" : "(Gravel &amp; Chapman 2008; Mimitou &amp; Symington 2008; Zhu et al. 2008)", "previouslyFormattedCitation" : "(Gravel &amp; Chapman 2008; Mimitou &amp; Symington 2008; Zhu et al. 2008)"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(Gravel &amp; Chapman 2008; Mimitou &amp; Symington 2008; Zhu et al. 2008)</w:t>
      </w:r>
      <w:r w:rsidR="00F20EC0" w:rsidRPr="00DF0680">
        <w:rPr>
          <w:rFonts w:cs="Times New Roman"/>
        </w:rPr>
        <w:fldChar w:fldCharType="end"/>
      </w:r>
      <w:r w:rsidR="00DD791B" w:rsidRPr="00DF0680">
        <w:rPr>
          <w:rFonts w:cs="Times New Roman"/>
        </w:rPr>
        <w:t>, generating long tracts of single stranded DNA that can</w:t>
      </w:r>
      <w:r w:rsidR="001C377C" w:rsidRPr="00DF0680">
        <w:rPr>
          <w:rFonts w:cs="Times New Roman"/>
        </w:rPr>
        <w:t xml:space="preserve"> be</w:t>
      </w:r>
      <w:r w:rsidR="00DD791B" w:rsidRPr="00DF0680">
        <w:rPr>
          <w:rFonts w:cs="Times New Roman"/>
        </w:rPr>
        <w:t xml:space="preserve"> used as a substrate for Rad51 and homologous recombination. </w:t>
      </w:r>
    </w:p>
    <w:p w:rsidR="00B84677" w:rsidRPr="00DF0680" w:rsidRDefault="006057C5" w:rsidP="006062F6">
      <w:pPr>
        <w:rPr>
          <w:rFonts w:cs="Times New Roman"/>
        </w:rPr>
      </w:pPr>
      <w:r w:rsidRPr="00DF0680">
        <w:rPr>
          <w:rFonts w:cs="Times New Roman"/>
        </w:rPr>
        <w:t xml:space="preserve">As well as promoting homologous recombination through strand resection and resolving Holliday junctions, </w:t>
      </w:r>
      <w:r w:rsidR="006062F6" w:rsidRPr="00DF0680">
        <w:rPr>
          <w:rFonts w:cs="Times New Roman"/>
        </w:rPr>
        <w:t>Sgs1’s role in m</w:t>
      </w:r>
      <w:r w:rsidR="00B84677" w:rsidRPr="00DF0680">
        <w:rPr>
          <w:rFonts w:cs="Times New Roman"/>
        </w:rPr>
        <w:t>eiosis</w:t>
      </w:r>
      <w:r w:rsidR="006062F6" w:rsidRPr="00DF0680">
        <w:rPr>
          <w:rFonts w:cs="Times New Roman"/>
        </w:rPr>
        <w:t xml:space="preserve"> </w:t>
      </w:r>
      <w:r w:rsidR="008749CD" w:rsidRPr="00DF0680">
        <w:rPr>
          <w:rFonts w:cs="Times New Roman"/>
        </w:rPr>
        <w:t>is to suppress</w:t>
      </w:r>
      <w:r w:rsidR="00631B9A" w:rsidRPr="00DF0680">
        <w:rPr>
          <w:rFonts w:cs="Times New Roman"/>
        </w:rPr>
        <w:t xml:space="preserve"> sister chromatid exchange</w:t>
      </w:r>
      <w:r w:rsidR="008749CD" w:rsidRPr="00DF0680">
        <w:rPr>
          <w:rFonts w:cs="Times New Roman"/>
        </w:rPr>
        <w:t>s</w:t>
      </w:r>
      <w:r w:rsidR="00631B9A" w:rsidRPr="00DF0680">
        <w:rPr>
          <w:rFonts w:cs="Times New Roman"/>
        </w:rPr>
        <w:t xml:space="preserve"> (SCE)</w:t>
      </w:r>
      <w:r w:rsidR="008749CD" w:rsidRPr="00DF0680">
        <w:rPr>
          <w:rFonts w:cs="Times New Roman"/>
        </w:rPr>
        <w:t xml:space="preserve"> by</w:t>
      </w:r>
      <w:r w:rsidR="00631B9A" w:rsidRPr="00DF0680">
        <w:rPr>
          <w:rFonts w:cs="Times New Roman"/>
        </w:rPr>
        <w:t xml:space="preserve"> inhibiting </w:t>
      </w:r>
      <w:r w:rsidR="008C3EA6" w:rsidRPr="00DF0680">
        <w:rPr>
          <w:rFonts w:cs="Times New Roman"/>
        </w:rPr>
        <w:t>meiotic hom</w:t>
      </w:r>
      <w:r w:rsidR="00631B9A" w:rsidRPr="00DF0680">
        <w:rPr>
          <w:rFonts w:cs="Times New Roman"/>
        </w:rPr>
        <w:t xml:space="preserve">ologous recombination. Losing Sgs1 increases unequal SCEs and decreases the frequency of meiosis I non-disjunction events possibly due to more recombination between chromatids </w:t>
      </w:r>
      <w:r w:rsidR="00F20EC0" w:rsidRPr="00DF0680">
        <w:rPr>
          <w:rFonts w:cs="Times New Roman"/>
        </w:rPr>
        <w:fldChar w:fldCharType="begin" w:fldLock="1"/>
      </w:r>
      <w:r w:rsidR="00332613" w:rsidRPr="00DF0680">
        <w:rPr>
          <w:rFonts w:cs="Times New Roman"/>
        </w:rPr>
        <w:instrText>ADDIN CSL_CITATION { "citationItems" : [ { "id" : "ITEM-1", "itemData" : { "DOI" : "10.1371/journal.pone.0015380", "ISSN" : "1932-6203", "PMID" : "21085703", "abstract" : "BACKGROUND: The Saccharomyces cerevisiae RecQ helicase Sgs1 is essential for mitotic and meiotic genome stability. The stage at which Sgs1 acts during meiosis is subject to debate. Cytological experiments showed that a deletion of SGS1 leads to an increase in synapsis initiation complexes and axial associations leading to the proposal that it has an early role in unwinding surplus strand invasion events. Physical studies of recombination intermediates implicate it in the dissolution of double Holliday junctions between sister chromatids.\n\nMETHODOLOGY/PRINCIPAL FINDINGS: In this work, we observed an increase in meiotic recombination between diverged sequences (homeologous recombination) and an increase in unequal sister chromatid events when SGS1 is deleted. The first of these observations is most consistent with an early role of Sgs1 in unwinding inappropriate strand invasion events while the second is consistent with unwinding or dissolution of recombination intermediates in an Mlh1- and Top3-dependent manner. We also provide data that suggest that Sgs1 is involved in the rejection of 'second strand capture' when sequence divergence is present. Finally, we have identified a novel class of tetrads where non-sister spores (pairs of spores where each contains a centromere marker from a different parent) are inviable. We propose a model for this unusual pattern of viability based on the inability of sgs1 mutants to untangle intertwined chromosomes. Our data suggest that this role of Sgs1 is not dependent on its interaction with Top3. We propose that in the absence of SGS1 chromosomes may sometimes remain entangled at the end of pre-meiotic replication. This, combined with reciprocal crossing over, could lead to physical destruction of the recombined and entangled chromosomes. We hypothesise that Sgs1, acting in concert with the topoisomerase Top2, resolves these structures.\n\nCONCLUSIONS: This work provides evidence that Sgs1 interacts with various partner proteins to maintain genome stability throughout meiosis.", "author" : [ { "dropping-particle" : "", "family" : "Amin", "given" : "Amit Dipak", "non-dropping-particle" : "", "parse-names" : false, "suffix" : "" }, { "dropping-particle" : "", "family" : "Chaix", "given" : "Alexandre B H", "non-dropping-particle" : "", "parse-names" : false, "suffix" : "" }, { "dropping-particle" : "", "family" : "Mason", "given" : "Robert P", "non-dropping-particle" : "", "parse-names" : false, "suffix" : "" }, { "dropping-particle" : "", "family" : "Badge", "given" : "Richard M", "non-dropping-particle" : "", "parse-names" : false, "suffix" : "" }, { "dropping-particle" : "", "family" : "Borts", "given" : "Rhona H", "non-dropping-particle" : "", "parse-names" : false, "suffix" : "" } ], "container-title" : "PloS One", "id" : "ITEM-1", "issue" : "11", "issued" : { "date-parts" : [ [ "2010", "1" ] ] }, "page" : "e15380", "title" : "The roles of the Saccharomyces cerevisiae RecQ helicase SGS1 in meiotic genome surveillance.", "type" : "article-journal", "volume" : "5" }, "uris" : [ "http://www.mendeley.com/documents/?uuid=45702a3b-df5d-46c4-9aea-b4cf0e95e112" ] } ], "mendeley" : { "formattedCitation" : "(Amin et al. 2010)", "plainTextFormattedCitation" : "(Amin et al. 2010)", "previouslyFormattedCitation" : "(Amin et al. 2010)"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(Amin et al. 2010)</w:t>
      </w:r>
      <w:r w:rsidR="00F20EC0" w:rsidRPr="00DF0680">
        <w:rPr>
          <w:rFonts w:cs="Times New Roman"/>
        </w:rPr>
        <w:fldChar w:fldCharType="end"/>
      </w:r>
      <w:r w:rsidR="00631B9A" w:rsidRPr="00DF0680">
        <w:rPr>
          <w:rFonts w:cs="Times New Roman"/>
        </w:rPr>
        <w:t xml:space="preserve">. </w:t>
      </w:r>
    </w:p>
    <w:p w:rsidR="009E3E35" w:rsidRPr="00DF0680" w:rsidRDefault="00B84677" w:rsidP="00322268">
      <w:pPr>
        <w:rPr>
          <w:rFonts w:cs="Times New Roman"/>
        </w:rPr>
      </w:pPr>
      <w:r w:rsidRPr="00DF0680">
        <w:rPr>
          <w:rFonts w:cs="Times New Roman"/>
        </w:rPr>
        <w:t xml:space="preserve">Sgs1 mutants in </w:t>
      </w:r>
      <w:r w:rsidR="003263CF" w:rsidRPr="00DF0680">
        <w:rPr>
          <w:rFonts w:cs="Times New Roman"/>
          <w:i/>
        </w:rPr>
        <w:t>S</w:t>
      </w:r>
      <w:r w:rsidRPr="00DF0680">
        <w:rPr>
          <w:rFonts w:cs="Times New Roman"/>
          <w:i/>
        </w:rPr>
        <w:t>acchromyces cerevisiae</w:t>
      </w:r>
      <w:r w:rsidRPr="00DF0680">
        <w:rPr>
          <w:rFonts w:cs="Times New Roman"/>
        </w:rPr>
        <w:t xml:space="preserve"> prematurely a</w:t>
      </w:r>
      <w:r w:rsidR="00F77DC7" w:rsidRPr="00DF0680">
        <w:rPr>
          <w:rFonts w:cs="Times New Roman"/>
        </w:rPr>
        <w:t>cquire age-associated sterility and</w:t>
      </w:r>
      <w:r w:rsidRPr="00DF0680">
        <w:rPr>
          <w:rFonts w:cs="Times New Roman"/>
        </w:rPr>
        <w:t xml:space="preserve"> life span is approximately 40% of that of wild-type (counted </w:t>
      </w:r>
      <w:r w:rsidR="00F77DC7" w:rsidRPr="00DF0680">
        <w:rPr>
          <w:rFonts w:cs="Times New Roman"/>
        </w:rPr>
        <w:t xml:space="preserve">by </w:t>
      </w:r>
      <w:r w:rsidRPr="00DF0680">
        <w:rPr>
          <w:rFonts w:cs="Times New Roman"/>
        </w:rPr>
        <w:t>ave</w:t>
      </w:r>
      <w:r w:rsidR="00F77DC7" w:rsidRPr="00DF0680">
        <w:rPr>
          <w:rFonts w:cs="Times New Roman"/>
        </w:rPr>
        <w:t>rage number of cell divisions)</w:t>
      </w:r>
      <w:r w:rsidRPr="00DF0680">
        <w:rPr>
          <w:rFonts w:cs="Times New Roman"/>
        </w:rPr>
        <w:t xml:space="preserve"> </w:t>
      </w:r>
      <w:r w:rsidR="00F20EC0" w:rsidRPr="00DF0680">
        <w:rPr>
          <w:rFonts w:cs="Times New Roman"/>
        </w:rPr>
        <w:fldChar w:fldCharType="begin" w:fldLock="1"/>
      </w:r>
      <w:r w:rsidR="00525765" w:rsidRPr="00DF0680">
        <w:rPr>
          <w:rFonts w:cs="Times New Roman"/>
        </w:rPr>
        <w:instrText>ADDIN CSL_CITATION { "citationItems" : [ { "id" : "ITEM-1", "itemData" : { "DOI" : "10.1126/science.277.5330.1313", "ISSN" : "00368075", "author" : [ { "dropping-particle" : "", "family" : "Sinclair", "given" : "D. a.", "non-dropping-particle" : "", "parse-names" : false, "suffix" : "" } ], "container-title" : "Science", "id" : "ITEM-1", "issue" : "5330", "issued" : { "date-parts" : [ [ "1997", "8", "29" ] ] }, "page" : "1313-1316", "title" : "Accelerated Aging and Nucleolar Fragmentation in Yeast sgs1 Mutants", "type" : "article-journal", "volume" : "277" }, "uris" : [ "http://www.mendeley.com/documents/?uuid=b5a7f63a-dd5f-4025-919a-8173946c3365" ] } ], "mendeley" : { "formattedCitation" : "(Sinclair 1997)", "plainTextFormattedCitation" : "(Sinclair 1997)", "previouslyFormattedCitation" : "(Sinclair 1997)"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(Sinclair 1997)</w:t>
      </w:r>
      <w:r w:rsidR="00F20EC0" w:rsidRPr="00DF0680">
        <w:rPr>
          <w:rFonts w:cs="Times New Roman"/>
        </w:rPr>
        <w:fldChar w:fldCharType="end"/>
      </w:r>
      <w:r w:rsidR="006057C5" w:rsidRPr="00DF0680">
        <w:rPr>
          <w:rFonts w:cs="Times New Roman"/>
        </w:rPr>
        <w:t>, highlighting a role for Sgs1 in ageing</w:t>
      </w:r>
      <w:r w:rsidRPr="00DF0680">
        <w:rPr>
          <w:rFonts w:cs="Times New Roman"/>
        </w:rPr>
        <w:t xml:space="preserve">. It has also been shown that Sgs1 has a role in telomere maintenance and elongation in cells lacking telomerase </w:t>
      </w:r>
      <w:r w:rsidR="00F20EC0" w:rsidRPr="00DF0680">
        <w:rPr>
          <w:rFonts w:cs="Times New Roman"/>
        </w:rPr>
        <w:fldChar w:fldCharType="begin" w:fldLock="1"/>
      </w:r>
      <w:r w:rsidR="00332613" w:rsidRPr="00DF0680">
        <w:rPr>
          <w:rFonts w:cs="Times New Roman"/>
        </w:rPr>
        <w:instrText>ADDIN CSL_CITATION { "citationItems" : [ { "id" : "ITEM-1", "itemData" : { "DOI" : "10.1093/emboj/20.4.905", "ISSN" : "0261-4189", "PMID" : "11179234", "abstract" : "Werner syndrome (WS) is marked by early onset of features resembling aging, and is caused by loss of the RecQ family DNA helicase WRN. Precisely how loss of WRN leads to the phenotypes of WS is unknown. Cultured WS fibroblasts shorten their telomeres at an increased rate per population doubling and the premature senescence this loss induces can be bypassed by telomerase. Here we show that WRN co-localizes with telomeric factors in telomerase-independent immortalized human cells, and further that the budding yeast RecQ family helicase Sgs1p influences telomere metabolism in yeast cells lacking telomerase. Telomerase-deficient sgs1 mutants show increased rates of growth arrest in the G2/M phase of the cell cycle as telomeres shorten. In addition, telomerase-deficient sgs1 mutants have a defect in their ability to generate survivors of senescence that amplify telomeric TG1-3 repeats, and SGS1 functions in parallel with the recombination gene RAD51 to generate survivors. Our findings indicate that Sgs1p and WRN function in telomere maintenance, and suggest that telomere defects contribute to the pathogenesis of WS and perhaps other RecQ helicase diseases.", "author" : [ { "dropping-particle" : "", "family" : "Johnson", "given" : "F B", "non-dropping-particle" : "", "parse-names" : false, "suffix" : "" }, { "dropping-particle" : "", "family" : "Marciniak", "given" : "R a", "non-dropping-particle" : "", "parse-names" : false, "suffix" : "" }, { "dropping-particle" : "", "family" : "McVey", "given" : "M", "non-dropping-particle" : "", "parse-names" : false, "suffix" : "" }, { "dropping-particle" : "", "family" : "Stewart", "given" : "S a", "non-dropping-particle" : "", "parse-names" : false, "suffix" : "" }, { "dropping-particle" : "", "family" : "Hahn", "given" : "W C", "non-dropping-particle" : "", "parse-names" : false, "suffix" : "" }, { "dropping-particle" : "", "family" : "Guarente", "given" : "L", "non-dropping-particle" : "", "parse-names" : false, "suffix" : "" } ], "container-title" : "The EMBO Journal", "id" : "ITEM-1", "issue" : "4", "issued" : { "date-parts" : [ [ "2001", "2", "15" ] ] }, "page" : "905-13", "title" : "The Saccharomyces cerevisiae WRN homolog Sgs1p participates in telomere maintenance in cells lacking telomerase.", "type" : "article-journal", "volume" : "20" }, "uris" : [ "http://www.mendeley.com/documents/?uuid=8dbf9963-4083-4687-a0be-1ff32769de4f" ] }, { "id" : "ITEM-2", "itemData" : { "ISSN" : "0960-9822", "PMID" : "11231130", "abstract" : "In S. cerevisiae, mutations in genes that encode telomerase components, such as the genes EST1, EST2, EST3, and TLC1, result in the loss of telomerase activity in vivo. Two telomerase-independent mechanisms can overcome the resulting senescence. Type I survival is characterized by amplification of the subtelomeric Y' elements with a short telomere repeat tract at the terminus. Type II survivors arise through the abrupt addition of long tracts of telomere repeats. Both mechanisms are dependent on RAD52 and on either RAD50 or RAD51. We show here that the telomere elongation pathway in yeast (type II) is dependent on SGS1, the yeast homolog of the gene products of Werner's (WRN) and Bloom's (BLM) syndromes. Survival in the absence of SGS1 and EST2 is dependent upon RAD52 and RAD51 but not RAD50. We propose that the RecQ family helicases are required for processing a DNA structure specific to eroding telomeres.", "author" : [ { "dropping-particle" : "", "family" : "Huang", "given" : "P", "non-dropping-particle" : "", "parse-names" : false, "suffix" : "" }, { "dropping-particle" : "", "family" : "Pryde", "given" : "F E", "non-dropping-particle" : "", "parse-names" : false, "suffix" : "" }, { "dropping-particle" : "", "family" : "Lester", "given" : "D", "non-dropping-particle" : "", "parse-names" : false, "suffix" : "" }, { "dropping-particle" : "", "family" : "Maddison", "given" : "R L", "non-dropping-particle" : "", "parse-names" : false, "suffix" : "" }, { "dropping-particle" : "", "family" : "Borts", "given" : "R H", "non-dropping-particle" : "", "parse-names" : false, "suffix" : "" }, { "dropping-particle" : "", "family" : "Hickson", "given" : "I D", "non-dropping-particle" : "", "parse-names" : false, "suffix" : "" }, { "dropping-particle" : "", "family" : "Louis", "given" : "E J", "non-dropping-particle" : "", "parse-names" : false, "suffix" : "" } ], "container-title" : "Current Biology", "id" : "ITEM-2", "issue" : "2", "issued" : { "date-parts" : [ [ "2001", "1", "23" ] ] }, "page" : "125-9", "title" : "SGS1 is required for telomere elongation in the absence of telomerase.", "type" : "article-journal", "volume" : "11" }, "uris" : [ "http://www.mendeley.com/documents/?uuid=b4a323d3-dbac-4d29-9c39-db5a10c75f15" ] } ], "mendeley" : { "formattedCitation" : "(Johnson et al. 2001; Huang et al. 2001)", "plainTextFormattedCitation" : "(Johnson et al. 2001; Huang et al. 2001)", "previouslyFormattedCitation" : "(Johnson et al. 2001; Huang et al. 2001)"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(Johnson et al. 2001; Huang et al. 2001)</w:t>
      </w:r>
      <w:r w:rsidR="00F20EC0" w:rsidRPr="00DF0680">
        <w:rPr>
          <w:rFonts w:cs="Times New Roman"/>
        </w:rPr>
        <w:fldChar w:fldCharType="end"/>
      </w:r>
      <w:r w:rsidR="001D0EC4" w:rsidRPr="00DF0680">
        <w:rPr>
          <w:rFonts w:cs="Times New Roman"/>
        </w:rPr>
        <w:t xml:space="preserve">. </w:t>
      </w:r>
      <w:r w:rsidR="00F77DC7" w:rsidRPr="00DF0680">
        <w:rPr>
          <w:rFonts w:cs="Times New Roman"/>
        </w:rPr>
        <w:t xml:space="preserve">Cells without Sgs1 lose terminal telomeric repeats faster than normal cells and expressing Sgs1 in cells without telomerase slows senescence </w:t>
      </w:r>
      <w:r w:rsidR="00F20EC0" w:rsidRPr="00DF0680">
        <w:rPr>
          <w:rFonts w:cs="Times New Roman"/>
        </w:rPr>
        <w:fldChar w:fldCharType="begin" w:fldLock="1"/>
      </w:r>
      <w:r w:rsidR="00332613" w:rsidRPr="00DF0680">
        <w:rPr>
          <w:rFonts w:cs="Times New Roman"/>
        </w:rPr>
        <w:instrText>ADDIN CSL_CITATION { "citationItems" : [ { "id" : "ITEM-1", "itemData" : { "DOI" : "10.1093/nar/gkj452", "ISSN" : "1362-4962", "PMID" : "16428246", "abstract" : "RecQ DNA helicases, including yeast Sgs1p and the human Werner and Bloom syndrome proteins, participate in telomere biology, but the underlying mechanisms are not fully understood. Here, we explore the protein sequences and genetic interactors of Sgs1p that function to slow the senescence of telomerase (tlc1) mutants. We find that the S-phase checkpoint function of Sgs1p is dispensable for preventing rapid senescence, but that Sgs1p sequences required for homologous recombination, including the helicase domain and topoisomerase III interaction domain, are essential. sgs1 and rad52 mutations are epistatic during senescence, indicating that Sgs1p participates in a RAD52-dependent recombinational pathway of telomere maintenance. Several mutations that are synthetically lethal with sgs1 mutation and which individually lead to genome instability, including mus81, srs2, rrm3, slx1 and top1, do not speed the senescence of tlc1 mutants, indicating that the rapid senescence of sgs1 tlc1 mutants is not caused by generic genome instability. However, mutations in SLX5 or SLX8, which encode proteins that function together in a complex that is required for viability in sgs1 mutants, do speed the senescence of tlc1 mutants. These observations further define roles for RecQ helicases and related proteins in telomere maintenance.", "author" : [ { "dropping-particle" : "", "family" : "Azam", "given" : "Mahrukh", "non-dropping-particle" : "", "parse-names" : false, "suffix" : "" }, { "dropping-particle" : "", "family" : "Lee", "given" : "Julia Y", "non-dropping-particle" : "", "parse-names" : false, "suffix" : "" }, { "dropping-particle" : "", "family" : "Abraham", "given" : "Veena", "non-dropping-particle" : "", "parse-names" : false, "suffix" : "" }, { "dropping-particle" : "", "family" : "Chanoux", "given" : "Rebecca", "non-dropping-particle" : "", "parse-names" : false, "suffix" : "" }, { "dropping-particle" : "", "family" : "Schoenly", "given" : "Kimberly a", "non-dropping-particle" : "", "parse-names" : false, "suffix" : "" }, { "dropping-particle" : "", "family" : "Johnson", "given" : "F Brad", "non-dropping-particle" : "", "parse-names" : false, "suffix" : "" } ], "container-title" : "Nucleic Acids Research", "id" : "ITEM-1", "issue" : "2", "issued" : { "date-parts" : [ [ "2006", "1" ] ] }, "note" : "From Duplicate 2 ( ", "page" : "506-16", "title" : "Evidence that the S.cerevisiae Sgs1 protein facilitates recombinational repair of telomeres during senescence.", "type" : "article-journal", "volume" : "34" }, "uris" : [ "http://www.mendeley.com/documents/?uuid=d14ddc6c-888f-4491-95b7-b699587a9f07" ] }, { "id" : "ITEM-2", "itemData" : { "DOI" : "10.1073/pnas.061579598", "ISSN" : "0027-8424", "PMID" : "11248051", "abstract" : "The Saccharomyces cerevisiae SGS1 gene encodes a RecQ-like DNA helicase, human homologues of which are implicated in the genetic instability disorders, Bloom syndrome (BS), Rothmund-Thomson syndrome (RTS), and Werner syndrome (WS). Telomerase-negative yeast cells can recover from senescence via two recombinational telomere elongation pathways. The \"type I\" pathway generates telomeres with large blocks of telomeric and subtelomeric sequences and short terminal repeat tracts. The \"type II\" pathway generates telomeres with extremely long heterogeneous terminal repeat tracts, reminiscent of the long telomeres observed in telomerase-deficient human tumors and tumor-derived cell lines. Here, we report that telomerase-negative (est2) yeast cells lacking SGS1 senesced more rapidly, experienced a higher rate of telomere erosion, and were delayed in the generation of survivors. The est2 sgs1 survivors that were generated grew poorly, arrested in G(2)/M and possessed exclusively type I telomeres, implying that SGS1 is critical for the type II pathway. The mouse WS gene suppressed the slow growth and G(2)/M arrest phenotype of est2 sgs1 survivors, arguing that the telomeric function of SGS1 is conserved. Reintroduction of SGS1 into est2 sgs1 survivors restored growth rate and extended terminal tracts by approximately 300 bp. Both phenotypes were absolutely dependent on Sgs1 helicase activity. Introduction of an sgs1 carboxyl-terminal truncation allele with helicase activity restored growth rate without extending telomeres in most cases, demonstrating that type II telomeres are not necessary for normal growth in the absence of telomerase.", "author" : [ { "dropping-particle" : "", "family" : "Cohen", "given" : "H", "non-dropping-particle" : "", "parse-names" : false, "suffix" : "" }, { "dropping-particle" : "", "family" : "Sinclair", "given" : "D a", "non-dropping-particle" : "", "parse-names" : false, "suffix" : "" } ], "container-title" : "Proceedings of the National Academy of Sciences", "id" : "ITEM-2", "issue" : "6", "issued" : { "date-parts" : [ [ "2001", "3", "13" ] ] }, "page" : "3174-9", "title" : "Recombination-mediated lengthening of terminal telomeric repeats requires the Sgs1 DNA helicase.", "type" : "article-journal", "volume" : "98" }, "uris" : [ "http://www.mendeley.com/documents/?uuid=25fbec49-7ee6-479b-8cfe-680ec909ec6b" ] } ], "mendeley" : { "formattedCitation" : "(Azam et al. 2006; Cohen &amp; Sinclair 2001)", "plainTextFormattedCitation" : "(Azam et al. 2006; Cohen &amp; Sinclair 2001)", "previouslyFormattedCitation" : "(Azam et al. 2006; Cohen &amp; Sinclair 2001)"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(Azam et al. 2006; Cohen &amp; Sinclair 2001)</w:t>
      </w:r>
      <w:r w:rsidR="00F20EC0" w:rsidRPr="00DF0680">
        <w:rPr>
          <w:rFonts w:cs="Times New Roman"/>
        </w:rPr>
        <w:fldChar w:fldCharType="end"/>
      </w:r>
      <w:r w:rsidR="00F77DC7" w:rsidRPr="00DF0680">
        <w:rPr>
          <w:rFonts w:cs="Times New Roman"/>
        </w:rPr>
        <w:t>. The experiment showing that Sgs1 and Rad52 mutations are epistatic in senescence suggests that Sgs1 participates in a Rad52-dependent recombinational pathway of telomere main</w:t>
      </w:r>
      <w:r w:rsidR="006062F6" w:rsidRPr="00DF0680">
        <w:rPr>
          <w:rFonts w:cs="Times New Roman"/>
        </w:rPr>
        <w:t>te</w:t>
      </w:r>
      <w:r w:rsidR="00F77DC7" w:rsidRPr="00DF0680">
        <w:rPr>
          <w:rFonts w:cs="Times New Roman"/>
        </w:rPr>
        <w:t>n</w:t>
      </w:r>
      <w:r w:rsidR="006062F6" w:rsidRPr="00DF0680">
        <w:rPr>
          <w:rFonts w:cs="Times New Roman"/>
        </w:rPr>
        <w:t>a</w:t>
      </w:r>
      <w:r w:rsidR="00F77DC7" w:rsidRPr="00DF0680">
        <w:rPr>
          <w:rFonts w:cs="Times New Roman"/>
        </w:rPr>
        <w:t>nce</w:t>
      </w:r>
      <w:r w:rsidR="006062F6"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"10.1093/nar/gkj452", "ISSN" : "1362-4962", "PMID" : "16428246", "abstract" : "RecQ DNA helicases, including yeast Sgs1p and the human Werner and Bloom syndrome proteins, participate in telomere biology, but the underlying mechanisms are not fully understood. Here, we explore the protein sequences and genetic interactors of Sgs1p that function to slow the senescence of telomerase (tlc1) mutants. We find that the S-phase checkpoint function of Sgs1p is dispensable for preventing rapid senescence, but that Sgs1p sequences required for homologous recombination, including the helicase domain and topoisomerase III interaction domain, are essential. sgs1 and rad52 mutations are epistatic during senescence, indicating that Sgs1p participates in a RAD52-dependent recombinational pathway of telomere maintenance. Several mutations that are synthetically lethal with sgs1 mutation and which individually lead to genome instability, including mus81, srs2, rrm3, slx1 and top1, do not speed the senescence of tlc1 mutants, indicating that the rapid senescence of sgs1 tlc1 mutants is not caused by generic genome instability. However, mutations in SLX5 or SLX8, which encode proteins that function together in a complex that is required for viability in sgs1 mutants, do speed the senescence of tlc1 mutants. These observations further define roles for RecQ helicases and related proteins in telomere maintenance.", "author" : [ { "dropping-particle" : "", "family" : "Azam", "given" : "Mahrukh", "non-dropping-particle" : "", "parse-names" : false, "suffix" : "" }, { "dropping-particle" : "", "family" : "Lee", "given" : "Julia Y", "non-dropping-particle" : "", "parse-names" : false, "suffix" : "" }, { "dropping-particle" : "", "family" : "Abraham", "given" : "Veena", "non-dropping-particle" : "", "parse-names" : false, "suffix" : "" }, { "dropping-particle" : "", "family" : "Chanoux", "given" : "Rebecca", "non-dropping-particle" : "", "parse-names" : false, "suffix" : "" }, { "dropping-particle" : "", "family" : "Schoenly", "given" : "Kimberly a", "non-dropping-particle" : "", "parse-names" : false, "suffix" : "" }, { "dropping-particle" : "", "family" : "Johnson", "given" : "F Brad", "non-dropping-particle" : "", "parse-names" : false, "suffix" : "" } ], "container-title" : "Nucleic Acids Research", "id" : "ITEM-1", "issue" : "2", "issued" : { "date-parts" : [ [ "2006", "1" ] ] }, "note" : "From Duplicate 2 ( ", "page" : "506-16", "title" : "Evidence that the S.cerevisiae Sgs1 protein facilitates recombinational repair of telomeres during senescence.", "type" : "article-journal", "volume" : "34" }, "uris" : [ "http://www.mendeley.com/documents/?uuid=d14ddc6c-888f-4491-95b7-b699587a9f07" ] } ], "mendeley" : { "formattedCitation" : "(Azam et al. 2006)", "plainTextFormattedCitation" : "(Azam et al. 2006)", "previouslyFormattedCitation" : "(Azam et al. 2006)"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(Azam et al. 2006)</w:t>
      </w:r>
      <w:r w:rsidR="00F20EC0" w:rsidRPr="00DF0680">
        <w:rPr>
          <w:rFonts w:cs="Times New Roman"/>
        </w:rPr>
        <w:fldChar w:fldCharType="end"/>
      </w:r>
      <w:r w:rsidR="00F77DC7" w:rsidRPr="00DF0680">
        <w:rPr>
          <w:rFonts w:cs="Times New Roman"/>
        </w:rPr>
        <w:t xml:space="preserve">. </w:t>
      </w:r>
      <w:r w:rsidR="006057C5" w:rsidRPr="00DF0680">
        <w:rPr>
          <w:rFonts w:cs="Times New Roman"/>
        </w:rPr>
        <w:t>This</w:t>
      </w:r>
      <w:r w:rsidR="006062F6" w:rsidRPr="00DF0680">
        <w:rPr>
          <w:rFonts w:cs="Times New Roman"/>
        </w:rPr>
        <w:t xml:space="preserve"> telomeric recombination activity is regulated by sumoylation on K621 (sumoylated in response to DS</w:t>
      </w:r>
      <w:r w:rsidR="005922AD" w:rsidRPr="00DF0680">
        <w:rPr>
          <w:rFonts w:cs="Times New Roman"/>
        </w:rPr>
        <w:t>Bs) but this does not affect it</w:t>
      </w:r>
      <w:r w:rsidR="006062F6" w:rsidRPr="00DF0680">
        <w:rPr>
          <w:rFonts w:cs="Times New Roman"/>
        </w:rPr>
        <w:t xml:space="preserve">s roles in DNA damage tolerance, cell growth, or other recombination pathways </w:t>
      </w:r>
      <w:r w:rsidR="00F20EC0" w:rsidRPr="00DF0680">
        <w:rPr>
          <w:rFonts w:cs="Times New Roman"/>
        </w:rPr>
        <w:fldChar w:fldCharType="begin" w:fldLock="1"/>
      </w:r>
      <w:r w:rsidR="00332613" w:rsidRPr="00DF0680">
        <w:rPr>
          <w:rFonts w:cs="Times New Roman"/>
        </w:rPr>
        <w:instrText>ADDIN CSL_CITATION { "citationItems" : [ { "id" : "ITEM-1", "itemData" : { "DOI" : "10.1093/nar/gkp1008", "ISSN" : "1362-4962", "PMID" : "19906698", "abstract" : "BLM and WRN are members of the RecQ family of DNA helicases, and in humans their loss is associated with syndromes characterized by genome instability and cancer predisposition. As the only RecQ DNA helicase in the yeast Saccharomyces cerevisiae, Sgs1 is known to safeguard genome integrity through its role in DNA recombination. Interestingly, WRN, BLM and Sgs1 are all known to be modified by the small ubiquitin-related modifier (SUMO), although the significance of this posttranslational modification remains elusive. Here, we demonstrate that Sgs1 is specifically sumoylated under the stress of DNA double strand breaks. The major SUMO attachment site in Sgs1 is lysine 621, which lies between the Top3 binding domain and the DNA helicase domain. Surprisingly, sumoylation of K621 was found to be uniquely required for Sgs1's role in telomere-telomere recombination. In contrast, sumoylation was dispensable for Sgs1's roles in DNA damage tolerance, supppression of direct repeat and rDNA recombination, and promotion of top3Delta slow growth. Our results demonstrate that although modification by SUMO is a conserved feature of RecQ family DNA helicases, the major sites of modification are located on different domains of the protein in different organisms. We suggest that sumoylation of different domains of RecQ DNA helicases from different organisms contributes to conserved roles in regulating telomeric recombination.", "author" : [ { "dropping-particle" : "", "family" : "Lu", "given" : "Chia-Yin", "non-dropping-particle" : "", "parse-names" : false, "suffix" : "" }, { "dropping-particle" : "", "family" : "Tsai", "given" : "Cheng-Hui", "non-dropping-particle" : "", "parse-names" : false, "suffix" : "" }, { "dropping-particle" : "", "family" : "Brill", "given" : "Steven J", "non-dropping-particle" : "", "parse-names" : false, "suffix" : "" }, { "dropping-particle" : "", "family" : "Teng", "given" : "Shu-Chun", "non-dropping-particle" : "", "parse-names" : false, "suffix" : "" } ], "container-title" : "Nucleic Acids Research", "id" : "ITEM-1", "issue" : "2", "issued" : { "date-parts" : [ [ "2010", "1" ] ] }, "page" : "488-98", "title" : "Sumoylation of the BLM ortholog, Sgs1, promotes telomere-telomere recombination in budding yeast.", "type" : "article-journal", "volume" : "38" }, "uris" : [ "http://www.mendeley.com/documents/?uuid=bd12a845-93ee-4d60-a650-a5b246f4954d" ] } ], "mendeley" : { "formattedCitation" : "(Lu et al. 2010)", "plainTextFormattedCitation" : "(Lu et al. 2010)", "previouslyFormattedCitation" : "(Lu et al. 2010)"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(Lu et al. 2010)</w:t>
      </w:r>
      <w:r w:rsidR="00F20EC0" w:rsidRPr="00DF0680">
        <w:rPr>
          <w:rFonts w:cs="Times New Roman"/>
        </w:rPr>
        <w:fldChar w:fldCharType="end"/>
      </w:r>
      <w:r w:rsidR="006062F6" w:rsidRPr="00DF0680">
        <w:rPr>
          <w:rFonts w:cs="Times New Roman"/>
        </w:rPr>
        <w:t>.</w:t>
      </w:r>
    </w:p>
    <w:p w:rsidR="003A5870" w:rsidRPr="00DF0680" w:rsidRDefault="003A5870" w:rsidP="00E664FC">
      <w:pPr>
        <w:pStyle w:val="Heading3"/>
      </w:pPr>
      <w:bookmarkStart w:id="106" w:name="_Toc417204105"/>
      <w:bookmarkStart w:id="107" w:name="_Toc417674342"/>
      <w:r w:rsidRPr="00DF0680">
        <w:t>RECQL1</w:t>
      </w:r>
      <w:bookmarkEnd w:id="106"/>
      <w:bookmarkEnd w:id="107"/>
    </w:p>
    <w:p w:rsidR="003A5870" w:rsidRPr="00DF0680" w:rsidRDefault="005C5082" w:rsidP="003A5870">
      <w:pPr>
        <w:rPr>
          <w:rFonts w:cs="Times New Roman"/>
          <w:color w:val="auto"/>
        </w:rPr>
      </w:pPr>
      <w:r w:rsidRPr="00DF0680">
        <w:rPr>
          <w:rFonts w:cs="Times New Roman"/>
          <w:color w:val="auto"/>
        </w:rPr>
        <w:t xml:space="preserve">RecQ-like protein 1 </w:t>
      </w:r>
      <w:r w:rsidR="003A5870" w:rsidRPr="00DF0680">
        <w:rPr>
          <w:rFonts w:cs="Times New Roman"/>
          <w:color w:val="auto"/>
        </w:rPr>
        <w:t>(</w:t>
      </w:r>
      <w:r w:rsidRPr="00DF0680">
        <w:rPr>
          <w:rFonts w:cs="Times New Roman"/>
          <w:color w:val="auto"/>
        </w:rPr>
        <w:t>RECQL1</w:t>
      </w:r>
      <w:r w:rsidR="003A5870" w:rsidRPr="00DF0680">
        <w:rPr>
          <w:rFonts w:cs="Times New Roman"/>
          <w:color w:val="auto"/>
        </w:rPr>
        <w:t xml:space="preserve">) was the first of the human RecQ helicases to be discovered and was shown to be a 74 kDa DNA-dependent ATPase, sharing sequence homology with the </w:t>
      </w:r>
      <w:r w:rsidR="00B77100" w:rsidRPr="00DF0680">
        <w:rPr>
          <w:rFonts w:cs="Times New Roman"/>
          <w:i/>
          <w:color w:val="auto"/>
        </w:rPr>
        <w:t>E. coli</w:t>
      </w:r>
      <w:r w:rsidR="003A5870" w:rsidRPr="00DF0680">
        <w:rPr>
          <w:rFonts w:cs="Times New Roman"/>
          <w:color w:val="auto"/>
        </w:rPr>
        <w:t xml:space="preserve"> RecQ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"author" : [ { "dropping-particle" : "", "family" : "Puranam", "given" : "KL", "non-dropping-particle" : "", "parse-names" : false, "suffix" : "" }, { "dropping-particle" : "", "family" : "Blackshear", "given" : "PJ", "non-dropping-particle" : "", "parse-names" : false, "suffix" : "" } ], "container-title" : "Journal of Biological Chemistry", "id" : "ITEM-1", "issue" : "47", "issued" : { "date-parts" : [ [ "1994" ] ] }, "page" : "29838-29845", "title" : "Cloning and characterization of RECQL, a potential human homologue of the Escherichia coli DNA helicase RecQ.", "type" : "article-journal", "volume" : "269" }, "uris" : [ "http://www.mendeley.com/documents/?uuid=d5baf81f-f593-49a5-9b16-c31bf93e702f" ] }, { "id" : "ITEM-2", "itemData" : { "author" : [ { "dropping-particle" : "", "family" : "Seki", "given" : "Masayuki", "non-dropping-particle" : "", "parse-names" : false, "suffix" : "" }, { "dropping-particle" : "", "family" : "Miyazawa", "given" : "Hiroshi", "non-dropping-particle" : "", "parse-names" : false, "suffix" : "" }, { "dropping-particle" : "", "family" : "Tada", "given" : "Shusuke", "non-dropping-particle" : "", "parse-names" : false, "suffix" : "" } ], "container-title" : "Nucleic Acids Research", "id" : "ITEM-2", "issue" : "22", "issued" : { "date-parts" : [ [ "1994" ] ] }, "page" : "4566-4573", "title" : "Molecular cloning of cDNA encoding human DNA helicase Q1 which has homology to Escherichia coli Rec Q helicase and localization of the gene at chromosome", "type" : "article-journal", "volume" : "22" }, "uris" : [ "http://www.mendeley.com/documents/?uuid=c36909e9-e284-4c23-8091-fd4b1a4ebe84" ] } ], "mendeley" : { "formattedCitation" : "(Puranam &amp; Blackshear 1994; Seki et al. 1994)", "plainTextFormattedCitation" : "(Puranam &amp; Blackshear 1994; Seki et al. 1994)", "previouslyFormattedCitation" : "(Puranam &amp; Blackshear 1994; Seki et al. 1994)"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(Puranam &amp; Blackshear 1994; Seki et al. 1994)</w:t>
      </w:r>
      <w:r w:rsidR="00F20EC0" w:rsidRPr="00DF0680">
        <w:rPr>
          <w:rFonts w:cs="Times New Roman"/>
          <w:color w:val="auto"/>
        </w:rPr>
        <w:fldChar w:fldCharType="end"/>
      </w:r>
      <w:r w:rsidR="003A5870" w:rsidRPr="00DF0680">
        <w:rPr>
          <w:rFonts w:cs="Times New Roman"/>
          <w:color w:val="auto"/>
        </w:rPr>
        <w:t xml:space="preserve">. Although no human </w:t>
      </w:r>
      <w:r w:rsidR="007B44B9" w:rsidRPr="00DF0680">
        <w:rPr>
          <w:rFonts w:cs="Times New Roman"/>
          <w:color w:val="auto"/>
        </w:rPr>
        <w:t>syndromes</w:t>
      </w:r>
      <w:r w:rsidR="003A5870" w:rsidRPr="00DF0680">
        <w:rPr>
          <w:rFonts w:cs="Times New Roman"/>
          <w:color w:val="auto"/>
        </w:rPr>
        <w:t xml:space="preserve"> ha</w:t>
      </w:r>
      <w:r w:rsidR="00957AB8" w:rsidRPr="00DF0680">
        <w:rPr>
          <w:rFonts w:cs="Times New Roman"/>
          <w:color w:val="auto"/>
        </w:rPr>
        <w:t>ve</w:t>
      </w:r>
      <w:r w:rsidR="003A5870" w:rsidRPr="00DF0680">
        <w:rPr>
          <w:rFonts w:cs="Times New Roman"/>
          <w:color w:val="auto"/>
        </w:rPr>
        <w:t xml:space="preserve"> been associated with defects in RECQL1, </w:t>
      </w:r>
      <w:r w:rsidR="007B44B9" w:rsidRPr="00DF0680">
        <w:rPr>
          <w:rFonts w:cs="Times New Roman"/>
          <w:color w:val="auto"/>
        </w:rPr>
        <w:t xml:space="preserve">there are some suggestions that sequence alterations in the gene may be associated with cancer, such as </w:t>
      </w:r>
      <w:r w:rsidR="003A5870" w:rsidRPr="00DF0680">
        <w:rPr>
          <w:rFonts w:cs="Times New Roman"/>
          <w:color w:val="auto"/>
        </w:rPr>
        <w:t>the A159C single nucleotide polymorphism associated with a significant decrease in survival of pancreatic cancer</w:t>
      </w:r>
      <w:r w:rsidR="000122B6" w:rsidRPr="00DF0680">
        <w:rPr>
          <w:rFonts w:cs="Times New Roman"/>
          <w:color w:val="auto"/>
        </w:rPr>
        <w:t xml:space="preserve"> patients</w:t>
      </w:r>
      <w:r w:rsidR="003A5870" w:rsidRPr="00DF0680">
        <w:rPr>
          <w:rFonts w:cs="Times New Roman"/>
          <w:color w:val="auto"/>
        </w:rPr>
        <w:t xml:space="preserv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"10.1200/JCO.2005.04.4206", "ISSN" : "1527-7755", "PMID" : "16520463", "abstract" : "PURPOSE: Our goal was to determine whether single nucleotide polymorphisms (SNPs) in DNA repair genes influence the clinical outcome of pancreatic cancer. PATIENTS AND METHODS: We evaluated 13 SNPs of eight DNA damage response and repair genes in 92 patients with potentially resectable pancreatic adenocarcinoma. All patients were treated with neoadjuvant concurrent gemcitabine and radiotherapy with or without a component of induction gemcitabine/cisplatin at The University of Texas M.D. Anderson Cancer Center (Houston, TX) from February 1999 to August 2004 and observed through August 2005. Response to the pretreatment was assessed by evaluating time to tumor progression and overall survival. Kaplan-Meier plot, log-rank test, and Cox regression were used to compare survival of patients according to genotype. RESULTS: The RecQ1 A159C, RAD54L C157T, XRCC1 R194W, and ATM T77C genotypes had a significant effect on the overall survival with log-rank P values of .001, .004, .001, and .02, respectively. A strong combined effect of the four genotypes was observed. Patients with none of the adverse genotypes had a mean survival time of 62.1 months, and those with one, two, or three or more at-risk alleles had median survival times of 27.5, 14.4, and 9.9 months, respectively (log-rank P &lt; .001). There is a significant interaction between the RecQ1 gene and other genotypes. All four genes except XRCC1 remained as independent predictors of survival in multivariate Cox regression models adjusted for other clinical predictors. CONCLUSION: These observations support the hypothesis that polymorphic variants of DNA repair genes affect clinical prognosis of patients with pancreatic cancer.", "author" : [ { "dropping-particle" : "", "family" : "Li", "given" : "Donghui", "non-dropping-particle" : "", "parse-names" : false, "suffix" : "" }, { "dropping-particle" : "", "family" : "Frazier", "given" : "Marsha", "non-dropping-particle" : "", "parse-names" : false, "suffix" : "" }, { "dropping-particle" : "", "family" : "Evans", "given" : "Douglas B", "non-dropping-particle" : "", "parse-names" : false, "suffix" : "" }, { "dropping-particle" : "", "family" : "Hess", "given" : "Kenneth R", "non-dropping-particle" : "", "parse-names" : false, "suffix" : "" }, { "dropping-particle" : "", "family" : "Crane", "given" : "Christopher H", "non-dropping-particle" : "", "parse-names" : false, "suffix" : "" }, { "dropping-particle" : "", "family" : "Jiao", "given" : "Li", "non-dropping-particle" : "", "parse-names" : false, "suffix" : "" }, { "dropping-particle" : "", "family" : "Abbruzzese", "given" : "James L", "non-dropping-particle" : "", "parse-names" : false, "suffix" : "" } ], "container-title" : "Journal of Clinical Oncology", "id" : "ITEM-1", "issue" : "11", "issued" : { "date-parts" : [ [ "2006", "4", "10" ] ] }, "page" : "1720-8", "title" : "Single nucleotide polymorphisms of RecQ1, RAD54L, and ATM genes are associated with reduced survival of pancreatic cancer.", "type" : "article-journal", "volume" : "24" }, "uris" : [ "http://www.mendeley.com/documents/?uuid=f04ddc7e-5dbf-4caa-a876-221114f40490" ] } ], "mendeley" : { "formattedCitation" : "(Li et al. 2006)", "plainTextFormattedCitation" : "(Li et al. 2006)", "previouslyFormattedCitation" : "(Li et al. 2006)"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(Li et al. 2006)</w:t>
      </w:r>
      <w:r w:rsidR="00F20EC0" w:rsidRPr="00DF0680">
        <w:rPr>
          <w:rFonts w:cs="Times New Roman"/>
          <w:color w:val="auto"/>
        </w:rPr>
        <w:fldChar w:fldCharType="end"/>
      </w:r>
      <w:r w:rsidR="003A5870" w:rsidRPr="00DF0680">
        <w:rPr>
          <w:rFonts w:cs="Times New Roman"/>
          <w:color w:val="auto"/>
        </w:rPr>
        <w:t xml:space="preserve">. </w:t>
      </w:r>
      <w:r w:rsidR="00E32E99" w:rsidRPr="00DF0680">
        <w:rPr>
          <w:rFonts w:cs="Times New Roman"/>
          <w:color w:val="auto"/>
        </w:rPr>
        <w:t xml:space="preserve">Depletion of </w:t>
      </w:r>
      <w:r w:rsidR="003A5870" w:rsidRPr="00DF0680">
        <w:rPr>
          <w:rFonts w:cs="Times New Roman"/>
          <w:color w:val="auto"/>
        </w:rPr>
        <w:t xml:space="preserve">RECQL1 </w:t>
      </w:r>
      <w:r w:rsidR="00E32E99" w:rsidRPr="00DF0680">
        <w:rPr>
          <w:rFonts w:cs="Times New Roman"/>
          <w:color w:val="auto"/>
        </w:rPr>
        <w:t xml:space="preserve">using siRNA in HeLa cells, </w:t>
      </w:r>
      <w:r w:rsidR="003A5870" w:rsidRPr="00DF0680">
        <w:rPr>
          <w:rFonts w:cs="Times New Roman"/>
          <w:color w:val="auto"/>
        </w:rPr>
        <w:t>has been shown to cause cancer specific mitotic catastrophy</w:t>
      </w:r>
      <w:r w:rsidR="00E32E99" w:rsidRPr="00DF0680">
        <w:rPr>
          <w:rFonts w:cs="Times New Roman"/>
          <w:color w:val="auto"/>
        </w:rPr>
        <w:t xml:space="preserve"> and reduce proliferation rate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"10.1111/j.1349-7006.2007.00647.x", "ISSN" : "1349-7006", "PMID" : "17953710", "abstract" : "RecQL1 DNA helicase of the human RecQ helicase family participates in DNA repair and recombination pathways during cell-cycle replication. When we examined the effect of RecQL1 suppression on cell growth, we found that RecQL1 silencing by small interference RNA efficiently prevented proliferation of a wide range of cancer cells by inducing mitotic catastrophe and mitotic cell death. In contrast, such mitotic cell death was not seen in the growing normal fibroblasts used as controls, even if RecQL1 expression was fully downregulated. Our results support the hypothesis that endogenous DNA damage that occurs during DNA replication and remains unrepaired in cancer cells due to RecQL1 silencing induces cancer cell-specific mitotic catastrophe through a less-strict checkpoint in cancer cells than in normal cells. We speculate that normal cells are exempt from such mitotic cell death, despite slow growth, because cell-cycle progression is controlled strictly by a strong checkpoint system that detects DNA damage and arrests progression of the cell cycle until DNA damage is repaired completely. These results suggest that RecQL1 helicase is an excellent molecular target for cancer chemotherapy.", "author" : [ { "dropping-particle" : "", "family" : "Futami", "given" : "Kazunobu", "non-dropping-particle" : "", "parse-names" : false, "suffix" : "" }, { "dropping-particle" : "", "family" : "Kumagai", "given" : "Emi", "non-dropping-particle" : "", "parse-names" : false, "suffix" : "" }, { "dropping-particle" : "", "family" : "Makino", "given" : "Hiroshi", "non-dropping-particle" : "", "parse-names" : false, "suffix" : "" }, { "dropping-particle" : "", "family" : "Goto", "given" : "Hideyuki", "non-dropping-particle" : "", "parse-names" : false, "suffix" : "" }, { "dropping-particle" : "", "family" : "Takagi", "given" : "Motoki", "non-dropping-particle" : "", "parse-names" : false, "suffix" : "" }, { "dropping-particle" : "", "family" : "Shimamoto", "given" : "Akira", "non-dropping-particle" : "", "parse-names" : false, "suffix" : "" }, { "dropping-particle" : "", "family" : "Furuichi", "given" : "Yasuhiro", "non-dropping-particle" : "", "parse-names" : false, "suffix" : "" } ], "container-title" : "Cancer Science", "id" : "ITEM-1", "issue" : "1", "issued" : { "date-parts" : [ [ "2008", "1" ] ] }, "page" : "71-80", "title" : "Induction of mitotic cell death in cancer cells by small interference RNA suppressing the expression of RecQL1 helicase.", "type" : "article-journal", "volume" : "99" }, "uris" : [ "http://www.mendeley.com/documents/?uuid=eae641ba-49ec-4005-b43f-e3c66ee4e8ab" ] } ], "mendeley" : { "formattedCitation" : "(Futami et al. 2008)", "plainTextFormattedCitation" : "(Futami et al. 2008)", "previouslyFormattedCitation" : "(Futami et al. 2008)" }, "properties" : { "noteIndex" : 0 }, "schema" : "https://github.com/citation-style-language/schema/raw/master/csl-citation.json" }</w:instrText>
      </w:r>
      <w:r w:rsidR="00F20EC0" w:rsidRPr="00DF0680">
        <w:rPr>
          <w:rFonts w:cs="Times New Roman"/>
          <w:color w:val="auto"/>
        </w:rPr>
        <w:fldChar w:fldCharType="separate"/>
      </w:r>
      <w:r w:rsidR="00E32E99" w:rsidRPr="00DF0680">
        <w:rPr>
          <w:rFonts w:cs="Times New Roman"/>
          <w:color w:val="auto"/>
        </w:rPr>
        <w:t>(Futami et al. 2008)</w:t>
      </w:r>
      <w:r w:rsidR="00F20EC0" w:rsidRPr="00DF0680">
        <w:rPr>
          <w:rFonts w:cs="Times New Roman"/>
          <w:color w:val="auto"/>
        </w:rPr>
        <w:fldChar w:fldCharType="end"/>
      </w:r>
      <w:r w:rsidR="00E32E99" w:rsidRPr="00DF0680">
        <w:rPr>
          <w:rFonts w:cs="Times New Roman"/>
          <w:color w:val="auto"/>
        </w:rPr>
        <w:t>.</w:t>
      </w:r>
      <w:r w:rsidR="003A5870" w:rsidRPr="00DF0680">
        <w:rPr>
          <w:rFonts w:cs="Times New Roman"/>
          <w:color w:val="auto"/>
        </w:rPr>
        <w:t xml:space="preserve"> </w:t>
      </w:r>
      <w:r w:rsidR="00456F73" w:rsidRPr="00DF0680">
        <w:rPr>
          <w:rFonts w:cs="Times New Roman"/>
          <w:color w:val="auto"/>
        </w:rPr>
        <w:t>Similarly, siRNA and miRNA-</w:t>
      </w:r>
      <w:r w:rsidR="00456F73" w:rsidRPr="00DF0680">
        <w:rPr>
          <w:rFonts w:cs="Times New Roman"/>
          <w:color w:val="auto"/>
        </w:rPr>
        <w:lastRenderedPageBreak/>
        <w:t xml:space="preserve">mediated depletion of RECQL1 </w:t>
      </w:r>
      <w:r w:rsidR="003A5870" w:rsidRPr="00DF0680">
        <w:rPr>
          <w:rFonts w:cs="Times New Roman"/>
          <w:color w:val="auto"/>
        </w:rPr>
        <w:t>reduce</w:t>
      </w:r>
      <w:r w:rsidR="00456F73" w:rsidRPr="00DF0680">
        <w:rPr>
          <w:rFonts w:cs="Times New Roman"/>
          <w:color w:val="auto"/>
        </w:rPr>
        <w:t xml:space="preserve">s cell growth and increases mitotic catastrophy in </w:t>
      </w:r>
      <w:r w:rsidR="003A5870" w:rsidRPr="00DF0680">
        <w:rPr>
          <w:rFonts w:cs="Times New Roman"/>
          <w:color w:val="auto"/>
        </w:rPr>
        <w:t xml:space="preserve">tongue squamous cell carcinoma cells and </w:t>
      </w:r>
      <w:r w:rsidR="00456F73" w:rsidRPr="00DF0680">
        <w:rPr>
          <w:rFonts w:cs="Times New Roman"/>
          <w:color w:val="auto"/>
        </w:rPr>
        <w:t xml:space="preserve">suppression of RECQL1 reduces tumour size </w:t>
      </w:r>
      <w:r w:rsidR="003A5870" w:rsidRPr="00DF0680">
        <w:rPr>
          <w:rFonts w:cs="Times New Roman"/>
          <w:color w:val="auto"/>
        </w:rPr>
        <w:t xml:space="preserve">in mouse xenograph models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"10.1159/000358721", "ISSN" : "1421-9778", "PMID" : "24854846", "abstract" : "Background/Aims: RECQL1, a member of the human RECQ helicase family, participates in DNA repair. Recent reports showed that RECQL1 silencing in cancer cells resulted in mitotic catastrophe, which prevented tumor growth in murine models. However, its therapeutic potential has never been examined in tongue squamous cell carcinoma (SCC). Methods: To explore the role of RECQL1 in the development of tongue SCC, we used RNA interference technology to silence RECQL1 in SCC-9 and SCC-15 human tongue SCC cell lines, and to subsequently evaluate its effects both in vitro and in vivo. Results: After RECQL1 was silenced in SCC cells by siRNA, we observed downregulation of RECQL1 mRNA and protein in cancer cells. RECQL1 is one of the predicted miR-203 targets, and we found that miR-203 downregulated the expression of RECQL1 at the post-transcriptional level. RECQL1-shRNA or miR-203 overexpression inhibited SCC-9 cell growth. In addition, there was accumulation of cells in the sub-G1 fraction and increased apoptosis 72 h post-transfection. In addition, knockdown of RECQL1 led to a strong anticancer effect, as the tumorigenicity of SCC-9 cells was inhibited in vivo. Moreover, we found that two immunosuppressive factors were also significantly downregulated upon RECQL1 knockdown or miR-203 overexpression in vitro. Conclusion: Collectively, these results indicate that RECQL1 plays an important regulatory role in cancer cell proliferation and tumor progression. \u00a9 2014 S. Karger AG, Basel.", "author" : [ { "dropping-particle" : "", "family" : "Tao", "given" : "Jiang", "non-dropping-particle" : "", "parse-names" : false, "suffix" : "" }, { "dropping-particle" : "", "family" : "Tao", "given" : "Suxiong", "non-dropping-particle" : "", "parse-names" : false, "suffix" : "" }, { "dropping-particle" : "", "family" : "Han", "given" : "Junli", "non-dropping-particle" : "", "parse-names" : false, "suffix" : "" }, { "dropping-particle" : "", "family" : "Zhou", "given" : "Zhuojun", "non-dropping-particle" : "", "parse-names" : false, "suffix" : "" }, { "dropping-particle" : "", "family" : "Zhang", "given" : "Xiaoping", "non-dropping-particle" : "", "parse-names" : false, "suffix" : "" }, { "dropping-particle" : "", "family" : "Wang", "given" : "Haining", "non-dropping-particle" : "", "parse-names" : false, "suffix" : "" }, { "dropping-particle" : "", "family" : "Chen", "given" : "Rongjing", "non-dropping-particle" : "", "parse-names" : false, "suffix" : "" }, { "dropping-particle" : "", "family" : "Ji", "given" : "Fang", "non-dropping-particle" : "", "parse-names" : false, "suffix" : "" }, { "dropping-particle" : "", "family" : "Zhu", "given" : "Yaqin", "non-dropping-particle" : "", "parse-names" : false, "suffix" : "" } ], "container-title" : "Cellular Physiology and Biochemistry", "id" : "ITEM-1", "issue" : "5", "issued" : { "date-parts" : [ [ "2014", "1" ] ] }, "page" : "1579-90", "title" : "RECQL1 Plays an Important Role in the Development of Tongue Squamous Cell Carcinoma.", "type" : "article-journal", "volume" : "33" }, "uris" : [ "http://www.mendeley.com/documents/?uuid=5042ac45-cfc5-4da4-a24d-7a59ccae3a1d" ] } ], "mendeley" : { "formattedCitation" : "(Tao et al. 2014)", "plainTextFormattedCitation" : "(Tao et al. 2014)", "previouslyFormattedCitation" : "(Tao et al. 2014)" }, "properties" : { "noteIndex" : 0 }, "schema" : "https://github.com/citation-style-language/schema/raw/master/csl-citation.json" }</w:instrText>
      </w:r>
      <w:r w:rsidR="00F20EC0" w:rsidRPr="00DF0680">
        <w:rPr>
          <w:rFonts w:cs="Times New Roman"/>
          <w:color w:val="auto"/>
        </w:rPr>
        <w:fldChar w:fldCharType="separate"/>
      </w:r>
      <w:r w:rsidR="00456F73" w:rsidRPr="00DF0680">
        <w:rPr>
          <w:rFonts w:cs="Times New Roman"/>
          <w:color w:val="auto"/>
        </w:rPr>
        <w:t>(Tao et al. 2014)</w:t>
      </w:r>
      <w:r w:rsidR="00F20EC0" w:rsidRPr="00DF0680">
        <w:rPr>
          <w:rFonts w:cs="Times New Roman"/>
          <w:color w:val="auto"/>
        </w:rPr>
        <w:fldChar w:fldCharType="end"/>
      </w:r>
      <w:r w:rsidR="003A5870" w:rsidRPr="00DF0680">
        <w:rPr>
          <w:rFonts w:cs="Times New Roman"/>
          <w:color w:val="auto"/>
        </w:rPr>
        <w:t xml:space="preserve">. Although RECQL1 </w:t>
      </w:r>
      <w:r w:rsidR="00E32E99" w:rsidRPr="00DF0680">
        <w:rPr>
          <w:rFonts w:cs="Times New Roman"/>
          <w:color w:val="auto"/>
        </w:rPr>
        <w:t xml:space="preserve">protein </w:t>
      </w:r>
      <w:r w:rsidR="003A5870" w:rsidRPr="00DF0680">
        <w:rPr>
          <w:rFonts w:cs="Times New Roman"/>
          <w:color w:val="auto"/>
        </w:rPr>
        <w:t xml:space="preserve">has been shown to be highly expressed in glioblastoma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"10.1186/1476-4598-10-83", "ISSN" : "1476-4598", "PMID" : "21752281", "abstract" : "BACKGROUND: RecQ helicases play an essential role in the maintenance of genome stability. In humans, loss of RecQ helicase function is linked with predisposition to cancer and/or premature ageing. Current data show that the specific depletion of the human RECQ1 helicase leads to mitotic catastrophe in cancer cells and inhibition of tumor growth in mice.\n\nRESULTS: Here, we show that RECQ1 is highly expressed in various types of solid tumors. However, only in the case of brain gliomas, the high expression of RECQ1 in glioblastoma tissues is paralleled by a lower expression in the control samples due to the poor expression of RECQ1 in non-dividing tissues. This conclusion is validated by immunohistochemical analysis of a tissue microarray containing 63 primary glioblastomas and 19 perilesional tissue samples, as control. We also show that acute depletion of RECQ1 by RNAi results in a significant reduction of cellular proliferation, perturbation of S-phase progression, and spontaneous \u03b3-H2AX foci formation in T98G and U-87 glioblastoma cells. Moreover, RECQ1 depleted T98G and U-87 cells are hypersensitive to HU or temozolomide treatment.\n\nCONCLUSIONS: Collectively, these results indicate that RECQ1 has a unique and important role in the maintenance of genome integrity. Our results also suggest that RECQ1 might represent a new suitable target for anti cancer therapies aimed to arrest cell proliferation in brain gliomas.", "author" : [ { "dropping-particle" : "", "family" : "Mendoza-Maldonado", "given" : "Ramiro", "non-dropping-particle" : "", "parse-names" : false, "suffix" : "" }, { "dropping-particle" : "", "family" : "Faoro", "given" : "Valentina", "non-dropping-particle" : "", "parse-names" : false, "suffix" : "" }, { "dropping-particle" : "", "family" : "Bajpai", "given" : "Sailesh", "non-dropping-particle" : "", "parse-names" : false, "suffix" : "" }, { "dropping-particle" : "", "family" : "Berti", "given" : "Matteo", "non-dropping-particle" : "", "parse-names" : false, "suffix" : "" }, { "dropping-particle" : "", "family" : "Odreman", "given" : "Federico", "non-dropping-particle" : "", "parse-names" : false, "suffix" : "" }, { "dropping-particle" : "", "family" : "Vindigni", "given" : "Marco", "non-dropping-particle" : "", "parse-names" : false, "suffix" : "" }, { "dropping-particle" : "", "family" : "Ius", "given" : "Tamara", "non-dropping-particle" : "", "parse-names" : false, "suffix" : "" }, { "dropping-particle" : "", "family" : "Ghasemian", "given" : "Abdollah", "non-dropping-particle" : "", "parse-names" : false, "suffix" : "" }, { "dropping-particle" : "", "family" : "Bonin", "given" : "Serena", "non-dropping-particle" : "", "parse-names" : false, "suffix" : "" }, { "dropping-particle" : "", "family" : "Skrap", "given" : "Miran", "non-dropping-particle" : "", "parse-names" : false, "suffix" : "" }, { "dropping-particle" : "", "family" : "Stanta", "given" : "Giorgio", "non-dropping-particle" : "", "parse-names" : false, "suffix" : "" }, { "dropping-particle" : "", "family" : "Vindigni", "given" : "Alessandro", "non-dropping-particle" : "", "parse-names" : false, "suffix" : "" } ], "container-title" : "Molecular Cancer", "id" : "ITEM-1", "issue" : "1", "issued" : { "date-parts" : [ [ "2011", "1" ] ] }, "page" : "83", "publisher" : "BioMed Central Ltd", "title" : "The human RECQ1 helicase is highly expressed in glioblastoma and plays an important role in tumor cell proliferation.", "type" : "article-journal", "volume" : "10" }, "uris" : [ "http://www.mendeley.com/documents/?uuid=e60b525c-c930-47ea-b109-6ac7e01779bd" ] } ], "mendeley" : { "formattedCitation" : "(Mendoza-Maldonado et al. 2011)", "plainTextFormattedCitation" : "(Mendoza-Maldonado et al. 2011)", "previouslyFormattedCitation" : "(Mendoza-Maldonado et al. 2011)"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(Mendoza-Maldonado et al. 2011)</w:t>
      </w:r>
      <w:r w:rsidR="00F20EC0" w:rsidRPr="00DF0680">
        <w:rPr>
          <w:rFonts w:cs="Times New Roman"/>
          <w:color w:val="auto"/>
        </w:rPr>
        <w:fldChar w:fldCharType="end"/>
      </w:r>
      <w:r w:rsidR="003A5870" w:rsidRPr="00DF0680">
        <w:rPr>
          <w:rFonts w:cs="Times New Roman"/>
          <w:color w:val="auto"/>
        </w:rPr>
        <w:t>, it</w:t>
      </w:r>
      <w:r w:rsidR="00E32E99" w:rsidRPr="00DF0680">
        <w:rPr>
          <w:rFonts w:cs="Times New Roman"/>
          <w:color w:val="auto"/>
        </w:rPr>
        <w:t>s protein level is decreased in</w:t>
      </w:r>
      <w:r w:rsidR="003A5870" w:rsidRPr="00DF0680">
        <w:rPr>
          <w:rFonts w:cs="Times New Roman"/>
          <w:color w:val="auto"/>
        </w:rPr>
        <w:t xml:space="preserve"> colorectal cancer cells compared to normal colon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"10.1593/tlo.13238", "author" : [ { "dropping-particle" : "", "family" : "Lao", "given" : "VV", "non-dropping-particle" : "", "parse-names" : false, "suffix" : "" } ], "container-title" : "Translational Oncology", "id" : "ITEM-1", "issue" : "4", "issued" : { "date-parts" : [ [ "2013" ] ] }, "page" : "458-469", "title" : "Altered RecQ Helicase Expression in Sporadic Primary Colorectal Cancers", "type" : "article-journal", "volume" : "6" }, "uris" : [ "http://www.mendeley.com/documents/?uuid=b44e8ddf-fde4-4929-870e-9b2e33fe92b7" ] } ], "mendeley" : { "formattedCitation" : "(Lao 2013)", "plainTextFormattedCitation" : "(Lao 2013)", "previouslyFormattedCitation" : "(Lao 2013)"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(Lao 2013)</w:t>
      </w:r>
      <w:r w:rsidR="00F20EC0" w:rsidRPr="00DF0680">
        <w:rPr>
          <w:rFonts w:cs="Times New Roman"/>
          <w:color w:val="auto"/>
        </w:rPr>
        <w:fldChar w:fldCharType="end"/>
      </w:r>
      <w:r w:rsidR="003A5870" w:rsidRPr="00DF0680">
        <w:rPr>
          <w:rFonts w:cs="Times New Roman"/>
          <w:color w:val="auto"/>
        </w:rPr>
        <w:t>.</w:t>
      </w:r>
      <w:r w:rsidR="00456F73" w:rsidRPr="00DF0680">
        <w:rPr>
          <w:rFonts w:cs="Times New Roman"/>
          <w:color w:val="auto"/>
        </w:rPr>
        <w:t xml:space="preserve"> In cancer, RECQL1 may act to promote growth and prevent cell death. However, as expression of the protein varies between cancers, it is unclear whether this is true for all cancers. </w:t>
      </w:r>
    </w:p>
    <w:p w:rsidR="003A5870" w:rsidRPr="00DF0680" w:rsidRDefault="002C5381" w:rsidP="003A5870">
      <w:pPr>
        <w:rPr>
          <w:rFonts w:cs="Times New Roman"/>
          <w:color w:val="auto"/>
        </w:rPr>
      </w:pPr>
      <w:r w:rsidRPr="00DF0680">
        <w:rPr>
          <w:rFonts w:cs="Times New Roman"/>
          <w:color w:val="auto"/>
        </w:rPr>
        <w:t>As a helicase, u</w:t>
      </w:r>
      <w:r w:rsidR="003A5870" w:rsidRPr="00DF0680">
        <w:rPr>
          <w:rFonts w:cs="Times New Roman"/>
          <w:color w:val="auto"/>
        </w:rPr>
        <w:t xml:space="preserve">sing ATP, and stimulated by RPA, RECQL1 can unwind 3’ tail, 3’ and 5’ flap, forked, replication fork, bubble, D-loop and 4-way junction DNA substrates </w:t>
      </w:r>
      <w:r w:rsidRPr="00DF0680">
        <w:rPr>
          <w:rFonts w:cs="Times New Roman"/>
          <w:i/>
          <w:color w:val="auto"/>
        </w:rPr>
        <w:t>in vitro</w:t>
      </w:r>
      <w:r w:rsidRPr="00DF0680">
        <w:rPr>
          <w:rFonts w:cs="Times New Roman"/>
          <w:color w:val="auto"/>
        </w:rPr>
        <w:t xml:space="preserve"> </w:t>
      </w:r>
      <w:r w:rsidR="003A5870" w:rsidRPr="00DF0680">
        <w:rPr>
          <w:rFonts w:cs="Times New Roman"/>
          <w:color w:val="auto"/>
        </w:rPr>
        <w:t xml:space="preserve">as well possessing ATP-independent strand annealing activity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"10.1074/jbc.M500264200", "ISSN" : "0021-9258", "PMID" : "15899892", "abstract" : "RecQ helicases play an important role in preserving genomic integrity, and their cellular roles in DNA repair, recombination, and replication have been of considerable interest. Of the five human RecQ helicases identified, three are associated with genetic disorders characterized by an elevated incidence of cancer or premature aging: Werner syndrome, Bloom syndrome, and Rothmund-Thomson syndrome. Although the biochemical properties and protein interactions of the WRN and BLM helicases defective in Werner syndrome and Bloom syndrome, respectively, have been extensively investigated, less information is available concerning the functions of the other human RecQ helicases. We have focused our attention on human RECQ1, a DNA helicase whose cellular functions remain largely uncharacterized. In this work, we have characterized the DNA substrate specificity and optimal cofactor requirements for efficient RECQ1-catalyzed DNA unwinding and determined that RECQ1 has certain properties that are distinct from those of other RecQ helicases. RECQ1 stably bound to a variety of DNA structures, enabling it to unwind a diverse set of DNA substrates. In addition to its DNA binding and helicase activities, RECQ1 catalyzed efficient strand annealing between complementary single-stranded DNA molecules. The ability of RECQ1 to promote strand annealing was modulated by ATP binding, which induced a conformational change in the protein. The enzymatic properties of the RECQ1 helicase and strand annealing activities are discussed in the context of proposed cellular DNA metabolic pathways that are important in the maintenance of genomic stability.", "author" : [ { "dropping-particle" : "", "family" : "Sharma", "given" : "Sudha", "non-dropping-particle" : "", "parse-names" : false, "suffix" : "" }, { "dropping-particle" : "", "family" : "Sommers", "given" : "Joshua a", "non-dropping-particle" : "", "parse-names" : false, "suffix" : "" }, { "dropping-particle" : "", "family" : "Choudhary", "given" : "Saba", "non-dropping-particle" : "", "parse-names" : false, "suffix" : "" }, { "dropping-particle" : "", "family" : "Faulkner", "given" : "Jinnifer Korin", "non-dropping-particle" : "", "parse-names" : false, "suffix" : "" }, { "dropping-particle" : "", "family" : "Cui", "given" : "Sheng", "non-dropping-particle" : "", "parse-names" : false, "suffix" : "" }, { "dropping-particle" : "", "family" : "Andreoli", "given" : "Lucia", "non-dropping-particle" : "", "parse-names" : false, "suffix" : "" }, { "dropping-particle" : "", "family" : "Muzzolini", "given" : "Laura", "non-dropping-particle" : "", "parse-names" : false, "suffix" : "" }, { "dropping-particle" : "", "family" : "Vindigni", "given" : "Alessandro", "non-dropping-particle" : "", "parse-names" : false, "suffix" : "" }, { "dropping-particle" : "", "family" : "Brosh", "given" : "Robert M", "non-dropping-particle" : "", "parse-names" : false, "suffix" : "" } ], "container-title" : "The Journal of Biological Chemistry", "id" : "ITEM-1", "issue" : "30", "issued" : { "date-parts" : [ [ "2005", "7", "29" ] ] }, "page" : "28072-84", "title" : "Biochemical analysis of the DNA unwinding and strand annealing activities catalyzed by human RECQ1.", "type" : "article-journal", "volume" : "280" }, "uris" : [ "http://www.mendeley.com/documents/?uuid=a2509f89-d5a7-4357-9b78-2cfde6657faf" ] }, { "id" : "ITEM-2", "itemData" : { "DOI" : "10.1074/jbc.M209407200", "ISSN" : "0021-9258", "PMID" : "12419808", "abstract" : "The RecQ helicases are involved in several aspects of DNA metabolism. Five members of the RecQ family have been found in humans, but only two of them have been carefully characterized, BLM and WRN. In this work, we describe the enzymatic characterization of RECQ1. The helicase has 3' to 5' polarity, cannot start the unwinding from a blunt-ended terminus, and needs a 3'-single-stranded DNA tail longer than 10 nucleotides to open the substrate. However, it was also able to unwind a blunt-ended duplex DNA with a \"bubble\" of 25 nucleotides in the middle, as previously observed for WRN and BLM. We show that only short DNA duplexes (&lt;30 bp) can be unwound by RECQ1 alone, but the addition of human replication protein A (hRPA) increases the processivity of the enzyme (&gt;100 bp). Our studies done with Escherichia coli single-strand binding protein (SSB) indicate that the helicase activity of RECQ1 is specifically stimulated by hRPA. This finding suggests that RECQ1 and hRPA may interact also in vivo and function together in DNA metabolism. Comparison of the present results with previous studies on WRN and BLM provides novel insight into the role of the N- and C-terminal domains of these helicases in determining their substrate specificity and in their interaction with hRPA.", "author" : [ { "dropping-particle" : "", "family" : "Cui", "given" : "Sheng", "non-dropping-particle" : "", "parse-names" : false, "suffix" : "" }, { "dropping-particle" : "", "family" : "Klima", "given" : "Raffaella", "non-dropping-particle" : "", "parse-names" : false, "suffix" : "" }, { "dropping-particle" : "", "family" : "Ochem", "given" : "Alex", "non-dropping-particle" : "", "parse-names" : false, "suffix" : "" }, { "dropping-particle" : "", "family" : "Arosio", "given" : "Daniele", "non-dropping-particle" : "", "parse-names" : false, "suffix" : "" }, { "dropping-particle" : "", "family" : "Falaschi", "given" : "Arturo", "non-dropping-particle" : "", "parse-names" : false, "suffix" : "" }, { "dropping-particle" : "", "family" : "Vindigni", "given" : "Alessandro", "non-dropping-particle" : "", "parse-names" : false, "suffix" : "" } ], "container-title" : "The Journal of Biological Chemistry", "id" : "ITEM-2", "issue" : "3", "issued" : { "date-parts" : [ [ "2003", "1", "17" ] ] }, "page" : "1424-32", "title" : "Characterization of the DNA-unwinding activity of human RECQ1, a helicase specifically stimulated by human replication protein A.", "type" : "article-journal", "volume" : "278" }, "uris" : [ "http://www.mendeley.com/documents/?uuid=534fa7a9-1085-4b94-be01-bc7d359847b2" ] }, { "id" : "ITEM-3", "itemData" : { "DOI" : "10.1074/jbc.M709749200", "ISSN" : "0021-9258", "PMID" : "18448429", "abstract" : "RecQ helicases maintain chromosome stability by resolving a number of highly specific DNA structures that would otherwise impede the correct transmission of genetic information. Previous studies have shown that two human RecQ helicases, BLM and WRN, have very similar substrate specificities and preferentially unwind noncanonical DNA structures, such as synthetic Holliday junctions and G-quadruplex DNA. Here, we extend this analysis of BLM to include new substrates and have compared the substrate specificity of BLM with that of another human RecQ helicase, RECQ1. Our findings show that RECQ1 has a distinct substrate specificity compared with BLM. In particular, RECQ1 cannot unwind G-quadruplexes or RNA-DNA hybrid structures, even in the presence of the single-stranded binding protein, human replication protein A, that stimulates its DNA helicase activity. Moreover, RECQ1 cannot substitute for BLM in the regression of a model replication fork and is very inefficient in displacing plasmid D-loops lacking a 3'-tail. Conversely, RECQ1, but not BLM, is able to resolve immobile Holliday junction structures lacking an homologous core, even in the absence of human replication protein A. Mutagenesis studies show that the N-terminal region (residues 1-56) of RECQ1 is necessary both for protein oligomerization and for this Holliday junction disruption activity. These results suggest that the N-terminal domain or the higher order oligomer formation promoted by the N terminus is essential for the ability of RECQ1 to disrupt Holliday junctions. Collectively, our findings highlight several differences between the substrate specificities of RECQ1 and BLM (and by inference WRN) and suggest that these enzymes play nonoverlapping functions in cells.", "author" : [ { "dropping-particle" : "", "family" : "Popuri", "given" : "Venkateswarlu", "non-dropping-particle" : "", "parse-names" : false, "suffix" : "" }, { "dropping-particle" : "", "family" : "Bachrati", "given" : "Csan\u00e1d Z", "non-dropping-particle" : "", "parse-names" : false, "suffix" : "" }, { "dropping-particle" : "", "family" : "Muzzolini", "given" : "Laura", "non-dropping-particle" : "", "parse-names" : false, "suffix" : "" }, { "dropping-particle" : "", "family" : "Mosedale", "given" : "Georgina", "non-dropping-particle" : "", "parse-names" : false, "suffix" : "" }, { "dropping-particle" : "", "family" : "Costantini", "given" : "Silvia", "non-dropping-particle" : "", "parse-names" : false, "suffix" : "" }, { "dropping-particle" : "", "family" : "Giacomini", "given" : "Elisa", "non-dropping-particle" : "", "parse-names" : false, "suffix" : "" }, { "dropping-particle" : "", "family" : "Hickson", "given" : "Ian D", "non-dropping-particle" : "", "parse-names" : false, "suffix" : "" }, { "dropping-particle" : "", "family" : "Vindigni", "given" : "Alessandro", "non-dropping-particle" : "", "parse-names" : false, "suffix" : "" } ], "container-title" : "The Journal of Biological Chemistry", "id" : "ITEM-3", "issue" : "26", "issued" : { "date-parts" : [ [ "2008", "6", "27" ] ] }, "page" : "17766-76", "title" : "The Human RecQ helicases, BLM and RECQ1, display distinct DNA substrate specificities.", "type" : "article-journal", "volume" : "283" }, "uris" : [ "http://www.mendeley.com/documents/?uuid=12a7aa2c-495f-4b51-aa42-ef9249ff0d79" ] } ], "mendeley" : { "formattedCitation" : "(Sharma et al. 2005; Cui et al. 2003; Popuri et al. 2008)", "plainTextFormattedCitation" : "(Sharma et al. 2005; Cui et al. 2003; Popuri et al. 2008)", "previouslyFormattedCitation" : "(Sharma et al. 2005; Cui et al. 2003; Popuri et al. 2008)"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(Sharma et al. 2005; Cui et al. 2003; Popuri et al. 2008)</w:t>
      </w:r>
      <w:r w:rsidR="00F20EC0" w:rsidRPr="00DF0680">
        <w:rPr>
          <w:rFonts w:cs="Times New Roman"/>
          <w:color w:val="auto"/>
        </w:rPr>
        <w:fldChar w:fldCharType="end"/>
      </w:r>
      <w:r w:rsidR="003A5870" w:rsidRPr="00DF0680">
        <w:rPr>
          <w:rFonts w:cs="Times New Roman"/>
          <w:color w:val="auto"/>
        </w:rPr>
        <w:t xml:space="preserve">. RECQL1 can also migrate branched DNA </w:t>
      </w:r>
      <w:r w:rsidRPr="00DF0680">
        <w:rPr>
          <w:rFonts w:cs="Times New Roman"/>
          <w:i/>
          <w:color w:val="auto"/>
        </w:rPr>
        <w:t>in vitro</w:t>
      </w:r>
      <w:r w:rsidRPr="00DF0680">
        <w:rPr>
          <w:rFonts w:cs="Times New Roman"/>
          <w:color w:val="auto"/>
        </w:rPr>
        <w:t xml:space="preserve"> </w:t>
      </w:r>
      <w:r w:rsidR="003A5870" w:rsidRPr="00DF0680">
        <w:rPr>
          <w:rFonts w:cs="Times New Roman"/>
          <w:color w:val="auto"/>
        </w:rPr>
        <w:t xml:space="preserve">and </w:t>
      </w:r>
      <w:r w:rsidRPr="00DF0680">
        <w:rPr>
          <w:rFonts w:cs="Times New Roman"/>
          <w:color w:val="auto"/>
        </w:rPr>
        <w:t>may have</w:t>
      </w:r>
      <w:r w:rsidR="003A5870" w:rsidRPr="00DF0680">
        <w:rPr>
          <w:rFonts w:cs="Times New Roman"/>
          <w:color w:val="auto"/>
        </w:rPr>
        <w:t xml:space="preserve"> a role in </w:t>
      </w:r>
      <w:r w:rsidR="00957AB8" w:rsidRPr="00DF0680">
        <w:rPr>
          <w:rFonts w:cs="Times New Roman"/>
          <w:color w:val="auto"/>
        </w:rPr>
        <w:t xml:space="preserve">recombination </w:t>
      </w:r>
      <w:r w:rsidRPr="00DF0680">
        <w:rPr>
          <w:rFonts w:cs="Times New Roman"/>
          <w:color w:val="auto"/>
        </w:rPr>
        <w:t>evidenced by</w:t>
      </w:r>
      <w:r w:rsidR="003A5870" w:rsidRPr="00DF0680">
        <w:rPr>
          <w:rFonts w:cs="Times New Roman"/>
          <w:color w:val="auto"/>
        </w:rPr>
        <w:t xml:space="preserve"> an increased number of SCEs upon depletion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"10.1093/nar/gki929", "ISSN" : "1362-4962", "PMID" : "16260474", "abstract" : "Homologous recombination provides an effective way to repair DNA double-strand breaks (DSBs) and is required for genetic recombination. During the process of homologous recombination, a heteroduplex DNA structure, or a 'Holliday junction' (HJ), is formed. The movement, or branch migration, of this junction is necessary for recombination to proceed correctly. In prokaryotes, the RecQ protein or the RuvA/RuvB protein complex can promote ATP-dependent branch migration of Holliday junctions. Much less is known about the processing of Holliday junctions in eukaryotes. Here, we identify RecQL1 as a predominant ATP-dependent, HJ branch migrator present in human nuclear extracts. A reduction in the level of RecQL1 induced by RNA interference in HeLa cells leads to an increase in sister chromatid exchange. We propose that RecQL1 is involved in the processing of Holliday junctions in human cells.", "author" : [ { "dropping-particle" : "", "family" : "LeRoy", "given" : "Gary", "non-dropping-particle" : "", "parse-names" : false, "suffix" : "" }, { "dropping-particle" : "", "family" : "Carroll", "given" : "Robert", "non-dropping-particle" : "", "parse-names" : false, "suffix" : "" }, { "dropping-particle" : "", "family" : "Kyin", "given" : "Saw", "non-dropping-particle" : "", "parse-names" : false, "suffix" : "" }, { "dropping-particle" : "", "family" : "Seki", "given" : "Masayuki", "non-dropping-particle" : "", "parse-names" : false, "suffix" : "" }, { "dropping-particle" : "", "family" : "Cole", "given" : "Michael D", "non-dropping-particle" : "", "parse-names" : false, "suffix" : "" } ], "container-title" : "Nucleic Acids Research", "id" : "ITEM-1", "issue" : "19", "issued" : { "date-parts" : [ [ "2005", "1" ] ] }, "page" : "6251-7", "title" : "Identification of RecQL1 as a Holliday junction processing enzyme in human cell lines.", "type" : "article-journal", "volume" : "33" }, "uris" : [ "http://www.mendeley.com/documents/?uuid=b6f39cb8-c336-4824-9a90-1acb7cf9fb19" ] }, { "id" : "ITEM-2", "itemData" : { "DOI" : "10.1074/jbc.M801582200", "ISSN" : "0021-9258", "PMID" : "18495662", "abstract" : "RecQ helicases are essential for the maintenance of genome stability. Five members of the RecQ family have been found in humans, including RECQ1, RECQ5, BLM, WRN, and RECQ4; the last three are associated with human diseases. At this time, only BLM and WRN helicases have been extensively characterized, and the information on the other RecQ helicases has only started to emerge. Our current paper is focused on the biochemical properties of human RECQ1 helicase. Recent cellular studies have shown that RECQ1 may participate in DNA repair and homologous recombination, but the exact mechanisms of how RECQ1 performs its cellular functions remain largely unknown. Whereas RECQ1 possesses poor helicase activity, we found here that the enzyme efficiently promotes DNA branch migration. Further analysis revealed that RECQ1 catalyzes unidirectional three-stranded branch migration with a 3' --&gt; 5' polarity. We show that this RECQ1 activity is instrumental in specific disruption of joint molecules (D-loops) formed by a 5' single-stranded DNA invading strand, which may represent dead end intermediates of homologous recombination in vivo. The newly found enzymatic properties of the RECQ1 helicase may have important implications for the function of RECQ1 in maintenance of genomic stability.", "author" : [ { "dropping-particle" : "V", "family" : "Bugreev", "given" : "Dmitry", "non-dropping-particle" : "", "parse-names" : false, "suffix" : "" }, { "dropping-particle" : "", "family" : "Brosh", "given" : "Robert M", "non-dropping-particle" : "", "parse-names" : false, "suffix" : "" }, { "dropping-particle" : "V", "family" : "Mazin", "given" : "Alexander", "non-dropping-particle" : "", "parse-names" : false, "suffix" : "" } ], "container-title" : "The Journal of Biological Chemistry", "id" : "ITEM-2", "issue" : "29", "issued" : { "date-parts" : [ [ "2008", "7", "18" ] ] }, "page" : "20231-42", "title" : "RECQ1 possesses DNA branch migration activity.", "type" : "article-journal", "volume" : "283" }, "uris" : [ "http://www.mendeley.com/documents/?uuid=a158f668-619c-4d87-b32c-138aa7027843" ] } ], "mendeley" : { "formattedCitation" : "(LeRoy et al. 2005; Bugreev et al. 2008)", "plainTextFormattedCitation" : "(LeRoy et al. 2005; Bugreev et al. 2008)", "previouslyFormattedCitation" : "(LeRoy et al. 2005; Bugreev et al. 2008)"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(LeRoy et al. 2005; Bugreev et al. 2008)</w:t>
      </w:r>
      <w:r w:rsidR="00F20EC0" w:rsidRPr="00DF0680">
        <w:rPr>
          <w:rFonts w:cs="Times New Roman"/>
          <w:color w:val="auto"/>
        </w:rPr>
        <w:fldChar w:fldCharType="end"/>
      </w:r>
      <w:r w:rsidR="003A5870" w:rsidRPr="00DF0680">
        <w:rPr>
          <w:rFonts w:cs="Times New Roman"/>
          <w:color w:val="auto"/>
        </w:rPr>
        <w:t xml:space="preserve">. </w:t>
      </w:r>
    </w:p>
    <w:p w:rsidR="003A5870" w:rsidRPr="00DF0680" w:rsidRDefault="00E700DB" w:rsidP="003A5870">
      <w:pPr>
        <w:rPr>
          <w:rFonts w:cs="Times New Roman"/>
        </w:rPr>
      </w:pPr>
      <w:r w:rsidRPr="00DF0680">
        <w:rPr>
          <w:rFonts w:cs="Times New Roman"/>
        </w:rPr>
        <w:t xml:space="preserve">Depletion </w:t>
      </w:r>
      <w:r w:rsidR="003A5870" w:rsidRPr="00DF0680">
        <w:rPr>
          <w:rFonts w:cs="Times New Roman"/>
        </w:rPr>
        <w:t>of RECQL1 causes DNA damage-induced apoptosis, decrease</w:t>
      </w:r>
      <w:r w:rsidR="008749CD" w:rsidRPr="00DF0680">
        <w:rPr>
          <w:rFonts w:cs="Times New Roman"/>
        </w:rPr>
        <w:t>d</w:t>
      </w:r>
      <w:r w:rsidR="003A5870" w:rsidRPr="00DF0680">
        <w:rPr>
          <w:rFonts w:cs="Times New Roman"/>
        </w:rPr>
        <w:t xml:space="preserve"> cell growth and proliferation, increase</w:t>
      </w:r>
      <w:r w:rsidR="008749CD" w:rsidRPr="00DF0680">
        <w:rPr>
          <w:rFonts w:cs="Times New Roman"/>
        </w:rPr>
        <w:t>d</w:t>
      </w:r>
      <w:r w:rsidR="003A5870" w:rsidRPr="00DF0680">
        <w:rPr>
          <w:rFonts w:cs="Times New Roman"/>
        </w:rPr>
        <w:t xml:space="preserve"> γH2AX foci formation and makes cells more sensitive to both IR and camptothecin treatment </w:t>
      </w:r>
      <w:r w:rsidR="00F20EC0" w:rsidRPr="00DF0680">
        <w:rPr>
          <w:rFonts w:cs="Times New Roman"/>
        </w:rPr>
        <w:fldChar w:fldCharType="begin" w:fldLock="1"/>
      </w:r>
      <w:r w:rsidR="00332613" w:rsidRPr="00DF0680">
        <w:rPr>
          <w:rFonts w:cs="Times New Roman"/>
        </w:rPr>
        <w:instrText>ADDIN CSL_CITATION { "citationItems" : [ { "id" : "ITEM-1", "itemData" : { "DOI" : "10.1186/1476-4598-10-83", "ISSN" : "1476-4598", "PMID" : "21752281", "abstract" : "BACKGROUND: RecQ helicases play an essential role in the maintenance of genome stability. In humans, loss of RecQ helicase function is linked with predisposition to cancer and/or premature ageing. Current data show that the specific depletion of the human RECQ1 helicase leads to mitotic catastrophe in cancer cells and inhibition of tumor growth in mice.\n\nRESULTS: Here, we show that RECQ1 is highly expressed in various types of solid tumors. However, only in the case of brain gliomas, the high expression of RECQ1 in glioblastoma tissues is paralleled by a lower expression in the control samples due to the poor expression of RECQ1 in non-dividing tissues. This conclusion is validated by immunohistochemical analysis of a tissue microarray containing 63 primary glioblastomas and 19 perilesional tissue samples, as control. We also show that acute depletion of RECQ1 by RNAi results in a significant reduction of cellular proliferation, perturbation of S-phase progression, and spontaneous \u03b3-H2AX foci formation in T98G and U-87 glioblastoma cells. Moreover, RECQ1 depleted T98G and U-87 cells are hypersensitive to HU or temozolomide treatment.\n\nCONCLUSIONS: Collectively, these results indicate that RECQ1 has a unique and important role in the maintenance of genome integrity. Our results also suggest that RECQ1 might represent a new suitable target for anti cancer therapies aimed to arrest cell proliferation in brain gliomas.", "author" : [ { "dropping-particle" : "", "family" : "Mendoza-Maldonado", "given" : "Ramiro", "non-dropping-particle" : "", "parse-names" : false, "suffix" : "" }, { "dropping-particle" : "", "family" : "Faoro", "given" : "Valentina", "non-dropping-particle" : "", "parse-names" : false, "suffix" : "" }, { "dropping-particle" : "", "family" : "Bajpai", "given" : "Sailesh", "non-dropping-particle" : "", "parse-names" : false, "suffix" : "" }, { "dropping-particle" : "", "family" : "Berti", "given" : "Matteo", "non-dropping-particle" : "", "parse-names" : false, "suffix" : "" }, { "dropping-particle" : "", "family" : "Odreman", "given" : "Federico", "non-dropping-particle" : "", "parse-names" : false, "suffix" : "" }, { "dropping-particle" : "", "family" : "Vindigni", "given" : "Marco", "non-dropping-particle" : "", "parse-names" : false, "suffix" : "" }, { "dropping-particle" : "", "family" : "Ius", "given" : "Tamara", "non-dropping-particle" : "", "parse-names" : false, "suffix" : "" }, { "dropping-particle" : "", "family" : "Ghasemian", "given" : "Abdollah", "non-dropping-particle" : "", "parse-names" : false, "suffix" : "" }, { "dropping-particle" : "", "family" : "Bonin", "given" : "Serena", "non-dropping-particle" : "", "parse-names" : false, "suffix" : "" }, { "dropping-particle" : "", "family" : "Skrap", "given" : "Miran", "non-dropping-particle" : "", "parse-names" : false, "suffix" : "" }, { "dropping-particle" : "", "family" : "Stanta", "given" : "Giorgio", "non-dropping-particle" : "", "parse-names" : false, "suffix" : "" }, { "dropping-particle" : "", "family" : "Vindigni", "given" : "Alessandro", "non-dropping-particle" : "", "parse-names" : false, "suffix" : "" } ], "container-title" : "Molecular Cancer", "id" : "ITEM-1", "issue" : "1", "issued" : { "date-parts" : [ [ "2011", "1" ] ] }, "page" : "83", "publisher" : "BioMed Central Ltd", "title" : "The human RECQ1 helicase is highly expressed in glioblastoma and plays an important role in tumor cell proliferation.", "type" : "article-journal", "volume" : "10" }, "uris" : [ "http://www.mendeley.com/documents/?uuid=e60b525c-c930-47ea-b109-6ac7e01779bd" ] }, { "id" : "ITEM-2", "itemData" : { "DOI" : "10.1371/journal.pone.0001297", "ISSN" : "1932-6203", "PMID" : "18074021", "abstract" : "BACKGROUND: DNA helicases are ubiquitous enzymes that unwind DNA in an ATP-dependent and directionally specific manner. Unwinding of double-stranded DNA is essential for the processes of DNA repair, recombination, transcription, and DNA replication. Five human DNA helicases sharing sequence similarity with the E. coli RecQ helicase have been identified. Three of the human RecQ helicases are implicated in hereditary diseases (Bloom syndrome, Werner syndrome, and Rothmund-Thomson syndrome) which display clinical symptoms of premature aging and cancer. RECQ1 helicase is the most highly expressed of the human RecQ helicases; however, a genetic disease has yet not been linked to mutations in the RECQ1 gene, and the biological functions of human RECQ1 in cellular DNA metabolism are not known.\n\nMETHODOLOGY/PRINCIPAL FINDINGS: In this study, we report that RECQ1 becomes phosphorylated upon DNA damage and forms irradiation-induced nuclear foci that associate with chromatin in human cells. Depletion of RECQ1 renders human cells sensitive to DNA damage induced by ionizing radiation or the topoisomerase inhibitor camptothecin, and results in spontaneous gamma-H2AX foci and elevated sister chromatid exchanges, indicating aberrant repair of DNA breaks. Consistent with a role in homologous recombinational repair, endogenous RECQ1 is associated with the strand exchange protein Rad51 and the two proteins directly interact with high affinity.\n\nCONCLUSION/SIGNIFICANCE: Collectively, these results provide the first evidence for a role of human RECQ1 in the response to DNA damage and chromosomal stability maintenance and point to the vital importance of RECQ1 in genome homeostasis.", "author" : [ { "dropping-particle" : "", "family" : "Sharma", "given" : "Sudha", "non-dropping-particle" : "", "parse-names" : false, "suffix" : "" }, { "dropping-particle" : "", "family" : "Brosh", "given" : "Robert M", "non-dropping-particle" : "", "parse-names" : false, "suffix" : "" } ], "container-title" : "PloS One", "id" : "ITEM-2", "issue" : "12", "issued" : { "date-parts" : [ [ "2007", "1" ] ] }, "page" : "e1297", "title" : "Human RECQ1 is a DNA damage responsive protein required for genotoxic stress resistance and suppression of sister chromatid exchanges.", "type" : "article-journal", "volume" : "2" }, "uris" : [ "http://www.mendeley.com/documents/?uuid=0a239243-dc4e-4265-a42c-4a7c385ac8dd" ] } ], "mendeley" : { "formattedCitation" : "(Mendoza-Maldonado et al. 2011; Sharma &amp; Brosh 2007)", "plainTextFormattedCitation" : "(Mendoza-Maldonado et al. 2011; Sharma &amp; Brosh 2007)", "previouslyFormattedCitation" : "(Mendoza-Maldonado et al. 2011; Sharma &amp; Brosh 2007)"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(Mendoza-Maldonado et al. 2011; Sharma &amp; Brosh 2007)</w:t>
      </w:r>
      <w:r w:rsidR="00F20EC0" w:rsidRPr="00DF0680">
        <w:rPr>
          <w:rFonts w:cs="Times New Roman"/>
        </w:rPr>
        <w:fldChar w:fldCharType="end"/>
      </w:r>
      <w:r w:rsidR="003A5870" w:rsidRPr="00DF0680">
        <w:rPr>
          <w:rFonts w:cs="Times New Roman"/>
        </w:rPr>
        <w:t xml:space="preserve">. In response to IR, RECQL1 forms foci, is recruited to chromatin and is phosphorylated </w:t>
      </w:r>
      <w:r w:rsidR="00F20EC0" w:rsidRPr="00DF0680">
        <w:rPr>
          <w:rFonts w:cs="Times New Roman"/>
        </w:rPr>
        <w:fldChar w:fldCharType="begin" w:fldLock="1"/>
      </w:r>
      <w:r w:rsidR="00332613" w:rsidRPr="00DF0680">
        <w:rPr>
          <w:rFonts w:cs="Times New Roman"/>
        </w:rPr>
        <w:instrText>ADDIN CSL_CITATION { "citationItems" : [ { "id" : "ITEM-1", "itemData" : { "DOI" : "10.1371/journal.pone.0001297", "ISSN" : "1932-6203", "PMID" : "18074021", "abstract" : "BACKGROUND: DNA helicases are ubiquitous enzymes that unwind DNA in an ATP-dependent and directionally specific manner. Unwinding of double-stranded DNA is essential for the processes of DNA repair, recombination, transcription, and DNA replication. Five human DNA helicases sharing sequence similarity with the E. coli RecQ helicase have been identified. Three of the human RecQ helicases are implicated in hereditary diseases (Bloom syndrome, Werner syndrome, and Rothmund-Thomson syndrome) which display clinical symptoms of premature aging and cancer. RECQ1 helicase is the most highly expressed of the human RecQ helicases; however, a genetic disease has yet not been linked to mutations in the RECQ1 gene, and the biological functions of human RECQ1 in cellular DNA metabolism are not known.\n\nMETHODOLOGY/PRINCIPAL FINDINGS: In this study, we report that RECQ1 becomes phosphorylated upon DNA damage and forms irradiation-induced nuclear foci that associate with chromatin in human cells. Depletion of RECQ1 renders human cells sensitive to DNA damage induced by ionizing radiation or the topoisomerase inhibitor camptothecin, and results in spontaneous gamma-H2AX foci and elevated sister chromatid exchanges, indicating aberrant repair of DNA breaks. Consistent with a role in homologous recombinational repair, endogenous RECQ1 is associated with the strand exchange protein Rad51 and the two proteins directly interact with high affinity.\n\nCONCLUSION/SIGNIFICANCE: Collectively, these results provide the first evidence for a role of human RECQ1 in the response to DNA damage and chromosomal stability maintenance and point to the vital importance of RECQ1 in genome homeostasis.", "author" : [ { "dropping-particle" : "", "family" : "Sharma", "given" : "Sudha", "non-dropping-particle" : "", "parse-names" : false, "suffix" : "" }, { "dropping-particle" : "", "family" : "Brosh", "given" : "Robert M", "non-dropping-particle" : "", "parse-names" : false, "suffix" : "" } ], "container-title" : "PloS One", "id" : "ITEM-1", "issue" : "12", "issued" : { "date-parts" : [ [ "2007", "1" ] ] }, "page" : "e1297", "title" : "Human RECQ1 is a DNA damage responsive protein required for genotoxic stress resistance and suppression of sister chromatid exchanges.", "type" : "article-journal", "volume" : "2" }, "uris" : [ "http://www.mendeley.com/documents/?uuid=0a239243-dc4e-4265-a42c-4a7c385ac8dd" ] } ], "mendeley" : { "formattedCitation" : "(Sharma &amp; Brosh 2007)", "plainTextFormattedCitation" : "(Sharma &amp; Brosh 2007)", "previouslyFormattedCitation" : "(Sharma &amp; Brosh 2007)"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(Sharma &amp; Brosh 2007)</w:t>
      </w:r>
      <w:r w:rsidR="00F20EC0" w:rsidRPr="00DF0680">
        <w:rPr>
          <w:rFonts w:cs="Times New Roman"/>
        </w:rPr>
        <w:fldChar w:fldCharType="end"/>
      </w:r>
      <w:r w:rsidR="003A5870" w:rsidRPr="00DF0680">
        <w:rPr>
          <w:rFonts w:cs="Times New Roman"/>
        </w:rPr>
        <w:t xml:space="preserve">. </w:t>
      </w:r>
      <w:r w:rsidR="003A5870" w:rsidRPr="00DF0680">
        <w:rPr>
          <w:rFonts w:cs="Times New Roman"/>
          <w:i/>
        </w:rPr>
        <w:t>In vitro</w:t>
      </w:r>
      <w:r w:rsidR="003A5870" w:rsidRPr="00DF0680">
        <w:rPr>
          <w:rFonts w:cs="Times New Roman"/>
        </w:rPr>
        <w:t xml:space="preserve"> work has suggested that RECQL1 catalyzes strand exchange on stalled forks </w:t>
      </w:r>
      <w:r w:rsidR="00F20EC0" w:rsidRPr="00DF0680">
        <w:rPr>
          <w:rFonts w:cs="Times New Roman"/>
        </w:rPr>
        <w:fldChar w:fldCharType="begin" w:fldLock="1"/>
      </w:r>
      <w:r w:rsidR="00724E72" w:rsidRPr="00DF0680">
        <w:rPr>
          <w:rFonts w:cs="Times New Roman"/>
        </w:rPr>
        <w:instrText>ADDIN CSL_CITATION { "citationItems" : [ { "id" : "ITEM-1", "itemData" : { "DOI" : "10.4161/cc.22581", "ISSN" : "1551-4005", "PMID" : "23095637", "abstract" : "RECQ1 is the most abundant of the five human RecQ helicases, but little is known about its biological significance. Recent studies indicate that RECQ1 is associated with origins of replication, suggesting a possible role in DNA replication. However, the functional role of RECQ1 at damaged or stalled replication forks is still unknown. Here, for the first time, we show that RECQ1 promotes strand exchange on synthetic stalled replication fork-mimicking structures and comparatively analyze RECQ1 with the other human RecQ helicases. RECQ1 actively unwinds the leading strand of the fork, similar to WRN, while RECQ4 and RECQ5\u03b2 can only unwind the lagging strand of the replication fork. Human replication protein A modulates the strand exchange activity of RECQ1 and shifts the equilibrium more to the unwinding mode, an effect also observed for WRN. Stable depletion of RECQ1 affects cell proliferation and renders human cells sensitive to various DNA damaging agents that directly or indirectly block DNA replication fork progression. Consequently, loss of RECQ1 activates DNA damage response signaling, leads to hyper-phosphorylation of RPA32 and activation of CHK1, indicating replication stress. Furthermore, depletion of RECQ1 leads to chromosomal condensation defects and accumulation of under-condensed chromosomes. Collectively, our observations provide a new insight into the role of RECQ1 in replication fork stabilization and its role in the DNA damage response to maintain genomic stability.", "author" : [ { "dropping-particle" : "", "family" : "Popuri", "given" : "Venkateswarlu", "non-dropping-particle" : "", "parse-names" : false, "suffix" : "" }, { "dropping-particle" : "", "family" : "Croteau", "given" : "Deborah L", "non-dropping-particle" : "", "parse-names" : false, "suffix" : "" }, { "dropping-particle" : "", "family" : "Brosh", "given" : "Robert M", "non-dropping-particle" : "", "parse-names" : false, "suffix" : "" }, { "dropping-particle" : "", "family" : "Bohr", "given" : "Vilhelm a", "non-dropping-particle" : "", "parse-names" : false, "suffix" : "" } ], "container-title" : "Cell Cycle", "id" : "ITEM-1", "issue" : "22", "issued" : { "date-parts" : [ [ "2012", "11", "15" ] ] }, "page" : "4252-65", "title" : "RECQ1 is required for cellular resistance to replication stress and catalyzes strand exchange on stalled replication fork structures.", "type" : "article-journal", "volume" : "11" }, "uris" : [ "http://www.mendeley.com/documents/?uuid=7295fa27-bccd-4643-82ff-9d345d3ed87f" ] } ], "mendeley" : { "formattedCitation" : "(Popuri et al. 2012a)", "plainTextFormattedCitation" : "(Popuri et al. 2012a)", "previouslyFormattedCitation" : "(Popuri et al. 2012a)" }, "properties" : { "noteIndex" : 0 }, "schema" : "https://github.com/citation-style-language/schema/raw/master/csl-citation.json" }</w:instrText>
      </w:r>
      <w:r w:rsidR="00F20EC0" w:rsidRPr="00DF0680">
        <w:rPr>
          <w:rFonts w:cs="Times New Roman"/>
        </w:rPr>
        <w:fldChar w:fldCharType="separate"/>
      </w:r>
      <w:r w:rsidR="00EA1B48" w:rsidRPr="00DF0680">
        <w:rPr>
          <w:rFonts w:cs="Times New Roman"/>
        </w:rPr>
        <w:t>(Popuri et al. 2012a)</w:t>
      </w:r>
      <w:r w:rsidR="00F20EC0" w:rsidRPr="00DF0680">
        <w:rPr>
          <w:rFonts w:cs="Times New Roman"/>
        </w:rPr>
        <w:fldChar w:fldCharType="end"/>
      </w:r>
      <w:r w:rsidR="003A5870" w:rsidRPr="00DF0680">
        <w:rPr>
          <w:rFonts w:cs="Times New Roman"/>
        </w:rPr>
        <w:t xml:space="preserve">. </w:t>
      </w:r>
      <w:r w:rsidRPr="00DF0680">
        <w:rPr>
          <w:rFonts w:cs="Times New Roman"/>
        </w:rPr>
        <w:t xml:space="preserve">However, although </w:t>
      </w:r>
      <w:r w:rsidR="003A5870" w:rsidRPr="00DF0680">
        <w:rPr>
          <w:rFonts w:cs="Times New Roman"/>
        </w:rPr>
        <w:t xml:space="preserve">RECQL1 binds to Rad51 </w:t>
      </w:r>
      <w:r w:rsidR="00F20EC0" w:rsidRPr="00DF0680">
        <w:rPr>
          <w:rFonts w:cs="Times New Roman"/>
        </w:rPr>
        <w:fldChar w:fldCharType="begin" w:fldLock="1"/>
      </w:r>
      <w:r w:rsidR="00332613" w:rsidRPr="00DF0680">
        <w:rPr>
          <w:rFonts w:cs="Times New Roman"/>
        </w:rPr>
        <w:instrText>ADDIN CSL_CITATION { "citationItems" : [ { "id" : "ITEM-1", "itemData" : { "DOI" : "10.1371/journal.pone.0001297", "ISSN" : "1932-6203", "PMID" : "18074021", "abstract" : "BACKGROUND: DNA helicases are ubiquitous enzymes that unwind DNA in an ATP-dependent and directionally specific manner. Unwinding of double-stranded DNA is essential for the processes of DNA repair, recombination, transcription, and DNA replication. Five human DNA helicases sharing sequence similarity with the E. coli RecQ helicase have been identified. Three of the human RecQ helicases are implicated in hereditary diseases (Bloom syndrome, Werner syndrome, and Rothmund-Thomson syndrome) which display clinical symptoms of premature aging and cancer. RECQ1 helicase is the most highly expressed of the human RecQ helicases; however, a genetic disease has yet not been linked to mutations in the RECQ1 gene, and the biological functions of human RECQ1 in cellular DNA metabolism are not known.\n\nMETHODOLOGY/PRINCIPAL FINDINGS: In this study, we report that RECQ1 becomes phosphorylated upon DNA damage and forms irradiation-induced nuclear foci that associate with chromatin in human cells. Depletion of RECQ1 renders human cells sensitive to DNA damage induced by ionizing radiation or the topoisomerase inhibitor camptothecin, and results in spontaneous gamma-H2AX foci and elevated sister chromatid exchanges, indicating aberrant repair of DNA breaks. Consistent with a role in homologous recombinational repair, endogenous RECQ1 is associated with the strand exchange protein Rad51 and the two proteins directly interact with high affinity.\n\nCONCLUSION/SIGNIFICANCE: Collectively, these results provide the first evidence for a role of human RECQ1 in the response to DNA damage and chromosomal stability maintenance and point to the vital importance of RECQ1 in genome homeostasis.", "author" : [ { "dropping-particle" : "", "family" : "Sharma", "given" : "Sudha", "non-dropping-particle" : "", "parse-names" : false, "suffix" : "" }, { "dropping-particle" : "", "family" : "Brosh", "given" : "Robert M", "non-dropping-particle" : "", "parse-names" : false, "suffix" : "" } ], "container-title" : "PloS One", "id" : "ITEM-1", "issue" : "12", "issued" : { "date-parts" : [ [ "2007", "1" ] ] }, "page" : "e1297", "title" : "Human RECQ1 is a DNA damage responsive protein required for genotoxic stress resistance and suppression of sister chromatid exchanges.", "type" : "article-journal", "volume" : "2" }, "uris" : [ "http://www.mendeley.com/documents/?uuid=0a239243-dc4e-4265-a42c-4a7c385ac8dd" ] } ], "mendeley" : { "formattedCitation" : "(Sharma &amp; Brosh 2007)", "plainTextFormattedCitation" : "(Sharma &amp; Brosh 2007)", "previouslyFormattedCitation" : "(Sharma &amp; Brosh 2007)"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(Sharma &amp; Brosh 2007)</w:t>
      </w:r>
      <w:r w:rsidR="00F20EC0" w:rsidRPr="00DF0680">
        <w:rPr>
          <w:rFonts w:cs="Times New Roman"/>
        </w:rPr>
        <w:fldChar w:fldCharType="end"/>
      </w:r>
      <w:r w:rsidRPr="00DF0680">
        <w:rPr>
          <w:rFonts w:cs="Times New Roman"/>
        </w:rPr>
        <w:t>,</w:t>
      </w:r>
      <w:r w:rsidR="003A5870" w:rsidRPr="00DF0680">
        <w:rPr>
          <w:rFonts w:cs="Times New Roman"/>
        </w:rPr>
        <w:t xml:space="preserve"> </w:t>
      </w:r>
      <w:r w:rsidR="00142134" w:rsidRPr="00DF0680">
        <w:rPr>
          <w:rFonts w:cs="Times New Roman"/>
        </w:rPr>
        <w:t xml:space="preserve">siRNA-mediated depletion of </w:t>
      </w:r>
      <w:r w:rsidR="003A5870" w:rsidRPr="00DF0680">
        <w:rPr>
          <w:rFonts w:cs="Times New Roman"/>
        </w:rPr>
        <w:t>RECQL1 show</w:t>
      </w:r>
      <w:r w:rsidR="00E77795" w:rsidRPr="00DF0680">
        <w:rPr>
          <w:rFonts w:cs="Times New Roman"/>
        </w:rPr>
        <w:t>s</w:t>
      </w:r>
      <w:r w:rsidR="003A5870" w:rsidRPr="00DF0680">
        <w:rPr>
          <w:rFonts w:cs="Times New Roman"/>
        </w:rPr>
        <w:t xml:space="preserve"> increased</w:t>
      </w:r>
      <w:r w:rsidR="00142134" w:rsidRPr="00DF0680">
        <w:rPr>
          <w:rFonts w:cs="Times New Roman"/>
        </w:rPr>
        <w:t xml:space="preserve"> spontaneous</w:t>
      </w:r>
      <w:r w:rsidR="003A5870" w:rsidRPr="00DF0680">
        <w:rPr>
          <w:rFonts w:cs="Times New Roman"/>
        </w:rPr>
        <w:t xml:space="preserve"> RAD51 foci </w:t>
      </w:r>
      <w:r w:rsidR="00F20EC0" w:rsidRPr="00DF0680">
        <w:rPr>
          <w:rFonts w:cs="Times New Roman"/>
        </w:rPr>
        <w:fldChar w:fldCharType="begin" w:fldLock="1"/>
      </w:r>
      <w:r w:rsidR="00332613" w:rsidRPr="00DF0680">
        <w:rPr>
          <w:rFonts w:cs="Times New Roman"/>
        </w:rPr>
        <w:instrText>ADDIN CSL_CITATION { "citationItems" : [ { "id" : "ITEM-1", "itemData" : { "DOI" : "10.1128/MCB.01620-06", "ISSN" : "0270-7306", "PMID" : "17158923", "abstract" : "The mouse gene Recql is a member of the RecQ subfamily of DEx-H-containing DNA helicases. Five members of this family have been identified in both humans and mice, and mutations in three of these, BLM, WRN, and RECQL4, are associated with human diseases and a cellular phenotype that includes genomic instability. To date, no human disease has been associated with mutations in RECQL and no cellular phenotype has been associated with its deficiency. To gain insight into the physiological function of RECQL, we disrupted Recql in mice. RECQL-deficient mice did not exhibit any apparent phenotypic differences compared to wild-type mice. Cytogenetic analyses of embryonic fibroblasts from the RECQL-deficient mice revealed aneuploidy, spontaneous chromosomal breakage, and frequent translocation events. In addition, the RECQL-deficient cells were hypersensitive to ionizing radiation, exhibited an increased load of DNA damage, and displayed elevated spontaneous sister chromatid exchanges. These results provide evidence that RECQL has a unique cellular role in the DNA repair processes required for genomic integrity. Genetic background, functional redundancy, and perhaps other factors may protect the unstressed mouse from the types of abnormalities that might be expected from the severe chromosomal aberrations detected at the cellular level.", "author" : [ { "dropping-particle" : "", "family" : "Sharma", "given" : "Sudha", "non-dropping-particle" : "", "parse-names" : false, "suffix" : "" }, { "dropping-particle" : "", "family" : "Stumpo", "given" : "Deborah J", "non-dropping-particle" : "", "parse-names" : false, "suffix" : "" }, { "dropping-particle" : "", "family" : "Balajee", "given" : "Adayabalam S", "non-dropping-particle" : "", "parse-names" : false, "suffix" : "" }, { "dropping-particle" : "", "family" : "Bock", "given" : "Cheryl B", "non-dropping-particle" : "", "parse-names" : false, "suffix" : "" }, { "dropping-particle" : "", "family" : "Lansdorp", "given" : "Peter M", "non-dropping-particle" : "", "parse-names" : false, "suffix" : "" }, { "dropping-particle" : "", "family" : "Brosh", "given" : "Robert M", "non-dropping-particle" : "", "parse-names" : false, "suffix" : "" }, { "dropping-particle" : "", "family" : "Blackshear", "given" : "Perry J", "non-dropping-particle" : "", "parse-names" : false, "suffix" : "" } ], "container-title" : "Molecular and Cellular Biology", "id" : "ITEM-1", "issue" : "5", "issued" : { "date-parts" : [ [ "2007", "3" ] ] }, "page" : "1784-94", "title" : "RECQL, a member of the RecQ family of DNA helicases, suppresses chromosomal instability.", "type" : "article-journal", "volume" : "27" }, "uris" : [ "http://www.mendeley.com/documents/?uuid=18b24b01-d05f-4445-8f50-917dd22c1e42" ] } ], "mendeley" : { "formattedCitation" : "(Sharma et al. 2007)", "plainTextFormattedCitation" : "(Sharma et al. 2007)", "previouslyFormattedCitation" : "(Sharma et al. 2007)"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(Sharma et al. 2007)</w:t>
      </w:r>
      <w:r w:rsidR="00F20EC0" w:rsidRPr="00DF0680">
        <w:rPr>
          <w:rFonts w:cs="Times New Roman"/>
        </w:rPr>
        <w:fldChar w:fldCharType="end"/>
      </w:r>
      <w:r w:rsidR="003A5870" w:rsidRPr="00DF0680">
        <w:rPr>
          <w:rFonts w:cs="Times New Roman"/>
        </w:rPr>
        <w:t xml:space="preserve">, suggesting a role in inhibiting inappropriate </w:t>
      </w:r>
      <w:r w:rsidR="00142134" w:rsidRPr="00DF0680">
        <w:rPr>
          <w:rFonts w:cs="Times New Roman"/>
        </w:rPr>
        <w:t xml:space="preserve">endogenous </w:t>
      </w:r>
      <w:r w:rsidR="003A5870" w:rsidRPr="00DF0680">
        <w:rPr>
          <w:rFonts w:cs="Times New Roman"/>
        </w:rPr>
        <w:t>recombination or resolving recombination intermediates. RECQL1 has also been implicated in the non-homologous end joining pathway</w:t>
      </w:r>
      <w:r w:rsidR="005F5F0F" w:rsidRPr="00DF0680">
        <w:rPr>
          <w:rFonts w:cs="Times New Roman"/>
        </w:rPr>
        <w:t xml:space="preserve"> as well as homologous recombination</w:t>
      </w:r>
      <w:r w:rsidR="003A5870" w:rsidRPr="00DF0680">
        <w:rPr>
          <w:rFonts w:cs="Times New Roman"/>
        </w:rPr>
        <w:t xml:space="preserve">. RECQL1 binds to Ku70/80 of the DNA-PK complex </w:t>
      </w:r>
      <w:r w:rsidR="000407AD" w:rsidRPr="00DF0680">
        <w:rPr>
          <w:rFonts w:cs="Times New Roman"/>
          <w:i/>
        </w:rPr>
        <w:t>in vivo</w:t>
      </w:r>
      <w:r w:rsidR="000407AD" w:rsidRPr="00DF0680">
        <w:rPr>
          <w:rFonts w:cs="Times New Roman"/>
        </w:rPr>
        <w:t xml:space="preserve"> </w:t>
      </w:r>
      <w:r w:rsidR="003A5870" w:rsidRPr="00DF0680">
        <w:rPr>
          <w:rFonts w:cs="Times New Roman"/>
        </w:rPr>
        <w:t>and</w:t>
      </w:r>
      <w:r w:rsidR="000407AD" w:rsidRPr="00DF0680">
        <w:rPr>
          <w:rFonts w:cs="Times New Roman"/>
        </w:rPr>
        <w:t xml:space="preserve"> work </w:t>
      </w:r>
      <w:r w:rsidR="000407AD" w:rsidRPr="00DF0680">
        <w:rPr>
          <w:rFonts w:cs="Times New Roman"/>
          <w:i/>
        </w:rPr>
        <w:t>in vitro</w:t>
      </w:r>
      <w:r w:rsidR="003A5870" w:rsidRPr="00DF0680">
        <w:rPr>
          <w:rFonts w:cs="Times New Roman"/>
        </w:rPr>
        <w:t xml:space="preserve"> </w:t>
      </w:r>
      <w:r w:rsidR="000407AD" w:rsidRPr="00DF0680">
        <w:rPr>
          <w:rFonts w:cs="Times New Roman"/>
        </w:rPr>
        <w:t>suggests RECQL1 may promote NHEJ by unwinding Ku-DNA substrates and regulating</w:t>
      </w:r>
      <w:r w:rsidR="003A5870" w:rsidRPr="00DF0680">
        <w:rPr>
          <w:rFonts w:cs="Times New Roman"/>
        </w:rPr>
        <w:t xml:space="preserve"> the binding of Ku to DNA </w:t>
      </w:r>
      <w:r w:rsidR="00F20EC0" w:rsidRPr="00DF0680">
        <w:rPr>
          <w:rFonts w:cs="Times New Roman"/>
        </w:rPr>
        <w:fldChar w:fldCharType="begin" w:fldLock="1"/>
      </w:r>
      <w:r w:rsidR="00332613" w:rsidRPr="00DF0680">
        <w:rPr>
          <w:rFonts w:cs="Times New Roman"/>
        </w:rPr>
        <w:instrText>ADDIN CSL_CITATION { "citationItems" : [ { "id" : "ITEM-1", "itemData" : { "DOI" : "10.1371/journal.pone.0062481", "ISSN" : "1932-6203", "PMID" : "23650516", "abstract" : "Genomic instability is a known precursor to cancer and aging. The RecQ helicases are a highly conserved family of DNA-unwinding enzymes that play key roles in maintaining genome stability in all living organisms. Human RecQ homologs include RECQ1, BLM, WRN, RECQ4, and RECQ5\u03b2, three of which have been linked to diseases with elevated risk of cancer and growth defects (Bloom Syndrome and Rothmund-Thomson Syndrome) or premature aging (Werner Syndrome). RECQ1, the first RecQ helicase discovered and the most abundant in human cells, is the least well understood of the five human RecQ homologs. We have previously described that knockout of RECQ1 in mice or knockdown of its expression in human cells results in elevated frequency of spontaneous sister chromatid exchanges, chromosomal instability, increased load of DNA damage and heightened sensitivity to ionizing radiation. We have now obtained evidence implicating RECQ1 in the nonhomologous end-joining pathway of DNA double-strand break repair. We show that RECQ1 interacts directly with the Ku70/80 subunit of the DNA-PK complex, and depletion of RECQ1 results in reduced end-joining in cell free extracts. In vitro, RECQ1 binds and unwinds the Ku70/80-bound partial duplex DNA substrate efficiently. Linear DNA is co-bound by RECQ1 and Ku70/80, and DNA binding by Ku70/80 is modulated by RECQ1. Collectively, these results provide the first evidence for an interaction of RECQ1 with Ku70/80 and a role of the human RecQ helicase in double-strand break repair through nonhomologous end-joining.", "author" : [ { "dropping-particle" : "", "family" : "Parvathaneni", "given" : "Swetha", "non-dropping-particle" : "", "parse-names" : false, "suffix" : "" }, { "dropping-particle" : "", "family" : "Stortchevoi", "given" : "Alexei", "non-dropping-particle" : "", "parse-names" : false, "suffix" : "" }, { "dropping-particle" : "", "family" : "Sommers", "given" : "Joshua a", "non-dropping-particle" : "", "parse-names" : false, "suffix" : "" }, { "dropping-particle" : "", "family" : "Brosh", "given" : "Robert M", "non-dropping-particle" : "", "parse-names" : false, "suffix" : "" }, { "dropping-particle" : "", "family" : "Sharma", "given" : "Sudha", "non-dropping-particle" : "", "parse-names" : false, "suffix" : "" } ], "container-title" : "PloS One", "id" : "ITEM-1", "issue" : "5", "issued" : { "date-parts" : [ [ "2013", "1" ] ] }, "page" : "e62481", "title" : "Human RECQ1 Interacts with Ku70/80 and Modulates DNA End-Joining of Double-Strand Breaks.", "type" : "article-journal", "volume" : "8" }, "uris" : [ "http://www.mendeley.com/documents/?uuid=167fc997-dfb5-4dff-a47e-34e42493ece5" ] } ], "mendeley" : { "formattedCitation" : "(Parvathaneni et al. 2013)", "plainTextFormattedCitation" : "(Parvathaneni et al. 2013)", "previouslyFormattedCitation" : "(Parvathaneni et al. 2013)"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(Parvathaneni et al. 2013)</w:t>
      </w:r>
      <w:r w:rsidR="00F20EC0" w:rsidRPr="00DF0680">
        <w:rPr>
          <w:rFonts w:cs="Times New Roman"/>
        </w:rPr>
        <w:fldChar w:fldCharType="end"/>
      </w:r>
      <w:r w:rsidR="003A5870" w:rsidRPr="00DF0680">
        <w:rPr>
          <w:rFonts w:cs="Times New Roman"/>
        </w:rPr>
        <w:t>.</w:t>
      </w:r>
    </w:p>
    <w:p w:rsidR="008C3EA6" w:rsidRPr="00DF0680" w:rsidRDefault="003A5870" w:rsidP="003A5870">
      <w:pPr>
        <w:rPr>
          <w:rFonts w:cs="Times New Roman"/>
        </w:rPr>
      </w:pPr>
      <w:r w:rsidRPr="00DF0680">
        <w:rPr>
          <w:rFonts w:cs="Times New Roman"/>
        </w:rPr>
        <w:t xml:space="preserve">RECQL1 has a role in replication as it is recruited to sites of replication initiation and </w:t>
      </w:r>
      <w:r w:rsidR="00066034" w:rsidRPr="00DF0680">
        <w:rPr>
          <w:rFonts w:cs="Times New Roman"/>
        </w:rPr>
        <w:t>reducing RECQL1 protein level decreas</w:t>
      </w:r>
      <w:r w:rsidRPr="00DF0680">
        <w:rPr>
          <w:rFonts w:cs="Times New Roman"/>
        </w:rPr>
        <w:t xml:space="preserve">es the replication fork speed </w:t>
      </w:r>
      <w:r w:rsidR="00F20EC0" w:rsidRPr="00DF0680">
        <w:rPr>
          <w:rFonts w:cs="Times New Roman"/>
        </w:rPr>
        <w:fldChar w:fldCharType="begin" w:fldLock="1"/>
      </w:r>
      <w:r w:rsidR="00332613" w:rsidRPr="00DF0680">
        <w:rPr>
          <w:rFonts w:cs="Times New Roman"/>
        </w:rPr>
        <w:instrText>ADDIN CSL_CITATION { "citationItems" : [ { "id" : "ITEM-1", "itemData" : { "DOI" : "10.1128/MCB.01290-09", "ISSN" : "1098-5549", "PMID" : "20065033", "abstract" : "Cellular and biochemical studies support a role for all five human RecQ helicases in DNA replication; however, their specific functions during this process are unclear. Here we investigate the in vivo association of the five human RecQ helicases with three well-characterized human replication origins. We show that only RECQ1 (also called RECQL or RECQL1) and RECQ4 (also called RECQL4) associate with replication origins in a cell cycle-regulated fashion in unperturbed cells. RECQ4 is recruited to origins at late G(1), after ORC and MCM complex assembly, while RECQ1 and additional RECQ4 are loaded at origins at the onset of S phase, when licensed origins begin firing. Both proteins are lost from origins after DNA replication initiation, indicating either disassembly or tracking with the newly formed replisome. Nascent-origin DNA synthesis and the frequency of origin firing are reduced after RECQ1 depletion and, to a greater extent, after RECQ4 depletion. Depletion of RECQ1, though not that of RECQ4, also suppresses replication fork rates in otherwise unperturbed cells. These results indicate that RECQ1 and RECQ4 are integral components of the human replication complex and play distinct roles in DNA replication initiation and replication fork progression in vivo.", "author" : [ { "dropping-particle" : "", "family" : "Thangavel", "given" : "Saravanabhavan", "non-dropping-particle" : "", "parse-names" : false, "suffix" : "" }, { "dropping-particle" : "", "family" : "Mendoza-Maldonado", "given" : "Ramiro", "non-dropping-particle" : "", "parse-names" : false, "suffix" : "" }, { "dropping-particle" : "", "family" : "Tissino", "given" : "Erika", "non-dropping-particle" : "", "parse-names" : false, "suffix" : "" }, { "dropping-particle" : "", "family" : "Sidorova", "given" : "Julia M", "non-dropping-particle" : "", "parse-names" : false, "suffix" : "" }, { "dropping-particle" : "", "family" : "Yin", "given" : "Jinhu", "non-dropping-particle" : "", "parse-names" : false, "suffix" : "" }, { "dropping-particle" : "", "family" : "Wang", "given" : "Weidong", "non-dropping-particle" : "", "parse-names" : false, "suffix" : "" }, { "dropping-particle" : "", "family" : "Monnat", "given" : "Raymond J", "non-dropping-particle" : "", "parse-names" : false, "suffix" : "" }, { "dropping-particle" : "", "family" : "Falaschi", "given" : "Arturo", "non-dropping-particle" : "", "parse-names" : false, "suffix" : "" }, { "dropping-particle" : "", "family" : "Vindigni", "given" : "Alessandro", "non-dropping-particle" : "", "parse-names" : false, "suffix" : "" } ], "container-title" : "Molecular and Cellular Biology", "id" : "ITEM-1", "issue" : "6", "issued" : { "date-parts" : [ [ "2010", "3" ] ] }, "page" : "1382-96", "title" : "Human RECQ1 and RECQ4 helicases play distinct roles in DNA replication initiation.", "type" : "article-journal", "volume" : "30" }, "uris" : [ "http://www.mendeley.com/documents/?uuid=376ba441-3b7a-4c10-8395-3c3f1b390d1c" ] } ], "mendeley" : { "formattedCitation" : "(Thangavel et al. 2010)", "plainTextFormattedCitation" : "(Thangavel et al. 2010)", "previouslyFormattedCitation" : "(Thangavel et al. 2010)"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(Thangavel et al. 2010)</w:t>
      </w:r>
      <w:r w:rsidR="00F20EC0" w:rsidRPr="00DF0680">
        <w:rPr>
          <w:rFonts w:cs="Times New Roman"/>
        </w:rPr>
        <w:fldChar w:fldCharType="end"/>
      </w:r>
      <w:r w:rsidRPr="00DF0680">
        <w:rPr>
          <w:rFonts w:cs="Times New Roman"/>
        </w:rPr>
        <w:t xml:space="preserve">. This association with replication origins is enhanced in the presence of replication stress where it also localises to common fragile sites </w:t>
      </w:r>
      <w:r w:rsidR="00F20EC0" w:rsidRPr="00DF0680">
        <w:rPr>
          <w:rFonts w:cs="Times New Roman"/>
        </w:rPr>
        <w:fldChar w:fldCharType="begin" w:fldLock="1"/>
      </w:r>
      <w:r w:rsidR="00332613" w:rsidRPr="00DF0680">
        <w:rPr>
          <w:rFonts w:cs="Times New Roman"/>
        </w:rPr>
        <w:instrText>ADDIN CSL_CITATION { "citationItems" : [ { "id" : "ITEM-1", "itemData" : { "DOI" : "10.1186/1476-4598-12-29", "ISSN" : "1476-4598", "PMID" : "23601052", "abstract" : "BACKGROUND: Stalled replication forks at common fragile sites are a major cause of genomic instability. RecQ helicases, a highly conserved family of DNA-unwinding enzymes, are believed to ease 'roadblocks' that pose challenge to replication fork progression. Among the five known RecQ homologs in humans, functions of RECQ1, the most abundant of all, are poorly understood. We previously determined that RECQ1 helicase preferentially binds and unwinds substrates that mimic DNA replication/repair intermediates, and interacts with proteins involved in DNA replication restart mechanisms. METHOD: We have utilized chromatin immunoprecipitation followed by quantitative real-time PCR to investigate chromatin interactions of RECQ1 at defined genetic loci in the presence or absence of replication stress. We have also tested the sensitivity of RECQ1-depleted cells to aphidicolin induced replication stress. RESULTS: RECQ1 binds to the origins of replication in unperturbed cells. We now show that conditions of replication stress induce increased accumulation of RECQ1 at the lamin B2 origin in HeLa cells. Consistent with a role in promoting fork recovery or repair, RECQ1 is specifically enriched at two major fragile sites FRA3B and FRA16D where replication forks have stalled following aphidicolin treatment. RECQ1-depletion results in attenuated checkpoint activation in response to replication stress, increased sensitivity to aphidicolin and chromosomal instability. CONCLUSIONS: Given a recent biochemical observation that RECQ1 catalyzes strand exchange on stalled replication fork structures in vitro, our results indicate that RECQ1 facilitates repair of stalled or collapsed replication forks and preserves genome integrity. Our findings provide the first evidence of a crucial role for RECQ1 at naturally occurring fork stalling sites and implicate RECQ1 in mechanisms underlying common fragile site instability in cancer.", "author" : [ { "dropping-particle" : "", "family" : "Lu", "given" : "Xing", "non-dropping-particle" : "", "parse-names" : false, "suffix" : "" }, { "dropping-particle" : "", "family" : "Parvathaneni", "given" : "Swetha", "non-dropping-particle" : "", "parse-names" : false, "suffix" : "" }, { "dropping-particle" : "", "family" : "Hara", "given" : "Toshifumi", "non-dropping-particle" : "", "parse-names" : false, "suffix" : "" }, { "dropping-particle" : "", "family" : "Lal", "given" : "Ashish", "non-dropping-particle" : "", "parse-names" : false, "suffix" : "" }, { "dropping-particle" : "", "family" : "Sharma", "given" : "Sudha", "non-dropping-particle" : "", "parse-names" : false, "suffix" : "" } ], "container-title" : "Molecular Cancer", "id" : "ITEM-1", "issue" : "1", "issued" : { "date-parts" : [ [ "2013", "4", "22" ] ] }, "page" : "29", "title" : "Replication stress induces specific enrichment of RECQ1 at common fragile sites FRA3B and FRA16D.", "type" : "article-journal", "volume" : "12" }, "uris" : [ "http://www.mendeley.com/documents/?uuid=dbdd67c2-e5b0-4e6a-8e96-8ea654178bbd" ] } ], "mendeley" : { "formattedCitation" : "(Lu et al. 2013)", "plainTextFormattedCitation" : "(Lu et al. 2013)", "previouslyFormattedCitation" : "(Lu et al. 2013)"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(Lu et al. 2013)</w:t>
      </w:r>
      <w:r w:rsidR="00F20EC0" w:rsidRPr="00DF0680">
        <w:rPr>
          <w:rFonts w:cs="Times New Roman"/>
        </w:rPr>
        <w:fldChar w:fldCharType="end"/>
      </w:r>
      <w:r w:rsidR="00066034" w:rsidRPr="00DF0680">
        <w:rPr>
          <w:rFonts w:cs="Times New Roman"/>
        </w:rPr>
        <w:t xml:space="preserve">. Its role </w:t>
      </w:r>
      <w:r w:rsidR="00066034" w:rsidRPr="00DF0680">
        <w:rPr>
          <w:rFonts w:cs="Times New Roman"/>
        </w:rPr>
        <w:lastRenderedPageBreak/>
        <w:t>in</w:t>
      </w:r>
      <w:r w:rsidRPr="00DF0680">
        <w:rPr>
          <w:rFonts w:cs="Times New Roman"/>
        </w:rPr>
        <w:t xml:space="preserve"> replication was further developed when it was discovered that RECQL1 is required for fork restart after topoisomerase inhibition. Although RECQL1 cannot </w:t>
      </w:r>
      <w:proofErr w:type="gramStart"/>
      <w:r w:rsidRPr="00DF0680">
        <w:rPr>
          <w:rFonts w:cs="Times New Roman"/>
        </w:rPr>
        <w:t>regress</w:t>
      </w:r>
      <w:proofErr w:type="gramEnd"/>
      <w:r w:rsidRPr="00DF0680">
        <w:rPr>
          <w:rFonts w:cs="Times New Roman"/>
        </w:rPr>
        <w:t xml:space="preserve"> stalled forks, RECQL1 was shown to promote the restoration of </w:t>
      </w:r>
      <w:r w:rsidR="00066034" w:rsidRPr="00DF0680">
        <w:rPr>
          <w:rFonts w:cs="Times New Roman"/>
        </w:rPr>
        <w:t xml:space="preserve">the replication fork from </w:t>
      </w:r>
      <w:r w:rsidRPr="00DF0680">
        <w:rPr>
          <w:rFonts w:cs="Times New Roman"/>
        </w:rPr>
        <w:t>regressed forks, and restart replication after camptothecin treatment. This was shown to be inhibited by PARP activity, which was thought to stabilise the stalled forks and prevent</w:t>
      </w:r>
      <w:r w:rsidR="00066034" w:rsidRPr="00DF0680">
        <w:rPr>
          <w:rFonts w:cs="Times New Roman"/>
        </w:rPr>
        <w:t xml:space="preserve"> restart before the replication-</w:t>
      </w:r>
      <w:r w:rsidRPr="00DF0680">
        <w:rPr>
          <w:rFonts w:cs="Times New Roman"/>
        </w:rPr>
        <w:t xml:space="preserve">stalling damage is repaired </w:t>
      </w:r>
      <w:r w:rsidR="00F20EC0" w:rsidRPr="00DF0680">
        <w:rPr>
          <w:rFonts w:cs="Times New Roman"/>
        </w:rPr>
        <w:fldChar w:fldCharType="begin" w:fldLock="1"/>
      </w:r>
      <w:r w:rsidR="00332613" w:rsidRPr="00DF0680">
        <w:rPr>
          <w:rFonts w:cs="Times New Roman"/>
        </w:rPr>
        <w:instrText>ADDIN CSL_CITATION { "citationItems" : [ { "id" : "ITEM-1", "itemData" : { "DOI" : "10.1038/nsmb.2501", "ISSN" : "1545-9993", "author" : [ { "dropping-particle" : "", "family" : "Berti", "given" : "Matteo", "non-dropping-particle" : "", "parse-names" : false, "suffix" : "" }, { "dropping-particle" : "", "family" : "Chaudhuri", "given" : "Arnab Ray", "non-dropping-particle" : "", "parse-names" : false, "suffix" : "" }, { "dropping-particle" : "", "family" : "Thangavel", "given" : "Saravanabhavan", "non-dropping-particle" : "", "parse-names" : false, "suffix" : "" }, { "dropping-particle" : "", "family" : "Gomathinayagam", "given" : "Shivasankari", "non-dropping-particle" : "", "parse-names" : false, "suffix" : "" }, { "dropping-particle" : "", "family" : "Kenig", "given" : "Sasa", "non-dropping-particle" : "", "parse-names" : false, "suffix" : "" }, { "dropping-particle" : "", "family" : "Vujanovic", "given" : "Marko", "non-dropping-particle" : "", "parse-names" : false, "suffix" : "" }, { "dropping-particle" : "", "family" : "Odreman", "given" : "Federico", "non-dropping-particle" : "", "parse-names" : false, "suffix" : "" }, { "dropping-particle" : "", "family" : "Glatter", "given" : "Timo", "non-dropping-particle" : "", "parse-names" : false, "suffix" : "" }, { "dropping-particle" : "", "family" : "Graziano", "given" : "Simona", "non-dropping-particle" : "", "parse-names" : false, "suffix" : "" }, { "dropping-particle" : "", "family" : "Mendoza-maldonado", "given" : "Ramiro", "non-dropping-particle" : "", "parse-names" : false, "suffix" : "" }, { "dropping-particle" : "", "family" : "Marino", "given" : "Francesca", "non-dropping-particle" : "", "parse-names" : false, "suffix" : "" }, { "dropping-particle" : "", "family" : "Lucic", "given" : "Bojana", "non-dropping-particle" : "", "parse-names" : false, "suffix" : "" }, { "dropping-particle" : "", "family" : "Biasin", "given" : "Valentina", "non-dropping-particle" : "", "parse-names" : false, "suffix" : "" }, { "dropping-particle" : "", "family" : "Gstaiger", "given" : "Matthias", "non-dropping-particle" : "", "parse-names" : false, "suffix" : "" }, { "dropping-particle" : "", "family" : "Aebersold", "given" : "Ruedi", "non-dropping-particle" : "", "parse-names" : false, "suffix" : "" }, { "dropping-particle" : "", "family" : "Sidorova", "given" : "Julia M", "non-dropping-particle" : "", "parse-names" : false, "suffix" : "" }, { "dropping-particle" : "", "family" : "Jr", "given" : "Raymond J Monnat", "non-dropping-particle" : "", "parse-names" : false, "suffix" : "" }, { "dropping-particle" : "", "family" : "Lopes", "given" : "Massimo", "non-dropping-particle" : "", "parse-names" : false, "suffix" : "" }, { "dropping-particle" : "", "family" : "Vindigni", "given" : "Alessandro", "non-dropping-particle" : "", "parse-names" : false, "suffix" : "" } ], "container-title" : "Nature Structural &amp; Molecular Biology", "id" : "ITEM-1", "issue" : "3", "issued" : { "date-parts" : [ [ "2013" ] ] }, "page" : "347-54", "publisher" : "Nature Publishing Group", "title" : "Human RECQ1 promotes restart of replication forks reversed by DNA topoisomerase I inhibition", "type" : "article-journal", "volume" : "20" }, "uris" : [ "http://www.mendeley.com/documents/?uuid=a3e9684b-af40-4523-a6e7-8cecec349e86" ] } ], "mendeley" : { "formattedCitation" : "(Berti et al. 2013)", "plainTextFormattedCitation" : "(Berti et al. 2013)", "previouslyFormattedCitation" : "(Berti et al. 2013)"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(Berti et al. 2013)</w:t>
      </w:r>
      <w:r w:rsidR="00F20EC0" w:rsidRPr="00DF0680">
        <w:rPr>
          <w:rFonts w:cs="Times New Roman"/>
        </w:rPr>
        <w:fldChar w:fldCharType="end"/>
      </w:r>
      <w:r w:rsidRPr="00DF0680">
        <w:rPr>
          <w:rFonts w:cs="Times New Roman"/>
        </w:rPr>
        <w:t>. PARP activity is increased in RECQL1 depleted cells treated with H</w:t>
      </w:r>
      <w:r w:rsidRPr="00DF0680">
        <w:rPr>
          <w:rFonts w:cs="Times New Roman"/>
          <w:vertAlign w:val="subscript"/>
        </w:rPr>
        <w:t>2</w:t>
      </w:r>
      <w:r w:rsidRPr="00DF0680">
        <w:rPr>
          <w:rFonts w:cs="Times New Roman"/>
        </w:rPr>
        <w:t>O</w:t>
      </w:r>
      <w:r w:rsidRPr="00DF0680">
        <w:rPr>
          <w:rFonts w:cs="Times New Roman"/>
          <w:vertAlign w:val="subscript"/>
        </w:rPr>
        <w:t>2</w:t>
      </w:r>
      <w:r w:rsidRPr="00DF0680">
        <w:rPr>
          <w:rFonts w:cs="Times New Roman"/>
        </w:rPr>
        <w:t xml:space="preserve">, and is required for repair of oxidative damage in these RECQ1-depleted cells, but not for RECQL1 recruitment to chromatin under this stress </w:t>
      </w:r>
      <w:r w:rsidR="00F20EC0" w:rsidRPr="00DF0680">
        <w:rPr>
          <w:rFonts w:cs="Times New Roman"/>
        </w:rPr>
        <w:fldChar w:fldCharType="begin" w:fldLock="1"/>
      </w:r>
      <w:r w:rsidR="00332613" w:rsidRPr="00DF0680">
        <w:rPr>
          <w:rFonts w:cs="Times New Roman"/>
        </w:rPr>
        <w:instrText>ADDIN CSL_CITATION { "citationItems" : [ { "id" : "ITEM-1", "itemData" : { "DOI" : "10.1016/j.dnarep.2012.04.003", "ISSN" : "1568-7856", "PMID" : "22542292", "abstract" : "RECQ1 is the most abundant RecQ homolog in humans but its functions have remained mostly elusive. Biochemically, RECQ1 displays distinct substrate specificities from WRN and BLM, indicating that these RecQ helicases likely perform non-overlapping functions. Our earlier work demonstrated that RECQ1-deficient cells display spontaneous genomic instability. We have obtained key evidence suggesting a unique role of RECQ1 in repair of oxidative DNA damage. We show that similar to WRN, RECQ1 associates with PARP-1 in nuclear extracts and exhibits direct protein interaction in vitro. Deficiency in WRN or BLM helicases have been shown to result in reduced homologous recombination and hyperactivation of PARP under basal condition. However, RECQ1-deficiency did not lead to PARP activation in undamaged cells and nor did it result in reduction in homologous recombination repair. In stark contrast to what is seen in WRN-deficiency, RECQ1-deficient cells hyperactivate PARP in a specific response to H\u2082O\u2082treatment. RECQ1-deficient cells are more sensitive to oxidative DNA damage and exposure to oxidative stress results in a rapid and reversible recruitment of RECQ1 to chromatin. Chromatin localization of RECQ1 precedes WRN helicase, which has been shown to function in oxidative DNA damage repair. However, oxidative DNA damage-induced chromatin recruitment of these RecQ helicases is independent of PARP activity. As other RecQ helicases are known to interact with PARP-1, this study provides a paradigm to delineate specialized and redundant functions of RecQ homologs in repair of oxidative DNA damage.", "author" : [ { "dropping-particle" : "", "family" : "Sharma", "given" : "Sudha", "non-dropping-particle" : "", "parse-names" : false, "suffix" : "" }, { "dropping-particle" : "", "family" : "Phatak", "given" : "Pornima", "non-dropping-particle" : "", "parse-names" : false, "suffix" : "" }, { "dropping-particle" : "", "family" : "Stortchevoi", "given" : "Alexei", "non-dropping-particle" : "", "parse-names" : false, "suffix" : "" }, { "dropping-particle" : "", "family" : "Jasin", "given" : "Maria", "non-dropping-particle" : "", "parse-names" : false, "suffix" : "" }, { "dropping-particle" : "", "family" : "Larocque", "given" : "Jeannine R", "non-dropping-particle" : "", "parse-names" : false, "suffix" : "" } ], "container-title" : "DNA Repair", "id" : "ITEM-1", "issue" : "6", "issued" : { "date-parts" : [ [ "2012", "6", "1" ] ] }, "page" : "537-49", "publisher" : "Elsevier B.V.", "title" : "RECQ1 plays a distinct role in cellular response to oxidative DNA damage.", "type" : "article-journal", "volume" : "11" }, "uris" : [ "http://www.mendeley.com/documents/?uuid=c3301e7a-2d3c-44d7-9e4b-3ed84986324c" ] } ], "mendeley" : { "formattedCitation" : "(Sharma et al. 2012)", "plainTextFormattedCitation" : "(Sharma et al. 2012)", "previouslyFormattedCitation" : "(Sharma et al. 2012)"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(Sharma et al. 2012)</w:t>
      </w:r>
      <w:r w:rsidR="00F20EC0" w:rsidRPr="00DF0680">
        <w:rPr>
          <w:rFonts w:cs="Times New Roman"/>
        </w:rPr>
        <w:fldChar w:fldCharType="end"/>
      </w:r>
      <w:r w:rsidRPr="00DF0680">
        <w:rPr>
          <w:rFonts w:cs="Times New Roman"/>
        </w:rPr>
        <w:t xml:space="preserve">. </w:t>
      </w:r>
      <w:r w:rsidR="00466D69" w:rsidRPr="00DF0680">
        <w:rPr>
          <w:rFonts w:cs="Times New Roman"/>
        </w:rPr>
        <w:t>RECQL1’s role in replication appears to be in replication initiation, and in the restart of replication after replication fork stal</w:t>
      </w:r>
      <w:r w:rsidR="008C3EA6" w:rsidRPr="00DF0680">
        <w:rPr>
          <w:rFonts w:cs="Times New Roman"/>
        </w:rPr>
        <w:t>ling, regulated through PARP1.</w:t>
      </w:r>
    </w:p>
    <w:p w:rsidR="0016691B" w:rsidRPr="00DF0680" w:rsidRDefault="003A5870" w:rsidP="003A5870">
      <w:pPr>
        <w:rPr>
          <w:rFonts w:cs="Times New Roman"/>
          <w:color w:val="auto"/>
        </w:rPr>
      </w:pPr>
      <w:r w:rsidRPr="00DF0680">
        <w:rPr>
          <w:rFonts w:cs="Times New Roman"/>
          <w:color w:val="auto"/>
        </w:rPr>
        <w:t xml:space="preserve">At telomeres of </w:t>
      </w:r>
      <w:r w:rsidR="00466D69" w:rsidRPr="00DF0680">
        <w:rPr>
          <w:rFonts w:cs="Times New Roman"/>
          <w:color w:val="auto"/>
        </w:rPr>
        <w:t>cells using alternative and recombination-mediated lengthening for telomere maintenance</w:t>
      </w:r>
      <w:r w:rsidRPr="00DF0680">
        <w:rPr>
          <w:rFonts w:cs="Times New Roman"/>
          <w:color w:val="auto"/>
        </w:rPr>
        <w:t>, RECQ</w:t>
      </w:r>
      <w:r w:rsidR="008749CD" w:rsidRPr="00DF0680">
        <w:rPr>
          <w:rFonts w:cs="Times New Roman"/>
          <w:color w:val="auto"/>
        </w:rPr>
        <w:t>L1 physically interacts with</w:t>
      </w:r>
      <w:r w:rsidRPr="00DF0680">
        <w:rPr>
          <w:rFonts w:cs="Times New Roman"/>
          <w:color w:val="auto"/>
        </w:rPr>
        <w:t xml:space="preserve"> POT1, which can stimulate </w:t>
      </w:r>
      <w:r w:rsidR="00466D69" w:rsidRPr="00DF0680">
        <w:rPr>
          <w:rFonts w:cs="Times New Roman"/>
          <w:color w:val="auto"/>
        </w:rPr>
        <w:t>its</w:t>
      </w:r>
      <w:r w:rsidRPr="00DF0680">
        <w:rPr>
          <w:rFonts w:cs="Times New Roman"/>
          <w:color w:val="auto"/>
        </w:rPr>
        <w:t xml:space="preserve"> activity </w:t>
      </w:r>
      <w:r w:rsidR="00466D69" w:rsidRPr="00DF0680">
        <w:rPr>
          <w:rFonts w:cs="Times New Roman"/>
          <w:i/>
          <w:color w:val="auto"/>
        </w:rPr>
        <w:t>in vitro</w:t>
      </w:r>
      <w:r w:rsidR="00466D69" w:rsidRPr="00DF0680">
        <w:rPr>
          <w:rFonts w:cs="Times New Roman"/>
          <w:color w:val="auto"/>
        </w:rPr>
        <w:t xml:space="preserve"> </w:t>
      </w:r>
      <w:r w:rsidRPr="00DF0680">
        <w:rPr>
          <w:rFonts w:cs="Times New Roman"/>
          <w:color w:val="auto"/>
        </w:rPr>
        <w:t xml:space="preserve">when telomeres contain thymine glycol. RECQL1 </w:t>
      </w:r>
      <w:r w:rsidR="00466D69" w:rsidRPr="00DF0680">
        <w:rPr>
          <w:rFonts w:cs="Times New Roman"/>
          <w:color w:val="auto"/>
        </w:rPr>
        <w:t>can unwind</w:t>
      </w:r>
      <w:r w:rsidRPr="00DF0680">
        <w:rPr>
          <w:rFonts w:cs="Times New Roman"/>
          <w:color w:val="auto"/>
        </w:rPr>
        <w:t xml:space="preserve"> D-loops and loss of the helicase causes telomere loss and accumulation of telomeric sister chromatid exchanges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"10.1093/nar/gku200", "ISSN" : "1362-4962", "PMID" : "24623817", "abstract" : "A variety of human tumors employ alternative and recombination-mediated lengthening for telomere maintenance (ALT). Human RecQ helicases, such as BLM and WRN, can efficiently unwind alternate/secondary structures during telomere replication and/or recombination. Here, we report a novel role for RECQL1, the most abundant human RecQ helicase but functionally least studied, in telomere maintenance. RECQL1 associates with telomeres in ALT cells and actively resolves telomeric D-loops and Holliday junction substrates. RECQL1 physically and functionally interacts with telomere repeat-binding factor 2 that in turn regulates its helicase activity on telomeric substrates. The telomeric single-stranded binding protein, protection of telomeres 1 efficiently stimulates RECQL1 on telomeric substrates containing thymine glycol, a replicative blocking lesion. Loss of RECQL1 results in dysfunctional telomeres, telomere loss and telomere shortening, elevation of telomere sister-chromatid exchanges and increased aphidicolin-induced telomere fragility, indicating a role for RECQL1 in telomere maintenance. Further, our results indicate that RECQL1 may participate in the same pathway as WRN, probably in telomere replication.", "author" : [ { "dropping-particle" : "", "family" : "Popuri", "given" : "Venkateswarlu", "non-dropping-particle" : "", "parse-names" : false, "suffix" : "" }, { "dropping-particle" : "", "family" : "Hsu", "given" : "Joseph", "non-dropping-particle" : "", "parse-names" : false, "suffix" : "" }, { "dropping-particle" : "", "family" : "Khadka", "given" : "Prabhat", "non-dropping-particle" : "", "parse-names" : false, "suffix" : "" }, { "dropping-particle" : "", "family" : "Horvath", "given" : "Kent", "non-dropping-particle" : "", "parse-names" : false, "suffix" : "" }, { "dropping-particle" : "", "family" : "Liu", "given" : "Yie", "non-dropping-particle" : "", "parse-names" : false, "suffix" : "" }, { "dropping-particle" : "", "family" : "Croteau", "given" : "Deborah L", "non-dropping-particle" : "", "parse-names" : false, "suffix" : "" }, { "dropping-particle" : "", "family" : "Bohr", "given" : "Vilhelm a", "non-dropping-particle" : "", "parse-names" : false, "suffix" : "" } ], "container-title" : "Nucleic Acids Research", "id" : "ITEM-1", "issue" : "9", "issued" : { "date-parts" : [ [ "2014", "3", "12" ] ] }, "page" : "5671-88", "title" : "Human RECQL1 participates in telomere maintenance.", "type" : "article-journal", "volume" : "42" }, "uris" : [ "http://www.mendeley.com/documents/?uuid=2881794a-133f-4c29-ab10-e18a7906c8e5" ] } ], "mendeley" : { "formattedCitation" : "(Popuri et al. 2014)", "plainTextFormattedCitation" : "(Popuri et al. 2014)", "previouslyFormattedCitation" : "(Popuri et al. 2014)"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(Popuri et al. 2014)</w:t>
      </w:r>
      <w:r w:rsidR="00F20EC0" w:rsidRPr="00DF0680">
        <w:rPr>
          <w:rFonts w:cs="Times New Roman"/>
          <w:color w:val="auto"/>
        </w:rPr>
        <w:fldChar w:fldCharType="end"/>
      </w:r>
      <w:r w:rsidRPr="00DF0680">
        <w:rPr>
          <w:rFonts w:cs="Times New Roman"/>
          <w:color w:val="auto"/>
        </w:rPr>
        <w:t xml:space="preserve">. In addition, in the presence of RPA, RECQL1 can displace proteins bound to DNA that inhibit DNA unwinding such as the telomere binding shelterin protein TRF1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"10.1074/jbc.M113.542456", "ISSN" : "1083-351X", "PMID" : "24895130", "abstract" : "Understanding how cellular machinery deals with chromosomal genome complexity is an important question because protein bound to DNA may affect various cellular processes of nucleic acid metabolism. DNA helicases are at the forefront of such processes, yet there is only limited knowledge how they remodel protein-DNA complexes and how these mechanisms are regulated. We have determined that representative human RecQ and Fe-S cluster DNA helicases are potently blocked by a protein-DNA interaction. The Fanconi anemia group J (FANCJ) helicase partners with the single-stranded DNA-binding protein replication protein A (RPA) to displace BamHI-E111A bound to duplex DNA in a specific manner. Protein displacement was dependent on the ATPase-driven function of the helicase and unique properties of RPA. Further biochemical studies demonstrated that the shelterin proteins TRF1 and TRF2, which preferentially bind the telomeric repeat found at chromosome ends, effectively block FANCJ from unwinding the forked duplex telomeric substrate. RPA, but not the Escherichia coli single-stranded DNA-binding protein or shelterin factor Pot1, stimulated FANCJ ejection of TRF1 from the telomeric DNA substrate. FANCJ was also able to displace TRF2 from the telomeric substrate in an RPA-dependent manner. The stimulation of helicase-catalyzed protein displacement is also observed with the DNA helicase RECQ1, suggesting a conserved functional interaction of RPA-interacting helicases. These findings suggest that partnerships between RPA and interacting human DNA helicases may greatly enhance their ability to dislodge proteins bound to duplex DNA, an activity that is likely to be highly relevant to their biological roles in DNA metabolism.", "author" : [ { "dropping-particle" : "", "family" : "Sommers", "given" : "Joshua a", "non-dropping-particle" : "", "parse-names" : false, "suffix" : "" }, { "dropping-particle" : "", "family" : "Banerjee", "given" : "Taraswi", "non-dropping-particle" : "", "parse-names" : false, "suffix" : "" }, { "dropping-particle" : "", "family" : "Hinds", "given" : "Twila", "non-dropping-particle" : "", "parse-names" : false, "suffix" : "" }, { "dropping-particle" : "", "family" : "Wan", "given" : "Bingbing", "non-dropping-particle" : "", "parse-names" : false, "suffix" : "" }, { "dropping-particle" : "", "family" : "Wold", "given" : "Marc S", "non-dropping-particle" : "", "parse-names" : false, "suffix" : "" }, { "dropping-particle" : "", "family" : "Lei", "given" : "Ming", "non-dropping-particle" : "", "parse-names" : false, "suffix" : "" }, { "dropping-particle" : "", "family" : "Brosh", "given" : "Robert M", "non-dropping-particle" : "", "parse-names" : false, "suffix" : "" } ], "container-title" : "The Journal of Biological Chemistry", "id" : "ITEM-1", "issue" : "29", "issued" : { "date-parts" : [ [ "2014", "7", "18" ] ] }, "page" : "19928-41", "title" : "Novel function of the Fanconi anemia group J or RECQ1 helicase to disrupt protein-DNA complexes in a replication protein A-stimulated manner.", "type" : "article-journal", "volume" : "289" }, "uris" : [ "http://www.mendeley.com/documents/?uuid=3b4824b1-2dc5-417f-bba1-0ceb5754c0a7" ] } ], "mendeley" : { "formattedCitation" : "(Sommers et al. 2014)", "plainTextFormattedCitation" : "(Sommers et al. 2014)", "previouslyFormattedCitation" : "(Sommers et al. 2014)"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(Sommers et al. 2014)</w:t>
      </w:r>
      <w:r w:rsidR="00F20EC0" w:rsidRPr="00DF0680">
        <w:rPr>
          <w:rFonts w:cs="Times New Roman"/>
          <w:color w:val="auto"/>
        </w:rPr>
        <w:fldChar w:fldCharType="end"/>
      </w:r>
      <w:r w:rsidRPr="00DF0680">
        <w:rPr>
          <w:rFonts w:cs="Times New Roman"/>
          <w:color w:val="auto"/>
        </w:rPr>
        <w:t xml:space="preserve">. </w:t>
      </w:r>
      <w:r w:rsidR="0077110C" w:rsidRPr="00DF0680">
        <w:rPr>
          <w:rFonts w:cs="Times New Roman"/>
          <w:color w:val="auto"/>
        </w:rPr>
        <w:t xml:space="preserve">This </w:t>
      </w:r>
      <w:r w:rsidR="0077110C" w:rsidRPr="00DF0680">
        <w:rPr>
          <w:rFonts w:cs="Times New Roman"/>
          <w:i/>
          <w:color w:val="auto"/>
        </w:rPr>
        <w:t>in vitro</w:t>
      </w:r>
      <w:r w:rsidR="0077110C" w:rsidRPr="00DF0680">
        <w:rPr>
          <w:rFonts w:cs="Times New Roman"/>
          <w:color w:val="auto"/>
        </w:rPr>
        <w:t xml:space="preserve"> work may have implications for the role of RECQL1 at telomeres as well as any other DNA metabolic process that </w:t>
      </w:r>
      <w:r w:rsidR="008C3EA6" w:rsidRPr="00DF0680">
        <w:rPr>
          <w:rFonts w:cs="Times New Roman"/>
          <w:color w:val="auto"/>
        </w:rPr>
        <w:t>require RECQL1 and remodelling.</w:t>
      </w:r>
    </w:p>
    <w:p w:rsidR="004613BA" w:rsidRPr="00DF0680" w:rsidRDefault="004613BA" w:rsidP="00E664FC">
      <w:pPr>
        <w:pStyle w:val="Heading3"/>
      </w:pPr>
      <w:bookmarkStart w:id="108" w:name="_Toc417204106"/>
      <w:bookmarkStart w:id="109" w:name="_Toc417674343"/>
      <w:r w:rsidRPr="00DF0680">
        <w:t>BLM</w:t>
      </w:r>
      <w:bookmarkEnd w:id="108"/>
      <w:bookmarkEnd w:id="109"/>
    </w:p>
    <w:p w:rsidR="00400F29" w:rsidRPr="00DF0680" w:rsidRDefault="003719A2" w:rsidP="00A025CF">
      <w:pPr>
        <w:rPr>
          <w:rFonts w:cs="Times New Roman"/>
        </w:rPr>
      </w:pPr>
      <w:r w:rsidRPr="00DF0680">
        <w:rPr>
          <w:rFonts w:cs="Times New Roman"/>
        </w:rPr>
        <w:t>Bloom</w:t>
      </w:r>
      <w:r w:rsidR="00FE1124" w:rsidRPr="00DF0680">
        <w:rPr>
          <w:rFonts w:cs="Times New Roman"/>
        </w:rPr>
        <w:t xml:space="preserve"> syndrome </w:t>
      </w:r>
      <w:r w:rsidR="00A5598F" w:rsidRPr="00DF0680">
        <w:rPr>
          <w:rFonts w:cs="Times New Roman"/>
        </w:rPr>
        <w:t xml:space="preserve">(BS) </w:t>
      </w:r>
      <w:r w:rsidR="00FE1124" w:rsidRPr="00DF0680">
        <w:rPr>
          <w:rFonts w:cs="Times New Roman"/>
        </w:rPr>
        <w:t xml:space="preserve">was </w:t>
      </w:r>
      <w:r w:rsidRPr="00DF0680">
        <w:rPr>
          <w:rFonts w:cs="Times New Roman"/>
        </w:rPr>
        <w:t>characterised</w:t>
      </w:r>
      <w:r w:rsidR="00D31759" w:rsidRPr="00DF0680">
        <w:rPr>
          <w:rFonts w:cs="Times New Roman"/>
        </w:rPr>
        <w:t xml:space="preserve"> by Dr David Bloom in 1954 as a</w:t>
      </w:r>
      <w:r w:rsidR="00FE1124" w:rsidRPr="00DF0680">
        <w:rPr>
          <w:rFonts w:cs="Times New Roman"/>
        </w:rPr>
        <w:t xml:space="preserve"> congenital disease, with features of telangiectatic erythema (or “spider-veins” causing reddening of the skin) in infancy on the face</w:t>
      </w:r>
      <w:r w:rsidR="008A70BC" w:rsidRPr="00DF0680">
        <w:rPr>
          <w:rFonts w:cs="Times New Roman"/>
        </w:rPr>
        <w:t>,</w:t>
      </w:r>
      <w:r w:rsidR="00FE1124" w:rsidRPr="00DF0680">
        <w:rPr>
          <w:rFonts w:cs="Times New Roman"/>
        </w:rPr>
        <w:t xml:space="preserve"> hands and forearms, sun sensitivity (which accentuates the telangiectasia) and stunted growth / dwarfism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"Bloom", "given" : "David", "non-dropping-particle" : "", "parse-names" : false, "suffix" : "" } ], "container-title" : "AMA American Journal of Diseases of Children", "id" : "ITEM-1", "issue" : "6", "issued" : { "date-parts" : [ [ "1954" ] ] }, "page" : "754-758", "title" : "Congenital telangiectatic erythema resembling lupus erythematosus in dwarfs; probably a syndrome entity", "type" : "article-journal", "volume" : "88" }, "uris" : [ "http://www.mendeley.com/documents/?uuid=cb0bf253-e395-46fa-8464-92cc91d4df37" ] }, { "id" : "ITEM-2", "itemData" : { "author" : [ { "dropping-particle" : "", "family" : "German", "given" : "James", "non-dropping-particle" : "", "parse-names" : false, "suffix" : "" } ], "container-title" : "American Journal of Human Genetics", "id" : "ITEM-2", "issue" : "2", "issued" : { "date-parts" : [ [ "1969" ] ] }, "page" : "196-227", "title" : "Bloom's syndrome. I. Genetical and clinical observations in the first twenty-seven patients.", "type" : "article-journal", "volume" : "21" }, "uris" : [ "http://www.mendeley.com/documents/?uuid=a2ed64db-b0e3-4bbe-b8d3-51d67652ba63" ] } ], "mendeley" : { "formattedCitation" : "(Bloom 1954; German 1969)", "plainTextFormattedCitation" : "(Bloom 1954; German 1969)", "previouslyFormattedCitation" : "(Bloom 1954; German 1969)"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(Bloom 1954; German 1969)</w:t>
      </w:r>
      <w:r w:rsidR="00F20EC0" w:rsidRPr="00DF0680">
        <w:rPr>
          <w:rFonts w:cs="Times New Roman"/>
        </w:rPr>
        <w:fldChar w:fldCharType="end"/>
      </w:r>
      <w:r w:rsidR="00FE1124" w:rsidRPr="00DF0680">
        <w:rPr>
          <w:rFonts w:cs="Times New Roman"/>
        </w:rPr>
        <w:t xml:space="preserve">. </w:t>
      </w:r>
      <w:r w:rsidR="00204FE3" w:rsidRPr="00DF0680">
        <w:rPr>
          <w:rFonts w:cs="Times New Roman"/>
        </w:rPr>
        <w:t xml:space="preserve">BS cells were also recorded to have a greater than 10-fold increase in sister chromatid exchanges, </w:t>
      </w:r>
      <w:r w:rsidR="00F20EC0" w:rsidRPr="00DF0680">
        <w:rPr>
          <w:rFonts w:cs="Times New Roman"/>
        </w:rPr>
        <w:fldChar w:fldCharType="begin" w:fldLock="1"/>
      </w:r>
      <w:r w:rsidR="00525765" w:rsidRPr="00DF0680">
        <w:rPr>
          <w:rFonts w:cs="Times New Roman"/>
        </w:rPr>
        <w:instrText>ADDIN CSL_CITATION { "citationItems" : [ { "id" : "ITEM-1", "itemData" : { "DOI" : "10.1073/pnas.71.11.4508", "ISSN" : "0027-8424", "author" : [ { "dropping-particle" : "", "family" : "Chaganti", "given" : "R. S. K.", "non-dropping-particle" : "", "parse-names" : false, "suffix" : "" }, { "dropping-particle" : "", "family" : "Schonberg", "given" : "S.", "non-dropping-particle" : "", "parse-names" : false, "suffix" : "" }, { "dropping-particle" : "", "family" : "German", "given" : "J.", "non-dropping-particle" : "", "parse-names" : false, "suffix" : "" } ], "container-title" : "Proceedings of the National Academy of Sciences", "id" : "ITEM-1", "issue" : "11", "issued" : { "date-parts" : [ [ "1974", "11", "1" ] ] }, "page" : "4508-4512", "title" : "A Manyfold Increase in Sister Chromatid Exchanges in Bloom's Syndrome Lymphocytes", "type" : "article-journal", "volume" : "71" }, "uris" : [ "http://www.mendeley.com/documents/?uuid=677a96b6-1766-49b3-a45d-4ec7aa306282" ] } ], "mendeley" : { "formattedCitation" : "(Chaganti et al. 1974)", "plainTextFormattedCitation" : "(Chaganti et al. 1974)", "previouslyFormattedCitation" : "(Chaganti et al. 1974)"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(Chaganti et al. 1974)</w:t>
      </w:r>
      <w:r w:rsidR="00F20EC0" w:rsidRPr="00DF0680">
        <w:rPr>
          <w:rFonts w:cs="Times New Roman"/>
        </w:rPr>
        <w:fldChar w:fldCharType="end"/>
      </w:r>
      <w:r w:rsidR="00204FE3" w:rsidRPr="00DF0680">
        <w:rPr>
          <w:rFonts w:cs="Times New Roman"/>
        </w:rPr>
        <w:t xml:space="preserve">, slower DNA chain growth </w:t>
      </w:r>
      <w:r w:rsidR="00F20EC0" w:rsidRPr="00DF0680">
        <w:rPr>
          <w:rFonts w:cs="Times New Roman"/>
        </w:rPr>
        <w:fldChar w:fldCharType="begin" w:fldLock="1"/>
      </w:r>
      <w:r w:rsidR="001112F6" w:rsidRPr="00DF0680">
        <w:rPr>
          <w:rFonts w:cs="Times New Roman"/>
        </w:rPr>
        <w:instrText>ADDIN CSL_CITATION { "citationItems" : [ { "id" : "ITEM-1", "itemData" : { "author" : [ { "dropping-particle" : "", "family" : "Hand", "given" : "Roger", "non-dropping-particle" : "", "parse-names" : false, "suffix" : "" }, { "dropping-particle" : "", "family" : "German", "given" : "J", "non-dropping-particle" : "", "parse-names" : false, "suffix" : "" } ], "container-title" : "Proceedings of the National Academy of Sciences", "id" : "ITEM-1", "issue" : "2", "issued" : { "date-parts" : [ [ "1975" ] ] }, "page" : "758-762", "title" : "A retarded rate of DNA chain growth in Bloom's syndrome", "type" : "article-journal", "volume" : "72" }, "uris" : [ "http://www.mendeley.com/documents/?uuid=6e6560bf-37c4-4c51-8b6d-00a110c52885" ] } ], "mendeley" : { "formattedCitation" : "(Hand &amp; German 1975)", "plainTextFormattedCitation" : "(Hand &amp; German 1975)", "previouslyFormattedCitation" : "(Hand &amp; German 1975)"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(Hand &amp; German 1975)</w:t>
      </w:r>
      <w:r w:rsidR="00F20EC0" w:rsidRPr="00DF0680">
        <w:rPr>
          <w:rFonts w:cs="Times New Roman"/>
        </w:rPr>
        <w:fldChar w:fldCharType="end"/>
      </w:r>
      <w:r w:rsidR="00204FE3" w:rsidRPr="00DF0680">
        <w:rPr>
          <w:rFonts w:cs="Times New Roman"/>
        </w:rPr>
        <w:t xml:space="preserve">, increased mutation rates and increased somatic recombination along with an abnormal profile of replication intermediates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"Langlois", "given" : "RG", "non-dropping-particle" : "", "parse-names" : false, "suffix" : "" } ], "container-title" : "Proceedings of the National Academy of Sciences", "id" : "ITEM-1", "issue" : "January", "issued" : { "date-parts" : [ [ "1989" ] ] }, "page" : "670-674", "title" : "Evidence for increased in vivo mutation and somatic recombination in Bloom's syndrome", "type" : "article-journal", "volume" : "86" }, "uris" : [ "http://www.mendeley.com/documents/?uuid=eca66c75-be7c-432f-a90f-adbf8028d1c5" ] }, { "id" : "ITEM-2", "itemData" : { "author" : [ { "dropping-particle" : "", "family" : "L\u00f6nn", "given" : "U", "non-dropping-particle" : "", "parse-names" : false, "suffix" : "" }, { "dropping-particle" : "", "family" : "L\u00f6nn", "given" : "Sigrid", "non-dropping-particle" : "", "parse-names" : false, "suffix" : "" }, { "dropping-particle" : "", "family" : "Nylen", "given" : "Urban", "non-dropping-particle" : "", "parse-names" : false, "suffix" : "" }, { "dropping-particle" : "", "family" : "Winblad", "given" : "G", "non-dropping-particle" : "", "parse-names" : false, "suffix" : "" }, { "dropping-particle" : "", "family" : "German", "given" : "James", "non-dropping-particle" : "", "parse-names" : false, "suffix" : "" } ], "container-title" : "Cancer Research", "id" : "ITEM-2", "issue" : "11", "issued" : { "date-parts" : [ [ "1990" ] ] }, "page" : "3141-3145", "title" : "An abnormal profile of DNA replication intermediates in Bloom's syndrome", "type" : "article-journal", "volume" : "50" }, "uris" : [ "http://www.mendeley.com/documents/?uuid=e5045ed0-b858-487a-8925-c23e708d2b6d" ] } ], "mendeley" : { "formattedCitation" : "(Langlois 1989; L\u00f6nn et al. 1990)", "plainTextFormattedCitation" : "(Langlois 1989; L\u00f6nn et al. 1990)", "previouslyFormattedCitation" : "(Langlois 1989; L\u00f6nn et al. 1990)"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(Langlois 1989; Lönn et al. 1990)</w:t>
      </w:r>
      <w:r w:rsidR="00F20EC0" w:rsidRPr="00DF0680">
        <w:rPr>
          <w:rFonts w:cs="Times New Roman"/>
        </w:rPr>
        <w:fldChar w:fldCharType="end"/>
      </w:r>
      <w:r w:rsidR="00204FE3" w:rsidRPr="00DF0680">
        <w:rPr>
          <w:rFonts w:cs="Times New Roman"/>
        </w:rPr>
        <w:t xml:space="preserve">. </w:t>
      </w:r>
      <w:r w:rsidR="00423896" w:rsidRPr="00DF0680">
        <w:rPr>
          <w:rFonts w:cs="Times New Roman"/>
        </w:rPr>
        <w:t xml:space="preserve">This increased mitotic recombination was shown to cause increased cancer </w:t>
      </w:r>
      <w:r w:rsidR="00E52DD8" w:rsidRPr="00DF0680">
        <w:rPr>
          <w:rFonts w:cs="Times New Roman"/>
        </w:rPr>
        <w:t>predisposition</w:t>
      </w:r>
      <w:r w:rsidR="00423896" w:rsidRPr="00DF0680">
        <w:rPr>
          <w:rFonts w:cs="Times New Roman"/>
        </w:rPr>
        <w:t xml:space="preserve"> in a Bloom mouse model </w:t>
      </w:r>
      <w:r w:rsidR="00F20EC0" w:rsidRPr="00DF0680">
        <w:rPr>
          <w:rFonts w:cs="Times New Roman"/>
        </w:rPr>
        <w:fldChar w:fldCharType="begin" w:fldLock="1"/>
      </w:r>
      <w:r w:rsidR="00332613" w:rsidRPr="00DF0680">
        <w:rPr>
          <w:rFonts w:cs="Times New Roman"/>
        </w:rPr>
        <w:instrText>ADDIN CSL_CITATION { "citationItems" : [ { "id" : "ITEM-1", "itemData" : { "DOI" : "10.1038/82548", "ISSN" : "1061-4036", "PMID" : "11101838", "abstract" : "Bloom syndrome is a disorder associated with genomic instability that causes affected people to be prone to cancer. Bloom cell lines show increased sister chromatid exchange, yet are proficient in the repair of various DNA lesions. The underlying cause of this disease are mutations in a gene encoding a RECQ DNA helicase. Using embryonic stem cell technology, we have generated viable Bloom mice that are prone to a wide variety of cancers. Cell lines from these mice show elevations in the rates of mitotic recombination. We demonstrate that the increased rate of loss of heterozygosity (LOH) resulting from mitotic recombination in vivo constitutes the underlying mechanism causing tumour susceptibility in these mice.", "author" : [ { "dropping-particle" : "", "family" : "Luo", "given" : "G", "non-dropping-particle" : "", "parse-names" : false, "suffix" : "" }, { "dropping-particle" : "", "family" : "Santoro", "given" : "I M", "non-dropping-particle" : "", "parse-names" : false, "suffix" : "" }, { "dropping-particle" : "", "family" : "McDaniel", "given" : "L D", "non-dropping-particle" : "", "parse-names" : false, "suffix" : "" }, { "dropping-particle" : "", "family" : "Nishijima", "given" : "I", "non-dropping-particle" : "", "parse-names" : false, "suffix" : "" }, { "dropping-particle" : "", "family" : "Mills", "given" : "M", "non-dropping-particle" : "", "parse-names" : false, "suffix" : "" }, { "dropping-particle" : "", "family" : "Youssoufian", "given" : "H", "non-dropping-particle" : "", "parse-names" : false, "suffix" : "" }, { "dropping-particle" : "", "family" : "Vogel", "given" : "H", "non-dropping-particle" : "", "parse-names" : false, "suffix" : "" }, { "dropping-particle" : "", "family" : "Schultz", "given" : "R a", "non-dropping-particle" : "", "parse-names" : false, "suffix" : "" }, { "dropping-particle" : "", "family" : "Bradley", "given" : "a", "non-dropping-particle" : "", "parse-names" : false, "suffix" : "" } ], "container-title" : "Nature Genetics", "id" : "ITEM-1", "issue" : "4", "issued" : { "date-parts" : [ [ "2000", "12" ] ] }, "page" : "424-9", "title" : "Cancer predisposition caused by elevated mitotic recombination in Bloom mice.", "type" : "article-journal", "volume" : "26" }, "uris" : [ "http://www.mendeley.com/documents/?uuid=e91ac976-f676-401f-a30e-5ab811e55b07" ] } ], "mendeley" : { "formattedCitation" : "(Luo et al. 2000)", "plainTextFormattedCitation" : "(Luo et al. 2000)", "previouslyFormattedCitation" : "(Luo et al.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(Luo et al. 2000)</w:t>
      </w:r>
      <w:r w:rsidR="00F20EC0" w:rsidRPr="00DF0680">
        <w:rPr>
          <w:rFonts w:cs="Times New Roman"/>
        </w:rPr>
        <w:fldChar w:fldCharType="end"/>
      </w:r>
      <w:r w:rsidR="00423896" w:rsidRPr="00DF0680">
        <w:rPr>
          <w:rFonts w:cs="Times New Roman"/>
        </w:rPr>
        <w:t xml:space="preserve">. </w:t>
      </w:r>
      <w:r w:rsidRPr="00DF0680">
        <w:rPr>
          <w:rFonts w:cs="Times New Roman"/>
        </w:rPr>
        <w:t xml:space="preserve">Some patients of Bloom’s syndrome have shown an abnormal immune response such as defective immunoglobin production and a weak </w:t>
      </w:r>
      <w:r w:rsidRPr="00DF0680">
        <w:rPr>
          <w:rFonts w:cs="Times New Roman"/>
        </w:rPr>
        <w:lastRenderedPageBreak/>
        <w:t xml:space="preserve">antigenic response but this has shown to not be due to any defects in V(D)J recombination </w:t>
      </w:r>
      <w:r w:rsidR="00F20EC0" w:rsidRPr="00DF0680">
        <w:rPr>
          <w:rFonts w:cs="Times New Roman"/>
        </w:rPr>
        <w:fldChar w:fldCharType="begin" w:fldLock="1"/>
      </w:r>
      <w:r w:rsidR="00332613" w:rsidRPr="00DF0680">
        <w:rPr>
          <w:rFonts w:cs="Times New Roman"/>
        </w:rPr>
        <w:instrText>ADDIN CSL_CITATION { "citationItems" : [ { "id" : "ITEM-1", "itemData" : { "DOI" : "10.1172/JCI108058.in", "author" : [ { "dropping-particle" : "", "family" : "H\u00fctteroth", "given" : "TH", "non-dropping-particle" : "", "parse-names" : false, "suffix" : "" }, { "dropping-particle" : "", "family" : "Litwin", "given" : "SD", "non-dropping-particle" : "", "parse-names" : false, "suffix" : "" }, { "dropping-particle" : "", "family" : "German", "given" : "J", "non-dropping-particle" : "", "parse-names" : false, "suffix" : "" } ], "container-title" : "Journal of Clinical Investigation", "id" : "ITEM-1", "issue" : "1", "issued" : { "date-parts" : [ [ "1975" ] ] }, "page" : "1-7", "title" : "Abnormal immune responses of Bloom's syndrome lymphocytes in vitro.", "type" : "article-journal", "volume" : "56" }, "uris" : [ "http://www.mendeley.com/documents/?uuid=3e7adb7d-49ff-48e8-a07f-6f6527af8a29" ] }, { "id" : "ITEM-2", "itemData" : { "author" : [ { "dropping-particle" : "", "family" : "Hsieh", "given" : "CL", "non-dropping-particle" : "", "parse-names" : false, "suffix" : "" }, { "dropping-particle" : "", "family" : "Arlett", "given" : "CF", "non-dropping-particle" : "", "parse-names" : false, "suffix" : "" }, { "dropping-particle" : "", "family" : "Lieber", "given" : "MR", "non-dropping-particle" : "", "parse-names" : false, "suffix" : "" } ], "container-title" : "Journal of Biological Chemistry", "id" : "ITEM-2", "issue" : "21", "issued" : { "date-parts" : [ [ "1993" ] ] }, "page" : "20105-20109", "title" : "V (D) J recombination in ataxia telangiectasia, Bloom's syndrome, and a DNA ligase I-associated immunodeficiency disorder.", "type" : "article-journal", "volume" : "268" }, "uris" : [ "http://www.mendeley.com/documents/?uuid=ced3dcb7-e8f5-4e77-bbd0-caf5b5151e5e" ] } ], "mendeley" : { "formattedCitation" : "(H\u00fctteroth et al. 1975; Hsieh et al. 1993)", "plainTextFormattedCitation" : "(H\u00fctteroth et al. 1975; Hsieh et al. 1993)", "previouslyFormattedCitation" : "(H\u00fctteroth et al. 1975; Hsieh et al. 1993)"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(Hütteroth et al. 1975; Hsieh et al. 1993)</w:t>
      </w:r>
      <w:r w:rsidR="00F20EC0" w:rsidRPr="00DF0680">
        <w:rPr>
          <w:rFonts w:cs="Times New Roman"/>
        </w:rPr>
        <w:fldChar w:fldCharType="end"/>
      </w:r>
      <w:r w:rsidRPr="00DF0680">
        <w:rPr>
          <w:rFonts w:cs="Times New Roman"/>
        </w:rPr>
        <w:t xml:space="preserve">. It was through cDNA analysis of cells from patients with Bloom’s syndrome that the BLM helicase was discovered </w:t>
      </w:r>
      <w:r w:rsidR="00F20EC0" w:rsidRPr="00DF0680">
        <w:rPr>
          <w:rFonts w:cs="Times New Roman"/>
        </w:rPr>
        <w:fldChar w:fldCharType="begin" w:fldLock="1"/>
      </w:r>
      <w:r w:rsidR="00525765" w:rsidRPr="00DF0680">
        <w:rPr>
          <w:rFonts w:cs="Times New Roman"/>
        </w:rPr>
        <w:instrText>ADDIN CSL_CITATION { "citationItems" : [ { "id" : "ITEM-1", "itemData" : { "DOI" : "10.1016/0092-8674(95)90105-1", "ISSN" : "00928674", "author" : [ { "dropping-particle" : "", "family" : "Ellis", "given" : "Nathan a.", "non-dropping-particle" : "", "parse-names" : false, "suffix" : "" }, { "dropping-particle" : "", "family" : "Groden", "given" : "Joanna", "non-dropping-particle" : "", "parse-names" : false, "suffix" : "" }, { "dropping-particle" : "", "family" : "Ye", "given" : "Tian-Zhang", "non-dropping-particle" : "", "parse-names" : false, "suffix" : "" }, { "dropping-particle" : "", "family" : "Straughen", "given" : "Joel", "non-dropping-particle" : "", "parse-names" : false, "suffix" : "" }, { "dropping-particle" : "", "family" : "Lennon", "given" : "David J.", "non-dropping-particle" : "", "parse-names" : false, "suffix" : "" }, { "dropping-particle" : "", "family" : "Ciocci", "given" : "Susan", "non-dropping-particle" : "", "parse-names" : false, "suffix" : "" }, { "dropping-particle" : "", "family" : "Proytcheva", "given" : "Maria", "non-dropping-particle" : "", "parse-names" : false, "suffix" : "" }, { "dropping-particle" : "", "family" : "German", "given" : "James", "non-dropping-particle" : "", "parse-names" : false, "suffix" : "" } ], "container-title" : "Cell", "id" : "ITEM-1", "issue" : "4", "issued" : { "date-parts" : [ [ "1995", "11" ] ] }, "page" : "655-666", "title" : "The Bloom's syndrome gene product is homologous to RecQ helicases", "type" : "article-journal", "volume" : "83" }, "uris" : [ "http://www.mendeley.com/documents/?uuid=80d91cbe-5aee-4888-9d98-f22d0f831cfa" ] } ], "mendeley" : { "formattedCitation" : "(Ellis et al. 1995)", "plainTextFormattedCitation" : "(Ellis et al. 1995)", "previouslyFormattedCitation" : "(Ellis et al. 1995)"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(Ellis et al. 1995)</w:t>
      </w:r>
      <w:r w:rsidR="00F20EC0" w:rsidRPr="00DF0680">
        <w:rPr>
          <w:rFonts w:cs="Times New Roman"/>
        </w:rPr>
        <w:fldChar w:fldCharType="end"/>
      </w:r>
      <w:r w:rsidRPr="00DF0680">
        <w:rPr>
          <w:rFonts w:cs="Times New Roman"/>
        </w:rPr>
        <w:t>.</w:t>
      </w:r>
    </w:p>
    <w:p w:rsidR="009972D6" w:rsidRPr="00DF0680" w:rsidRDefault="00DA0D88" w:rsidP="00A025CF">
      <w:pPr>
        <w:rPr>
          <w:rFonts w:cs="Times New Roman"/>
        </w:rPr>
      </w:pPr>
      <w:r w:rsidRPr="00DF0680">
        <w:rPr>
          <w:rFonts w:cs="Times New Roman"/>
        </w:rPr>
        <w:t>The helicase was shown to have homology to Sgs1, RecQ and human RECQL</w:t>
      </w:r>
      <w:r w:rsidR="00E77795" w:rsidRPr="00DF0680">
        <w:rPr>
          <w:rFonts w:cs="Times New Roman"/>
        </w:rPr>
        <w:t>1</w:t>
      </w:r>
      <w:r w:rsidRPr="00DF0680">
        <w:rPr>
          <w:rFonts w:cs="Times New Roman"/>
        </w:rPr>
        <w:t xml:space="preserve">, and missense, nonsense and frameshift mutations were found in the BLM sequence in Bloom’s syndrome patients </w:t>
      </w:r>
      <w:r w:rsidR="00F20EC0" w:rsidRPr="00DF0680">
        <w:rPr>
          <w:rFonts w:cs="Times New Roman"/>
        </w:rPr>
        <w:fldChar w:fldCharType="begin" w:fldLock="1"/>
      </w:r>
      <w:r w:rsidR="00525765" w:rsidRPr="00DF0680">
        <w:rPr>
          <w:rFonts w:cs="Times New Roman"/>
        </w:rPr>
        <w:instrText>ADDIN CSL_CITATION { "citationItems" : [ { "id" : "ITEM-1", "itemData" : { "DOI" : "10.1016/0092-8674(95)90105-1", "ISSN" : "00928674", "author" : [ { "dropping-particle" : "", "family" : "Ellis", "given" : "Nathan a.", "non-dropping-particle" : "", "parse-names" : false, "suffix" : "" }, { "dropping-particle" : "", "family" : "Groden", "given" : "Joanna", "non-dropping-particle" : "", "parse-names" : false, "suffix" : "" }, { "dropping-particle" : "", "family" : "Ye", "given" : "Tian-Zhang", "non-dropping-particle" : "", "parse-names" : false, "suffix" : "" }, { "dropping-particle" : "", "family" : "Straughen", "given" : "Joel", "non-dropping-particle" : "", "parse-names" : false, "suffix" : "" }, { "dropping-particle" : "", "family" : "Lennon", "given" : "David J.", "non-dropping-particle" : "", "parse-names" : false, "suffix" : "" }, { "dropping-particle" : "", "family" : "Ciocci", "given" : "Susan", "non-dropping-particle" : "", "parse-names" : false, "suffix" : "" }, { "dropping-particle" : "", "family" : "Proytcheva", "given" : "Maria", "non-dropping-particle" : "", "parse-names" : false, "suffix" : "" }, { "dropping-particle" : "", "family" : "German", "given" : "James", "non-dropping-particle" : "", "parse-names" : false, "suffix" : "" } ], "container-title" : "Cell", "id" : "ITEM-1", "issue" : "4", "issued" : { "date-parts" : [ [ "1995", "11" ] ] }, "page" : "655-666", "title" : "The Bloom's syndrome gene product is homologous to RecQ helicases", "type" : "article-journal", "volume" : "83" }, "uris" : [ "http://www.mendeley.com/documents/?uuid=80d91cbe-5aee-4888-9d98-f22d0f831cfa" ] } ], "mendeley" : { "formattedCitation" : "(Ellis et al. 1995)", "plainTextFormattedCitation" : "(Ellis et al. 1995)", "previouslyFormattedCitation" : "(Ellis et al. 1995)"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(Ellis et al. 1995)</w:t>
      </w:r>
      <w:r w:rsidR="00F20EC0" w:rsidRPr="00DF0680">
        <w:rPr>
          <w:rFonts w:cs="Times New Roman"/>
        </w:rPr>
        <w:fldChar w:fldCharType="end"/>
      </w:r>
      <w:r w:rsidRPr="00DF0680">
        <w:rPr>
          <w:rFonts w:cs="Times New Roman"/>
        </w:rPr>
        <w:t>. It is a 3’ to 5’</w:t>
      </w:r>
      <w:r w:rsidR="00A23848" w:rsidRPr="00DF0680">
        <w:rPr>
          <w:rFonts w:cs="Times New Roman"/>
        </w:rPr>
        <w:t xml:space="preserve"> helicase, uses ATP, and </w:t>
      </w:r>
      <w:r w:rsidR="008C3EA6" w:rsidRPr="00DF0680">
        <w:rPr>
          <w:rFonts w:cs="Times New Roman"/>
        </w:rPr>
        <w:t>point mutations and experiments</w:t>
      </w:r>
      <w:r w:rsidR="00A23848" w:rsidRPr="00DF0680">
        <w:rPr>
          <w:rFonts w:cs="Times New Roman"/>
        </w:rPr>
        <w:t xml:space="preserve"> that have eliminated t</w:t>
      </w:r>
      <w:r w:rsidR="008C3EA6" w:rsidRPr="00DF0680">
        <w:rPr>
          <w:rFonts w:cs="Times New Roman"/>
        </w:rPr>
        <w:t>he helicase and ATPase activity</w:t>
      </w:r>
      <w:r w:rsidR="00A23848" w:rsidRPr="00DF0680">
        <w:rPr>
          <w:rFonts w:cs="Times New Roman"/>
        </w:rPr>
        <w:t xml:space="preserve"> have shown that these are </w:t>
      </w:r>
      <w:r w:rsidR="009972D6" w:rsidRPr="00DF0680">
        <w:rPr>
          <w:rFonts w:cs="Times New Roman"/>
        </w:rPr>
        <w:t xml:space="preserve">both </w:t>
      </w:r>
      <w:r w:rsidR="00A23848" w:rsidRPr="00DF0680">
        <w:rPr>
          <w:rFonts w:cs="Times New Roman"/>
        </w:rPr>
        <w:t xml:space="preserve">necessary to maintain genomic stability in cells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"Bahr", "given" : "Anne", "non-dropping-particle" : "", "parse-names" : false, "suffix" : "" }, { "dropping-particle" : "De", "family" : "Graeve", "given" : "Fabienne", "non-dropping-particle" : "", "parse-names" : false, "suffix" : "" }, { "dropping-particle" : "", "family" : "Kedinger", "given" : "Claude", "non-dropping-particle" : "", "parse-names" : false, "suffix" : "" }, { "dropping-particle" : "", "family" : "Chatton", "given" : "Bruno", "non-dropping-particle" : "", "parse-names" : false, "suffix" : "" } ], "container-title" : "Oncogene", "id" : "ITEM-1", "issue" : "20", "issued" : { "date-parts" : [ [ "1998" ] ] }, "page" : "2565-71", "title" : "Point mutations causing Bloom's syndrome abolish ATPase and DNA helicase activities of the BLM protein.", "type" : "article-journal", "volume" : "17" }, "uris" : [ "http://www.mendeley.com/documents/?uuid=234664d7-6242-4f7a-9aea-3d8a63d91582" ] }, { "id" : "ITEM-2", "itemData" : { "author" : [ { "dropping-particle" : "", "family" : "Neff", "given" : "NF", "non-dropping-particle" : "", "parse-names" : false, "suffix" : "" }, { "dropping-particle" : "", "family" : "Ellis", "given" : "NA", "non-dropping-particle" : "", "parse-names" : false, "suffix" : "" }, { "dropping-particle" : "", "family" : "Ye", "given" : "TZ", "non-dropping-particle" : "", "parse-names" : false, "suffix" : "" } ], "container-title" : "Molecular Biology of the Cell", "id" : "ITEM-2", "issue" : "3", "issued" : { "date-parts" : [ [ "1999" ] ] }, "page" : "665-676", "title" : "The DNA helicase activity of BLM is necessary for the correction of the genomic instability of bloom syndrome cells", "type" : "article-journal", "volume" : "10" }, "uris" : [ "http://www.mendeley.com/documents/?uuid=f1982309-fbb8-4dc5-96f8-289cba7339db" ] } ], "mendeley" : { "formattedCitation" : "(Bahr et al. 1998; Neff et al. 1999)", "plainTextFormattedCitation" : "(Bahr et al. 1998; Neff et al. 1999)", "previouslyFormattedCitation" : "(Bahr et al. 1998; Neff et al. 1999)"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(Bahr et al. 1998; Neff et al. 1999)</w:t>
      </w:r>
      <w:r w:rsidR="00F20EC0" w:rsidRPr="00DF0680">
        <w:rPr>
          <w:rFonts w:cs="Times New Roman"/>
        </w:rPr>
        <w:fldChar w:fldCharType="end"/>
      </w:r>
      <w:r w:rsidR="002A5F4F" w:rsidRPr="00DF0680">
        <w:rPr>
          <w:rFonts w:cs="Times New Roman"/>
        </w:rPr>
        <w:t xml:space="preserve">. </w:t>
      </w:r>
      <w:r w:rsidR="00A76C65" w:rsidRPr="00DF0680">
        <w:rPr>
          <w:rFonts w:cs="Times New Roman"/>
          <w:i/>
        </w:rPr>
        <w:t>I</w:t>
      </w:r>
      <w:r w:rsidR="00AA265E" w:rsidRPr="00DF0680">
        <w:rPr>
          <w:rFonts w:cs="Times New Roman"/>
          <w:i/>
        </w:rPr>
        <w:t>n vitro</w:t>
      </w:r>
      <w:r w:rsidR="00E77795" w:rsidRPr="00DF0680">
        <w:rPr>
          <w:rFonts w:cs="Times New Roman"/>
        </w:rPr>
        <w:t>,</w:t>
      </w:r>
      <w:r w:rsidR="00AA265E" w:rsidRPr="00DF0680">
        <w:rPr>
          <w:rFonts w:cs="Times New Roman"/>
        </w:rPr>
        <w:t xml:space="preserve"> BLM</w:t>
      </w:r>
      <w:r w:rsidR="00A76C65" w:rsidRPr="00DF0680">
        <w:rPr>
          <w:rFonts w:cs="Times New Roman"/>
        </w:rPr>
        <w:t xml:space="preserve"> translocates along single stranded DNA at a rate of one nucleotide per ATP hydrolysed </w:t>
      </w:r>
      <w:r w:rsidR="00F20EC0" w:rsidRPr="00DF0680">
        <w:rPr>
          <w:rFonts w:cs="Times New Roman"/>
        </w:rPr>
        <w:fldChar w:fldCharType="begin" w:fldLock="1"/>
      </w:r>
      <w:r w:rsidR="00332613" w:rsidRPr="00DF0680">
        <w:rPr>
          <w:rFonts w:cs="Times New Roman"/>
        </w:rPr>
        <w:instrText>ADDIN CSL_CITATION { "citationItems" : [ { "id" : "ITEM-1", "itemData" : { "DOI" : "10.1093/nar/gkq145", "ISSN" : "1362-4962", "PMID" : "20211839", "abstract" : "BLM, one of the human RecQ helicases, plays a fundamental role in homologous recombination-based error-free DNA repair pathways, which require its translocation and DNA unwinding activities. Although translocation is essential in vivo during DNA repair processes and it provides a framework for more complex activities of helicases, including strand separation and nucleoprotein displacement, its mechanism has not been resolved for any human DNA helicase. Here, we present a quantitative model for the translocation of a monomeric form of BLM along ssDNA. We show that BLM performs translocation at a low adenosine triphosphate (ATP) coupling ratio (1 ATP consumed/1 nucleotide traveled) and moderate processivity (with a mean number of 50 nucleotides traveled in a single run). We also show that the rate-limiting step of the translocation cycle is a transition between two ADP-bound enzyme states. Via opening of the helicase core, this structural change may drive the stepping of BLM along the DNA track by a directed inchworm mechanism. The data also support the conclusion that BLM performs double-stranded DNA unwinding by fully active duplex destabilization.", "author" : [ { "dropping-particle" : "", "family" : "Gyimesi", "given" : "M\u00e1t\u00e9", "non-dropping-particle" : "", "parse-names" : false, "suffix" : "" }, { "dropping-particle" : "", "family" : "Sarl\u00f3s", "given" : "Kata", "non-dropping-particle" : "", "parse-names" : false, "suffix" : "" }, { "dropping-particle" : "", "family" : "Kov\u00e1cs", "given" : "Mih\u00e1ly", "non-dropping-particle" : "", "parse-names" : false, "suffix" : "" } ], "container-title" : "Nucleic Acids Research", "id" : "ITEM-1", "issue" : "13", "issued" : { "date-parts" : [ [ "2010", "7" ] ] }, "page" : "4404-14", "title" : "Processive translocation mechanism of the human Bloom's syndrome helicase along single-stranded DNA.", "type" : "article-journal", "volume" : "38" }, "uris" : [ "http://www.mendeley.com/documents/?uuid=729a80d9-896d-41f3-9b5d-a42f0dd0ada0" ] } ], "mendeley" : { "formattedCitation" : "(Gyimesi et al. 2010)", "plainTextFormattedCitation" : "(Gyimesi et al. 2010)", "previouslyFormattedCitation" : "(Gyimesi et al. 2010)"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(Gyimesi et al. 2010)</w:t>
      </w:r>
      <w:r w:rsidR="00F20EC0" w:rsidRPr="00DF0680">
        <w:rPr>
          <w:rFonts w:cs="Times New Roman"/>
        </w:rPr>
        <w:fldChar w:fldCharType="end"/>
      </w:r>
      <w:r w:rsidR="00A76C65" w:rsidRPr="00DF0680">
        <w:rPr>
          <w:rFonts w:cs="Times New Roman"/>
        </w:rPr>
        <w:t xml:space="preserve"> and also has single strand annealing activity which is inhibited by ATP and single stranded DNA binding proteins </w:t>
      </w:r>
      <w:r w:rsidR="00F20EC0" w:rsidRPr="00DF0680">
        <w:rPr>
          <w:rFonts w:cs="Times New Roman"/>
        </w:rPr>
        <w:fldChar w:fldCharType="begin" w:fldLock="1"/>
      </w:r>
      <w:r w:rsidR="00332613" w:rsidRPr="00DF0680">
        <w:rPr>
          <w:rFonts w:cs="Times New Roman"/>
        </w:rPr>
        <w:instrText>ADDIN CSL_CITATION { "citationItems" : [ { "id" : "ITEM-1", "itemData" : { "DOI" : "10.1093/nar/gki712", "ISSN" : "1362-4962", "PMID" : "16024743", "abstract" : "The product of the gene mutated in Bloom's syndrome, BLM, is a 3'-5' DNA helicase belonging to the highly conserved RecQ family. In addition to a conventional DNA strand separation activity, BLM catalyzes both the disruption of non-B-form DNA, such as G-quadruplexes, and the branch migration of Holliday junctions. Here, we have characterized a new activity for BLM: the promotion of single-stranded DNA (ssDNA) annealing. This activity does not require Mg(2+), is inhibited by ssDNA binding proteins and ATP, and is dependent on DNA length. Through analysis of various truncation mutants of BLM, we show that the C-terminal domain is essential for strand annealing and identify a 60 amino acid stretch of this domain as being important for both ssDNA binding and strand annealing. We present a model in which the ssDNA annealing activity of BLM facilitates its role in the processing of DNA intermediates that arise during repair of damaged replication forks.", "author" : [ { "dropping-particle" : "", "family" : "Cheok", "given" : "Chit Fang", "non-dropping-particle" : "", "parse-names" : false, "suffix" : "" }, { "dropping-particle" : "", "family" : "Wu", "given" : "Leonard", "non-dropping-particle" : "", "parse-names" : false, "suffix" : "" }, { "dropping-particle" : "", "family" : "Garcia", "given" : "Patrick L", "non-dropping-particle" : "", "parse-names" : false, "suffix" : "" }, { "dropping-particle" : "", "family" : "Janscak", "given" : "Pavel", "non-dropping-particle" : "", "parse-names" : false, "suffix" : "" }, { "dropping-particle" : "", "family" : "Hickson", "given" : "Ian D", "non-dropping-particle" : "", "parse-names" : false, "suffix" : "" } ], "container-title" : "Nucleic Acids Research", "id" : "ITEM-1", "issue" : "12", "issued" : { "date-parts" : [ [ "2005", "1" ] ] }, "page" : "3932-41", "title" : "The Bloom's syndrome helicase promotes the annealing of complementary single-stranded DNA.", "type" : "article-journal", "volume" : "33" }, "uris" : [ "http://www.mendeley.com/documents/?uuid=5c362849-232f-4149-bad6-686b21435698" ] } ], "mendeley" : { "formattedCitation" : "(Cheok et al. 2005)", "plainTextFormattedCitation" : "(Cheok et al. 2005)", "previouslyFormattedCitation" : "(Cheok et al. 2005)"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(Cheok et al. 2005)</w:t>
      </w:r>
      <w:r w:rsidR="00F20EC0" w:rsidRPr="00DF0680">
        <w:rPr>
          <w:rFonts w:cs="Times New Roman"/>
        </w:rPr>
        <w:fldChar w:fldCharType="end"/>
      </w:r>
      <w:r w:rsidR="00A76C65" w:rsidRPr="00DF0680">
        <w:rPr>
          <w:rFonts w:cs="Times New Roman"/>
        </w:rPr>
        <w:t xml:space="preserve">. </w:t>
      </w:r>
      <w:r w:rsidR="00AA265E" w:rsidRPr="00DF0680">
        <w:rPr>
          <w:rFonts w:cs="Times New Roman"/>
          <w:i/>
        </w:rPr>
        <w:t>In vitro</w:t>
      </w:r>
      <w:r w:rsidR="00AA265E" w:rsidRPr="00DF0680">
        <w:rPr>
          <w:rFonts w:cs="Times New Roman"/>
        </w:rPr>
        <w:t>, t</w:t>
      </w:r>
      <w:r w:rsidR="009972D6" w:rsidRPr="00DF0680">
        <w:rPr>
          <w:rFonts w:cs="Times New Roman"/>
        </w:rPr>
        <w:t xml:space="preserve">he DNA unwinding activity is stimulated by RPA, and BLM can unwind a variety of DNA substrates including 4-way junctions, replication forks, 3’ tailed duplexes, dsDNA with bubbles, D-loops and G4 DNA substrates </w:t>
      </w:r>
      <w:r w:rsidR="00F20EC0" w:rsidRPr="00DF0680">
        <w:rPr>
          <w:rFonts w:cs="Times New Roman"/>
        </w:rPr>
        <w:fldChar w:fldCharType="begin" w:fldLock="1"/>
      </w:r>
      <w:r w:rsidR="00332613" w:rsidRPr="00DF0680">
        <w:rPr>
          <w:rFonts w:cs="Times New Roman"/>
        </w:rPr>
        <w:instrText>ADDIN CSL_CITATION { "citationItems" : [ { "id" : "ITEM-1", "itemData" : { "DOI" : "10.1074/jbc.M001557200", "ISBN" : "2350023508", "ISSN" : "0021-9258", "PMID" : "10825162", "abstract" : "Bloom's syndrome is a rare autosomal recessive disorder characterized by genomic instability and predisposition to cancer. BLM, the gene defective in Bloom's syndrome, encodes a 159-kDa protein possessing DNA-stimulated ATPase and ATP-dependent DNA helicase activities. We have examined mechanistic aspects of the catalytic functions of purified recombinant BLM protein. Through analyzing the effects of different lengths of DNA cofactor on ATPase activity, we provide evidence to suggest that BLM translocates along single-stranded DNA in a processive manner. The helicase reaction catalyzed by BLM protein was examined as a function of duplex DNA length. We show that BLM catalyzes unwinding of short DNA duplexes (&lt;/=71 base pairs (bp)) but is severely compromised on longer DNA duplexes (&gt;/=259-bp). The presence of the human single-stranded DNA-binding protein (human replication protein A (hRPA)) stimulates the BLM unwinding reaction on the 259-bp partial duplex DNA substrate. Heterologous single-stranded DNA-binding proteins fail to stimulate similarly the helicase activity of BLM protein. This is the first demonstration of a functional interaction between BLM and another protein. Consistent with a functional interaction between hRPA and the BLM helicase, we demonstrate a direct physical interaction between the two proteins mediated by the 70-kDa subunit of RPA. The interactions between BLM and hRPA suggest that the two proteins function together in vivo to unwind DNA duplexes during replication, recombination, or repair.", "author" : [ { "dropping-particle" : "", "family" : "Brosh", "given" : "R M", "non-dropping-particle" : "", "parse-names" : false, "suffix" : "" }, { "dropping-particle" : "", "family" : "Li", "given" : "J L", "non-dropping-particle" : "", "parse-names" : false, "suffix" : "" }, { "dropping-particle" : "", "family" : "Kenny", "given" : "M K", "non-dropping-particle" : "", "parse-names" : false, "suffix" : "" }, { "dropping-particle" : "", "family" : "Karow", "given" : "J K", "non-dropping-particle" : "", "parse-names" : false, "suffix" : "" }, { "dropping-particle" : "", "family" : "Cooper", "given" : "M P", "non-dropping-particle" : "", "parse-names" : false, "suffix" : "" }, { "dropping-particle" : "", "family" : "Kureekattil", "given" : "R P", "non-dropping-particle" : "", "parse-names" : false, "suffix" : "" }, { "dropping-particle" : "", "family" : "Hickson", "given" : "I D", "non-dropping-particle" : "", "parse-names" : false, "suffix" : "" }, { "dropping-particle" : "", "family" : "Bohr", "given" : "V a", "non-dropping-particle" : "", "parse-names" : false, "suffix" : "" } ], "container-title" : "The Journal of Biological Chemistry", "id" : "ITEM-1", "issue" : "31", "issued" : { "date-parts" : [ [ "2000", "8", "4" ] ] }, "page" : "23500-8", "title" : "Replication protein A physically interacts with the Bloom's syndrome protein and stimulates its helicase activity.", "type" : "article-journal", "volume" : "275" }, "uris" : [ "http://www.mendeley.com/documents/?uuid=cb382638-c8c4-40c6-a1cd-c8db105263dc" ] }, { "id" : "ITEM-2", "itemData" : { "author" : [ { "dropping-particle" : "", "family" : "Sun", "given" : "Hui", "non-dropping-particle" : "", "parse-names" : false, "suffix" : "" }, { "dropping-particle" : "", "family" : "Karow", "given" : "JK", "non-dropping-particle" : "", "parse-names" : false, "suffix" : "" }, { "dropping-particle" : "", "family" : "Hickson", "given" : "ID", "non-dropping-particle" : "", "parse-names" : false, "suffix" : "" }, { "dropping-particle" : "", "family" : "Maizels", "given" : "Nancy", "non-dropping-particle" : "", "parse-names" : false, "suffix" : "" } ], "container-title" : "Journal of Biological Chemistry", "id" : "ITEM-2", "issue" : "42", "issued" : { "date-parts" : [ [ "1998" ] ] }, "page" : "27587-27592", "title" : "The Bloom's syndrome helicase unwinds G4 DNA", "type" : "article-journal", "volume" : "273" }, "uris" : [ "http://www.mendeley.com/documents/?uuid=7a89ea17-6e52-440f-acf2-6ff6dcf229d4" ] }, { "id" : "ITEM-3", "itemData" : { "author" : [ { "dropping-particle" : "", "family" : "Mohaghegh", "given" : "Payam", "non-dropping-particle" : "", "parse-names" : false, "suffix" : "" }, { "dropping-particle" : "", "family" : "Karow", "given" : "JK", "non-dropping-particle" : "", "parse-names" : false, "suffix" : "" } ], "container-title" : "Nucleic Acids Research", "id" : "ITEM-3", "issue" : "13", "issued" : { "date-parts" : [ [ "2001" ] ] }, "page" : "2843-2849", "title" : "The Bloom's and Werner's syndrome proteins are DNA structure-specific helicases", "type" : "article-journal", "volume" : "29" }, "uris" : [ "http://www.mendeley.com/documents/?uuid=4103fd10-b3eb-4b37-9d3f-96c21826af59" ] } ], "mendeley" : { "formattedCitation" : "(Brosh et al. 2000; Sun et al. 1998; Mohaghegh &amp; Karow 2001)", "plainTextFormattedCitation" : "(Brosh et al. 2000; Sun et al. 1998; Mohaghegh &amp; Karow 2001)", "previouslyFormattedCitation" : "(Brosh et al. 2000; Sun et al. 1998; Mohaghegh &amp; Karow 2001)"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(Brosh et al. 2000; Sun et al. 1998; Mohaghegh &amp; Karow 2001)</w:t>
      </w:r>
      <w:r w:rsidR="00F20EC0" w:rsidRPr="00DF0680">
        <w:rPr>
          <w:rFonts w:cs="Times New Roman"/>
        </w:rPr>
        <w:fldChar w:fldCharType="end"/>
      </w:r>
      <w:r w:rsidR="009972D6" w:rsidRPr="00DF0680">
        <w:rPr>
          <w:rFonts w:cs="Times New Roman"/>
        </w:rPr>
        <w:t xml:space="preserve">. As previously mentioned, BLM can also regress </w:t>
      </w:r>
      <w:r w:rsidR="00E55A30" w:rsidRPr="00DF0680">
        <w:rPr>
          <w:rFonts w:cs="Times New Roman"/>
        </w:rPr>
        <w:t xml:space="preserve">stalled </w:t>
      </w:r>
      <w:r w:rsidR="009972D6" w:rsidRPr="00DF0680">
        <w:rPr>
          <w:rFonts w:cs="Times New Roman"/>
        </w:rPr>
        <w:t>replication forks and convert these back into functional replica</w:t>
      </w:r>
      <w:r w:rsidR="00E55A30" w:rsidRPr="00DF0680">
        <w:rPr>
          <w:rFonts w:cs="Times New Roman"/>
        </w:rPr>
        <w:t xml:space="preserve">tion forks, playing a role in replication restart </w:t>
      </w:r>
      <w:r w:rsidR="00F20EC0" w:rsidRPr="00DF0680">
        <w:rPr>
          <w:rFonts w:cs="Times New Roman"/>
        </w:rPr>
        <w:fldChar w:fldCharType="begin" w:fldLock="1"/>
      </w:r>
      <w:r w:rsidR="00332613" w:rsidRPr="00DF0680">
        <w:rPr>
          <w:rFonts w:cs="Times New Roman"/>
        </w:rPr>
        <w:instrText>ADDIN CSL_CITATION { "citationItems" : [ { "id" : "ITEM-1", "itemData" : { "DOI" : "10.1074/jbc.M604268200", "ISSN" : "0021-9258", "PMID" : "16766518", "abstract" : "Homozygous inactivation of BLM gives rise to Bloom's syndrome, a disorder associated with genomic instability and cancer predisposition. BLM encodes a member of the RecQ DNA helicase family that is required for the maintenance of genome stability and the suppression of sister-chromatid exchanges. BLM has been proposed to function in the rescue of replication forks that have collapsed or stalled as a result of encountering lesions that block fork progression. One proposed mechanism of fork rescue involves regression in which the nascent leading and lagging strands anneal to create a so-called \"chicken foot\" structure. Here we have developed an in vitro system for analysis of fork regression and show that BLM, but not Escherichia coli RecQ, can promote the regression of a model replication fork. BLM-mediated fork regression is ATP-dependent and occurs processively, generating regressed arms of &gt;250 bp in length. These data establish the existence of a eukaryotic protein that could promote replication fork regression in vivo and suggest a novel pathway through which BLM might suppress genetic exchanges.", "author" : [ { "dropping-particle" : "", "family" : "Ralf", "given" : "Christine", "non-dropping-particle" : "", "parse-names" : false, "suffix" : "" }, { "dropping-particle" : "", "family" : "Hickson", "given" : "Ian D", "non-dropping-particle" : "", "parse-names" : false, "suffix" : "" }, { "dropping-particle" : "", "family" : "Wu", "given" : "Leonard", "non-dropping-particle" : "", "parse-names" : false, "suffix" : "" } ], "container-title" : "The Journal of Biological Chemistry", "id" : "ITEM-1", "issue" : "32", "issued" : { "date-parts" : [ [ "2006", "8", "11" ] ] }, "page" : "22839-46", "title" : "The Bloom's syndrome helicase can promote the regression of a model replication fork.", "type" : "article-journal", "volume" : "281" }, "uris" : [ "http://www.mendeley.com/documents/?uuid=cdfd9e64-3223-42b6-9aae-087636728295" ] }, { "id" : "ITEM-2", "itemData" : { "author" : [ { "dropping-particle" : "", "family" : "Machwe", "given" : "Amrita", "non-dropping-particle" : "", "parse-names" : false, "suffix" : "" }, { "dropping-particle" : "", "family" : "Xiao", "given" : "Liren", "non-dropping-particle" : "", "parse-names" : false, "suffix" : "" }, { "dropping-particle" : "", "family" : "Groden", "given" : "Joanna", "non-dropping-particle" : "", "parse-names" : false, "suffix" : "" }, { "dropping-particle" : "", "family" : "Orren", "given" : "DK", "non-dropping-particle" : "", "parse-names" : false, "suffix" : "" } ], "container-title" : "Biochemistry", "id" : "ITEM-2", "issue" : "47", "issued" : { "date-parts" : [ [ "2006" ] ] }, "page" : "13939-46", "title" : "The Werner and Bloom syndrome proteins catalyze regression of a model replication fork", "type" : "article-journal", "volume" : "45" }, "uris" : [ "http://www.mendeley.com/documents/?uuid=b4018965-e01e-423c-bb1f-e42f7abb8725" ] }, { "id" : "ITEM-3", "itemData" : { "DOI" : "10.1021/bi2001054", "ISSN" : "1520-4995", "PMID" : "21736299", "abstract" : "Cells cope with blockage of replication fork progression in a manner that allows DNA synthesis to be completed and genomic instability minimized. Models for resolution of blocked replication involve fork regression to form Holliday junction structures. The human RecQ helicases WRN and BLM (deficient in Werner and Bloom syndromes, respectively) are critical for maintaining genomic stability and thought to function in accurate resolution of replication blockage. Consistent with this notion, WRN and BLM localize to sites of blocked replication after certain DNA-damaging treatments and exhibit enhanced activity on replication and recombination intermediates. Here we examine the actions of WRN and BLM on a special Holliday junction substrate reflective of a regressed replication fork. Our results demonstrate that, in reactions requiring ATP hydrolysis, both WRN and BLM convert this Holliday junction substrate primarily to a four-stranded replication fork structure, suggesting they target the Holliday junction to initiate branch migration. In agreement, the Holliday junction binding protein RuvA inhibits the WRN- and BLM-mediated conversion reactions. Importantly, this conversion product is suitable for replication with its leading daughter strand readily extended by DNA polymerases. Furthermore, binding to and conversion of this Holliday junction are optimal at low MgCl(2) concentrations, suggesting that WRN and BLM preferentially act on the square planar (open) conformation of Holliday junctions. Our findings suggest that, subsequent to fork regression events, WRN and/or BLM could re-establish functional replication forks to help overcome fork blockage. Such a function is highly consistent with phenotypes associated with WRN- and BLM-deficient cells.", "author" : [ { "dropping-particle" : "", "family" : "Machwe", "given" : "Amrita", "non-dropping-particle" : "", "parse-names" : false, "suffix" : "" }, { "dropping-particle" : "", "family" : "Karale", "given" : "Rajashree", "non-dropping-particle" : "", "parse-names" : false, "suffix" : "" }, { "dropping-particle" : "", "family" : "Xu", "given" : "Xioahua", "non-dropping-particle" : "", "parse-names" : false, "suffix" : "" }, { "dropping-particle" : "", "family" : "Liu", "given" : "Yilun", "non-dropping-particle" : "", "parse-names" : false, "suffix" : "" }, { "dropping-particle" : "", "family" : "Orren", "given" : "David K", "non-dropping-particle" : "", "parse-names" : false, "suffix" : "" } ], "container-title" : "Biochemistry", "id" : "ITEM-3", "issue" : "32", "issued" : { "date-parts" : [ [ "2011", "8", "16" ] ] }, "page" : "6774-88", "title" : "The Werner and Bloom syndrome proteins help resolve replication blockage by converting (regressed) holliday junctions to functional replication forks.", "type" : "article-journal", "volume" : "50" }, "uris" : [ "http://www.mendeley.com/documents/?uuid=4ca0b4ef-aa8b-41ab-846e-bc4b37e08e59" ] }, { "id" : "ITEM-4", "itemData" : { "DOI" : "10.1038/nsmb1267", "ISSN" : "1545-9993", "PMID" : "17603497", "abstract" : "Mutations in BLM give rise to Bloom's syndrome, a genetic disorder associated with cancer predisposition and chromosomal instability. Using a dual-labeling system in isolated chromosome fibers, we show that the BLM protein is required for two aspects of the cellular response to replicative stress: efficient replication-fork restart and suppression of new origin firing. These functions require the helicase activity of BLM and the Thr99 residue targeted by stress-activated kinases.", "author" : [ { "dropping-particle" : "", "family" : "Davies", "given" : "Sally L", "non-dropping-particle" : "", "parse-names" : false, "suffix" : "" }, { "dropping-particle" : "", "family" : "North", "given" : "Phillip S", "non-dropping-particle" : "", "parse-names" : false, "suffix" : "" }, { "dropping-particle" : "", "family" : "Hickson", "given" : "Ian D", "non-dropping-particle" : "", "parse-names" : false, "suffix" : "" } ], "container-title" : "Nature Structural &amp; Molecular Biology", "id" : "ITEM-4", "issue" : "7", "issued" : { "date-parts" : [ [ "2007", "7" ] ] }, "page" : "677-9", "title" : "Role for BLM in replication-fork restart and suppression of origin firing after replicative stress.", "type" : "article-journal", "volume" : "14" }, "uris" : [ "http://www.mendeley.com/documents/?uuid=1de27403-f6da-45b8-8fd6-3a2e79934200" ] } ], "mendeley" : { "formattedCitation" : "(Ralf et al. 2006; Machwe et al. 2006; Machwe et al. 2011; Davies et al. 2007)", "plainTextFormattedCitation" : "(Ralf et al. 2006; Machwe et al. 2006; Machwe et al. 2011; Davies et al. 2007)", "previouslyFormattedCitation" : "(Ralf et al. 2006; Machwe et al. 2006; Machwe et al. 2011; Davies et al. 2007)"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(Ralf et al. 2006; Machwe et al. 2006; Machwe et al. 2011; Davies et al. 2007)</w:t>
      </w:r>
      <w:r w:rsidR="00F20EC0" w:rsidRPr="00DF0680">
        <w:rPr>
          <w:rFonts w:cs="Times New Roman"/>
        </w:rPr>
        <w:fldChar w:fldCharType="end"/>
      </w:r>
      <w:r w:rsidR="00E55A30" w:rsidRPr="00DF0680">
        <w:rPr>
          <w:rFonts w:cs="Times New Roman"/>
        </w:rPr>
        <w:t xml:space="preserve">. BLM also has a role in recombination </w:t>
      </w:r>
      <w:r w:rsidR="00AA265E" w:rsidRPr="00DF0680">
        <w:rPr>
          <w:rFonts w:cs="Times New Roman"/>
        </w:rPr>
        <w:t>by promoting branch migration on</w:t>
      </w:r>
      <w:r w:rsidR="00E55A30" w:rsidRPr="00DF0680">
        <w:rPr>
          <w:rFonts w:cs="Times New Roman"/>
        </w:rPr>
        <w:t xml:space="preserve"> Holliday junctions </w:t>
      </w:r>
      <w:r w:rsidR="00F20EC0" w:rsidRPr="00DF0680">
        <w:rPr>
          <w:rFonts w:cs="Times New Roman"/>
        </w:rPr>
        <w:fldChar w:fldCharType="begin" w:fldLock="1"/>
      </w:r>
      <w:r w:rsidR="001112F6" w:rsidRPr="00DF0680">
        <w:rPr>
          <w:rFonts w:cs="Times New Roman"/>
        </w:rPr>
        <w:instrText>ADDIN CSL_CITATION { "citationItems" : [ { "id" : "ITEM-1", "itemData" : { "DOI" : "10.1073/pnas.100448097", "ISSN" : "0027-8424", "PMID" : "10823897", "abstract" : "Bloom's syndrome (BS) is an autosomal recessive disorder associated with dwarfism, immunodeficiency, reduced fertility, and elevated levels of many types of cancer. BS cells show marked genomic instability; in particular, hyperrecombination between sister chromatids and homologous chromosomes. This instability is thought to result from defective processing of DNA replication intermediates. The gene mutated in BS, BLM, encodes a member of the RecQ family of DExH box DNA helicases, which also includes the Werner's syndrome gene product. We have investigated the mechanism by which BLM suppresses hyperrecombination. Here, we show that BLM selectively binds Holliday junctions in vitro and acts on recombination intermediates containing a Holliday junction to promote ATP-dependent branch migration. We present a model in which BLM disrupts potentially recombinogenic molecules that arise at sites of stalled replication forks. Our results have implications for the role of BLM as an anti-recombinase in the suppression of tumorigenesis.", "author" : [ { "dropping-particle" : "", "family" : "Karow", "given" : "J K", "non-dropping-particle" : "", "parse-names" : false, "suffix" : "" }, { "dropping-particle" : "", "family" : "Constantinou", "given" : "a", "non-dropping-particle" : "", "parse-names" : false, "suffix" : "" }, { "dropping-particle" : "", "family" : "Li", "given" : "J L", "non-dropping-particle" : "", "parse-names" : false, "suffix" : "" }, { "dropping-particle" : "", "family" : "West", "given" : "S C", "non-dropping-particle" : "", "parse-names" : false, "suffix" : "" }, { "dropping-particle" : "", "family" : "Hickson", "given" : "I D", "non-dropping-particle" : "", "parse-names" : false, "suffix" : "" } ], "container-title" : "Proceedings of the National Academy of Sciences", "id" : "ITEM-1", "issue" : "12", "issued" : { "date-parts" : [ [ "2000", "6", "6" ] ] }, "page" : "6504-8", "title" : "The Bloom's syndrome gene product promotes branch migration of holliday junctions.", "type" : "article-journal", "volume" : "97" }, "uris" : [ "http://www.mendeley.com/documents/?uuid=f875a435-0f4f-4571-b47a-7908085b65cb" ] } ], "mendeley" : { "formattedCitation" : "(Karow et al. 2000)", "plainTextFormattedCitation" : "(Karow et al. 2000)", "previouslyFormattedCitation" : "(Karow et al.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(Karow et al. 2000)</w:t>
      </w:r>
      <w:r w:rsidR="00F20EC0" w:rsidRPr="00DF0680">
        <w:rPr>
          <w:rFonts w:cs="Times New Roman"/>
        </w:rPr>
        <w:fldChar w:fldCharType="end"/>
      </w:r>
      <w:r w:rsidR="00E55A30" w:rsidRPr="00DF0680">
        <w:rPr>
          <w:rFonts w:cs="Times New Roman"/>
        </w:rPr>
        <w:t>.</w:t>
      </w:r>
    </w:p>
    <w:p w:rsidR="00E55A30" w:rsidRPr="00DF0680" w:rsidRDefault="00C44E1D" w:rsidP="00A025CF">
      <w:pPr>
        <w:rPr>
          <w:rFonts w:cs="Times New Roman"/>
        </w:rPr>
      </w:pPr>
      <w:r w:rsidRPr="00DF0680">
        <w:rPr>
          <w:rFonts w:cs="Times New Roman"/>
          <w:color w:val="auto"/>
        </w:rPr>
        <w:t xml:space="preserve">Bloom’s syndrome helicase binds to Topoisomerase IIIα, </w:t>
      </w:r>
      <w:r w:rsidR="00AA265E" w:rsidRPr="00DF0680">
        <w:rPr>
          <w:rFonts w:cs="Times New Roman"/>
          <w:color w:val="auto"/>
        </w:rPr>
        <w:t xml:space="preserve">and </w:t>
      </w:r>
      <w:r w:rsidR="00AA265E" w:rsidRPr="00DF0680">
        <w:rPr>
          <w:rFonts w:cs="Times New Roman"/>
          <w:i/>
          <w:color w:val="auto"/>
        </w:rPr>
        <w:t>in vitro</w:t>
      </w:r>
      <w:r w:rsidR="00AA265E" w:rsidRPr="00DF0680">
        <w:rPr>
          <w:rFonts w:cs="Times New Roman"/>
          <w:color w:val="auto"/>
        </w:rPr>
        <w:t xml:space="preserve">, can </w:t>
      </w:r>
      <w:r w:rsidRPr="00DF0680">
        <w:rPr>
          <w:rFonts w:cs="Times New Roman"/>
          <w:color w:val="auto"/>
        </w:rPr>
        <w:t>s</w:t>
      </w:r>
      <w:r w:rsidR="00AA265E" w:rsidRPr="00DF0680">
        <w:rPr>
          <w:rFonts w:cs="Times New Roman"/>
          <w:color w:val="auto"/>
        </w:rPr>
        <w:t>timulate</w:t>
      </w:r>
      <w:r w:rsidRPr="00DF0680">
        <w:rPr>
          <w:rFonts w:cs="Times New Roman"/>
          <w:color w:val="auto"/>
        </w:rPr>
        <w:t xml:space="preserve"> its activity, and recruit it to DNA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"author" : [ { "dropping-particle" : "", "family" : "Wu", "given" : "Leonard", "non-dropping-particle" : "", "parse-names" : false, "suffix" : "" }, { "dropping-particle" : "", "family" : "Hickson", "given" : "ID", "non-dropping-particle" : "", "parse-names" : false, "suffix" : "" } ], "container-title" : "Nucleic Acids Research", "id" : "ITEM-1", "issue" : "22", "issued" : { "date-parts" : [ [ "2002" ] ] }, "page" : "4823-9", "title" : "The Bloom's syndrome helicase stimulates the activity of human topoisomerase III\u03b1", "type" : "article-journal", "volume" : "30" }, "uris" : [ "http://www.mendeley.com/documents/?uuid=a6b1ed82-2445-4061-b697-c3bb55c938ec" ] }, { "id" : "ITEM-2", "itemData" : { "DOI" : "10.1074/jbc.275.13.9636", "ISSN" : "00219258", "author" : [ { "dropping-particle" : "", "family" : "Wu", "given" : "L.", "non-dropping-particle" : "", "parse-names" : false, "suffix" : "" } ], "container-title" : "Journal of Biological Chemistry", "id" : "ITEM-2", "issue" : "13", "issued" : { "date-parts" : [ [ "2000", "3", "24" ] ] }, "page" : "9636-9644", "title" : "The Bloom's Syndrome Gene Product Interacts with Topoisomerase III", "type" : "article-journal", "volume" : "275" }, "uris" : [ "http://www.mendeley.com/documents/?uuid=f24a4aac-fcb3-4aa7-87d7-725532d52c31" ] }, { "id" : "ITEM-3", "itemData" : { "author" : [ { "dropping-particle" : "", "family" : "Johnson", "given" : "FB", "non-dropping-particle" : "", "parse-names" : false, "suffix" : "" }, { "dropping-particle" : "", "family" : "Lombard", "given" : "DB", "non-dropping-particle" : "", "parse-names" : false, "suffix" : "" }, { "dropping-particle" : "", "family" : "Neff", "given" : "NF", "non-dropping-particle" : "", "parse-names" : false, "suffix" : "" } ], "container-title" : "Cancer Research", "id" : "ITEM-3", "issue" : "5", "issued" : { "date-parts" : [ [ "2000" ] ] }, "page" : "1162-1167", "title" : "Association of the Bloom syndrome protein with topoisomerase III\u03b1 in somatic and meiotic cells", "type" : "article-journal", "volume" : "60" }, "uris" : [ "http://www.mendeley.com/documents/?uuid=8d026bbe-d1bf-40d5-af03-5bbdedb6452f" ] } ], "mendeley" : { "formattedCitation" : "(Wu &amp; Hickson 2002; Wu 2000; Johnson et al. 2000)", "plainTextFormattedCitation" : "(Wu &amp; Hickson 2002; Wu 2000; Johnson et al. 2000)", "previouslyFormattedCitation" : "(Wu &amp; Hickson 2002; Wu 2000; Johnson et al. 2000)"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(Wu &amp; Hickson 2002; Wu 2000; Johnson et al. 2000)</w:t>
      </w:r>
      <w:r w:rsidR="00F20EC0" w:rsidRPr="00DF0680">
        <w:rPr>
          <w:rFonts w:cs="Times New Roman"/>
          <w:color w:val="auto"/>
        </w:rPr>
        <w:fldChar w:fldCharType="end"/>
      </w:r>
      <w:r w:rsidRPr="00DF0680">
        <w:rPr>
          <w:rFonts w:cs="Times New Roman"/>
          <w:color w:val="auto"/>
        </w:rPr>
        <w:t xml:space="preserve">. </w:t>
      </w:r>
      <w:r w:rsidR="00B01FA2" w:rsidRPr="00DF0680">
        <w:rPr>
          <w:rFonts w:cs="Times New Roman"/>
          <w:color w:val="auto"/>
        </w:rPr>
        <w:t>Together, they use convergent branch migration to resolve double Holliday junction</w:t>
      </w:r>
      <w:r w:rsidR="00AA265E" w:rsidRPr="00DF0680">
        <w:rPr>
          <w:rFonts w:cs="Times New Roman"/>
          <w:color w:val="auto"/>
        </w:rPr>
        <w:t xml:space="preserve"> substrate</w:t>
      </w:r>
      <w:r w:rsidR="00B01FA2" w:rsidRPr="00DF0680">
        <w:rPr>
          <w:rFonts w:cs="Times New Roman"/>
          <w:color w:val="auto"/>
        </w:rPr>
        <w:t xml:space="preserve">s, stimulated by RPA </w:t>
      </w:r>
      <w:r w:rsidR="00F20EC0" w:rsidRPr="00DF0680">
        <w:rPr>
          <w:rFonts w:cs="Times New Roman"/>
          <w:color w:val="auto"/>
        </w:rPr>
        <w:fldChar w:fldCharType="begin" w:fldLock="1"/>
      </w:r>
      <w:r w:rsidR="00DA6E78" w:rsidRPr="00DF0680">
        <w:rPr>
          <w:rFonts w:cs="Times New Roman"/>
          <w:color w:val="auto"/>
        </w:rPr>
        <w:instrText>ADDIN CSL_CITATION { "citationItems" : [ { "id" : "ITEM-1", "itemData" : { "author" : [ { "dropping-particle" : "", "family" : "Plank", "given" : "JL", "non-dropping-particle" : "", "parse-names" : false, "suffix" : "" }, { "dropping-particle" : "", "family" : "Wu", "given" : "Jianhong", "non-dropping-particle" : "", "parse-names" : false, "suffix" : "" }, { "dropping-particle" : "", "family" : "Hsieh", "given" : "Tao-shih", "non-dropping-particle" : "", "parse-names" : false, "suffix" : "" } ], "container-title" : "Proceedings of the National Academy of Sciences", "id" : "ITEM-1", "issue" : "30", "issued" : { "date-parts" : [ [ "2006" ] ] }, "page" : "11118-23", "title" : "Topoisomerase III\u03b1 and Bloom's helicase can resolve a mobile double Holliday junction substrate through convergent branch migration", "type" : "article-journal", "volume" : "103" }, "uris" : [ "http://www.mendeley.com/documents/?uuid=be882c19-5f59-4d12-8377-d366916f04a0" ] } ], "mendeley" : { "formattedCitation" : "(Plank et al. 2006)", "plainTextFormattedCitation" : "(Plank et al. 2006)", "previouslyFormattedCitation" : "(Plank et al. 2006)"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(Plank et al. 2006)</w:t>
      </w:r>
      <w:r w:rsidR="00F20EC0" w:rsidRPr="00DF0680">
        <w:rPr>
          <w:rFonts w:cs="Times New Roman"/>
          <w:color w:val="auto"/>
        </w:rPr>
        <w:fldChar w:fldCharType="end"/>
      </w:r>
      <w:r w:rsidR="00B01FA2" w:rsidRPr="00DF0680">
        <w:rPr>
          <w:rFonts w:cs="Times New Roman"/>
          <w:color w:val="auto"/>
        </w:rPr>
        <w:t xml:space="preserve">. </w:t>
      </w:r>
      <w:r w:rsidRPr="00DF0680">
        <w:rPr>
          <w:rFonts w:cs="Times New Roman"/>
          <w:color w:val="auto"/>
        </w:rPr>
        <w:t>BLM also has been shown co</w:t>
      </w:r>
      <w:r w:rsidR="00DF0680" w:rsidRPr="00DF0680">
        <w:rPr>
          <w:rFonts w:cs="Times New Roman"/>
          <w:color w:val="auto"/>
        </w:rPr>
        <w:t>-</w:t>
      </w:r>
      <w:r w:rsidRPr="00DF0680">
        <w:rPr>
          <w:rFonts w:cs="Times New Roman"/>
          <w:color w:val="auto"/>
        </w:rPr>
        <w:t>locali</w:t>
      </w:r>
      <w:r w:rsidR="00E52DD8" w:rsidRPr="00DF0680">
        <w:rPr>
          <w:rFonts w:cs="Times New Roman"/>
          <w:color w:val="auto"/>
        </w:rPr>
        <w:t>s</w:t>
      </w:r>
      <w:r w:rsidRPr="00DF0680">
        <w:rPr>
          <w:rFonts w:cs="Times New Roman"/>
          <w:color w:val="auto"/>
        </w:rPr>
        <w:t xml:space="preserve">e with the BLAP75 protein at sites of DNA damage, which is required for maintaining BLM-TopoIIIα protein levels, BLM phosphorylation, and the suppression of sister chromatid exchange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"10.1038/sj.emboj.7600622", "ISSN" : "0261-4189", "PMID" : "15775963", "abstract" : "Bloom's syndrome (BS) is a rare human genetic disorder characterized by dwarfism, immunodeficiency, genomic instability and cancer predisposition. We have previously purified three complexes containing BLM, the helicase mutated in this disease. Here we demonstrate that BLAP75, a novel protein containing a putative OB-fold nucleic acid binding domain, is an integral component of BLM complexes, and is essential for their stability in vivo. Consistent with a role in BLM-mediated processes, BLAP75 colocalizes with BLM in subnuclear foci in response to DNA damage, and its depletion impairs the recruitment of BLM to these foci. Depletion of BLAP75 by siRNA also results in deficient phosphorylation of BLM during mitosis, as well as defective cell proliferation. Moreover, cells depleted of BLAP75 display an increased level of sister-chromatid exchange, similar to cells depleted of BLM by siRNA. Thus, BLAP75 is an essential component of the BLM-associated cellular machinery that maintains genome integrity.", "author" : [ { "dropping-particle" : "", "family" : "Yin", "given" : "Jinhu", "non-dropping-particle" : "", "parse-names" : false, "suffix" : "" }, { "dropping-particle" : "", "family" : "Sobeck", "given" : "Alexandra", "non-dropping-particle" : "", "parse-names" : false, "suffix" : "" }, { "dropping-particle" : "", "family" : "Xu", "given" : "Chang", "non-dropping-particle" : "", "parse-names" : false, "suffix" : "" }, { "dropping-particle" : "", "family" : "Meetei", "given" : "Amom Ruhikanta", "non-dropping-particle" : "", "parse-names" : false, "suffix" : "" }, { "dropping-particle" : "", "family" : "Hoatlin", "given" : "Maureen", "non-dropping-particle" : "", "parse-names" : false, "suffix" : "" }, { "dropping-particle" : "", "family" : "Li", "given" : "Lei", "non-dropping-particle" : "", "parse-names" : false, "suffix" : "" }, { "dropping-particle" : "", "family" : "Wang", "given" : "Weidong", "non-dropping-particle" : "", "parse-names" : false, "suffix" : "" } ], "container-title" : "The EMBO Journal", "id" : "ITEM-1", "issue" : "7", "issued" : { "date-parts" : [ [ "2005", "4", "6" ] ] }, "page" : "1465-76", "title" : "BLAP75, an essential component of Bloom's syndrome protein complexes that maintain genome integrity.", "type" : "article-journal", "volume" : "24" }, "uris" : [ "http://www.mendeley.com/documents/?uuid=a3d2ee04-4b20-42e5-b953-8ac7bd935a83" ] } ], "mendeley" : { "formattedCitation" : "(Yin et al. 2005)", "plainTextFormattedCitation" : "(Yin et al. 2005)", "previouslyFormattedCitation" : "(Yin et al. 2005)"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(Yin et al. 2005)</w:t>
      </w:r>
      <w:r w:rsidR="00F20EC0" w:rsidRPr="00DF0680">
        <w:rPr>
          <w:rFonts w:cs="Times New Roman"/>
          <w:color w:val="auto"/>
        </w:rPr>
        <w:fldChar w:fldCharType="end"/>
      </w:r>
      <w:r w:rsidRPr="00DF0680">
        <w:rPr>
          <w:rFonts w:cs="Times New Roman"/>
          <w:color w:val="auto"/>
        </w:rPr>
        <w:t xml:space="preserve">. BLAP75 (also known as RMI1) physically interacts with </w:t>
      </w:r>
      <w:r w:rsidRPr="00DF0680">
        <w:rPr>
          <w:rFonts w:cs="Times New Roman"/>
        </w:rPr>
        <w:t xml:space="preserve">TopoIIIα, </w:t>
      </w:r>
      <w:r w:rsidR="00CB4C9A" w:rsidRPr="00DF0680">
        <w:rPr>
          <w:rFonts w:cs="Times New Roman"/>
        </w:rPr>
        <w:t xml:space="preserve">RPA, </w:t>
      </w:r>
      <w:r w:rsidR="003643FA" w:rsidRPr="00DF0680">
        <w:rPr>
          <w:rFonts w:cs="Times New Roman"/>
        </w:rPr>
        <w:t xml:space="preserve">and </w:t>
      </w:r>
      <w:r w:rsidRPr="00DF0680">
        <w:rPr>
          <w:rFonts w:cs="Times New Roman"/>
        </w:rPr>
        <w:t xml:space="preserve">promotes binding to </w:t>
      </w:r>
      <w:r w:rsidR="003643FA" w:rsidRPr="00DF0680">
        <w:rPr>
          <w:rFonts w:cs="Times New Roman"/>
        </w:rPr>
        <w:t xml:space="preserve">and the efficient dissolution of </w:t>
      </w:r>
      <w:r w:rsidRPr="00DF0680">
        <w:rPr>
          <w:rFonts w:cs="Times New Roman"/>
        </w:rPr>
        <w:t>double Holliday junctions</w:t>
      </w:r>
      <w:r w:rsidR="008C2A5A" w:rsidRPr="00DF0680">
        <w:rPr>
          <w:rFonts w:cs="Times New Roman"/>
        </w:rPr>
        <w:t xml:space="preserve"> </w:t>
      </w:r>
      <w:r w:rsidR="008C2A5A" w:rsidRPr="00DF0680">
        <w:rPr>
          <w:rFonts w:cs="Times New Roman"/>
          <w:i/>
        </w:rPr>
        <w:t>in vitro</w:t>
      </w:r>
      <w:r w:rsidR="003643FA"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"Wu", "given" : "Leonard", "non-dropping-particle" : "", "parse-names" : false, "suffix" : "" }, { "dropping-particle" : "", "family" : "Bachrati", "given" : "CZ", "non-dropping-particle" : "", "parse-names" : false, "suffix" : "" }, { "dropping-particle" : "", "family" : "Ou", "given" : "Jiongwen", "non-dropping-particle" : "", "parse-names" : false, "suffix" : "" }, { "dropping-particle" : "", "family" : "Xu", "given" : "Chang", "non-dropping-particle" : "", "parse-names" : false, "suffix" : "" } ], "container-title" : "Proceedings of the National Academy of Sciences", "id" : "ITEM-1", "issue" : "11", "issued" : { "date-parts" : [ [ "2006" ] ] }, "page" : "4068-73", "title" : "BLAP75/RMI1 promotes the BLM-dependent dissolution of homologous recombination intermediates", "type" : "article-journal", "volume" : "103" }, "uris" : [ "http://www.mendeley.com/documents/?uuid=927ebcc3-b10a-46c2-9ef3-f3121f131bfd" ] }, { "id" : "ITEM-2", "itemData" : { "DOI" : "10.1074/jbc.M113.465609", "ISSN" : "1083-351X", "PMID" : "23543748", "abstract" : "The conserved BTR complex, composed of the Bloom's syndrome helicase (BLM), topoisomerase III\u03b1, RMI1, and RMI2, regulates homologous recombination in favor of non-crossover formation via the dissolution of the double Holliday Junction (dHJ). Here we show enhancement of the BTR-mediated dHJ dissolution reaction by the heterotrimeric single-stranded DNA binding protein replication protein A (RPA). Our results suggest that RPA acts by sequestering a single-stranded DNA intermediate during dHJ dissolution. We provide evidence that RPA physically interacts with RMI1. The RPA interaction domain in RMI1 has been mapped, and RMI1 mutants impaired for RPA interaction have been generated. Examination of these mutants ascertains the significance of the RMI1-RPA interaction in dHJ dissolution. Our results thus implicate RPA as a cofactor of the BTR complex in dHJ dissolution.", "author" : [ { "dropping-particle" : "", "family" : "Xue", "given" : "Xiaoyu", "non-dropping-particle" : "", "parse-names" : false, "suffix" : "" }, { "dropping-particle" : "", "family" : "Raynard", "given" : "Steven", "non-dropping-particle" : "", "parse-names" : false, "suffix" : "" }, { "dropping-particle" : "", "family" : "Busygina", "given" : "Valeria", "non-dropping-particle" : "", "parse-names" : false, "suffix" : "" }, { "dropping-particle" : "", "family" : "Singh", "given" : "Akhilesh K", "non-dropping-particle" : "", "parse-names" : false, "suffix" : "" }, { "dropping-particle" : "", "family" : "Sung", "given" : "Patrick", "non-dropping-particle" : "", "parse-names" : false, "suffix" : "" } ], "container-title" : "The Journal of Biological Chemistry", "id" : "ITEM-2", "issue" : "20", "issued" : { "date-parts" : [ [ "2013", "5", "17" ] ] }, "page" : "14221-7", "title" : "Role of replication protein A in double holliday junction dissolution mediated by the BLM-Topo III\u03b1-RMI1-RMI2 protein complex.", "type" : "article-journal", "volume" : "288" }, "uris" : [ "http://www.mendeley.com/documents/?uuid=94c4e44a-3fe9-40ae-9775-57949035ab43" ] } ], "mendeley" : { "formattedCitation" : "(Wu et al. 2006; Xue et al. 2013)", "plainTextFormattedCitation" : "(Wu et al. 2006; Xue et al. 2013)", "previouslyFormattedCitation" : "(Wu et al. 2006; Xue et al. 2013)"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(Wu et al. 2006; Xue et al. 2013)</w:t>
      </w:r>
      <w:r w:rsidR="00F20EC0" w:rsidRPr="00DF0680">
        <w:rPr>
          <w:rFonts w:cs="Times New Roman"/>
        </w:rPr>
        <w:fldChar w:fldCharType="end"/>
      </w:r>
      <w:r w:rsidR="003643FA" w:rsidRPr="00DF0680">
        <w:rPr>
          <w:rFonts w:cs="Times New Roman"/>
        </w:rPr>
        <w:t xml:space="preserve">. </w:t>
      </w:r>
      <w:r w:rsidR="00B01FA2" w:rsidRPr="00DF0680">
        <w:rPr>
          <w:rFonts w:cs="Times New Roman"/>
        </w:rPr>
        <w:t xml:space="preserve">Along with the addition of the BLAP18/RMI2 protein, which is responsible for the stability of the proteins in the complex </w:t>
      </w:r>
      <w:r w:rsidR="00F20EC0" w:rsidRPr="00DF0680">
        <w:rPr>
          <w:rFonts w:cs="Times New Roman"/>
        </w:rPr>
        <w:fldChar w:fldCharType="begin" w:fldLock="1"/>
      </w:r>
      <w:r w:rsidR="00332613" w:rsidRPr="00DF0680">
        <w:rPr>
          <w:rFonts w:cs="Times New Roman"/>
        </w:rPr>
        <w:instrText>ADDIN CSL_CITATION { "citationItems" : [ { "id" : "ITEM-1", "itemData" : { "DOI" : "10.1101/gad.1725108", "ISSN" : "0890-9369", "PMID" : "18923083", "abstract" : "Bloom Syndrome is an autosomal recessive cancer-prone disorder caused by mutations in the BLM gene. BLM encodes a DNA helicase of the RECQ family, and associates with Topo IIIalpha and BLAP75/RMI1 (BLAP for BLM-associated polypeptide/RecQ-mediated genome instability) to form the BTB (BLM-Topo IIIalpha-BLAP75/RMI1) complex. This complex can resolve the double Holliday junction (dHJ), a DNA intermediate generated during homologous recombination, to yield noncrossover recombinants exclusively. This attribute of the BTB complex likely serves to prevent chromosomal aberrations and rearrangements. Here we report the isolation and characterization of a novel member of the BTB complex termed BLAP18/RMI2. BLAP18/RMI2 contains a putative OB-fold domain, and several lines of evidence suggest that it is essential for BTB complex function. First, the majority of BLAP18/RMI2 exists in complex with Topo IIIalpha and BLAP75/RMI1. Second, depletion of BLAP18/RMI2 results in the destabilization of the BTB complex. Third, BLAP18/RMI2-depleted cells show spontaneous chromosomal breaks and are sensitive to methyl methanesulfonate treatment. Fourth, BLAP18/RMI2 is required to target BLM to chromatin and for the assembly of BLM foci upon hydroxyurea treatment. Finally, BLAP18/RMI2 stimulates the dHJ resolution capability of the BTB complex. Together, these results establish BLAP18/RMI2 as an essential member of the BTB dHJ dissolvasome that is required for the maintenance of a stable genome.", "author" : [ { "dropping-particle" : "", "family" : "Singh", "given" : "Thiyam Ramsing", "non-dropping-particle" : "", "parse-names" : false, "suffix" : "" }, { "dropping-particle" : "", "family" : "Ali", "given" : "Abdullah Mahmood", "non-dropping-particle" : "", "parse-names" : false, "suffix" : "" }, { "dropping-particle" : "", "family" : "Busygina", "given" : "Valeria", "non-dropping-particle" : "", "parse-names" : false, "suffix" : "" }, { "dropping-particle" : "", "family" : "Raynard", "given" : "Steven", "non-dropping-particle" : "", "parse-names" : false, "suffix" : "" }, { "dropping-particle" : "", "family" : "Fan", "given" : "Qiang", "non-dropping-particle" : "", "parse-names" : false, "suffix" : "" }, { "dropping-particle" : "", "family" : "Du", "given" : "Chang-hu", "non-dropping-particle" : "", "parse-names" : false, "suffix" : "" }, { "dropping-particle" : "", "family" : "Andreassen", "given" : "Paul R", "non-dropping-particle" : "", "parse-names" : false, "suffix" : "" }, { "dropping-particle" : "", "family" : "Sung", "given" : "Patrick", "non-dropping-particle" : "", "parse-names" : false, "suffix" : "" }, { "dropping-particle" : "", "family" : "Meetei", "given" : "Amom Ruhikanta", "non-dropping-particle" : "", "parse-names" : false, "suffix" : "" } ], "container-title" : "Genes &amp; Development", "id" : "ITEM-1", "issue" : "20", "issued" : { "date-parts" : [ [ "2008", "10", "15" ] ] }, "page" : "2856-68", "title" : "BLAP18/RMI2, a novel OB-fold-containing protein, is an essential component of the Bloom helicase-double Holliday junction dissolvasome.", "type" : "article-journal", "volume" : "22" }, "uris" : [ "http://www.mendeley.com/documents/?uuid=24c9f0e0-88cf-4c1a-ad72-fe815f69f7a6" ] } ], "mendeley" : { "formattedCitation" : "(Singh et al. 2008)", "plainTextFormattedCitation" : "(Singh et al. 2008)", "previouslyFormattedCitation" : "(Singh et al. 2008)"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(Singh et al. 2008)</w:t>
      </w:r>
      <w:r w:rsidR="00F20EC0" w:rsidRPr="00DF0680">
        <w:rPr>
          <w:rFonts w:cs="Times New Roman"/>
        </w:rPr>
        <w:fldChar w:fldCharType="end"/>
      </w:r>
      <w:r w:rsidR="00B01FA2" w:rsidRPr="00DF0680">
        <w:rPr>
          <w:rFonts w:cs="Times New Roman"/>
        </w:rPr>
        <w:t xml:space="preserve">, </w:t>
      </w:r>
      <w:r w:rsidR="00CB4C9A" w:rsidRPr="00DF0680">
        <w:rPr>
          <w:rFonts w:cs="Times New Roman"/>
        </w:rPr>
        <w:t xml:space="preserve">this BLM-TopoIIIα-BLAP75 complex </w:t>
      </w:r>
      <w:r w:rsidR="00CB4C9A" w:rsidRPr="00DF0680">
        <w:rPr>
          <w:rFonts w:cs="Times New Roman"/>
        </w:rPr>
        <w:lastRenderedPageBreak/>
        <w:t xml:space="preserve">forms a dissolvasome that </w:t>
      </w:r>
      <w:r w:rsidR="00DE2C0F" w:rsidRPr="00DF0680">
        <w:rPr>
          <w:rFonts w:cs="Times New Roman"/>
        </w:rPr>
        <w:t>dissolves</w:t>
      </w:r>
      <w:r w:rsidR="00CB4C9A" w:rsidRPr="00DF0680">
        <w:rPr>
          <w:rFonts w:cs="Times New Roman"/>
        </w:rPr>
        <w:t xml:space="preserve"> double Holliday Junction</w:t>
      </w:r>
      <w:r w:rsidR="008C2A5A" w:rsidRPr="00DF0680">
        <w:rPr>
          <w:rFonts w:cs="Times New Roman"/>
        </w:rPr>
        <w:t xml:space="preserve"> </w:t>
      </w:r>
      <w:r w:rsidR="00CB4C9A" w:rsidRPr="00DF0680">
        <w:rPr>
          <w:rFonts w:cs="Times New Roman"/>
        </w:rPr>
        <w:t>s</w:t>
      </w:r>
      <w:r w:rsidR="008C2A5A" w:rsidRPr="00DF0680">
        <w:rPr>
          <w:rFonts w:cs="Times New Roman"/>
        </w:rPr>
        <w:t>ubstrates</w:t>
      </w:r>
      <w:r w:rsidR="00CB4C9A" w:rsidRPr="00DF0680">
        <w:rPr>
          <w:rFonts w:cs="Times New Roman"/>
        </w:rPr>
        <w:t xml:space="preserve">, made more effective with RPA </w:t>
      </w:r>
      <w:r w:rsidR="00F20EC0" w:rsidRPr="00DF0680">
        <w:rPr>
          <w:rFonts w:cs="Times New Roman"/>
        </w:rPr>
        <w:fldChar w:fldCharType="begin" w:fldLock="1"/>
      </w:r>
      <w:r w:rsidR="00332613" w:rsidRPr="00DF0680">
        <w:rPr>
          <w:rFonts w:cs="Times New Roman"/>
        </w:rPr>
        <w:instrText>ADDIN CSL_CITATION { "citationItems" : [ { "id" : "ITEM-1", "itemData" : { "DOI" : "10.1074/jbc.M113.465609", "ISSN" : "1083-351X", "PMID" : "23543748", "abstract" : "The conserved BTR complex, composed of the Bloom's syndrome helicase (BLM), topoisomerase III\u03b1, RMI1, and RMI2, regulates homologous recombination in favor of non-crossover formation via the dissolution of the double Holliday Junction (dHJ). Here we show enhancement of the BTR-mediated dHJ dissolution reaction by the heterotrimeric single-stranded DNA binding protein replication protein A (RPA). Our results suggest that RPA acts by sequestering a single-stranded DNA intermediate during dHJ dissolution. We provide evidence that RPA physically interacts with RMI1. The RPA interaction domain in RMI1 has been mapped, and RMI1 mutants impaired for RPA interaction have been generated. Examination of these mutants ascertains the significance of the RMI1-RPA interaction in dHJ dissolution. Our results thus implicate RPA as a cofactor of the BTR complex in dHJ dissolution.", "author" : [ { "dropping-particle" : "", "family" : "Xue", "given" : "Xiaoyu", "non-dropping-particle" : "", "parse-names" : false, "suffix" : "" }, { "dropping-particle" : "", "family" : "Raynard", "given" : "Steven", "non-dropping-particle" : "", "parse-names" : false, "suffix" : "" }, { "dropping-particle" : "", "family" : "Busygina", "given" : "Valeria", "non-dropping-particle" : "", "parse-names" : false, "suffix" : "" }, { "dropping-particle" : "", "family" : "Singh", "given" : "Akhilesh K", "non-dropping-particle" : "", "parse-names" : false, "suffix" : "" }, { "dropping-particle" : "", "family" : "Sung", "given" : "Patrick", "non-dropping-particle" : "", "parse-names" : false, "suffix" : "" } ], "container-title" : "The Journal of Biological Chemistry", "id" : "ITEM-1", "issue" : "20", "issued" : { "date-parts" : [ [ "2013", "5", "17" ] ] }, "page" : "14221-7", "title" : "Role of replication protein A in double holliday junction dissolution mediated by the BLM-Topo III\u03b1-RMI1-RMI2 protein complex.", "type" : "article-journal", "volume" : "288" }, "uris" : [ "http://www.mendeley.com/documents/?uuid=94c4e44a-3fe9-40ae-9775-57949035ab43" ] } ], "mendeley" : { "formattedCitation" : "(Xue et al. 2013)", "plainTextFormattedCitation" : "(Xue et al. 2013)", "previouslyFormattedCitation" : "(Xue et al. 2013)"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(Xue et al. 2013)</w:t>
      </w:r>
      <w:r w:rsidR="00F20EC0" w:rsidRPr="00DF0680">
        <w:rPr>
          <w:rFonts w:cs="Times New Roman"/>
        </w:rPr>
        <w:fldChar w:fldCharType="end"/>
      </w:r>
      <w:r w:rsidR="00CB4C9A" w:rsidRPr="00DF0680">
        <w:rPr>
          <w:rFonts w:cs="Times New Roman"/>
        </w:rPr>
        <w:t xml:space="preserve">. </w:t>
      </w:r>
      <w:r w:rsidR="00480F63" w:rsidRPr="00DF0680">
        <w:rPr>
          <w:rFonts w:cs="Times New Roman"/>
        </w:rPr>
        <w:t xml:space="preserve">This function suppresses the </w:t>
      </w:r>
      <w:r w:rsidR="00DE2C0F" w:rsidRPr="00DF0680">
        <w:rPr>
          <w:rFonts w:cs="Times New Roman"/>
        </w:rPr>
        <w:t>number of cross</w:t>
      </w:r>
      <w:r w:rsidR="00480F63" w:rsidRPr="00DF0680">
        <w:rPr>
          <w:rFonts w:cs="Times New Roman"/>
        </w:rPr>
        <w:t xml:space="preserve">overs formed from homologous recombination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"Wu", "given" : "Leonard", "non-dropping-particle" : "", "parse-names" : false, "suffix" : "" }, { "dropping-particle" : "", "family" : "Hickson", "given" : "ID", "non-dropping-particle" : "", "parse-names" : false, "suffix" : "" } ], "container-title" : "Nature", "id" : "ITEM-1", "issue" : "6968", "issued" : { "date-parts" : [ [ "2003" ] ] }, "page" : "870-4", "title" : "The Bloom's syndrome helicase suppresses crossing over during homologous recombination", "type" : "article-journal", "volume" : "426" }, "uris" : [ "http://www.mendeley.com/documents/?uuid=927583fb-8cec-4bfa-a2cf-ec355b14a117" ] } ], "mendeley" : { "formattedCitation" : "(Wu &amp; Hickson 2003)", "plainTextFormattedCitation" : "(Wu &amp; Hickson 2003)", "previouslyFormattedCitation" : "(Wu &amp; Hickson 2003)"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(Wu &amp; Hickson 2003)</w:t>
      </w:r>
      <w:r w:rsidR="00F20EC0" w:rsidRPr="00DF0680">
        <w:rPr>
          <w:rFonts w:cs="Times New Roman"/>
        </w:rPr>
        <w:fldChar w:fldCharType="end"/>
      </w:r>
      <w:r w:rsidR="00480F63" w:rsidRPr="00DF0680">
        <w:rPr>
          <w:rFonts w:cs="Times New Roman"/>
        </w:rPr>
        <w:t>.</w:t>
      </w:r>
    </w:p>
    <w:p w:rsidR="00C55761" w:rsidRPr="00DF0680" w:rsidRDefault="009F7573" w:rsidP="00C55761">
      <w:pPr>
        <w:rPr>
          <w:rFonts w:cs="Times New Roman"/>
          <w:color w:val="auto"/>
        </w:rPr>
      </w:pPr>
      <w:r w:rsidRPr="00DF0680">
        <w:rPr>
          <w:rFonts w:cs="Times New Roman"/>
        </w:rPr>
        <w:t xml:space="preserve">As well as functioning in the final stages of homologous recombination, BLM has two apparently opposing functions. </w:t>
      </w:r>
      <w:r w:rsidR="00D31070" w:rsidRPr="00DF0680">
        <w:rPr>
          <w:rFonts w:cs="Times New Roman"/>
        </w:rPr>
        <w:t xml:space="preserve">BLM </w:t>
      </w:r>
      <w:r w:rsidR="008C2A5A" w:rsidRPr="00DF0680">
        <w:rPr>
          <w:rFonts w:cs="Times New Roman"/>
        </w:rPr>
        <w:t>is suggested to promote</w:t>
      </w:r>
      <w:r w:rsidR="00D31070" w:rsidRPr="00DF0680">
        <w:rPr>
          <w:rFonts w:cs="Times New Roman"/>
        </w:rPr>
        <w:t xml:space="preserve"> recombination by functioning in complexes promoting end resection. </w:t>
      </w:r>
      <w:r w:rsidR="008C2A5A" w:rsidRPr="00DF0680">
        <w:rPr>
          <w:rFonts w:cs="Times New Roman"/>
        </w:rPr>
        <w:t xml:space="preserve">To this end, </w:t>
      </w:r>
      <w:r w:rsidR="00714C1A" w:rsidRPr="00DF0680">
        <w:rPr>
          <w:rFonts w:cs="Times New Roman"/>
        </w:rPr>
        <w:t xml:space="preserve">BLM functions with Exo1, </w:t>
      </w:r>
      <w:r w:rsidR="00AC704C" w:rsidRPr="00DF0680">
        <w:rPr>
          <w:rFonts w:cs="Times New Roman"/>
        </w:rPr>
        <w:t xml:space="preserve">providing greater affinity for DNA ends, </w:t>
      </w:r>
      <w:r w:rsidR="00714C1A" w:rsidRPr="00DF0680">
        <w:rPr>
          <w:rFonts w:cs="Times New Roman"/>
        </w:rPr>
        <w:t xml:space="preserve">or DNA2, in complex with MRN and RPA  </w:t>
      </w:r>
      <w:r w:rsidR="00F20EC0" w:rsidRPr="00DF0680">
        <w:rPr>
          <w:rFonts w:cs="Times New Roman"/>
        </w:rPr>
        <w:fldChar w:fldCharType="begin" w:fldLock="1"/>
      </w:r>
      <w:r w:rsidR="00332613" w:rsidRPr="00DF0680">
        <w:rPr>
          <w:rFonts w:cs="Times New Roman"/>
        </w:rPr>
        <w:instrText>ADDIN CSL_CITATION { "citationItems" : [ { "id" : "ITEM-1", "itemData" : { "DOI" : "10.1101/gad.503108.Freely", "author" : [ { "dropping-particle" : "", "family" : "Gravel", "given" : "Serge", "non-dropping-particle" : "", "parse-names" : false, "suffix" : "" }, { "dropping-particle" : "", "family" : "Chapman", "given" : "JR", "non-dropping-particle" : "", "parse-names" : false, "suffix" : "" } ], "container-title" : "Genes &amp; Development", "id" : "ITEM-1", "issue" : "20", "issued" : { "date-parts" : [ [ "2008" ] ] }, "page" : "2767-2772", "title" : "DNA helicases Sgs1 and BLM promote DNA double-strand break resection", "type" : "article-journal", "volume" : "22" }, "uris" : [ "http://www.mendeley.com/documents/?uuid=fc0f2aef-81ba-40bf-8c1f-d2a0a2159cd3" ] }, { "id" : "ITEM-2", "itemData" : { "DOI" : "10.1101/gad.2003811", "ISSN" : "1549-5477", "PMID" : "21325134", "abstract" : "Repair of dsDNA breaks requires processing to produce 3'-terminated ssDNA. We biochemically reconstituted DNA end resection using purified human proteins: Bloom helicase (BLM); DNA2 helicase/nuclease; Exonuclease 1 (EXO1); the complex comprising MRE11, RAD50, and NBS1 (MRN); and Replication protein A (RPA). Resection occurs via two routes. In one, BLM and DNA2 physically and specifically interact to resect DNA in a process that is ATP-dependent and requires BLM helicase and DNA2 nuclease functions. RPA is essential for both DNA unwinding by BLM and enforcing 5' \u2192 3' resection polarity by DNA2. MRN accelerates processing by recruiting BLM to the end. In the other, EXO1 resects the DNA and is stimulated by BLM, MRN, and RPA. BLM increases the affinity of EXO1 for ends, and MRN recruits and enhances the processivity of EXO1. Our results establish two of the core machineries that initiate recombinational DNA repair in human cells.", "author" : [ { "dropping-particle" : "V", "family" : "Nimonkar", "given" : "Amitabh", "non-dropping-particle" : "", "parse-names" : false, "suffix" : "" }, { "dropping-particle" : "", "family" : "Genschel", "given" : "Jochen", "non-dropping-particle" : "", "parse-names" : false, "suffix" : "" }, { "dropping-particle" : "", "family" : "Kinoshita", "given" : "Eri", "non-dropping-particle" : "", "parse-names" : false, "suffix" : "" }, { "dropping-particle" : "", "family" : "Polaczek", "given" : "Piotr", "non-dropping-particle" : "", "parse-names" : false, "suffix" : "" }, { "dropping-particle" : "", "family" : "Campbell", "given" : "Judith L", "non-dropping-particle" : "", "parse-names" : false, "suffix" : "" }, { "dropping-particle" : "", "family" : "Wyman", "given" : "Claire", "non-dropping-particle" : "", "parse-names" : false, "suffix" : "" }, { "dropping-particle" : "", "family" : "Modrich", "given" : "Paul", "non-dropping-particle" : "", "parse-names" : false, "suffix" : "" }, { "dropping-particle" : "", "family" : "Kowalczykowski", "given" : "Stephen C", "non-dropping-particle" : "", "parse-names" : false, "suffix" : "" } ], "container-title" : "Genes &amp; Development", "id" : "ITEM-2", "issue" : "4", "issued" : { "date-parts" : [ [ "2011", "2", "15" ] ] }, "page" : "350-62", "title" : "BLM-DNA2-RPA-MRN and EXO1-BLM-RPA-MRN constitute two DNA end resection machineries for human DNA break repair.", "type" : "article-journal", "volume" : "25" }, "uris" : [ "http://www.mendeley.com/documents/?uuid=84ad3101-1fd1-483b-84d0-7f7678d9ebcb" ] } ], "mendeley" : { "formattedCitation" : "(Gravel &amp; Chapman 2008; Nimonkar et al. 2011)", "plainTextFormattedCitation" : "(Gravel &amp; Chapman 2008; Nimonkar et al. 2011)", "previouslyFormattedCitation" : "(Gravel &amp; Chapman 2008; Nimonkar et al. 2011)"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(Gravel &amp; Chapman 2008; Nimonkar et al. 2011)</w:t>
      </w:r>
      <w:r w:rsidR="00F20EC0" w:rsidRPr="00DF0680">
        <w:rPr>
          <w:rFonts w:cs="Times New Roman"/>
        </w:rPr>
        <w:fldChar w:fldCharType="end"/>
      </w:r>
      <w:r w:rsidRPr="00DF0680">
        <w:rPr>
          <w:rFonts w:cs="Times New Roman"/>
        </w:rPr>
        <w:t xml:space="preserve"> to produce</w:t>
      </w:r>
      <w:r w:rsidR="00657EA7" w:rsidRPr="00DF0680">
        <w:rPr>
          <w:rFonts w:cs="Times New Roman"/>
        </w:rPr>
        <w:t xml:space="preserve"> a 3’ ssDNA end that is a substrate for HR. </w:t>
      </w:r>
      <w:r w:rsidRPr="00DF0680">
        <w:rPr>
          <w:rFonts w:cs="Times New Roman"/>
        </w:rPr>
        <w:t xml:space="preserve">On the other hand, BLM has been proven </w:t>
      </w:r>
      <w:r w:rsidRPr="00DF0680">
        <w:rPr>
          <w:rFonts w:cs="Times New Roman"/>
          <w:i/>
        </w:rPr>
        <w:t>in vitro</w:t>
      </w:r>
      <w:r w:rsidRPr="00DF0680">
        <w:rPr>
          <w:rFonts w:cs="Times New Roman"/>
        </w:rPr>
        <w:t xml:space="preserve"> to be capable of </w:t>
      </w:r>
      <w:r w:rsidRPr="00DF0680">
        <w:rPr>
          <w:rFonts w:cs="Times New Roman"/>
          <w:color w:val="auto"/>
        </w:rPr>
        <w:t>dismantling the</w:t>
      </w:r>
      <w:r w:rsidR="007163F2" w:rsidRPr="00DF0680">
        <w:rPr>
          <w:rFonts w:cs="Times New Roman"/>
          <w:color w:val="auto"/>
        </w:rPr>
        <w:t xml:space="preserve"> invading Rad51</w:t>
      </w:r>
      <w:r w:rsidRPr="00DF0680">
        <w:rPr>
          <w:rFonts w:cs="Times New Roman"/>
          <w:color w:val="auto"/>
        </w:rPr>
        <w:t>-ssDNA filaments and disrupt</w:t>
      </w:r>
      <w:r w:rsidR="007163F2" w:rsidRPr="00DF0680">
        <w:rPr>
          <w:rFonts w:cs="Times New Roman"/>
          <w:color w:val="auto"/>
        </w:rPr>
        <w:t xml:space="preserve"> D-loops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"10.1101/gad.1609007", "ISSN" : "0890-9369", "PMID" : "18003860", "abstract" : "Bloom's syndrome (BS) is an autosomal recessive disorder characterized by a strong cancer predisposition. The defining feature of BS is extreme genome instability. The gene mutated in Bloom's syndrome, BLM, encodes a DNA helicase (BLM) of the RecQ family. BLM plays a role in homologous recombination; however, its exact function remains controversial. Mutations in the BLM cause hyperrecombination between sister chromatids and homologous chromosomes, indicating an anti-recombination role. Conversely, other data show that BLM is required for recombination. It was previously shown that in vitro BLM helicase promotes disruption of recombination intermediates, regression of stalled replication forks, and dissolution of double Holliday junctions. Here, we demonstrate two novel activities of BLM: disruption of the Rad51-ssDNA (single-stranded DNA) filament, an active species that promotes homologous recombination, and stimulation of DNA repair synthesis. Using in vitro reconstitution reactions, we analyzed how different biochemical activities of BLM contribute to its functions in homologous recombination.", "author" : [ { "dropping-particle" : "V", "family" : "Bugreev", "given" : "Dmitry", "non-dropping-particle" : "", "parse-names" : false, "suffix" : "" }, { "dropping-particle" : "", "family" : "Yu", "given" : "Xiong", "non-dropping-particle" : "", "parse-names" : false, "suffix" : "" }, { "dropping-particle" : "", "family" : "Egelman", "given" : "Edward H", "non-dropping-particle" : "", "parse-names" : false, "suffix" : "" }, { "dropping-particle" : "V", "family" : "Mazin", "given" : "Alexander", "non-dropping-particle" : "", "parse-names" : false, "suffix" : "" } ], "container-title" : "Genes &amp; Development", "id" : "ITEM-1", "issue" : "23", "issued" : { "date-parts" : [ [ "2007", "12", "1" ] ] }, "page" : "3085-94", "title" : "Novel pro- and anti-recombination activities of the Bloom's syndrome helicase.", "type" : "article-journal", "volume" : "21" }, "uris" : [ "http://www.mendeley.com/documents/?uuid=e3f76a54-92b4-4d09-a340-7adb4bf23438" ] } ], "mendeley" : { "formattedCitation" : "(Bugreev et al. 2007)", "plainTextFormattedCitation" : "(Bugreev et al. 2007)", "previouslyFormattedCitation" : "(Bugreev et al. 2007)"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(Bugreev et al. 2007)</w:t>
      </w:r>
      <w:r w:rsidR="00F20EC0" w:rsidRPr="00DF0680">
        <w:rPr>
          <w:rFonts w:cs="Times New Roman"/>
          <w:color w:val="auto"/>
        </w:rPr>
        <w:fldChar w:fldCharType="end"/>
      </w:r>
      <w:r w:rsidR="007163F2" w:rsidRPr="00DF0680">
        <w:rPr>
          <w:rFonts w:cs="Times New Roman"/>
          <w:color w:val="auto"/>
        </w:rPr>
        <w:t xml:space="preserve">. </w:t>
      </w:r>
      <w:r w:rsidRPr="00DF0680">
        <w:rPr>
          <w:rFonts w:cs="Times New Roman"/>
          <w:color w:val="auto"/>
        </w:rPr>
        <w:t xml:space="preserve">In support of its anti-recombinase function, </w:t>
      </w:r>
      <w:r w:rsidR="00B12B92" w:rsidRPr="00DF0680">
        <w:rPr>
          <w:rFonts w:cs="Times New Roman"/>
          <w:color w:val="auto"/>
        </w:rPr>
        <w:t xml:space="preserve">BLM helicase and RAD51 interact and BS cells have increased RAD51 foci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"10.1074/jbc.M009471200", "ISSN" : "0021-9258", "PMID" : "11278509", "abstract" : "Bloom's syndrome (BS) is an autosomal recessive disorder that predisposes individuals to a wide range of cancers. The gene mutated in BS, BLM, encodes a member of the RecQ family of DNA helicases. The precise role played by these enzymes in the cell remains to be determined. However, genome-wide hyper-recombination is a feature of many RecQ helicase-deficient cells. In eukaryotes, a central step in homologous recombination is catalyzed by the RAD51 protein. In response to agents that induce DNA double-strand breaks, RAD51 accumulates in nuclear foci that are thought to correspond to sites of recombinational repair. Here, we report that purified BLM and human RAD51 interact in vitro and in vivo, and that residues in the N- and C-terminal domains of BLM can independently mediate this interaction. Consistent with these observations, BLM localizes to a subset of RAD51 nuclear foci in normal human cells. Moreover, the number of BLM foci and the extent to which BLM and RAD51 foci co-localize increase in response to ionizing radiation. Nevertheless, the formation of RAD51 foci does not require functional BLM. Indeed, in untreated BS cells, an abnormally high proportion of the cells contain RAD51 nuclear foci. Exogenous expression of BLM markedly reduces the fraction of cells containing RAD51 foci. The interaction between BLM and RAD51 appears to have been evolutionarily conserved since the C-terminal domain of Sgs1, the Saccharomyces cerevisiae homologue of BLM, interacts with yeast Rad51. Furthermore, genetic analysis reveals that the SGS1 and RAD51 genes are epistatic indicating that they operate in a common pathway. Potential roles for BLM in the RAD51 recombinational repair pathway are discussed.", "author" : [ { "dropping-particle" : "", "family" : "Wu", "given" : "L", "non-dropping-particle" : "", "parse-names" : false, "suffix" : "" }, { "dropping-particle" : "", "family" : "Davies", "given" : "S L", "non-dropping-particle" : "", "parse-names" : false, "suffix" : "" }, { "dropping-particle" : "", "family" : "Levitt", "given" : "N C", "non-dropping-particle" : "", "parse-names" : false, "suffix" : "" }, { "dropping-particle" : "", "family" : "Hickson", "given" : "I D", "non-dropping-particle" : "", "parse-names" : false, "suffix" : "" } ], "container-title" : "The Journal of Biological Chemistry", "id" : "ITEM-1", "issue" : "22", "issued" : { "date-parts" : [ [ "2001", "6", "1" ] ] }, "page" : "19375-81", "title" : "Potential role for the BLM helicase in recombinational repair via a conserved interaction with RAD51.", "type" : "article-journal", "volume" : "276" }, "uris" : [ "http://www.mendeley.com/documents/?uuid=0a06851a-a3dd-43d6-8062-09775e0c5cdc" ] } ], "mendeley" : { "formattedCitation" : "(Wu et al. 2001)", "plainTextFormattedCitation" : "(Wu et al. 2001)", "previouslyFormattedCitation" : "(Wu et al. 2001)"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(Wu et al. 2001)</w:t>
      </w:r>
      <w:r w:rsidR="00F20EC0" w:rsidRPr="00DF0680">
        <w:rPr>
          <w:rFonts w:cs="Times New Roman"/>
          <w:color w:val="auto"/>
        </w:rPr>
        <w:fldChar w:fldCharType="end"/>
      </w:r>
      <w:r w:rsidR="00B12B92" w:rsidRPr="00DF0680">
        <w:rPr>
          <w:rFonts w:cs="Times New Roman"/>
          <w:color w:val="auto"/>
        </w:rPr>
        <w:t xml:space="preserve">. </w:t>
      </w:r>
      <w:r w:rsidR="00500CE5" w:rsidRPr="00DF0680">
        <w:rPr>
          <w:rFonts w:cs="Times New Roman"/>
          <w:color w:val="auto"/>
        </w:rPr>
        <w:t xml:space="preserve">One protein thought to be involved in this </w:t>
      </w:r>
      <w:r w:rsidRPr="00DF0680">
        <w:rPr>
          <w:rFonts w:cs="Times New Roman"/>
          <w:color w:val="auto"/>
        </w:rPr>
        <w:t xml:space="preserve">interaction </w:t>
      </w:r>
      <w:r w:rsidR="00500CE5" w:rsidRPr="00DF0680">
        <w:rPr>
          <w:rFonts w:cs="Times New Roman"/>
          <w:color w:val="auto"/>
        </w:rPr>
        <w:t xml:space="preserve">is SPIDR/KIAA0146. It is a scaffolding protein that binds BLM, is required for BLM foci formation and suppresses SCE. SPIDR also binds </w:t>
      </w:r>
      <w:r w:rsidR="00DF21AA" w:rsidRPr="00DF0680">
        <w:rPr>
          <w:rFonts w:cs="Times New Roman"/>
          <w:color w:val="auto"/>
        </w:rPr>
        <w:t xml:space="preserve">to </w:t>
      </w:r>
      <w:r w:rsidR="00500CE5" w:rsidRPr="00DF0680">
        <w:rPr>
          <w:rFonts w:cs="Times New Roman"/>
          <w:color w:val="auto"/>
        </w:rPr>
        <w:t xml:space="preserve">and is required for foci formation of RAD51, bringing a link between RAD51 and BLM, allowing them to regulate the HR pathway </w:t>
      </w:r>
      <w:r w:rsidR="00F20EC0" w:rsidRPr="00DF0680">
        <w:rPr>
          <w:rFonts w:cs="Times New Roman"/>
          <w:color w:val="auto"/>
        </w:rPr>
        <w:fldChar w:fldCharType="begin" w:fldLock="1"/>
      </w:r>
      <w:r w:rsidR="00DA6E78" w:rsidRPr="00DF0680">
        <w:rPr>
          <w:rFonts w:cs="Times New Roman"/>
          <w:color w:val="auto"/>
        </w:rPr>
        <w:instrText>ADDIN CSL_CITATION { "citationItems" : [ { "id" : "ITEM-1", "itemData" : { "DOI" : "10.1073/pnas.1220921110", "ISSN" : "1091-6490", "PMID" : "23509288", "abstract" : "The Bloom syndrome gene product, BLM, is a member of the highly conserved RecQ family. An emerging concept is the BLM helicase collaborates with the homologous recombination (HR) machinery to help avoid undesirable HR events and to achieve a high degree of fidelity during the HR reaction. However, exactly how such coordination occurs in vivo is poorly understood. Here, we identified a protein termed SPIDR (scaffolding protein involved in DNA repair) as the link between BLM and the HR machinery. SPIDR independently interacts with BLM and RAD51 and promotes the formation of a BLM/RAD51-containing complex of biological importance. Consistent with its role as a scaffolding protein for the assembly of BLM and RAD51 foci, cells depleted of SPIDR show increased rate of sister chromatid exchange and defects in HR. Moreover, SPIDR depletion leads to genome instability and causes hypersensitivity to DNA damaging agents. We propose that, through providing a scaffold for the cooperation of BLM and RAD51 in a multifunctional DNA-processing complex, SPIDR not only regulates the efficiency of HR, but also dictates the specific HR pathway.", "author" : [ { "dropping-particle" : "", "family" : "Wan", "given" : "Li", "non-dropping-particle" : "", "parse-names" : false, "suffix" : "" }, { "dropping-particle" : "", "family" : "Han", "given" : "Jinhua", "non-dropping-particle" : "", "parse-names" : false, "suffix" : "" }, { "dropping-particle" : "", "family" : "Liu", "given" : "Ting", "non-dropping-particle" : "", "parse-names" : false, "suffix" : "" }, { "dropping-particle" : "", "family" : "Dong", "given" : "Shunli", "non-dropping-particle" : "", "parse-names" : false, "suffix" : "" }, { "dropping-particle" : "", "family" : "Xie", "given" : "Feng", "non-dropping-particle" : "", "parse-names" : false, "suffix" : "" }, { "dropping-particle" : "", "family" : "Chen", "given" : "Hongxia", "non-dropping-particle" : "", "parse-names" : false, "suffix" : "" }, { "dropping-particle" : "", "family" : "Huang", "given" : "Jun", "non-dropping-particle" : "", "parse-names" : false, "suffix" : "" } ], "container-title" : "Proceedings of the National Academy of Sciences", "id" : "ITEM-1", "issue" : "26", "issued" : { "date-parts" : [ [ "2013", "3", "18" ] ] }, "page" : "10646-51", "title" : "Scaffolding protein SPIDR/KIAA0146 connects the Bloom syndrome helicase with homologous recombination repair.", "type" : "article-journal", "volume" : "110" }, "uris" : [ "http://www.mendeley.com/documents/?uuid=21a43591-ae1c-4c33-9df2-68451979adfe" ] } ], "mendeley" : { "formattedCitation" : "(Wan et al. 2013)", "plainTextFormattedCitation" : "(Wan et al. 2013)", "previouslyFormattedCitation" : "(Wan et al. 2013)"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(Wan et al. 2013)</w:t>
      </w:r>
      <w:r w:rsidR="00F20EC0" w:rsidRPr="00DF0680">
        <w:rPr>
          <w:rFonts w:cs="Times New Roman"/>
          <w:color w:val="auto"/>
        </w:rPr>
        <w:fldChar w:fldCharType="end"/>
      </w:r>
      <w:r w:rsidR="00500CE5" w:rsidRPr="00DF0680">
        <w:rPr>
          <w:rFonts w:cs="Times New Roman"/>
          <w:color w:val="auto"/>
        </w:rPr>
        <w:t>.</w:t>
      </w:r>
      <w:r w:rsidR="00657EA7" w:rsidRPr="00DF0680">
        <w:rPr>
          <w:rFonts w:cs="Times New Roman"/>
          <w:color w:val="auto"/>
        </w:rPr>
        <w:t xml:space="preserve"> This anti-recombination activity adds to BLM’s pro-recombination activities, complicating the role BLM has in the cell in terms of HR. Work has been done showing that these differing roles take place at early and late steps in HR repair </w:t>
      </w:r>
      <w:r w:rsidR="00F20EC0" w:rsidRPr="00DF0680">
        <w:rPr>
          <w:rFonts w:cs="Times New Roman"/>
          <w:color w:val="auto"/>
        </w:rPr>
        <w:fldChar w:fldCharType="begin" w:fldLock="1"/>
      </w:r>
      <w:r w:rsidR="00525765" w:rsidRPr="00DF0680">
        <w:rPr>
          <w:rFonts w:cs="Times New Roman"/>
          <w:color w:val="auto"/>
        </w:rPr>
        <w:instrText>ADDIN CSL_CITATION { "citationItems" : [ { "id" : "ITEM-1", "itemData" : { "DOI" : "10.1038/onc.2010.214", "ISSN" : "1476-5594", "PMID" : "20531307", "abstract" : "BLM is a RecQ family helicase that is defective in individuals with the cancer predisposition disorder, Bloom's syndrome (BS). At the cellular level, BS is characterized by hyper-recombination manifested as excessive sister chromatid exchange and loss of heterozygosity. However, the precise function of BLM remains unclear. Multiple roles have been proposed for BLM in the homologous recombination (HR) repair pathway, including 'early' functions, such as the stimulation of resection of DNA double-strand break ends or displacement of the invading strand of DNA displacement loops, and 'late' roles, such as dissolution of double Holliday junctions. However, most of the evidence for these putative roles comes from in vitro biochemical data. In this study, we report the characterization of mouse embryonic stem cells with disruption of Blm and/or Rad54 genes. We show that Blm has roles both upstream and downstream of the Rad54 protein, a core HR factor. Disruption of Rad54 in the Blm-mutant background reduced the elevated level of gene targeting and of sister chromatid exchanges, implying that Blm primarily functions downstream of Rad54 in the HR pathway. Conversely, however, mutation of Blm in Rad54(-/-) cells rescued their mitomycin C (MMC) sensitivity, and decreased both the level of DNA damage and cell cycle perturbation induced by MMC, suggesting an early role for Blm. Our data are consistent with Blm having at least two roles in HR repair in mammalian cells.", "author" : [ { "dropping-particle" : "", "family" : "Chu", "given" : "W K", "non-dropping-particle" : "", "parse-names" : false, "suffix" : "" }, { "dropping-particle" : "", "family" : "Hanada", "given" : "K", "non-dropping-particle" : "", "parse-names" : false, "suffix" : "" }, { "dropping-particle" : "", "family" : "Kanaar", "given" : "R", "non-dropping-particle" : "", "parse-names" : false, "suffix" : "" }, { "dropping-particle" : "", "family" : "Hickson", "given" : "I D", "non-dropping-particle" : "", "parse-names" : false, "suffix" : "" } ], "container-title" : "Oncogene", "id" : "ITEM-1", "issue" : "33", "issued" : { "date-parts" : [ [ "2010", "8", "19" ] ] }, "page" : "4705-14", "publisher" : "Nature Publishing Group", "title" : "BLM has early and late functions in homologous recombination repair in mouse embryonic stem cells.", "type" : "article-journal", "volume" : "29" }, "uris" : [ "http://www.mendeley.com/documents/?uuid=f58670bc-ddac-4bb1-af58-f094d92491ba" ] } ], "mendeley" : { "formattedCitation" : "(Chu et al. 2010)", "plainTextFormattedCitation" : "(Chu et al. 2010)", "previouslyFormattedCitation" : "(Chu et al. 2010)"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(Chu et al. 2010)</w:t>
      </w:r>
      <w:r w:rsidR="00F20EC0" w:rsidRPr="00DF0680">
        <w:rPr>
          <w:rFonts w:cs="Times New Roman"/>
          <w:color w:val="auto"/>
        </w:rPr>
        <w:fldChar w:fldCharType="end"/>
      </w:r>
      <w:r w:rsidR="00657EA7" w:rsidRPr="00DF0680">
        <w:rPr>
          <w:rFonts w:cs="Times New Roman"/>
          <w:color w:val="auto"/>
        </w:rPr>
        <w:t xml:space="preserve">. </w:t>
      </w:r>
    </w:p>
    <w:p w:rsidR="00C55761" w:rsidRPr="00DF0680" w:rsidRDefault="00C55761" w:rsidP="00C55761">
      <w:pPr>
        <w:rPr>
          <w:rFonts w:cs="Times New Roman"/>
          <w:color w:val="auto"/>
        </w:rPr>
      </w:pPr>
      <w:r w:rsidRPr="00DF0680">
        <w:rPr>
          <w:rFonts w:cs="Times New Roman"/>
          <w:color w:val="auto"/>
        </w:rPr>
        <w:t xml:space="preserve">Although BLM has been shown to interact with a number of proteins from the mismatch repair pathway, it is not thought to be required for MMR itself as BS cell extracts have been shown to be MMR proficient using an MMR </w:t>
      </w:r>
      <w:r w:rsidR="004D495E" w:rsidRPr="00DF0680">
        <w:rPr>
          <w:rFonts w:cs="Times New Roman"/>
          <w:i/>
          <w:color w:val="auto"/>
        </w:rPr>
        <w:t>in vitro</w:t>
      </w:r>
      <w:r w:rsidRPr="00DF0680">
        <w:rPr>
          <w:rFonts w:cs="Times New Roman"/>
          <w:color w:val="auto"/>
        </w:rPr>
        <w:t xml:space="preserve"> assay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"10.1074/jbc.M009664200", "ISSN" : "0021-9258", "PMID" : "11325959", "abstract" : "Bloom's syndrome (BS) is a rare autosomal recessive disorder characterized by pre- and postnatal growth deficiency, immunodeficiency, and a tremendous predisposition to a wide variety of cancers. Cells from BS individuals are characterized by a high incidence of chromosomal gaps and breaks, elevated sister chromatid exchange, quadriradial formations, and locus-specific mutations. BS is the consequence of mutations that lead to loss of function of BLM, a gene encoding a helicase with homology to the RecQ helicase family. To delineate the role of BLM in DNA replication, recombination, and repair we used a yeast two-hybrid screen to identify potential protein partners of the BLM helicase. The C terminus of BLM interacts directly with MLH1 in the yeast-two hybrid assay; far Western analysis and co-immunoprecipitations confirmed the interaction. Cell extracts deficient in BLM were competent for DNA mismatch repair. These data suggest that the BLM helicase and MLH1 function together in replication, recombination, or DNA repair events independent of single base mismatch repair.", "author" : [ { "dropping-particle" : "", "family" : "Langland", "given" : "G", "non-dropping-particle" : "", "parse-names" : false, "suffix" : "" }, { "dropping-particle" : "", "family" : "Kordich", "given" : "J", "non-dropping-particle" : "", "parse-names" : false, "suffix" : "" }, { "dropping-particle" : "", "family" : "Creaney", "given" : "J", "non-dropping-particle" : "", "parse-names" : false, "suffix" : "" }, { "dropping-particle" : "", "family" : "Goss", "given" : "K H", "non-dropping-particle" : "", "parse-names" : false, "suffix" : "" }, { "dropping-particle" : "", "family" : "Lillard-Wetherell", "given" : "K", "non-dropping-particle" : "", "parse-names" : false, "suffix" : "" }, { "dropping-particle" : "", "family" : "Bebenek", "given" : "K", "non-dropping-particle" : "", "parse-names" : false, "suffix" : "" }, { "dropping-particle" : "", "family" : "Kunkel", "given" : "T a", "non-dropping-particle" : "", "parse-names" : false, "suffix" : "" }, { "dropping-particle" : "", "family" : "Groden", "given" : "J", "non-dropping-particle" : "", "parse-names" : false, "suffix" : "" } ], "container-title" : "The Journal of Biological Chemistry", "id" : "ITEM-1", "issue" : "32", "issued" : { "date-parts" : [ [ "2001", "8", "10" ] ] }, "page" : "30031-5", "title" : "The Bloom's syndrome protein (BLM) interacts with MLH1 but is not required for DNA mismatch repair.", "type" : "article-journal", "volume" : "276" }, "uris" : [ "http://www.mendeley.com/documents/?uuid=15b86ca7-930e-4972-9592-9ecd37ec4cb0" ] } ], "mendeley" : { "formattedCitation" : "(Langland et al. 2001)", "plainTextFormattedCitation" : "(Langland et al. 2001)", "previouslyFormattedCitation" : "(Langland et al. 2001)" }, "properties" : { "noteIndex" : 0 }, "schema" : "https://github.com/citation-style-language/schema/raw/master/csl-citation.json" }</w:instrText>
      </w:r>
      <w:r w:rsidR="00F20EC0" w:rsidRPr="00DF0680">
        <w:rPr>
          <w:rFonts w:cs="Times New Roman"/>
          <w:color w:val="auto"/>
        </w:rPr>
        <w:fldChar w:fldCharType="separate"/>
      </w:r>
      <w:r w:rsidRPr="00DF0680">
        <w:rPr>
          <w:rFonts w:cs="Times New Roman"/>
          <w:color w:val="auto"/>
        </w:rPr>
        <w:t>(Langland et al. 2001)</w:t>
      </w:r>
      <w:r w:rsidR="00F20EC0" w:rsidRPr="00DF0680">
        <w:rPr>
          <w:rFonts w:cs="Times New Roman"/>
          <w:color w:val="auto"/>
        </w:rPr>
        <w:fldChar w:fldCharType="end"/>
      </w:r>
      <w:r w:rsidRPr="00DF0680">
        <w:rPr>
          <w:rFonts w:cs="Times New Roman"/>
          <w:color w:val="auto"/>
        </w:rPr>
        <w:t xml:space="preserve">. Instead, hMSH2/6 interacts with both BLM and RAD51 to stimulate the disruption of Holliday junctions </w:t>
      </w:r>
      <w:r w:rsidR="00F20EC0" w:rsidRPr="00DF0680">
        <w:rPr>
          <w:rFonts w:cs="Times New Roman"/>
          <w:color w:val="auto"/>
        </w:rPr>
        <w:fldChar w:fldCharType="begin" w:fldLock="1"/>
      </w:r>
      <w:r w:rsidRPr="00DF0680">
        <w:rPr>
          <w:rFonts w:cs="Times New Roman"/>
          <w:color w:val="auto"/>
        </w:rPr>
        <w:instrText>ADDIN CSL_CITATION { "citationItems" : [ { "id" : "ITEM-1", "itemData" : { "DOI" : "10.1038/sj.onc.1207462", "ISSN" : "0950-9232", "PMID" : "15064730", "abstract" : "The human MSH2/6 complex is essential for mismatch recognition during the repair of replication errors. Although mismatch repair components have been implicated in DNA homologous recombination repair, the exact function of hMSH2/6 in this pathway is unclear. Here, we show that the recombinant hMSH2/6 protein complex stimulated the ability of the Bloom's syndrome gene product, BLM, to process Holliday junctions in vitro, an activity that could also be regulated by p53. Consistent with these observations, hMSH6 colocalized with BLM and phospho-ser15-p53 in hydroxyurea-induced RAD51 nuclear foci that may correspond to the sites of presumed stalled DNA replication forks and more likely the resultant DNA double-stranded breaks. In addition, we show that hMSH2 and hMSH6 coimmunoprecipitated with BLM, p53, and RAD51. Both the number of RAD51 foci and the amount of the BLM-p53-RAD51 complex are increased in hMSH2- or hMSH6-deficient cells. These data suggest that hMSH2/6 formed a complex with BLM-p53-RAD51 in response to the damaged DNA forks during double-stranded break repair.", "author" : [ { "dropping-particle" : "", "family" : "Yang", "given" : "Qin", "non-dropping-particle" : "", "parse-names" : false, "suffix" : "" }, { "dropping-particle" : "", "family" : "Zhang", "given" : "Ran", "non-dropping-particle" : "", "parse-names" : false, "suffix" : "" }, { "dropping-particle" : "", "family" : "Wang", "given" : "Xin W", "non-dropping-particle" : "", "parse-names" : false, "suffix" : "" }, { "dropping-particle" : "", "family" : "Linke", "given" : "Steven P", "non-dropping-particle" : "", "parse-names" : false, "suffix" : "" }, { "dropping-particle" : "", "family" : "Sengupta", "given" : "Sagar", "non-dropping-particle" : "", "parse-names" : false, "suffix" : "" }, { "dropping-particle" : "", "family" : "Hickson", "given" : "Ian D", "non-dropping-particle" : "", "parse-names" : false, "suffix" : "" }, { "dropping-particle" : "", "family" : "Pedrazzi", "given" : "Graziella", "non-dropping-particle" : "", "parse-names" : false, "suffix" : "" }, { "dropping-particle" : "", "family" : "Perrera", "given" : "Claudia", "non-dropping-particle" : "", "parse-names" : false, "suffix" : "" }, { "dropping-particle" : "", "family" : "Stagljar", "given" : "Igor", "non-dropping-particle" : "", "parse-names" : false, "suffix" : "" }, { "dropping-particle" : "", "family" : "Littman", "given" : "Susan J", "non-dropping-particle" : "", "parse-names" : false, "suffix" : "" }, { "dropping-particle" : "", "family" : "Modrich", "given" : "Paul", "non-dropping-particle" : "", "parse-names" : false, "suffix" : "" }, { "dropping-particle" : "", "family" : "Harris", "given" : "Curtis C", "non-dropping-particle" : "", "parse-names" : false, "suffix" : "" } ], "container-title" : "Oncogene", "id" : "ITEM-1", "issue" : "21", "issued" : { "date-parts" : [ [ "2004", "5", "6" ] ] }, "page" : "3749-56", "title" : "The mismatch DNA repair heterodimer, hMSH2/6, regulates BLM helicase.", "type" : "article-journal", "volume" : "23" }, "uris" : [ "http://www.mendeley.com/documents/?uuid=24d7958e-277a-4910-b263-00137c9794e5" ] } ], "mendeley" : { "formattedCitation" : "(Yang et al. 2004)", "plainTextFormattedCitation" : "(Yang et al. 2004)", "previouslyFormattedCitation" : "(Yang et al. 2004)" }, "properties" : { "noteIndex" : 0 }, "schema" : "https://github.com/citation-style-language/schema/raw/master/csl-citation.json" }</w:instrText>
      </w:r>
      <w:r w:rsidR="00F20EC0" w:rsidRPr="00DF0680">
        <w:rPr>
          <w:rFonts w:cs="Times New Roman"/>
          <w:color w:val="auto"/>
        </w:rPr>
        <w:fldChar w:fldCharType="separate"/>
      </w:r>
      <w:r w:rsidRPr="00DF0680">
        <w:rPr>
          <w:rFonts w:cs="Times New Roman"/>
          <w:color w:val="auto"/>
        </w:rPr>
        <w:t>(Yang et al. 2004)</w:t>
      </w:r>
      <w:r w:rsidR="00F20EC0" w:rsidRPr="00DF0680">
        <w:rPr>
          <w:rFonts w:cs="Times New Roman"/>
          <w:color w:val="auto"/>
        </w:rPr>
        <w:fldChar w:fldCharType="end"/>
      </w:r>
      <w:r w:rsidRPr="00DF0680">
        <w:rPr>
          <w:rFonts w:cs="Times New Roman"/>
          <w:color w:val="auto"/>
        </w:rPr>
        <w:t>.</w:t>
      </w:r>
    </w:p>
    <w:p w:rsidR="003E5D56" w:rsidRPr="00DF0680" w:rsidRDefault="0090387B" w:rsidP="003E5D56">
      <w:pPr>
        <w:rPr>
          <w:rFonts w:cs="Times New Roman"/>
          <w:color w:val="auto"/>
        </w:rPr>
      </w:pPr>
      <w:r w:rsidRPr="00DF0680">
        <w:rPr>
          <w:rFonts w:cs="Times New Roman"/>
          <w:color w:val="auto"/>
        </w:rPr>
        <w:t>If chromosomes do not segregate effectively at anaphase, they can form DNA bridges. BLM helicase has been shown to have a role in resolving “ultra-fine</w:t>
      </w:r>
      <w:r w:rsidR="00C26FBA" w:rsidRPr="00DF0680">
        <w:rPr>
          <w:rFonts w:cs="Times New Roman"/>
          <w:color w:val="auto"/>
        </w:rPr>
        <w:t>”</w:t>
      </w:r>
      <w:r w:rsidRPr="00DF0680">
        <w:rPr>
          <w:rFonts w:cs="Times New Roman"/>
          <w:color w:val="auto"/>
        </w:rPr>
        <w:t xml:space="preserve"> DNA bridges (UFBs) which cannot be visualised with normal DNA stains such as DAPI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"10.1016/j.gde.2014.03.003", "ISSN" : "1879-0380", "PMID" : "24795279", "abstract" : "Ultra-fine DNA bridges (UFBs) are a recently identified class of mitotic DNA structures that cannot be visualized using conventional DNA staining methods (e.g. using DAPI). Their existence can currently only be revealed by immuno-fluorescent staining for proteins that bind to them, including PICH and BLM. UFBs become visible in the anaphase of mitosis, and can persist into telophase in rare cases. There are at least three different types of UFBs that can be distinguished according to the chromosomal loci from which they originate. However, it remains largely unknown how these UFBs are generated or resolved in the cell. In this article, we will review our current understanding of different types of UFBs and the potential functional role of the proteins that have been shown to be associated with them.", "author" : [ { "dropping-particle" : "", "family" : "Liu", "given" : "Ying", "non-dropping-particle" : "", "parse-names" : false, "suffix" : "" }, { "dropping-particle" : "", "family" : "Nielsen", "given" : "Christian F", "non-dropping-particle" : "", "parse-names" : false, "suffix" : "" }, { "dropping-particle" : "", "family" : "Yao", "given" : "Qi", "non-dropping-particle" : "", "parse-names" : false, "suffix" : "" }, { "dropping-particle" : "", "family" : "Hickson", "given" : "Ian D", "non-dropping-particle" : "", "parse-names" : false, "suffix" : "" } ], "container-title" : "Current Opinion in Genetics &amp; Development", "id" : "ITEM-1", "issued" : { "date-parts" : [ [ "2014", "4", "30" ] ] }, "page" : "1-5", "publisher" : "Elsevier Ltd", "title" : "The origins and processing of ultra fine anaphase DNA bridges.", "type" : "article-journal", "volume" : "26" }, "uris" : [ "http://www.mendeley.com/documents/?uuid=2f493592-7803-425e-91f7-6a2f9dd7a6d2" ] } ], "mendeley" : { "formattedCitation" : "(Liu et al. 2014)", "plainTextFormattedCitation" : "(Liu et al. 2014)", "previouslyFormattedCitation" : "(Liu et al. 2014)"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(Liu et al. 2014)</w:t>
      </w:r>
      <w:r w:rsidR="00F20EC0" w:rsidRPr="00DF0680">
        <w:rPr>
          <w:rFonts w:cs="Times New Roman"/>
          <w:color w:val="auto"/>
        </w:rPr>
        <w:fldChar w:fldCharType="end"/>
      </w:r>
      <w:r w:rsidRPr="00DF0680">
        <w:rPr>
          <w:rFonts w:cs="Times New Roman"/>
          <w:color w:val="auto"/>
        </w:rPr>
        <w:t xml:space="preserve">. They are more prevalent in cells without BLM, and BLM localises to both normal anaphase bridges and UFBs, where it localises with the protein PICH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"10.1038/sj.emboj.7601777", "ISSN" : "0261-4189", "PMID" : "17599064", "abstract" : "Mutations in BLM cause Bloom's syndrome, a disorder associated with cancer predisposition and chromosomal instability. We investigated whether BLM plays a role in ensuring the faithful chromosome segregation in human cells. We show that BLM-defective cells display a higher frequency of anaphase bridges and lagging chromatin than do isogenic corrected derivatives that eptopically express the BLM protein. In normal cells undergoing mitosis, BLM protein localizes to anaphase bridges, where it colocalizes with its cellular partners, topoisomerase IIIalpha and hRMI1 (BLAP75). Using BLM staining as a marker, we have identified a class of ultrafine DNA bridges in anaphase that are surprisingly prevalent in the anaphase population of normal human cells. These so-called BLM-DNA bridges, which also stain for the PICH protein, frequently link centromeric loci, and are present at an elevated frequency in cells lacking BLM. On the basis of these results, we propose that sister-chromatid disjunction is often incomplete in human cells even after the onset of anaphase. We present a model for the action of BLM in ensuring complete sister chromatid decatenation in anaphase.", "author" : [ { "dropping-particle" : "", "family" : "Chan", "given" : "Kok-Lung", "non-dropping-particle" : "", "parse-names" : false, "suffix" : "" }, { "dropping-particle" : "", "family" : "North", "given" : "Phillip S", "non-dropping-particle" : "", "parse-names" : false, "suffix" : "" }, { "dropping-particle" : "", "family" : "Hickson", "given" : "Ian D", "non-dropping-particle" : "", "parse-names" : false, "suffix" : "" } ], "container-title" : "The EMBO Journal", "id" : "ITEM-1", "issue" : "14", "issued" : { "date-parts" : [ [ "2007", "7", "25" ] ] }, "page" : "3397-409", "title" : "BLM is required for faithful chromosome segregation and its localization defines a class of ultrafine anaphase bridges.", "type" : "article-journal", "volume" : "26" }, "uris" : [ "http://www.mendeley.com/documents/?uuid=cfb7038c-d975-45a1-ab39-84d6208e9a06" ] }, { "id" : "ITEM-2", "itemData" : { "DOI" : "10.1371/journal.pone.0033905", "ISSN" : "1932-6203", "PMID" : "22563370", "abstract" : "Centromeres are specialized chromosome domains that control chromosome segregation during mitosis, but little is known about the mechanisms underlying the maintenance of their integrity. Centromeric ultrafine anaphase bridges are physiological DNA structures thought to contain unresolved DNA catenations between the centromeres separating during anaphase. BLM and PICH helicases colocalize at these ultrafine anaphase bridges and promote their resolution. As PICH is detectable at centromeres from prometaphase onwards, we hypothesized that BLM might also be located at centromeres and that the two proteins might cooperate to resolve DNA catenations before the onset of anaphase. Using immunofluorescence analyses, we demonstrated the recruitment of BLM to centromeres from G2 phase to mitosis. With a combination of fluorescence in situ hybridization, electron microscopy, RNA interference, chromosome spreads and chromatin immunoprecipitation, we showed that both BLM-deficient and PICH-deficient prometaphase cells displayed changes in centromere structure. These cells also had a higher frequency of centromeric non disjunction in the absence of cohesin, suggesting the persistence of catenations. Both proteins were required for the correct recruitment to the centromere of active topoisomerase II\u03b1, an enzyme specialized in the catenation/decatenation process. These observations reveal the existence of a functional relationship between BLM, PICH and topoisomerase II\u03b1 in the centromere decatenation process. They indicate that the higher frequency of centromeric ultrafine anaphase bridges in BLM-deficient cells and in cells treated with topoisomerase II\u03b1 inhibitors is probably due not only to unresolved physiological ultrafine anaphase bridges, but also to newly formed ultrafine anaphase bridges. We suggest that BLM and PICH cooperate in rendering centromeric catenates accessible to topoisomerase II\u03b1, thereby facilitating correct centromere disjunction and preventing the formation of supernumerary centromeric ultrafine anaphase bridges.", "author" : [ { "dropping-particle" : "", "family" : "Rouzeau", "given" : "S\u00e9bastien", "non-dropping-particle" : "", "parse-names" : false, "suffix" : "" }, { "dropping-particle" : "", "family" : "Cordeli\u00e8res", "given" : "Fabrice P", "non-dropping-particle" : "", "parse-names" : false, "suffix" : "" }, { "dropping-particle" : "", "family" : "Buhagiar-Labarch\u00e8de", "given" : "G\u00e9raldine", "non-dropping-particle" : "", "parse-names" : false, "suffix" : "" }, { "dropping-particle" : "", "family" : "Hurbain", "given" : "Ilse", "non-dropping-particle" : "", "parse-names" : false, "suffix" : "" }, { "dropping-particle" : "", "family" : "Onclercq-Delic", "given" : "Rosine", "non-dropping-particle" : "", "parse-names" : false, "suffix" : "" }, { "dropping-particle" : "", "family" : "Gemble", "given" : "Simon", "non-dropping-particle" : "", "parse-names" : false, "suffix" : "" }, { "dropping-particle" : "", "family" : "Magnaghi-Jaulin", "given" : "Laura", "non-dropping-particle" : "", "parse-names" : false, "suffix" : "" }, { "dropping-particle" : "", "family" : "Jaulin", "given" : "Christian", "non-dropping-particle" : "", "parse-names" : false, "suffix" : "" }, { "dropping-particle" : "", "family" : "Amor-Gu\u00e9ret", "given" : "Mounira", "non-dropping-particle" : "", "parse-names" : false, "suffix" : "" } ], "container-title" : "PloS One", "id" : "ITEM-2", "issue" : "4", "issued" : { "date-parts" : [ [ "2012", "1" ] ] }, "page" : "e33905", "title" : "Bloom's syndrome and PICH helicases cooperate with topoisomerase II\u03b1 in centromere disjunction before anaphase.", "type" : "article-journal", "volume" : "7" }, "uris" : [ "http://www.mendeley.com/documents/?uuid=de5884b9-c28f-4d65-a01c-4a8c38e46a85" ] } ], "mendeley" : { "formattedCitation" : "(Chan et al. 2007; Rouzeau et al. 2012)", "plainTextFormattedCitation" : "(Chan et al. 2007; Rouzeau et al. 2012)", "previouslyFormattedCitation" : "(Chan et al. 2007; Rouzeau et al. 2012)"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(Chan et al. 2007; Rouzeau et al. 2012)</w:t>
      </w:r>
      <w:r w:rsidR="00F20EC0" w:rsidRPr="00DF0680">
        <w:rPr>
          <w:rFonts w:cs="Times New Roman"/>
          <w:color w:val="auto"/>
        </w:rPr>
        <w:fldChar w:fldCharType="end"/>
      </w:r>
      <w:r w:rsidRPr="00DF0680">
        <w:rPr>
          <w:rFonts w:cs="Times New Roman"/>
          <w:color w:val="auto"/>
        </w:rPr>
        <w:t xml:space="preserve">. </w:t>
      </w:r>
      <w:r w:rsidR="0063749A" w:rsidRPr="00DF0680">
        <w:rPr>
          <w:rFonts w:cs="Times New Roman"/>
          <w:color w:val="auto"/>
        </w:rPr>
        <w:t xml:space="preserve">These bridges are often linked to common fragile sites bound by FANCD2 and FANCI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"10.1038/ncb1882", "ISSN" : "1476-4679", "PMID" : "19465922", "abstract" : "Several inherited syndromes in humans are associated with cancer predisposition. The gene products defective in two of these disorders, BLM (a helicase defective in Bloom's syndrome) and FANC A-N (defective in Fanconi anaemia), associate in a multienzyme complex called BRAFT. How these proteins suppress tumorigenesis remains unclear, although both conditions are associated with chromosome instability. Here we show that the Fanconi anaemia proteins FANCD2 and FANCI specifically associate with common fragile site loci irrespective of whether the chromosome is broken. Unexpectedly, these loci are frequently interlinked through BLM-associated ultra-fine DNA bridges (UFBs) even as cells traverse mitosis. Similarly to fragile site expression, fragile site bridging is induced after partial inhibition of DNA replication. We propose that, after replication stress, sister chromatids are interlinked by replication intermediates primarily at genetic loci with intrinsic replication difficulties, such as fragile sites. In Bloom's syndrome cells, inefficient resolution of DNA linkages at fragile sites gives rise to increased numbers of anaphase UFBs and micronuclei containing fragile site DNA. Our data have general implications concerning the contribution of fragile site loci to chromosomal instability and tumorigenesis.", "author" : [ { "dropping-particle" : "", "family" : "Chan", "given" : "Kok Lung", "non-dropping-particle" : "", "parse-names" : false, "suffix" : "" }, { "dropping-particle" : "", "family" : "Palmai-Pallag", "given" : "Timea", "non-dropping-particle" : "", "parse-names" : false, "suffix" : "" }, { "dropping-particle" : "", "family" : "Ying", "given" : "Songmin", "non-dropping-particle" : "", "parse-names" : false, "suffix" : "" }, { "dropping-particle" : "", "family" : "Hickson", "given" : "Ian D", "non-dropping-particle" : "", "parse-names" : false, "suffix" : "" } ], "container-title" : "Nature Cell Biology", "id" : "ITEM-1", "issue" : "6", "issued" : { "date-parts" : [ [ "2009", "6" ] ] }, "page" : "753-60", "title" : "Replication stress induces sister-chromatid bridging at fragile site loci in mitosis.", "type" : "article-journal", "volume" : "11" }, "uris" : [ "http://www.mendeley.com/documents/?uuid=5a02af2e-e20a-4075-a192-658eb6d90cfc" ] } ], "mendeley" : { "formattedCitation" : "(Chan et al. 2009)", "plainTextFormattedCitation" : "(Chan et al. 2009)", "previouslyFormattedCitation" : "(Chan et al. 2009)" }, "properties" : { "noteIndex" : 0 }, "schema" : "https://github.com/citation-style-language/schema/raw/master/csl-citation.json" }</w:instrText>
      </w:r>
      <w:r w:rsidR="00F20EC0" w:rsidRPr="00DF0680">
        <w:rPr>
          <w:rFonts w:cs="Times New Roman"/>
          <w:color w:val="auto"/>
        </w:rPr>
        <w:fldChar w:fldCharType="separate"/>
      </w:r>
      <w:r w:rsidR="0063749A" w:rsidRPr="00DF0680">
        <w:rPr>
          <w:rFonts w:cs="Times New Roman"/>
          <w:color w:val="auto"/>
        </w:rPr>
        <w:t>(Chan et al. 2009)</w:t>
      </w:r>
      <w:r w:rsidR="00F20EC0" w:rsidRPr="00DF0680">
        <w:rPr>
          <w:rFonts w:cs="Times New Roman"/>
          <w:color w:val="auto"/>
        </w:rPr>
        <w:fldChar w:fldCharType="end"/>
      </w:r>
      <w:r w:rsidR="0063749A" w:rsidRPr="00DF0680">
        <w:rPr>
          <w:rFonts w:cs="Times New Roman"/>
          <w:color w:val="auto"/>
        </w:rPr>
        <w:t xml:space="preserve">. </w:t>
      </w:r>
      <w:r w:rsidR="00BE6E38" w:rsidRPr="00DF0680">
        <w:rPr>
          <w:rFonts w:cs="Times New Roman"/>
          <w:color w:val="auto"/>
        </w:rPr>
        <w:t xml:space="preserve">BLM has been shown to play a role at telomeres in cells using alternative lengthening of telomeres (ALT). With BRCA1, </w:t>
      </w:r>
      <w:r w:rsidR="00BE6E38" w:rsidRPr="00DF0680">
        <w:rPr>
          <w:rFonts w:cs="Times New Roman"/>
          <w:color w:val="auto"/>
        </w:rPr>
        <w:lastRenderedPageBreak/>
        <w:t>BLM unwinds telomeric fork structures and both are found to co-localise</w:t>
      </w:r>
      <w:r w:rsidR="008749CD" w:rsidRPr="00DF0680">
        <w:rPr>
          <w:rFonts w:cs="Times New Roman"/>
          <w:color w:val="auto"/>
        </w:rPr>
        <w:t xml:space="preserve"> at</w:t>
      </w:r>
      <w:r w:rsidR="00BE6E38" w:rsidRPr="00DF0680">
        <w:rPr>
          <w:rFonts w:cs="Times New Roman"/>
          <w:color w:val="auto"/>
        </w:rPr>
        <w:t xml:space="preserve"> telomeres predominantly in G2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"10.1371/journal.pone.0103819", "ISSN" : "1932-6203", "PMID" : "25084169", "abstract" : "Fifteen percent of tumors utilize recombination-based alternative lengthening of telomeres (ALT) to maintain telomeres. The mechanisms underlying ALT are unclear but involve several proteins involved in homologous recombination including the BLM helicase, mutated in Bloom's syndrome, and the BRCA1 tumor suppressor. Cells deficient in either BLM or BRCA1 have phenotypes consistent with telomere dysfunction. Although BLM associates with numerous DNA damage repair proteins including BRCA1 during DNA repair, the functional consequences of BLM-BRCA1 association in telomere maintenance are not completely understood. Our earlier work showed the involvement of BRCA1 in different mechanisms of ALT, and telomere shortening upon loss of BLM in ALT cells. In order to delineate their roles in telomere maintenance, we studied their association in telomere metabolism in cells using ALT. This work shows that BLM and BRCA1 co-localize with RAD50 at telomeres during S- and G2-phases of the cell cycle in immortalized human cells using ALT but not in cells using telomerase to maintain telomeres. Co-immunoprecipitation of BRCA1 and BLM is enhanced in ALT cells at G2. Furthermore, BRCA1 and BLM interact with RAD50 predominantly in S- and G2-phases, respectively. Biochemical assays demonstrate that full-length BRCA1 increases the unwinding rate of BLM three-fold in assays using a DNA substrate that models a forked structure composed of telomeric repeats. Our results suggest that BRCA1 participates in ALT through its interactions with RAD50 and BLM.", "author" : [ { "dropping-particle" : "", "family" : "Acharya", "given" : "Samir", "non-dropping-particle" : "", "parse-names" : false, "suffix" : "" }, { "dropping-particle" : "", "family" : "Kaul", "given" : "Zeenia", "non-dropping-particle" : "", "parse-names" : false, "suffix" : "" }, { "dropping-particle" : "", "family" : "Gocha", "given" : "April Sandy", "non-dropping-particle" : "", "parse-names" : false, "suffix" : "" }, { "dropping-particle" : "", "family" : "Martinez", "given" : "Alaina R", "non-dropping-particle" : "", "parse-names" : false, "suffix" : "" }, { "dropping-particle" : "", "family" : "Harris", "given" : "Julia", "non-dropping-particle" : "", "parse-names" : false, "suffix" : "" }, { "dropping-particle" : "", "family" : "Parvin", "given" : "Jeffrey D", "non-dropping-particle" : "", "parse-names" : false, "suffix" : "" }, { "dropping-particle" : "", "family" : "Groden", "given" : "Joanna", "non-dropping-particle" : "", "parse-names" : false, "suffix" : "" } ], "container-title" : "PloS One", "id" : "ITEM-1", "issue" : "8", "issued" : { "date-parts" : [ [ "2014", "1" ] ] }, "page" : "e103819", "title" : "Association of BLM and BRCA1 during Telomere Maintenance in ALT Cells.", "type" : "article-journal", "volume" : "9" }, "uris" : [ "http://www.mendeley.com/documents/?uuid=5774e060-c115-4d99-894c-5978c7d1ebe7" ] } ], "mendeley" : { "formattedCitation" : "(Acharya et al. 2014)", "plainTextFormattedCitation" : "(Acharya et al. 2014)", "previouslyFormattedCitation" : "(Acharya et al. 2014)"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(Acharya et al. 2014)</w:t>
      </w:r>
      <w:r w:rsidR="00F20EC0" w:rsidRPr="00DF0680">
        <w:rPr>
          <w:rFonts w:cs="Times New Roman"/>
          <w:color w:val="auto"/>
        </w:rPr>
        <w:fldChar w:fldCharType="end"/>
      </w:r>
      <w:r w:rsidR="00BE6E38" w:rsidRPr="00DF0680">
        <w:rPr>
          <w:rFonts w:cs="Times New Roman"/>
          <w:color w:val="auto"/>
        </w:rPr>
        <w:t>. Some of the UFBs seen are classified as originating fro</w:t>
      </w:r>
      <w:r w:rsidR="00DA6C48" w:rsidRPr="00DF0680">
        <w:rPr>
          <w:rFonts w:cs="Times New Roman"/>
          <w:color w:val="auto"/>
        </w:rPr>
        <w:t>m telomeric DNA and it is possible</w:t>
      </w:r>
      <w:r w:rsidR="008749CD" w:rsidRPr="00DF0680">
        <w:rPr>
          <w:rFonts w:cs="Times New Roman"/>
          <w:color w:val="auto"/>
        </w:rPr>
        <w:t xml:space="preserve"> that</w:t>
      </w:r>
      <w:r w:rsidR="00DA6C48" w:rsidRPr="00DF0680">
        <w:rPr>
          <w:rFonts w:cs="Times New Roman"/>
          <w:color w:val="auto"/>
        </w:rPr>
        <w:t xml:space="preserve"> not being able to resolve these may be the cause of increased telomere defects seen in BS patients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"10.1093/nar/gks407", "ISSN" : "1362-4962", "PMID" : "22576367", "abstract" : "Werner's syndrome (WS) and Bloom's syndrome (BS) are cancer predisposition disorders caused by loss of function of the RecQ helicases WRN or BLM, respectively. BS and WS are characterized by replication defects, hyperrecombination events and chromosomal aberrations, which are hallmarks of cancer. Inefficient replication of the G-rich telomeric strand contributes to chromosome aberrations in WS cells, demonstrating a link between WRN, telomeres and genomic stability. Herein, we provide evidence that BLM also contributes to chromosome-end maintenance. Telomere defects (TDs) are observed in BLM-deficient cells at an elevated frequency, which is similar to cells lacking a functional WRN helicase. Loss of both helicases exacerbates TDs and chromosome aberrations, indicating that BLM and WRN function independently in telomere maintenance. BLM localization, particularly its recruitment to telomeres, changes in response to replication dysfunction, such as in WRN-deficient cells or after aphidicolin treatment. Exposure to replication challenge causes an increase in decatenated deoxyribonucleic acid (DNA) structures and late-replicating intermediates (LRIs), which are visible as BLM-covered ultra-fine bridges (UFBs) in anaphase. A subset of UFBs originates from telomeric DNA and their frequency correlates with telomere replication defects. We propose that the BLM complex contributes to telomere maintenance through its activity in resolving LRIs.", "author" : [ { "dropping-particle" : "", "family" : "Barefield", "given" : "Colleen", "non-dropping-particle" : "", "parse-names" : false, "suffix" : "" }, { "dropping-particle" : "", "family" : "Karlseder", "given" : "Jan", "non-dropping-particle" : "", "parse-names" : false, "suffix" : "" } ], "container-title" : "Nucleic Acids Research", "id" : "ITEM-1", "issue" : "15", "issued" : { "date-parts" : [ [ "2012", "8" ] ] }, "page" : "7358-67", "title" : "The BLM helicase contributes to telomere maintenance through processing of late-replicating intermediate structures.", "type" : "article-journal", "volume" : "40" }, "uris" : [ "http://www.mendeley.com/documents/?uuid=941a13bd-63be-47e6-942e-0f6b1e2d5374" ] } ], "mendeley" : { "formattedCitation" : "(Barefield &amp; Karlseder 2012)", "plainTextFormattedCitation" : "(Barefield &amp; Karlseder 2012)", "previouslyFormattedCitation" : "(Barefield &amp; Karlseder 2012)"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(Barefield &amp; Karlseder 2012)</w:t>
      </w:r>
      <w:r w:rsidR="00F20EC0" w:rsidRPr="00DF0680">
        <w:rPr>
          <w:rFonts w:cs="Times New Roman"/>
          <w:color w:val="auto"/>
        </w:rPr>
        <w:fldChar w:fldCharType="end"/>
      </w:r>
      <w:r w:rsidR="00DA6C48" w:rsidRPr="00DF0680">
        <w:rPr>
          <w:rFonts w:cs="Times New Roman"/>
          <w:color w:val="auto"/>
        </w:rPr>
        <w:t xml:space="preserve">. </w:t>
      </w:r>
    </w:p>
    <w:p w:rsidR="009457E3" w:rsidRPr="00DF0680" w:rsidRDefault="009457E3" w:rsidP="009457E3">
      <w:pPr>
        <w:rPr>
          <w:rFonts w:cs="Times New Roman"/>
          <w:color w:val="auto"/>
        </w:rPr>
      </w:pPr>
      <w:r w:rsidRPr="00DF0680">
        <w:rPr>
          <w:rFonts w:cs="Times New Roman"/>
          <w:color w:val="auto"/>
        </w:rPr>
        <w:t xml:space="preserve">As well as BLM’s homologous recombination function acting in DNA damage repair and telomere maintenance, it also may function in meiosis. It is expressed at meiotic prophase and localised at sites of synapsis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"author" : [ { "dropping-particle" : "", "family" : "Moens", "given" : "PB", "non-dropping-particle" : "", "parse-names" : false, "suffix" : "" }, { "dropping-particle" : "", "family" : "Freire", "given" : "Raimundo", "non-dropping-particle" : "", "parse-names" : false, "suffix" : "" } ], "container-title" : "Journal of Cell Science", "id" : "ITEM-1", "issue" : "Pt 4", "issued" : { "date-parts" : [ [ "2000" ] ] }, "page" : "663-672", "title" : "Expression and nuclear localization of BLM, a chromosome stability protein mutated in Bloom's syndrome, suggest a role in recombination during meiotic prophase", "type" : "article-journal", "volume" : "113" }, "uris" : [ "http://www.mendeley.com/documents/?uuid=5ea0098e-ddcd-4104-9123-eee1aaa51535" ] } ], "mendeley" : { "formattedCitation" : "(Moens &amp; Freire 2000)", "plainTextFormattedCitation" : "(Moens &amp; Freire 2000)", "previouslyFormattedCitation" : "(Moens &amp; Freire 2000)" }, "properties" : { "noteIndex" : 0 }, "schema" : "https://github.com/citation-style-language/schema/raw/master/csl-citation.json" }</w:instrText>
      </w:r>
      <w:r w:rsidR="00F20EC0" w:rsidRPr="00DF0680">
        <w:rPr>
          <w:rFonts w:cs="Times New Roman"/>
          <w:color w:val="auto"/>
        </w:rPr>
        <w:fldChar w:fldCharType="separate"/>
      </w:r>
      <w:r w:rsidRPr="00DF0680">
        <w:rPr>
          <w:rFonts w:cs="Times New Roman"/>
          <w:color w:val="auto"/>
        </w:rPr>
        <w:t>(Moens &amp; Freire 2000)</w:t>
      </w:r>
      <w:r w:rsidR="00F20EC0" w:rsidRPr="00DF0680">
        <w:rPr>
          <w:rFonts w:cs="Times New Roman"/>
          <w:color w:val="auto"/>
        </w:rPr>
        <w:fldChar w:fldCharType="end"/>
      </w:r>
      <w:r w:rsidRPr="00DF0680">
        <w:rPr>
          <w:rFonts w:cs="Times New Roman"/>
          <w:color w:val="auto"/>
        </w:rPr>
        <w:t xml:space="preserve">. Observations include the finding that in conditional knockout mice, cells show impairment in progression of meiosis, defects in pairing and synapsis, and an increase of chiasmata or chiasmata-like structures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"10.1083/jcb.200909048", "ISSN" : "1540-8140", "PMID" : "20308424", "abstract" : "Bloom's syndrome (BS) is an autosomal recessive disorder characterized by growth retardation, cancer predisposition, and sterility. BS mutated (Blm), the gene mutated in BS patients, is one of five mammalian RecQ helicases. Although BLM has been shown to promote genome stability by assisting in the repair of DNA structures that arise during homologous recombination in somatic cells, less is known about its role in meiotic recombination primarily because of the embryonic lethality associated with Blm deletion. However, the localization of BLM protein on meiotic chromosomes together with evidence from yeast and other organisms implicates a role for BLM helicase in meiotic recombination events, prompting us to explore the meiotic phenotype of mice bearing a conditional mutant allele of Blm. In this study, we show that BLM deficiency does not affect entry into prophase I but causes severe defects in meiotic progression. This is exemplified by improper pairing and synapsis of homologous chromosomes and altered processing of recombination intermediates, resulting in increased chiasmata. Our data provide the first analysis of BLM function in mammalian meiosis and strongly argue that BLM is involved in proper pairing, synapsis, and segregation of homologous chromosomes; however, it is dispensable for the accumulation of recombination intermediates.", "author" : [ { "dropping-particle" : "", "family" : "Holloway", "given" : "J Kim", "non-dropping-particle" : "", "parse-names" : false, "suffix" : "" }, { "dropping-particle" : "", "family" : "Morelli", "given" : "Meisha a", "non-dropping-particle" : "", "parse-names" : false, "suffix" : "" }, { "dropping-particle" : "", "family" : "Borst", "given" : "Peter L", "non-dropping-particle" : "", "parse-names" : false, "suffix" : "" }, { "dropping-particle" : "", "family" : "Cohen", "given" : "Paula E", "non-dropping-particle" : "", "parse-names" : false, "suffix" : "" } ], "container-title" : "The Journal of Cell Biology", "id" : "ITEM-1", "issue" : "6", "issued" : { "date-parts" : [ [ "2010", "3", "22" ] ] }, "page" : "779-89", "title" : "Mammalian BLM helicase is critical for integrating multiple pathways of meiotic recombination.", "type" : "article-journal", "volume" : "188" }, "uris" : [ "http://www.mendeley.com/documents/?uuid=0687383a-fd76-46d2-a73a-fd478a026cbf" ] } ], "mendeley" : { "formattedCitation" : "(Holloway et al. 2010)", "plainTextFormattedCitation" : "(Holloway et al. 2010)", "previouslyFormattedCitation" : "(Holloway et al. 2010)" }, "properties" : { "noteIndex" : 0 }, "schema" : "https://github.com/citation-style-language/schema/raw/master/csl-citation.json" }</w:instrText>
      </w:r>
      <w:r w:rsidR="00F20EC0" w:rsidRPr="00DF0680">
        <w:rPr>
          <w:rFonts w:cs="Times New Roman"/>
          <w:color w:val="auto"/>
        </w:rPr>
        <w:fldChar w:fldCharType="separate"/>
      </w:r>
      <w:r w:rsidRPr="00DF0680">
        <w:rPr>
          <w:rFonts w:cs="Times New Roman"/>
          <w:color w:val="auto"/>
        </w:rPr>
        <w:t>(Holloway et al. 2010)</w:t>
      </w:r>
      <w:r w:rsidR="00F20EC0" w:rsidRPr="00DF0680">
        <w:rPr>
          <w:rFonts w:cs="Times New Roman"/>
          <w:color w:val="auto"/>
        </w:rPr>
        <w:fldChar w:fldCharType="end"/>
      </w:r>
      <w:r w:rsidRPr="00DF0680">
        <w:rPr>
          <w:rFonts w:cs="Times New Roman"/>
          <w:color w:val="auto"/>
        </w:rPr>
        <w:t xml:space="preserve">. </w:t>
      </w:r>
    </w:p>
    <w:p w:rsidR="00956885" w:rsidRPr="00DF0680" w:rsidRDefault="00B12B92" w:rsidP="00A025CF">
      <w:pPr>
        <w:rPr>
          <w:rFonts w:cs="Times New Roman"/>
          <w:color w:val="auto"/>
        </w:rPr>
      </w:pPr>
      <w:r w:rsidRPr="00DF0680">
        <w:rPr>
          <w:rFonts w:cs="Times New Roman"/>
          <w:color w:val="auto"/>
        </w:rPr>
        <w:t>BLM</w:t>
      </w:r>
      <w:r w:rsidR="0063749A" w:rsidRPr="00DF0680">
        <w:rPr>
          <w:rFonts w:cs="Times New Roman"/>
          <w:color w:val="auto"/>
        </w:rPr>
        <w:t xml:space="preserve"> can be post-translationally modified to bring about changes in its subcellular localisation, function and stabilisation. BLM</w:t>
      </w:r>
      <w:r w:rsidRPr="00DF0680">
        <w:rPr>
          <w:rFonts w:cs="Times New Roman"/>
          <w:color w:val="auto"/>
        </w:rPr>
        <w:t xml:space="preserve"> interacts with and is pho</w:t>
      </w:r>
      <w:r w:rsidR="008749CD" w:rsidRPr="00DF0680">
        <w:rPr>
          <w:rFonts w:cs="Times New Roman"/>
          <w:color w:val="auto"/>
        </w:rPr>
        <w:t>sphorylated by ATM upon exposure</w:t>
      </w:r>
      <w:r w:rsidRPr="00DF0680">
        <w:rPr>
          <w:rFonts w:cs="Times New Roman"/>
          <w:color w:val="auto"/>
        </w:rPr>
        <w:t xml:space="preserve"> to ionizing radiation</w:t>
      </w:r>
      <w:r w:rsidR="00D85C6D" w:rsidRPr="00DF0680">
        <w:rPr>
          <w:rFonts w:cs="Times New Roman"/>
          <w:color w:val="auto"/>
        </w:rPr>
        <w:t xml:space="preserve">, causing BLM protein </w:t>
      </w:r>
      <w:r w:rsidR="0063749A" w:rsidRPr="00DF0680">
        <w:rPr>
          <w:rFonts w:cs="Times New Roman"/>
          <w:color w:val="auto"/>
        </w:rPr>
        <w:t xml:space="preserve">stabilisation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"10.1074/jbc.M203801200", "ISSN" : "0021-9258", "PMID" : "12034743", "abstract" : "Chromosome aberrations, genomic instability, and cancer predisposition are hallmarks of a number of syndromes in which the defective genes recognize and/or repair DNA damage or are involved in some aspect of DNA processing. We report here direct interaction between BLM, mutated in Bloom's Syndrome (BS), and ATM, mutated is ataxia-telangiectasia, and we have mapped the sites of interaction. Full-length BLM cDNA corrected sister chromatid exchange (SCE) and radiosensitivity in BS cells. Mitotic phosphorylation of BLM was partially dependent on ATM, and phosphorylation sites on BLM were identified. A phosphospecific antibody against one of these sites (Thr-99) revealed radiation-induced phosphorylation, which was defective in ataxia-telangiectasia cells. Stable cell lines expressing phosphorylation site mutants failed to correct radiosensitivity in BS cells but corrected SCE. These mutants also sensitized normal control cells to radiation and increased radiation-induced chromosome aberrations but did not cause SCE numbers to increase. These data suggest that ATM and BLM function together in recognizing abnormal DNA structures by direct interaction and that these phosphorylation sites in BLM are important for radiosensitivity status but not for SCE frequency.", "author" : [ { "dropping-particle" : "", "family" : "Beamish", "given" : "Heather", "non-dropping-particle" : "", "parse-names" : false, "suffix" : "" }, { "dropping-particle" : "", "family" : "Kedar", "given" : "Padmini", "non-dropping-particle" : "", "parse-names" : false, "suffix" : "" }, { "dropping-particle" : "", "family" : "Kaneko", "given" : "Hideo", "non-dropping-particle" : "", "parse-names" : false, "suffix" : "" }, { "dropping-particle" : "", "family" : "Chen", "given" : "Philip", "non-dropping-particle" : "", "parse-names" : false, "suffix" : "" }, { "dropping-particle" : "", "family" : "Fukao", "given" : "Toshiyuki", "non-dropping-particle" : "", "parse-names" : false, "suffix" : "" }, { "dropping-particle" : "", "family" : "Peng", "given" : "Cheng", "non-dropping-particle" : "", "parse-names" : false, "suffix" : "" }, { "dropping-particle" : "", "family" : "Beresten", "given" : "Sergei", "non-dropping-particle" : "", "parse-names" : false, "suffix" : "" }, { "dropping-particle" : "", "family" : "Gueven", "given" : "Nuri", "non-dropping-particle" : "", "parse-names" : false, "suffix" : "" }, { "dropping-particle" : "", "family" : "Purdie", "given" : "David", "non-dropping-particle" : "", "parse-names" : false, "suffix" : "" }, { "dropping-particle" : "", "family" : "Lees-Miller", "given" : "Susan", "non-dropping-particle" : "", "parse-names" : false, "suffix" : "" }, { "dropping-particle" : "", "family" : "Ellis", "given" : "Nathan", "non-dropping-particle" : "", "parse-names" : false, "suffix" : "" }, { "dropping-particle" : "", "family" : "Kondo", "given" : "Naomi", "non-dropping-particle" : "", "parse-names" : false, "suffix" : "" }, { "dropping-particle" : "", "family" : "Lavin", "given" : "Martin F", "non-dropping-particle" : "", "parse-names" : false, "suffix" : "" } ], "container-title" : "The Journal of Biological Chemistry", "id" : "ITEM-1", "issue" : "34", "issued" : { "date-parts" : [ [ "2002", "8", "23" ] ] }, "page" : "30515-23", "title" : "Functional link between BLM defective in Bloom's syndrome and the ataxia-telangiectasia-mutated protein, ATM.", "type" : "article-journal", "volume" : "277" }, "uris" : [ "http://www.mendeley.com/documents/?uuid=f8330e3c-9f50-4cf3-beac-8a047438ecbd" ] }, { "id" : "ITEM-2", "itemData" : { "author" : [ { "dropping-particle" : "", "family" : "Ababou", "given" : "Mouna", "non-dropping-particle" : "", "parse-names" : false, "suffix" : "" }, { "dropping-particle" : "", "family" : "Dutertre", "given" : "S", "non-dropping-particle" : "", "parse-names" : false, "suffix" : "" }, { "dropping-particle" : "", "family" : "L\u00e9cluse", "given" : "Y", "non-dropping-particle" : "", "parse-names" : false, "suffix" : "" } ], "container-title" : "Oncogene", "id" : "ITEM-2", "issue" : "52", "issued" : { "date-parts" : [ [ "2000" ] ] }, "page" : "5955-5963", "title" : "ATM-dependent phosphorylation and accumulation of endogenous BLM protein in response to ionizing radiation.", "type" : "article-journal", "volume" : "19" }, "uris" : [ "http://www.mendeley.com/documents/?uuid=5635b300-5ab6-46a1-b6db-198e26ef2308" ] } ], "mendeley" : { "formattedCitation" : "(Beamish et al. 2002; Ababou et al. 2000)", "plainTextFormattedCitation" : "(Beamish et al. 2002; Ababou et al. 2000)", "previouslyFormattedCitation" : "(Beamish et al. 2002; Ababou et al. 2000)"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(Beamish et al. 2002; Ababou et al. 2000)</w:t>
      </w:r>
      <w:r w:rsidR="00F20EC0" w:rsidRPr="00DF0680">
        <w:rPr>
          <w:rFonts w:cs="Times New Roman"/>
          <w:color w:val="auto"/>
        </w:rPr>
        <w:fldChar w:fldCharType="end"/>
      </w:r>
      <w:r w:rsidR="00D85C6D" w:rsidRPr="00DF0680">
        <w:rPr>
          <w:rFonts w:cs="Times New Roman"/>
          <w:color w:val="auto"/>
        </w:rPr>
        <w:t xml:space="preserve">. BLM also interacts with and is phosphorylated by ATR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"10.1128/MCB.24.3.1279", "author" : [ { "dropping-particle" : "", "family" : "Davies", "given" : "SL", "non-dropping-particle" : "", "parse-names" : false, "suffix" : "" }, { "dropping-particle" : "", "family" : "North", "given" : "PS", "non-dropping-particle" : "", "parse-names" : false, "suffix" : "" }, { "dropping-particle" : "", "family" : "Dart", "given" : "Alwyn", "non-dropping-particle" : "", "parse-names" : false, "suffix" : "" } ], "container-title" : "Molecular and Cellular Biology", "id" : "ITEM-1", "issue" : "3", "issued" : { "date-parts" : [ [ "2004" ] ] }, "page" : "1279-91", "title" : "Phosphorylation of the Bloom's syndrome helicase and its role in recovery from S-phase arrest", "type" : "article-journal", "volume" : "24" }, "uris" : [ "http://www.mendeley.com/documents/?uuid=10778b3c-40fb-4858-a18b-8765c1d929fc" ] } ], "mendeley" : { "formattedCitation" : "(Davies et al. 2004)", "plainTextFormattedCitation" : "(Davies et al. 2004)", "previouslyFormattedCitation" : "(Davies et al. 2004)"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(Davies et al. 2004)</w:t>
      </w:r>
      <w:r w:rsidR="00F20EC0" w:rsidRPr="00DF0680">
        <w:rPr>
          <w:rFonts w:cs="Times New Roman"/>
          <w:color w:val="auto"/>
        </w:rPr>
        <w:fldChar w:fldCharType="end"/>
      </w:r>
      <w:r w:rsidR="00D85C6D" w:rsidRPr="00DF0680">
        <w:rPr>
          <w:rFonts w:cs="Times New Roman"/>
          <w:color w:val="auto"/>
        </w:rPr>
        <w:t>. Although phosphorylation defectiv</w:t>
      </w:r>
      <w:r w:rsidR="0063749A" w:rsidRPr="00DF0680">
        <w:rPr>
          <w:rFonts w:cs="Times New Roman"/>
          <w:color w:val="auto"/>
        </w:rPr>
        <w:t>e BLM mutants fail to rescue BS</w:t>
      </w:r>
      <w:r w:rsidR="00D85C6D" w:rsidRPr="00DF0680">
        <w:rPr>
          <w:rFonts w:cs="Times New Roman"/>
          <w:color w:val="auto"/>
        </w:rPr>
        <w:t xml:space="preserve"> cells from HU sensitivity, they do </w:t>
      </w:r>
      <w:r w:rsidR="00D80926" w:rsidRPr="00DF0680">
        <w:rPr>
          <w:rFonts w:cs="Times New Roman"/>
          <w:color w:val="auto"/>
        </w:rPr>
        <w:t xml:space="preserve">still </w:t>
      </w:r>
      <w:r w:rsidR="00D85C6D" w:rsidRPr="00DF0680">
        <w:rPr>
          <w:rFonts w:cs="Times New Roman"/>
          <w:color w:val="auto"/>
        </w:rPr>
        <w:t>suppress SCE</w:t>
      </w:r>
      <w:r w:rsidR="00D80926" w:rsidRPr="00DF0680">
        <w:rPr>
          <w:rFonts w:cs="Times New Roman"/>
          <w:color w:val="auto"/>
        </w:rPr>
        <w:t>s</w:t>
      </w:r>
      <w:r w:rsidR="00D85C6D" w:rsidRPr="00DF0680">
        <w:rPr>
          <w:rFonts w:cs="Times New Roman"/>
          <w:color w:val="auto"/>
        </w:rPr>
        <w:t xml:space="preserve"> and localise with other repair factors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"10.1128/MCB.24.3.1279", "author" : [ { "dropping-particle" : "", "family" : "Davies", "given" : "SL", "non-dropping-particle" : "", "parse-names" : false, "suffix" : "" }, { "dropping-particle" : "", "family" : "North", "given" : "PS", "non-dropping-particle" : "", "parse-names" : false, "suffix" : "" }, { "dropping-particle" : "", "family" : "Dart", "given" : "Alwyn", "non-dropping-particle" : "", "parse-names" : false, "suffix" : "" } ], "container-title" : "Molecular and Cellular Biology", "id" : "ITEM-1", "issue" : "3", "issued" : { "date-parts" : [ [ "2004" ] ] }, "page" : "1279-91", "title" : "Phosphorylation of the Bloom's syndrome helicase and its role in recovery from S-phase arrest", "type" : "article-journal", "volume" : "24" }, "uris" : [ "http://www.mendeley.com/documents/?uuid=10778b3c-40fb-4858-a18b-8765c1d929fc" ] } ], "mendeley" : { "formattedCitation" : "(Davies et al. 2004)", "plainTextFormattedCitation" : "(Davies et al. 2004)", "previouslyFormattedCitation" : "(Davies et al. 2004)"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(Davies et al. 2004)</w:t>
      </w:r>
      <w:r w:rsidR="00F20EC0" w:rsidRPr="00DF0680">
        <w:rPr>
          <w:rFonts w:cs="Times New Roman"/>
          <w:color w:val="auto"/>
        </w:rPr>
        <w:fldChar w:fldCharType="end"/>
      </w:r>
      <w:r w:rsidR="00D85C6D" w:rsidRPr="00DF0680">
        <w:rPr>
          <w:rFonts w:cs="Times New Roman"/>
          <w:color w:val="auto"/>
        </w:rPr>
        <w:t>.</w:t>
      </w:r>
      <w:r w:rsidR="00D80926" w:rsidRPr="00DF0680">
        <w:rPr>
          <w:rFonts w:cs="Times New Roman"/>
          <w:color w:val="auto"/>
        </w:rPr>
        <w:t xml:space="preserve"> Phosphorylation of BLM by ATM has been shown to cause BLM to dissociate from TopoIIIα and co</w:t>
      </w:r>
      <w:r w:rsidR="0063749A" w:rsidRPr="00DF0680">
        <w:rPr>
          <w:rFonts w:cs="Times New Roman"/>
          <w:color w:val="auto"/>
        </w:rPr>
        <w:t>-</w:t>
      </w:r>
      <w:r w:rsidR="00D80926" w:rsidRPr="00DF0680">
        <w:rPr>
          <w:rFonts w:cs="Times New Roman"/>
          <w:color w:val="auto"/>
        </w:rPr>
        <w:t xml:space="preserve">localise with γH2AX after camptothecin treatment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"10.1128/MCB.25.20.8925", "author" : [ { "dropping-particle" : "", "family" : "Rao", "given" : "VA", "non-dropping-particle" : "", "parse-names" : false, "suffix" : "" }, { "dropping-particle" : "", "family" : "Fan", "given" : "AM", "non-dropping-particle" : "", "parse-names" : false, "suffix" : "" }, { "dropping-particle" : "", "family" : "Meng", "given" : "LH", "non-dropping-particle" : "", "parse-names" : false, "suffix" : "" } ], "container-title" : "Molecular and Cellular Biology", "id" : "ITEM-1", "issue" : "20", "issued" : { "date-parts" : [ [ "2005" ] ] }, "page" : "8925-37", "title" : "Phosphorylation of BLM, dissociation from topoisomerase III\u03b1, and colocalization with \u03b3-H2AX after topoisomerase I-induced replication damage", "type" : "article-journal", "volume" : "25" }, "uris" : [ "http://www.mendeley.com/documents/?uuid=dcbc1a8a-f718-4ad6-b802-39ca7375d5e7" ] } ], "mendeley" : { "formattedCitation" : "(Rao et al. 2005)", "plainTextFormattedCitation" : "(Rao et al. 2005)", "previouslyFormattedCitation" : "(Rao et al. 2005)"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(Rao et al. 2005)</w:t>
      </w:r>
      <w:r w:rsidR="00F20EC0" w:rsidRPr="00DF0680">
        <w:rPr>
          <w:rFonts w:cs="Times New Roman"/>
          <w:color w:val="auto"/>
        </w:rPr>
        <w:fldChar w:fldCharType="end"/>
      </w:r>
      <w:r w:rsidR="00D80926" w:rsidRPr="00DF0680">
        <w:rPr>
          <w:rFonts w:cs="Times New Roman"/>
          <w:color w:val="auto"/>
        </w:rPr>
        <w:t xml:space="preserve">. </w:t>
      </w:r>
      <w:r w:rsidR="0063749A" w:rsidRPr="00DF0680">
        <w:rPr>
          <w:rFonts w:cs="Times New Roman"/>
          <w:color w:val="auto"/>
        </w:rPr>
        <w:t>Phosp</w:t>
      </w:r>
      <w:r w:rsidR="00EE1BDC" w:rsidRPr="00DF0680">
        <w:rPr>
          <w:rFonts w:cs="Times New Roman"/>
          <w:color w:val="auto"/>
        </w:rPr>
        <w:t>h</w:t>
      </w:r>
      <w:r w:rsidR="0063749A" w:rsidRPr="00DF0680">
        <w:rPr>
          <w:rFonts w:cs="Times New Roman"/>
          <w:color w:val="auto"/>
        </w:rPr>
        <w:t>o</w:t>
      </w:r>
      <w:r w:rsidR="00EE1BDC" w:rsidRPr="00DF0680">
        <w:rPr>
          <w:rFonts w:cs="Times New Roman"/>
          <w:color w:val="auto"/>
        </w:rPr>
        <w:t xml:space="preserve">rylation is required for the interaction of BLM and TopBP1, and TopBP1 competes against the E3 ligase MIB1 for binding to BLM, protecting it from degradation by the proteasome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"10.1016/j.molcel.2013.10.012", "ISSN" : "1097-4164", "PMID" : "24239288", "abstract" : "Human TopBP1 is a key mediator protein involved in DNA replication checkpoint control. In this study, we report a specific interaction between TopBP1 and Bloom syndrome helicase (BLM) that is phosphorylation and cell-cycle dependent. Interestingly, TopBP1 depletion led to decreased BLM protein level and increased sister chromatid exchange (SCE). Moreover, our data indicated that BLM was ubiquitinated by E3 ligase MIB1 and degraded in G1 cells but was stabilized by TopBP1 in S phase cells. Depletion of MIB1 restored BLM protein level and rescued the elevated SCE phenotype in TopBP1-depleted cells. In addition, cells expressing an undegradable BLM mutant showed radiation sensitivity, probably by triggering end resection and inhibiting the nonhomologous end-joining (NHEJ) pathway in G1 phase. Altogether, these data suggest that, although BLM is downregulated in G1 phase in order to promote NHEJ-mediated DNA repair, it is stabilized by TopBP1 in S phase cells in order to suppress SCE and thereby prevent genomic instability.", "author" : [ { "dropping-particle" : "", "family" : "Wang", "given" : "Jiadong", "non-dropping-particle" : "", "parse-names" : false, "suffix" : "" }, { "dropping-particle" : "", "family" : "Chen", "given" : "Junjie", "non-dropping-particle" : "", "parse-names" : false, "suffix" : "" }, { "dropping-particle" : "", "family" : "Gong", "given" : "Zihua", "non-dropping-particle" : "", "parse-names" : false, "suffix" : "" } ], "container-title" : "Molecular Cell", "id" : "ITEM-1", "issue" : "5", "issued" : { "date-parts" : [ [ "2013", "12", "12" ] ] }, "page" : "667-78", "publisher" : "Elsevier Inc.", "title" : "TopBP1 controls BLM protein level to maintain genome stability.", "type" : "article-journal", "volume" : "52" }, "uris" : [ "http://www.mendeley.com/documents/?uuid=efb5ffb4-8e22-4eed-88cc-0062f3d42146" ] } ], "mendeley" : { "formattedCitation" : "(Wang et al. 2013)", "plainTextFormattedCitation" : "(Wang et al. 2013)", "previouslyFormattedCitation" : "(Wang et al. 2013)"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(Wang et al. 2013)</w:t>
      </w:r>
      <w:r w:rsidR="00F20EC0" w:rsidRPr="00DF0680">
        <w:rPr>
          <w:rFonts w:cs="Times New Roman"/>
          <w:color w:val="auto"/>
        </w:rPr>
        <w:fldChar w:fldCharType="end"/>
      </w:r>
      <w:r w:rsidR="00EE1BDC" w:rsidRPr="00DF0680">
        <w:rPr>
          <w:rFonts w:cs="Times New Roman"/>
          <w:color w:val="auto"/>
        </w:rPr>
        <w:t>.</w:t>
      </w:r>
      <w:r w:rsidR="007044FD" w:rsidRPr="00DF0680">
        <w:rPr>
          <w:rFonts w:cs="Times New Roman"/>
          <w:color w:val="auto"/>
        </w:rPr>
        <w:t xml:space="preserve"> Ubiquitylation by RNF8/RNF168 in th</w:t>
      </w:r>
      <w:r w:rsidR="00C26FBA" w:rsidRPr="00DF0680">
        <w:rPr>
          <w:rFonts w:cs="Times New Roman"/>
          <w:color w:val="auto"/>
        </w:rPr>
        <w:t>e N-terminus of BLM can recruit</w:t>
      </w:r>
      <w:r w:rsidR="007044FD" w:rsidRPr="00DF0680">
        <w:rPr>
          <w:rFonts w:cs="Times New Roman"/>
          <w:color w:val="auto"/>
        </w:rPr>
        <w:t xml:space="preserve"> it to sites of replication stress and is required to suppress HR at stalled replication forks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"10.1038/emboj.2013.117", "ISSN" : "1460-2075", "PMID" : "23708797", "abstract" : "Limiting the levels of homologous recombination (HR) that occur at sites of DNA damage is a major role of BLM helicase. However, very little is known about the mechanisms dictating its relocalization to these sites. Here, we demonstrate that the ubiquitin/SUMO-dependent DNA damage response (UbS-DDR), controlled by the E3 ligases RNF8/RNF168, triggers BLM recruitment to sites of replication fork stalling via ubiquitylation in the N-terminal region of BLM and subsequent BLM binding to the ubiquitin-interacting motifs of RAP80. Furthermore, we show that this mechanism of BLM relocalization is essential for BLM's ability to suppress excessive/uncontrolled HR at stalled replication forks. Unexpectedly, we also uncovered a requirement for RNF8-dependent ubiquitylation of BLM and PML for maintaining the integrity of PML-associated nuclear bodies and as a consequence the localization of BLM to these structures. Lastly, we identified a novel role for RAP80 in preventing proteasomal degradation of BLM in unstressed cells. Taken together, these data highlight an important biochemical link between the UbS-DDR and BLM-dependent pathways involved in maintaining genome stability.", "author" : [ { "dropping-particle" : "", "family" : "Tikoo", "given" : "Shweta", "non-dropping-particle" : "", "parse-names" : false, "suffix" : "" }, { "dropping-particle" : "", "family" : "Madhavan", "given" : "Vinoth", "non-dropping-particle" : "", "parse-names" : false, "suffix" : "" }, { "dropping-particle" : "", "family" : "Hussain", "given" : "Mansoor", "non-dropping-particle" : "", "parse-names" : false, "suffix" : "" }, { "dropping-particle" : "", "family" : "Miller", "given" : "Edward S", "non-dropping-particle" : "", "parse-names" : false, "suffix" : "" }, { "dropping-particle" : "", "family" : "Arora", "given" : "Prateek", "non-dropping-particle" : "", "parse-names" : false, "suffix" : "" }, { "dropping-particle" : "", "family" : "Zlatanou", "given" : "Anastasia", "non-dropping-particle" : "", "parse-names" : false, "suffix" : "" }, { "dropping-particle" : "", "family" : "Modi", "given" : "Priyanka", "non-dropping-particle" : "", "parse-names" : false, "suffix" : "" }, { "dropping-particle" : "", "family" : "Townsend", "given" : "Kelly", "non-dropping-particle" : "", "parse-names" : false, "suffix" : "" }, { "dropping-particle" : "", "family" : "Stewart", "given" : "Grant S", "non-dropping-particle" : "", "parse-names" : false, "suffix" : "" }, { "dropping-particle" : "", "family" : "Sengupta", "given" : "Sagar", "non-dropping-particle" : "", "parse-names" : false, "suffix" : "" } ], "container-title" : "The EMBO Journal", "id" : "ITEM-1", "issue" : "12", "issued" : { "date-parts" : [ [ "2013", "6", "12" ] ] }, "page" : "1778-92", "publisher" : "Nature Publishing Group", "title" : "Ubiquitin-dependent recruitment of the Bloom syndrome helicase upon replication stress is required to suppress homologous recombination.", "type" : "article-journal", "volume" : "32" }, "uris" : [ "http://www.mendeley.com/documents/?uuid=e7825c40-0c04-4940-ad4c-5144bbc5223b" ] } ], "mendeley" : { "formattedCitation" : "(Tikoo et al. 2013)", "plainTextFormattedCitation" : "(Tikoo et al. 2013)", "previouslyFormattedCitation" : "(Tikoo et al. 2013)"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(Tikoo et al. 2013)</w:t>
      </w:r>
      <w:r w:rsidR="00F20EC0" w:rsidRPr="00DF0680">
        <w:rPr>
          <w:rFonts w:cs="Times New Roman"/>
          <w:color w:val="auto"/>
        </w:rPr>
        <w:fldChar w:fldCharType="end"/>
      </w:r>
      <w:r w:rsidR="007044FD" w:rsidRPr="00DF0680">
        <w:rPr>
          <w:rFonts w:cs="Times New Roman"/>
          <w:color w:val="auto"/>
        </w:rPr>
        <w:t xml:space="preserve">. </w:t>
      </w:r>
      <w:r w:rsidR="0063749A" w:rsidRPr="00DF0680">
        <w:rPr>
          <w:rFonts w:cs="Times New Roman"/>
          <w:color w:val="auto"/>
        </w:rPr>
        <w:t>Finally, t</w:t>
      </w:r>
      <w:r w:rsidR="007044FD" w:rsidRPr="00DF0680">
        <w:rPr>
          <w:rFonts w:cs="Times New Roman"/>
          <w:color w:val="auto"/>
        </w:rPr>
        <w:t>he SUMOylation of BLM has been suggested to play a role in the recruitment and binding of RAD51</w:t>
      </w:r>
      <w:r w:rsidR="006F0B11" w:rsidRPr="00DF0680">
        <w:rPr>
          <w:rFonts w:cs="Times New Roman"/>
          <w:color w:val="auto"/>
        </w:rPr>
        <w:t xml:space="preserv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"10.1371/journal.pbio.1000252", "ISSN" : "1545-7885", "PMID" : "19956565", "abstract" : "The gene mutated in Bloom's syndrome, BLM, is important in the repair of damaged replication forks, and it has both pro- and anti-recombinogenic roles in homologous recombination (HR). At damaged forks, BLM interacts with RAD51 recombinase, the essential enzyme in HR that catalyzes homology-dependent strand invasion. We have previously shown that defects in BLM modification by the small ubiquitin-related modifier (SUMO) cause increased gamma-H2AX foci. Because the increased gamma-H2AX could result from defective repair of spontaneous DNA damage, we hypothesized that SUMO modification regulates BLM's function in HR repair at damaged forks. To test this hypothesis, we treated cells that stably expressed a normal BLM (BLM+) or a SUMO-mutant BLM (SM-BLM) with hydroxyurea (HU) and examined the effects of stalled replication forks on RAD51 and its DNA repair functions. HU treatment generated excess gamma-H2AX in SM-BLM compared to BLM+ cells, consistent with a defect in replication-fork repair. SM-BLM cells accumulated increased numbers of DNA breaks and were hypersensitive to DNA damage. Importantly, HU treatment failed to induce sister-chromatid exchanges in SM-BLM cells compared to BLM+ cells, indicating a specific defect in HR repair and suggesting that RAD51 function could be compromised. Consistent with this hypothesis, RAD51 localization to HU-induced repair foci was impaired in SM-BLM cells. These data suggested that RAD51 might interact noncovalently with SUMO. We found that in vitro RAD51 interacts noncovalently with SUMO and that it interacts more efficiently with SUMO-modified BLM compared to unmodified BLM. These data suggest that SUMOylation controls the switch between BLM's pro- and anti-recombinogenic roles in HR. In the absence of BLM SUMOylation, BLM perturbs RAD51 localization at damaged replication forks and inhibits fork repair by HR. Conversely, BLM SUMOylation relieves its inhibitory effects on HR, and it promotes RAD51 function.", "author" : [ { "dropping-particle" : "", "family" : "Ouyang", "given" : "Karen J", "non-dropping-particle" : "", "parse-names" : false, "suffix" : "" }, { "dropping-particle" : "", "family" : "Woo", "given" : "Leslie L", "non-dropping-particle" : "", "parse-names" : false, "suffix" : "" }, { "dropping-particle" : "", "family" : "Zhu", "given" : "Jianmei", "non-dropping-particle" : "", "parse-names" : false, "suffix" : "" }, { "dropping-particle" : "", "family" : "Huo", "given" : "Dezheng", "non-dropping-particle" : "", "parse-names" : false, "suffix" : "" }, { "dropping-particle" : "", "family" : "Matunis", "given" : "Michael J", "non-dropping-particle" : "", "parse-names" : false, "suffix" : "" }, { "dropping-particle" : "", "family" : "Ellis", "given" : "Nathan a", "non-dropping-particle" : "", "parse-names" : false, "suffix" : "" } ], "container-title" : "PLoS Biology", "id" : "ITEM-1", "issue" : "12", "issued" : { "date-parts" : [ [ "2009", "12" ] ] }, "page" : "e1000252", "title" : "SUMO modification regulates BLM and RAD51 interaction at damaged replication forks.", "type" : "article-journal", "volume" : "7" }, "uris" : [ "http://www.mendeley.com/documents/?uuid=d3af8d9f-d39d-4754-b171-e05624afc014" ] } ], "mendeley" : { "formattedCitation" : "(Ouyang et al. 2009)", "plainTextFormattedCitation" : "(Ouyang et al. 2009)", "previouslyFormattedCitation" : "(Ouyang et al. 2009)"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(Ouyang et al. 2009)</w:t>
      </w:r>
      <w:r w:rsidR="00F20EC0" w:rsidRPr="00DF0680">
        <w:rPr>
          <w:rFonts w:cs="Times New Roman"/>
          <w:color w:val="auto"/>
        </w:rPr>
        <w:fldChar w:fldCharType="end"/>
      </w:r>
      <w:r w:rsidR="006F0B11" w:rsidRPr="00DF0680">
        <w:rPr>
          <w:rFonts w:cs="Times New Roman"/>
          <w:color w:val="auto"/>
        </w:rPr>
        <w:t>.</w:t>
      </w:r>
    </w:p>
    <w:p w:rsidR="00602935" w:rsidRPr="00DF0680" w:rsidRDefault="001E51D9" w:rsidP="00C55761">
      <w:pPr>
        <w:rPr>
          <w:rFonts w:cs="Times New Roman"/>
          <w:color w:val="auto"/>
        </w:rPr>
      </w:pPr>
      <w:r w:rsidRPr="00DF0680">
        <w:rPr>
          <w:rFonts w:cs="Times New Roman"/>
          <w:color w:val="auto"/>
        </w:rPr>
        <w:t xml:space="preserve">Members of the Fanconi </w:t>
      </w:r>
      <w:r w:rsidR="00DE2C0F" w:rsidRPr="00DF0680">
        <w:rPr>
          <w:rFonts w:cs="Times New Roman"/>
          <w:color w:val="auto"/>
        </w:rPr>
        <w:t>anaemia</w:t>
      </w:r>
      <w:r w:rsidRPr="00DF0680">
        <w:rPr>
          <w:rFonts w:cs="Times New Roman"/>
          <w:color w:val="auto"/>
        </w:rPr>
        <w:t xml:space="preserve"> </w:t>
      </w:r>
      <w:r w:rsidR="00DE2C0F" w:rsidRPr="00DF0680">
        <w:rPr>
          <w:rFonts w:cs="Times New Roman"/>
          <w:color w:val="auto"/>
        </w:rPr>
        <w:t xml:space="preserve">protein </w:t>
      </w:r>
      <w:r w:rsidRPr="00DF0680">
        <w:rPr>
          <w:rFonts w:cs="Times New Roman"/>
          <w:color w:val="auto"/>
        </w:rPr>
        <w:t xml:space="preserve">family </w:t>
      </w:r>
      <w:r w:rsidR="008749CD" w:rsidRPr="00DF0680">
        <w:rPr>
          <w:rFonts w:cs="Times New Roman"/>
          <w:color w:val="auto"/>
        </w:rPr>
        <w:t xml:space="preserve">also </w:t>
      </w:r>
      <w:r w:rsidRPr="00DF0680">
        <w:rPr>
          <w:rFonts w:cs="Times New Roman"/>
          <w:color w:val="auto"/>
        </w:rPr>
        <w:t xml:space="preserve">play a role in the function of BLM. FANCD2 mediates the assembly </w:t>
      </w:r>
      <w:r w:rsidR="00A83A01" w:rsidRPr="00DF0680">
        <w:rPr>
          <w:rFonts w:cs="Times New Roman"/>
          <w:color w:val="auto"/>
        </w:rPr>
        <w:t xml:space="preserve">and phosphorylation </w:t>
      </w:r>
      <w:r w:rsidRPr="00DF0680">
        <w:rPr>
          <w:rFonts w:cs="Times New Roman"/>
          <w:color w:val="auto"/>
        </w:rPr>
        <w:t xml:space="preserve">of the BLM complex after DNA damage, promotes BLM protein stability and </w:t>
      </w:r>
      <w:r w:rsidR="00A83A01" w:rsidRPr="00DF0680">
        <w:rPr>
          <w:rFonts w:cs="Times New Roman"/>
          <w:color w:val="auto"/>
        </w:rPr>
        <w:t xml:space="preserve">works in the same pathway to restart stalled forks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"10.1093/nar/gkt348", "ISSN" : "1362-4962", "PMID" : "23658231", "abstract" : "Fanconi Anemia (FA) and Bloom Syndrome share overlapping phenotypes including spontaneous chromosomal abnormalities and increased cancer predisposition. The FA protein pathway comprises an upstream core complex that mediates recruitment of two central players, FANCD2 and FANCI, to sites of stalled replication forks. Successful fork recovery depends on the Bloom's helicase BLM that participates in a larger protein complex ('BLMcx') containing topoisomerase III alpha, RMI1, RMI2 and replication protein A. We show that FANCD2 is an essential regulator of BLMcx functions: it maintains BLM protein stability and is crucial for complete BLMcx assembly; moreover, it recruits BLMcx to replicating chromatin during normal S-phase and mediates phosphorylation of BLMcx members in response to DNA damage. During replication stress, FANCD2 and BLM cooperate to promote restart of stalled replication forks while suppressing firing of new replication origins. In contrast, FANCI is dispensable for FANCD2-dependent BLMcx regulation, demonstrating functional separation of FANCD2 from FANCI.", "author" : [ { "dropping-particle" : "", "family" : "Chaudhury", "given" : "Indrajit", "non-dropping-particle" : "", "parse-names" : false, "suffix" : "" }, { "dropping-particle" : "", "family" : "Sareen", "given" : "Archana", "non-dropping-particle" : "", "parse-names" : false, "suffix" : "" }, { "dropping-particle" : "", "family" : "Raghunandan", "given" : "Maya", "non-dropping-particle" : "", "parse-names" : false, "suffix" : "" }, { "dropping-particle" : "", "family" : "Sobeck", "given" : "Alexandra", "non-dropping-particle" : "", "parse-names" : false, "suffix" : "" } ], "container-title" : "Nucleic Acids Research", "id" : "ITEM-1", "issue" : "13", "issued" : { "date-parts" : [ [ "2013", "7" ] ] }, "page" : "6444-59", "title" : "FANCD2 regulates BLM complex functions independently of FANCI to promote replication fork recovery.", "type" : "article-journal", "volume" : "41" }, "uris" : [ "http://www.mendeley.com/documents/?uuid=873ee5bf-7603-454a-b163-5a68bf8a36b1" ] } ], "mendeley" : { "formattedCitation" : "(Chaudhury et al. 2013)", "plainTextFormattedCitation" : "(Chaudhury et al. 2013)", "previouslyFormattedCitation" : "(Chaudhury et al. 2013)"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(Chaudhury et al. 2013)</w:t>
      </w:r>
      <w:r w:rsidR="00F20EC0" w:rsidRPr="00DF0680">
        <w:rPr>
          <w:rFonts w:cs="Times New Roman"/>
          <w:color w:val="auto"/>
        </w:rPr>
        <w:fldChar w:fldCharType="end"/>
      </w:r>
      <w:r w:rsidR="00A83A01" w:rsidRPr="00DF0680">
        <w:rPr>
          <w:rFonts w:cs="Times New Roman"/>
          <w:color w:val="auto"/>
        </w:rPr>
        <w:t>.</w:t>
      </w:r>
      <w:r w:rsidR="003114F9" w:rsidRPr="00DF0680">
        <w:rPr>
          <w:rFonts w:cs="Times New Roman"/>
          <w:color w:val="auto"/>
        </w:rPr>
        <w:t xml:space="preserve"> </w:t>
      </w:r>
      <w:r w:rsidR="008749CD" w:rsidRPr="00DF0680">
        <w:rPr>
          <w:rFonts w:cs="Times New Roman"/>
          <w:color w:val="auto"/>
        </w:rPr>
        <w:t xml:space="preserve">FANCM can bind both RMI1 and TopoIIIα, is responsible for BLM foci formation during replication stress (but not IR) and is required </w:t>
      </w:r>
      <w:r w:rsidR="008749CD" w:rsidRPr="00DF0680">
        <w:rPr>
          <w:rFonts w:cs="Times New Roman"/>
          <w:color w:val="auto"/>
        </w:rPr>
        <w:lastRenderedPageBreak/>
        <w:t xml:space="preserve">for suppression of SCEs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"10.1016/j.molcel.2009.12.006", "ISSN" : "1097-4164", "PMID" : "20064461", "abstract" : "Fanconi Anemia (FA) and Bloom's Syndrome (BS) are genetic disorders characterized by overlapping phenotypes, including aberrant DNA repair and cancer predisposition. Here, we show that the FANCM gene product, FANCM protein, links FA and BS by acting as a protein anchor and bridge that targets key components of the FA and BS pathways to stalled replication forks, thus linking multiple components that are necessary for efficient DNA repair. Two highly conserved protein:protein interaction motifs in FANCM, designated MM1 and MM2, were identified. MM1 interacts with the FA core complex by binding to FANCF, whereas MM2 interacts with RM1 and topoisomerase IIIalpha, components of the BS complex. The MM1 and MM2 motifs were independently required to activate the FA and BS pathways. Moreover, a common phenotype of BS and FA cells-an elevated frequency of sister chromatid exchanges-was due to a loss of interaction of the two complexes through FANCM.", "author" : [ { "dropping-particle" : "", "family" : "Deans", "given" : "Andrew J", "non-dropping-particle" : "", "parse-names" : false, "suffix" : "" }, { "dropping-particle" : "", "family" : "West", "given" : "Stephen C", "non-dropping-particle" : "", "parse-names" : false, "suffix" : "" } ], "container-title" : "Molecular Cell", "id" : "ITEM-1", "issue" : "6", "issued" : { "date-parts" : [ [ "2009", "12", "25" ] ] }, "page" : "943-53", "publisher" : "Elsevier Ltd", "title" : "FANCM connects the genome instability disorders Bloom's Syndrome and Fanconi Anemia.", "type" : "article-journal", "volume" : "36" }, "uris" : [ "http://www.mendeley.com/documents/?uuid=fd6d27f5-6e21-4dcd-86c4-cd880092474b" ] } ], "mendeley" : { "formattedCitation" : "(Deans &amp; West 2009)", "plainTextFormattedCitation" : "(Deans &amp; West 2009)", "previouslyFormattedCitation" : "(Deans &amp; West 2009)"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(Deans &amp; West 2009)</w:t>
      </w:r>
      <w:r w:rsidR="00F20EC0" w:rsidRPr="00DF0680">
        <w:rPr>
          <w:rFonts w:cs="Times New Roman"/>
          <w:color w:val="auto"/>
        </w:rPr>
        <w:fldChar w:fldCharType="end"/>
      </w:r>
      <w:r w:rsidR="008749CD" w:rsidRPr="00DF0680">
        <w:rPr>
          <w:rFonts w:cs="Times New Roman"/>
          <w:color w:val="auto"/>
        </w:rPr>
        <w:t xml:space="preserve">. </w:t>
      </w:r>
      <w:r w:rsidR="003114F9" w:rsidRPr="00DF0680">
        <w:rPr>
          <w:rFonts w:cs="Times New Roman"/>
          <w:color w:val="auto"/>
        </w:rPr>
        <w:t xml:space="preserve">Finally, FANCJ directly binds BLM and is thought to regulate the stability of BLM protein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"10.1038/emboj.2010.362", "ISSN" : "1460-2075", "PMID" : "21240188", "abstract" : "Bloom's syndrome (BS) and Fanconi anemia (FA) are autosomal recessive disorders characterized by cancer and chromosomal instability. BS and FA group J arise from mutations in the BLM and FANCJ genes, respectively, which encode DNA helicases. In this work, FANCJ and BLM were found to interact physically and functionally in human cells and co-localize to nuclear foci in response to replication stress. The cellular level of BLM is strongly dependent upon FANCJ, and BLM is degraded by a proteasome-mediated pathway when FANCJ is depleted. FANCJ-deficient cells display increased sister chromatid exchange and sensitivity to replication stress. Expression of a FANCJ C-terminal fragment that interacts with BLM exerted a dominant negative effect on hydroxyurea resistance by interfering with the FANCJ-BLM interaction. FANCJ and BLM synergistically unwound a DNA duplex substrate with sugar phosphate backbone discontinuity, but not an 'undamaged' duplex. Collectively, the results suggest that FANCJ catalytic activity and its effect on BLM protein stability contribute to preservation of genomic stability and a normal response to replication stress.", "author" : [ { "dropping-particle" : "", "family" : "Suhasini", "given" : "Avvaru N", "non-dropping-particle" : "", "parse-names" : false, "suffix" : "" }, { "dropping-particle" : "", "family" : "Rawtani", "given" : "Nina a", "non-dropping-particle" : "", "parse-names" : false, "suffix" : "" }, { "dropping-particle" : "", "family" : "Wu", "given" : "Yuliang", "non-dropping-particle" : "", "parse-names" : false, "suffix" : "" }, { "dropping-particle" : "", "family" : "Sommers", "given" : "Joshua a", "non-dropping-particle" : "", "parse-names" : false, "suffix" : "" }, { "dropping-particle" : "", "family" : "Sharma", "given" : "Sudha", "non-dropping-particle" : "", "parse-names" : false, "suffix" : "" }, { "dropping-particle" : "", "family" : "Mosedale", "given" : "Georgina", "non-dropping-particle" : "", "parse-names" : false, "suffix" : "" }, { "dropping-particle" : "", "family" : "North", "given" : "Phillip S", "non-dropping-particle" : "", "parse-names" : false, "suffix" : "" }, { "dropping-particle" : "", "family" : "Cantor", "given" : "Sharon B", "non-dropping-particle" : "", "parse-names" : false, "suffix" : "" }, { "dropping-particle" : "", "family" : "Hickson", "given" : "Ian D", "non-dropping-particle" : "", "parse-names" : false, "suffix" : "" }, { "dropping-particle" : "", "family" : "Brosh", "given" : "Robert M", "non-dropping-particle" : "", "parse-names" : false, "suffix" : "" } ], "container-title" : "The EMBO Journal", "id" : "ITEM-1", "issue" : "4", "issued" : { "date-parts" : [ [ "2011", "2", "16" ] ] }, "page" : "692-705", "publisher" : "Nature Publishing Group", "title" : "Interaction between the helicases genetically linked to Fanconi anemia group J and Bloom's syndrome.", "type" : "article-journal", "volume" : "30" }, "uris" : [ "http://www.mendeley.com/documents/?uuid=584badfe-8ccf-4183-840f-34a04e0edb89" ] } ], "mendeley" : { "formattedCitation" : "(Suhasini et al. 2011)", "plainTextFormattedCitation" : "(Suhasini et al. 2011)", "previouslyFormattedCitation" : "(Suhasini et al. 2011)"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(Suhasini et al. 2011)</w:t>
      </w:r>
      <w:r w:rsidR="00F20EC0" w:rsidRPr="00DF0680">
        <w:rPr>
          <w:rFonts w:cs="Times New Roman"/>
          <w:color w:val="auto"/>
        </w:rPr>
        <w:fldChar w:fldCharType="end"/>
      </w:r>
      <w:r w:rsidR="003114F9" w:rsidRPr="00DF0680">
        <w:rPr>
          <w:rFonts w:cs="Times New Roman"/>
          <w:color w:val="auto"/>
        </w:rPr>
        <w:t>.</w:t>
      </w:r>
    </w:p>
    <w:p w:rsidR="004613BA" w:rsidRPr="00DF0680" w:rsidRDefault="004613BA" w:rsidP="00E664FC">
      <w:pPr>
        <w:pStyle w:val="Heading3"/>
      </w:pPr>
      <w:bookmarkStart w:id="110" w:name="_Toc417204107"/>
      <w:bookmarkStart w:id="111" w:name="_Toc417674344"/>
      <w:r w:rsidRPr="00DF0680">
        <w:t>WRN</w:t>
      </w:r>
      <w:bookmarkEnd w:id="110"/>
      <w:bookmarkEnd w:id="111"/>
    </w:p>
    <w:p w:rsidR="003F2E33" w:rsidRPr="00DF0680" w:rsidRDefault="008926EA" w:rsidP="00213580">
      <w:pPr>
        <w:rPr>
          <w:rFonts w:cs="Times New Roman"/>
          <w:color w:val="auto"/>
        </w:rPr>
      </w:pPr>
      <w:r w:rsidRPr="00DF0680">
        <w:rPr>
          <w:rFonts w:cs="Times New Roman"/>
          <w:color w:val="auto"/>
        </w:rPr>
        <w:t>Werner’s Syndrome</w:t>
      </w:r>
      <w:r w:rsidR="005B27DE" w:rsidRPr="00DF0680">
        <w:rPr>
          <w:rFonts w:cs="Times New Roman"/>
          <w:color w:val="auto"/>
        </w:rPr>
        <w:t xml:space="preserve"> (WS)</w:t>
      </w:r>
      <w:r w:rsidRPr="00DF0680">
        <w:rPr>
          <w:rFonts w:cs="Times New Roman"/>
          <w:color w:val="auto"/>
        </w:rPr>
        <w:t xml:space="preserve"> is an autosomal recessive disease, discovered by Otto Werner in 1904. The symptoms include dwarfism, premature aging, ulcers, cataracts, hypogonadism, diabetes and osteoporosis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"10.1007/BF00295598", "ISSN" : "0340-6717", "author" : [ { "dropping-particle" : "", "family" : "Salk", "given" : "Darrell", "non-dropping-particle" : "", "parse-names" : false, "suffix" : "" } ], "container-title" : "Human Genetics", "id" : "ITEM-1", "issue" : "1", "issued" : { "date-parts" : [ [ "1982" ] ] }, "page" : "1-15", "title" : "Werner's syndrome: A review of recent research with an analysis of connective tissue metabolism, growth control of cultured cells, and chromosomal aberrations", "type" : "article-journal", "volume" : "62" }, "uris" : [ "http://www.mendeley.com/documents/?uuid=b74988eb-6ac1-449a-8530-3ca1fdac43be" ] } ], "mendeley" : { "formattedCitation" : "(Salk 1982)", "plainTextFormattedCitation" : "(Salk 1982)", "previouslyFormattedCitation" : "(Salk 1982)"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(Salk 1982)</w:t>
      </w:r>
      <w:r w:rsidR="00F20EC0" w:rsidRPr="00DF0680">
        <w:rPr>
          <w:rFonts w:cs="Times New Roman"/>
          <w:color w:val="auto"/>
        </w:rPr>
        <w:fldChar w:fldCharType="end"/>
      </w:r>
      <w:r w:rsidRPr="00DF0680">
        <w:rPr>
          <w:rFonts w:cs="Times New Roman"/>
          <w:color w:val="auto"/>
        </w:rPr>
        <w:t xml:space="preserve">. </w:t>
      </w:r>
      <w:r w:rsidR="003F2E33" w:rsidRPr="00DF0680">
        <w:rPr>
          <w:rFonts w:cs="Times New Roman"/>
          <w:color w:val="auto"/>
        </w:rPr>
        <w:t xml:space="preserve">WS patients suffer from increased predisposition to a range of cancers </w:t>
      </w:r>
      <w:r w:rsidR="00F20EC0" w:rsidRPr="00DF0680">
        <w:rPr>
          <w:rFonts w:cs="Times New Roman"/>
          <w:color w:val="auto"/>
        </w:rPr>
        <w:fldChar w:fldCharType="begin" w:fldLock="1"/>
      </w:r>
      <w:r w:rsidR="00DA6E78" w:rsidRPr="00DF0680">
        <w:rPr>
          <w:rFonts w:cs="Times New Roman"/>
          <w:color w:val="auto"/>
        </w:rPr>
        <w:instrText>ADDIN CSL_CITATION { "citationItems" : [ { "id" : "ITEM-1", "itemData" : { "author" : [ { "dropping-particle" : "", "family" : "Goto", "given" : "M", "non-dropping-particle" : "", "parse-names" : false, "suffix" : "" }, { "dropping-particle" : "", "family" : "Miller", "given" : "RW", "non-dropping-particle" : "", "parse-names" : false, "suffix" : "" }, { "dropping-particle" : "", "family" : "Ishikawa", "given" : "Y", "non-dropping-particle" : "", "parse-names" : false, "suffix" : "" }, { "dropping-particle" : "", "family" : "Sugano", "given" : "H", "non-dropping-particle" : "", "parse-names" : false, "suffix" : "" } ], "container-title" : "Cancer Epidemiology, Biomarkers &amp; Prevention", "id" : "ITEM-1", "issue" : "4", "issued" : { "date-parts" : [ [ "1996" ] ] }, "page" : "239-246", "title" : "Excess of rare cancers in Werner syndrome (adult progeria).", "type" : "article-journal", "volume" : "5" }, "uris" : [ "http://www.mendeley.com/documents/?uuid=4f0e7803-0969-4adf-b45b-cc1b729701d8" ] } ], "mendeley" : { "formattedCitation" : "(Goto et al. 1996)", "plainTextFormattedCitation" : "(Goto et al. 1996)", "previouslyFormattedCitation" : "(Goto et al. 1996)"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(Goto et al. 1996)</w:t>
      </w:r>
      <w:r w:rsidR="00F20EC0" w:rsidRPr="00DF0680">
        <w:rPr>
          <w:rFonts w:cs="Times New Roman"/>
          <w:color w:val="auto"/>
        </w:rPr>
        <w:fldChar w:fldCharType="end"/>
      </w:r>
      <w:r w:rsidR="00A04AB8" w:rsidRPr="00DF0680">
        <w:rPr>
          <w:rFonts w:cs="Times New Roman"/>
          <w:color w:val="auto"/>
        </w:rPr>
        <w:t xml:space="preserve"> and epigenetic inactivation of Werner helicase is a common event in tumorigenesis </w:t>
      </w:r>
      <w:r w:rsidR="00F20EC0" w:rsidRPr="00DF0680">
        <w:rPr>
          <w:rFonts w:cs="Times New Roman"/>
          <w:color w:val="auto"/>
        </w:rPr>
        <w:fldChar w:fldCharType="begin" w:fldLock="1"/>
      </w:r>
      <w:r w:rsidR="001112F6" w:rsidRPr="00DF0680">
        <w:rPr>
          <w:rFonts w:cs="Times New Roman"/>
          <w:color w:val="auto"/>
        </w:rPr>
        <w:instrText>ADDIN CSL_CITATION { "citationItems" : [ { "id" : "ITEM-1", "itemData" : { "DOI" : "10.1073/pnas.0600645103", "ISSN" : "0027-8424", "PMID" : "16723399", "abstract" : "Werner syndrome (WS) is an inherited disorder characterized by premature onset of aging, genomic instability, and increased cancer incidence. The disease is caused by loss of function mutations of the WRN gene, a RecQ family member with both helicase and exonuclease activities. However, despite its putative tumor-suppressor function, little is known about the contribution of WRN to human sporadic malignancies. Here, we report that WRN function is abrogated in human cancer cells by transcriptional silencing associated with CpG island-promoter hypermethylation. We also show that, at the biochemical and cellular levels, the epigenetic inactivation of WRN leads to the loss of WRN-associated exonuclease activity and increased chromosomal instability and apoptosis induced by topoisomerase inhibitors. The described phenotype is reversed by the use of a DNA-demethylating agent or by the reintroduction of WRN into cancer cells displaying methylation-dependent silencing of WRN. Furthermore, the restoration of WRN expression induces tumor-suppressor-like features, such as reduced colony formation density and inhibition of tumor growth in nude mouse xenograft models. Screening a large collection of human primary tumors (n = 630) from different cell types revealed that WRN CpG island hypermethylation was a common event in epithelial and mesenchymal tumorigenesis. Most importantly, WRN hypermethylation in colorectal tumors was a predictor of good clinical response to the camptothecin analogue irinotecan, a topoisomerase inhibitor commonly used in the clinical setting for the treatment of this tumor type. These findings highlight the importance of WRN epigenetic inactivation in human cancer, leading to enhanced chromosomal instability and hypersensitivity to chemotherapeutic drugs.", "author" : [ { "dropping-particle" : "", "family" : "Agrelo", "given" : "Ruben", "non-dropping-particle" : "", "parse-names" : false, "suffix" : "" }, { "dropping-particle" : "", "family" : "Cheng", "given" : "Wen-Hsing", "non-dropping-particle" : "", "parse-names" : false, "suffix" : "" }, { "dropping-particle" : "", "family" : "Setien", "given" : "Fernando", "non-dropping-particle" : "", "parse-names" : false, "suffix" : "" }, { "dropping-particle" : "", "family" : "Ropero", "given" : "Santiago", "non-dropping-particle" : "", "parse-names" : false, "suffix" : "" }, { "dropping-particle" : "", "family" : "Espada", "given" : "Jesus", "non-dropping-particle" : "", "parse-names" : false, "suffix" : "" }, { "dropping-particle" : "", "family" : "Fraga", "given" : "Mario F", "non-dropping-particle" : "", "parse-names" : false, "suffix" : "" }, { "dropping-particle" : "", "family" : "Herranz", "given" : "Michel", "non-dropping-particle" : "", "parse-names" : false, "suffix" : "" }, { "dropping-particle" : "", "family" : "Paz", "given" : "Maria F", "non-dropping-particle" : "", "parse-names" : false, "suffix" : "" }, { "dropping-particle" : "", "family" : "Sanchez-Cespedes", "given" : "Montserrat", "non-dropping-particle" : "", "parse-names" : false, "suffix" : "" }, { "dropping-particle" : "", "family" : "Artiga", "given" : "Maria Jesus", "non-dropping-particle" : "", "parse-names" : false, "suffix" : "" }, { "dropping-particle" : "", "family" : "Guerrero", "given" : "David", "non-dropping-particle" : "", "parse-names" : false, "suffix" : "" }, { "dropping-particle" : "", "family" : "Castells", "given" : "Antoni", "non-dropping-particle" : "", "parse-names" : false, "suffix" : "" }, { "dropping-particle" : "", "family" : "Kobbe", "given" : "Cayetano", "non-dropping-particle" : "von", "parse-names" : false, "suffix" : "" }, { "dropping-particle" : "", "family" : "Bohr", "given" : "Vilhelm a", "non-dropping-particle" : "", "parse-names" : false, "suffix" : "" }, { "dropping-particle" : "", "family" : "Esteller", "given" : "Manel", "non-dropping-particle" : "", "parse-names" : false, "suffix" : "" } ], "container-title" : "Proceedings of the National Academy of Sciences", "id" : "ITEM-1", "issue" : "23", "issued" : { "date-parts" : [ [ "2006", "6", "6" ] ] }, "page" : "8822-7", "title" : "Epigenetic inactivation of the premature aging Werner syndrome gene in human cancer.", "type" : "article-journal", "volume" : "103" }, "uris" : [ "http://www.mendeley.com/documents/?uuid=d4a50376-0698-44ec-8e20-3b85ab6b6632" ] } ], "mendeley" : { "formattedCitation" : "(Agrelo et al. 2006)", "plainTextFormattedCitation" : "(Agrelo et al. 2006)", "previouslyFormattedCitation" : "(Agrelo et al. 2006)"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(Agrelo et al. 2006)</w:t>
      </w:r>
      <w:r w:rsidR="00F20EC0" w:rsidRPr="00DF0680">
        <w:rPr>
          <w:rFonts w:cs="Times New Roman"/>
          <w:color w:val="auto"/>
        </w:rPr>
        <w:fldChar w:fldCharType="end"/>
      </w:r>
      <w:r w:rsidR="003F2E33" w:rsidRPr="00DF0680">
        <w:rPr>
          <w:rFonts w:cs="Times New Roman"/>
          <w:color w:val="auto"/>
        </w:rPr>
        <w:t>.</w:t>
      </w:r>
      <w:r w:rsidR="000A1679" w:rsidRPr="00DF0680">
        <w:rPr>
          <w:rFonts w:cs="Times New Roman"/>
          <w:color w:val="auto"/>
        </w:rPr>
        <w:t xml:space="preserve"> WS cells are also genetically u</w:t>
      </w:r>
      <w:r w:rsidR="00A04AB8" w:rsidRPr="00DF0680">
        <w:rPr>
          <w:rFonts w:cs="Times New Roman"/>
          <w:color w:val="auto"/>
        </w:rPr>
        <w:t xml:space="preserve">nstable and more sensitive to cross-linking and topoisomerase inhibition </w:t>
      </w:r>
      <w:r w:rsidR="00F20EC0" w:rsidRPr="00DF0680">
        <w:rPr>
          <w:rFonts w:cs="Times New Roman"/>
          <w:color w:val="auto"/>
        </w:rPr>
        <w:fldChar w:fldCharType="begin" w:fldLock="1"/>
      </w:r>
      <w:r w:rsidR="00DA6E78" w:rsidRPr="00DF0680">
        <w:rPr>
          <w:rFonts w:cs="Times New Roman"/>
          <w:color w:val="auto"/>
        </w:rPr>
        <w:instrText>ADDIN CSL_CITATION { "citationItems" : [ { "id" : "ITEM-1", "itemData" : { "author" : [ { "dropping-particle" : "", "family" : "Lebel", "given" : "M", "non-dropping-particle" : "", "parse-names" : false, "suffix" : "" }, { "dropping-particle" : "", "family" : "Leder", "given" : "P", "non-dropping-particle" : "", "parse-names" : false, "suffix" : "" } ], "container-title" : "Proceedings of the National Academy of Sciences", "id" : "ITEM-1", "issue" : "22", "issued" : { "date-parts" : [ [ "1998" ] ] }, "page" : "13097-13102", "title" : "A deletion within the murine Werner syndrome helicase induces sensitivity to inhibitors of topoisomerase and loss of cellular proliferative capacity", "type" : "article-journal", "volume" : "95" }, "uris" : [ "http://www.mendeley.com/documents/?uuid=fff00f0f-ee7f-4a45-a0df-1f7f11758575" ] }, { "id" : "ITEM-2", "itemData" : { "author" : [ { "dropping-particle" : "", "family" : "Poot", "given" : "Martin", "non-dropping-particle" : "", "parse-names" : false, "suffix" : "" }, { "dropping-particle" : "", "family" : "Yom", "given" : "Jin Song", "non-dropping-particle" : "", "parse-names" : false, "suffix" : "" }, { "dropping-particle" : "", "family" : "Whang", "given" : "Susan H", "non-dropping-particle" : "", "parse-names" : false, "suffix" : "" }, { "dropping-particle" : "", "family" : "Kato", "given" : "Jackson T", "non-dropping-particle" : "", "parse-names" : false, "suffix" : "" }, { "dropping-particle" : "", "family" : "Gollahon", "given" : "Katherine A", "non-dropping-particle" : "", "parse-names" : false, "suffix" : "" }, { "dropping-particle" : "", "family" : "Rabinovitch", "given" : "Peter S", "non-dropping-particle" : "", "parse-names" : false, "suffix" : "" } ], "container-title" : "FASEB", "id" : "ITEM-2", "issue" : "7", "issued" : { "date-parts" : [ [ "2001" ] ] }, "page" : "1224-6", "title" : "Werner syndrome cells are sensitive to DNA cross-linking drugs", "type" : "article-journal", "volume" : "15" }, "uris" : [ "http://www.mendeley.com/documents/?uuid=8475eacd-cfda-45fe-8102-d815eec013c7" ] } ], "mendeley" : { "formattedCitation" : "(Lebel &amp; Leder 1998; Poot et al. 2001)", "plainTextFormattedCitation" : "(Lebel &amp; Leder 1998; Poot et al. 2001)", "previouslyFormattedCitation" : "(Lebel &amp; Leder 1998; Poot et al. 2001)"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(Lebel &amp; Leder 1998; Poot et al. 2001)</w:t>
      </w:r>
      <w:r w:rsidR="00F20EC0" w:rsidRPr="00DF0680">
        <w:rPr>
          <w:rFonts w:cs="Times New Roman"/>
          <w:color w:val="auto"/>
        </w:rPr>
        <w:fldChar w:fldCharType="end"/>
      </w:r>
      <w:r w:rsidR="00A04AB8" w:rsidRPr="00DF0680">
        <w:rPr>
          <w:rFonts w:cs="Times New Roman"/>
          <w:color w:val="auto"/>
        </w:rPr>
        <w:t>.</w:t>
      </w:r>
    </w:p>
    <w:p w:rsidR="00400FB3" w:rsidRPr="00DF0680" w:rsidRDefault="00ED595E" w:rsidP="00213580">
      <w:pPr>
        <w:rPr>
          <w:rFonts w:cs="Times New Roman"/>
          <w:color w:val="auto"/>
        </w:rPr>
      </w:pPr>
      <w:r w:rsidRPr="00DF0680">
        <w:rPr>
          <w:rFonts w:cs="Times New Roman"/>
          <w:color w:val="auto"/>
        </w:rPr>
        <w:t xml:space="preserve">The gene identified as being responsible for Werner’s syndrome </w:t>
      </w:r>
      <w:r w:rsidR="00730545" w:rsidRPr="00DF0680">
        <w:rPr>
          <w:rFonts w:cs="Times New Roman"/>
          <w:color w:val="auto"/>
        </w:rPr>
        <w:t>was cloned and discover</w:t>
      </w:r>
      <w:r w:rsidR="00D924EE" w:rsidRPr="00DF0680">
        <w:rPr>
          <w:rFonts w:cs="Times New Roman"/>
          <w:color w:val="auto"/>
        </w:rPr>
        <w:t>ed to be homologous to other REC</w:t>
      </w:r>
      <w:r w:rsidR="00730545" w:rsidRPr="00DF0680">
        <w:rPr>
          <w:rFonts w:cs="Times New Roman"/>
          <w:color w:val="auto"/>
        </w:rPr>
        <w:t xml:space="preserve">Q helicases </w:t>
      </w:r>
      <w:r w:rsidR="00F20EC0" w:rsidRPr="00DF0680">
        <w:rPr>
          <w:rFonts w:cs="Times New Roman"/>
          <w:color w:val="auto"/>
        </w:rPr>
        <w:fldChar w:fldCharType="begin" w:fldLock="1"/>
      </w:r>
      <w:r w:rsidR="00DA6E78" w:rsidRPr="00DF0680">
        <w:rPr>
          <w:rFonts w:cs="Times New Roman"/>
          <w:color w:val="auto"/>
        </w:rPr>
        <w:instrText>ADDIN CSL_CITATION { "citationItems" : [ { "id" : "ITEM-1", "itemData" : { "author" : [ { "dropping-particle" : "", "family" : "Yu", "given" : "CE", "non-dropping-particle" : "", "parse-names" : false, "suffix" : "" }, { "dropping-particle" : "", "family" : "Oshima", "given" : "J", "non-dropping-particle" : "", "parse-names" : false, "suffix" : "" }, { "dropping-particle" : "", "family" : "Fu", "given" : "YH", "non-dropping-particle" : "", "parse-names" : false, "suffix" : "" }, { "dropping-particle" : "", "family" : "Wijsman", "given" : "EM", "non-dropping-particle" : "", "parse-names" : false, "suffix" : "" } ], "container-title" : "Science", "id" : "ITEM-1", "issue" : "5259", "issued" : { "date-parts" : [ [ "1996" ] ] }, "page" : "258-62", "title" : "Positional cloning of the Werner's syndrome gene", "type" : "article-journal", "volume" : "272" }, "uris" : [ "http://www.mendeley.com/documents/?uuid=a91a4969-0e3d-4a08-b98c-c985d30dbbbb" ] } ], "mendeley" : { "formattedCitation" : "(Yu et al. 1996)", "plainTextFormattedCitation" : "(Yu et al. 1996)", "previouslyFormattedCitation" : "(Yu et al. 1996)"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(Yu et al. 1996)</w:t>
      </w:r>
      <w:r w:rsidR="00F20EC0" w:rsidRPr="00DF0680">
        <w:rPr>
          <w:rFonts w:cs="Times New Roman"/>
          <w:color w:val="auto"/>
        </w:rPr>
        <w:fldChar w:fldCharType="end"/>
      </w:r>
      <w:r w:rsidR="00730545" w:rsidRPr="00DF0680">
        <w:rPr>
          <w:rFonts w:cs="Times New Roman"/>
          <w:color w:val="auto"/>
        </w:rPr>
        <w:t>.</w:t>
      </w:r>
      <w:r w:rsidR="0018103D" w:rsidRPr="00DF0680">
        <w:rPr>
          <w:rFonts w:cs="Times New Roman"/>
          <w:color w:val="auto"/>
        </w:rPr>
        <w:t xml:space="preserve"> It has 3’-5’ NTP-dependent helicase activity, stimulated by single-stranded binding proteins such as RPA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"10.1093/nar/26.12.2879", "ISSN" : "0305-1048", "author" : [ { "dropping-particle" : "", "family" : "Shen", "given" : "J.-C.", "non-dropping-particle" : "", "parse-names" : false, "suffix" : "" }, { "dropping-particle" : "", "family" : "Gray", "given" : "M. D.", "non-dropping-particle" : "", "parse-names" : false, "suffix" : "" }, { "dropping-particle" : "", "family" : "Oshima", "given" : "J.", "non-dropping-particle" : "", "parse-names" : false, "suffix" : "" }, { "dropping-particle" : "", "family" : "Loeb", "given" : "L. a.", "non-dropping-particle" : "", "parse-names" : false, "suffix" : "" } ], "container-title" : "Nucleic Acids Research", "id" : "ITEM-1", "issue" : "12", "issued" : { "date-parts" : [ [ "1998", "6", "1" ] ] }, "page" : "2879-2885", "title" : "Characterization of Werner syndrome protein DNA helicase activity: Directionality, substrate dependence and stimulation by replication protein A", "type" : "article-journal", "volume" : "26" }, "uris" : [ "http://www.mendeley.com/documents/?uuid=c2afd3a2-c591-444c-a0e3-9be6fdee5895" ] } ], "mendeley" : { "formattedCitation" : "(Shen et al. 1998)", "plainTextFormattedCitation" : "(Shen et al. 1998)", "previouslyFormattedCitation" : "(Shen et al. 1998)"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(Shen et al. 1998)</w:t>
      </w:r>
      <w:r w:rsidR="00F20EC0" w:rsidRPr="00DF0680">
        <w:rPr>
          <w:rFonts w:cs="Times New Roman"/>
          <w:color w:val="auto"/>
        </w:rPr>
        <w:fldChar w:fldCharType="end"/>
      </w:r>
      <w:r w:rsidR="0018103D" w:rsidRPr="00DF0680">
        <w:rPr>
          <w:rFonts w:cs="Times New Roman"/>
          <w:color w:val="auto"/>
        </w:rPr>
        <w:t>.</w:t>
      </w:r>
      <w:r w:rsidR="00AE74DB" w:rsidRPr="00DF0680">
        <w:rPr>
          <w:rFonts w:cs="Times New Roman"/>
          <w:color w:val="auto"/>
        </w:rPr>
        <w:t xml:space="preserve"> </w:t>
      </w:r>
      <w:r w:rsidR="00691E3A" w:rsidRPr="00DF0680">
        <w:rPr>
          <w:rFonts w:cs="Times New Roman"/>
          <w:color w:val="auto"/>
        </w:rPr>
        <w:t xml:space="preserve">As mentioned earlier, WRN can regress and restart regressed replication forks, but </w:t>
      </w:r>
      <w:r w:rsidR="00AE74DB" w:rsidRPr="00DF0680">
        <w:rPr>
          <w:rFonts w:cs="Times New Roman"/>
          <w:color w:val="auto"/>
        </w:rPr>
        <w:t>WRN can</w:t>
      </w:r>
      <w:r w:rsidR="00691E3A" w:rsidRPr="00DF0680">
        <w:rPr>
          <w:rFonts w:cs="Times New Roman"/>
          <w:color w:val="auto"/>
        </w:rPr>
        <w:t xml:space="preserve"> also</w:t>
      </w:r>
      <w:r w:rsidR="00AE74DB" w:rsidRPr="00DF0680">
        <w:rPr>
          <w:rFonts w:cs="Times New Roman"/>
          <w:color w:val="auto"/>
        </w:rPr>
        <w:t xml:space="preserve"> unwind 5’ flaps and synthetic replication forks as well as</w:t>
      </w:r>
      <w:r w:rsidR="00691E3A" w:rsidRPr="00DF0680">
        <w:rPr>
          <w:rFonts w:cs="Times New Roman"/>
          <w:color w:val="auto"/>
        </w:rPr>
        <w:t xml:space="preserve"> G-quadruplex DNA</w:t>
      </w:r>
      <w:r w:rsidR="00851B9D" w:rsidRPr="00DF0680">
        <w:rPr>
          <w:rFonts w:cs="Times New Roman"/>
          <w:color w:val="auto"/>
        </w:rPr>
        <w:t xml:space="preserve"> </w:t>
      </w:r>
      <w:r w:rsidR="00851B9D" w:rsidRPr="00DF0680">
        <w:rPr>
          <w:rFonts w:cs="Times New Roman"/>
          <w:i/>
          <w:color w:val="auto"/>
        </w:rPr>
        <w:t>in vitro</w:t>
      </w:r>
      <w:r w:rsidR="00AE74DB" w:rsidRPr="00DF0680">
        <w:rPr>
          <w:rFonts w:cs="Times New Roman"/>
          <w:color w:val="auto"/>
        </w:rPr>
        <w:t xml:space="preserv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"10.1074/jbc.M111446200", "ISSN" : "0021-9258", "PMID" : "11956187", "abstract" : "Werner syndrome is a hereditary premature aging disorder characterized by genome instability. The product of the gene defective in WS, WRN, is a helicase/exonuclease that presumably functions in DNA metabolism. To understand the DNA structures WRN acts upon in vivo, we examined its substrate preferences for unwinding. WRN unwound a 3'-single-stranded (ss)DNA-tailed duplex substrate with streptavidin bound to the end of the 3'-ssDNA tail, suggesting that WRN does not require a free DNA end to unwind the duplex; however, WRN was completely blocked by streptavidin bound to the 3'-ssDNA tail 6 nucleotides upstream of the single-stranded/double-stranded DNA junction. WRN efficiently unwound the forked duplex with streptavidin bound just upstream of the junction, suggesting that WRN recognizes elements of the fork structure to initiate unwinding. WRN unwound two important intermediates of replication/repair, a 5'-ssDNA flap substrate and a synthetic replication fork. WRN was able to translocate on the lagging strand of the synthetic replication fork to unwind duplex ahead of the fork. For the 5'-flap structure, WRN specifically displaced the 5'-flap oligonucleotide, suggesting a role of WRN in Okazaki fragment processing. The ability of WRN to target DNA replication/repair intermediates may be relevant to its role in genome stability maintenance.", "author" : [ { "dropping-particle" : "", "family" : "Brosh", "given" : "Robert M", "non-dropping-particle" : "", "parse-names" : false, "suffix" : "" }, { "dropping-particle" : "", "family" : "Waheed", "given" : "Juwaria", "non-dropping-particle" : "", "parse-names" : false, "suffix" : "" }, { "dropping-particle" : "", "family" : "Sommers", "given" : "Joshua a", "non-dropping-particle" : "", "parse-names" : false, "suffix" : "" } ], "container-title" : "The Journal of Biological Chemistry", "id" : "ITEM-1", "issue" : "26", "issued" : { "date-parts" : [ [ "2002", "6", "28" ] ] }, "page" : "23236-45", "title" : "Biochemical characterization of the DNA substrate specificity of Werner syndrome helicase.", "type" : "article-journal", "volume" : "277" }, "uris" : [ "http://www.mendeley.com/documents/?uuid=fdfb60bf-e748-4b15-8f9f-4efb9267ed51" ] }, { "id" : "ITEM-2", "itemData" : { "author" : [ { "dropping-particle" : "", "family" : "Machwe", "given" : "Amrita", "non-dropping-particle" : "", "parse-names" : false, "suffix" : "" }, { "dropping-particle" : "", "family" : "Xiao", "given" : "Liren", "non-dropping-particle" : "", "parse-names" : false, "suffix" : "" }, { "dropping-particle" : "", "family" : "Groden", "given" : "Joanna", "non-dropping-particle" : "", "parse-names" : false, "suffix" : "" }, { "dropping-particle" : "", "family" : "Orren", "given" : "DK", "non-dropping-particle" : "", "parse-names" : false, "suffix" : "" } ], "container-title" : "Biochemistry", "id" : "ITEM-2", "issue" : "47", "issued" : { "date-parts" : [ [ "2006" ] ] }, "page" : "13939-46", "title" : "The Werner and Bloom syndrome proteins catalyze regression of a model replication fork", "type" : "article-journal", "volume" : "45" }, "uris" : [ "http://www.mendeley.com/documents/?uuid=b4018965-e01e-423c-bb1f-e42f7abb8725" ] }, { "id" : "ITEM-3", "itemData" : { "DOI" : "10.1021/bi2001054", "ISSN" : "1520-4995", "PMID" : "21736299", "abstract" : "Cells cope with blockage of replication fork progression in a manner that allows DNA synthesis to be completed and genomic instability minimized. Models for resolution of blocked replication involve fork regression to form Holliday junction structures. The human RecQ helicases WRN and BLM (deficient in Werner and Bloom syndromes, respectively) are critical for maintaining genomic stability and thought to function in accurate resolution of replication blockage. Consistent with this notion, WRN and BLM localize to sites of blocked replication after certain DNA-damaging treatments and exhibit enhanced activity on replication and recombination intermediates. Here we examine the actions of WRN and BLM on a special Holliday junction substrate reflective of a regressed replication fork. Our results demonstrate that, in reactions requiring ATP hydrolysis, both WRN and BLM convert this Holliday junction substrate primarily to a four-stranded replication fork structure, suggesting they target the Holliday junction to initiate branch migration. In agreement, the Holliday junction binding protein RuvA inhibits the WRN- and BLM-mediated conversion reactions. Importantly, this conversion product is suitable for replication with its leading daughter strand readily extended by DNA polymerases. Furthermore, binding to and conversion of this Holliday junction are optimal at low MgCl(2) concentrations, suggesting that WRN and BLM preferentially act on the square planar (open) conformation of Holliday junctions. Our findings suggest that, subsequent to fork regression events, WRN and/or BLM could re-establish functional replication forks to help overcome fork blockage. Such a function is highly consistent with phenotypes associated with WRN- and BLM-deficient cells.", "author" : [ { "dropping-particle" : "", "family" : "Machwe", "given" : "Amrita", "non-dropping-particle" : "", "parse-names" : false, "suffix" : "" }, { "dropping-particle" : "", "family" : "Karale", "given" : "Rajashree", "non-dropping-particle" : "", "parse-names" : false, "suffix" : "" }, { "dropping-particle" : "", "family" : "Xu", "given" : "Xioahua", "non-dropping-particle" : "", "parse-names" : false, "suffix" : "" }, { "dropping-particle" : "", "family" : "Liu", "given" : "Yilun", "non-dropping-particle" : "", "parse-names" : false, "suffix" : "" }, { "dropping-particle" : "", "family" : "Orren", "given" : "David K", "non-dropping-particle" : "", "parse-names" : false, "suffix" : "" } ], "container-title" : "Biochemistry", "id" : "ITEM-3", "issue" : "32", "issued" : { "date-parts" : [ [ "2011", "8", "16" ] ] }, "page" : "6774-88", "title" : "The Werner and Bloom syndrome proteins help resolve replication blockage by converting (regressed) holliday junctions to functional replication forks.", "type" : "article-journal", "volume" : "50" }, "uris" : [ "http://www.mendeley.com/documents/?uuid=4ca0b4ef-aa8b-41ab-846e-bc4b37e08e59" ] }, { "id" : "ITEM-4", "itemData" : { "DOI" : "10.1093/nar/gkm561", "ISSN" : "1362-4962", "PMID" : "17717003", "abstract" : "The premature aging and cancer-prone disease Werner syndrome stems from loss of WRN protein function. WRN deficiency causes replication abnormalities, sensitivity to certain genotoxic agents, genomic instability and early replicative senescence in primary fibroblasts. As a RecQ helicase family member, WRN is a DNA-dependent ATPase and unwinding enzyme, but also possesses strand annealing and exonuclease activities. RecQ helicases are postulated to participate in pathways responding to replication blockage, pathways possibly initiated by fork regression. In this study, a series of model replication fork substrates were used to examine the fork regression capability of WRN. Our results demonstrate that WRN catalyzes fork regression and Holliday junction formation. This process is an ATP-dependent reaction that is particularly efficient on forks containing single-stranded gaps of at least 11-13 nt on the leading arm at the fork junction. Importantly, WRN exonuclease activity, by digesting the leading daughter strand, enhances regression of forks with smaller gaps on the leading arm, thus creating an optimal structure for regression. Our results suggest that the multiple activities of WRN cooperate to promote replication fork regression. These findings, along with the established cellular consequences of WRN deficiency, strongly support a role for WRN in regression of blocked replication forks.", "author" : [ { "dropping-particle" : "", "family" : "Machwe", "given" : "Amrita", "non-dropping-particle" : "", "parse-names" : false, "suffix" : "" }, { "dropping-particle" : "", "family" : "Xiao", "given" : "Liren", "non-dropping-particle" : "", "parse-names" : false, "suffix" : "" }, { "dropping-particle" : "", "family" : "Lloyd", "given" : "Robert G", "non-dropping-particle" : "", "parse-names" : false, "suffix" : "" }, { "dropping-particle" : "", "family" : "Bolt", "given" : "Edward", "non-dropping-particle" : "", "parse-names" : false, "suffix" : "" }, { "dropping-particle" : "", "family" : "Orren", "given" : "David K", "non-dropping-particle" : "", "parse-names" : false, "suffix" : "" } ], "container-title" : "Nucleic Acids Research", "id" : "ITEM-4", "issue" : "17", "issued" : { "date-parts" : [ [ "2007", "1" ] ] }, "page" : "5729-47", "title" : "Replication fork regression in vitro by the Werner syndrome protein (WRN): holliday junction formation, the effect of leading arm structure and a potential role for WRN exonuclease activity.", "type" : "article-journal", "volume" : "35" }, "uris" : [ "http://www.mendeley.com/documents/?uuid=33166ee7-9678-4bbc-a841-316d6fc62dd8" ] }, { "id" : "ITEM-5", "itemData" : { "DOI" : "10.1074/jbc.274.18.12797", "ISSN" : "0021-9258", "author" : [ { "dropping-particle" : "", "family" : "Fry", "given" : "M.", "non-dropping-particle" : "", "parse-names" : false, "suffix" : "" }, { "dropping-particle" : "", "family" : "Loeb", "given" : "L. a.", "non-dropping-particle" : "", "parse-names" : false, "suffix" : "" } ], "container-title" : "Journal of Biological Chemistry", "id" : "ITEM-5", "issue" : "18", "issued" : { "date-parts" : [ [ "1999", "4", "30" ] ] }, "page" : "12797-12802", "title" : "Human Werner Syndrome DNA Helicase Unwinds Tetrahelical Structures of the Fragile X Syndrome Repeat Sequence d(CGG) n", "type" : "article-journal", "volume" : "274" }, "uris" : [ "http://www.mendeley.com/documents/?uuid=2c3e10ee-d4e9-452b-9903-595fc0798785" ] } ], "mendeley" : { "formattedCitation" : "(Brosh et al. 2002; Machwe et al. 2006; Machwe et al. 2011; Machwe et al. 2007; Fry &amp; Loeb 1999)", "plainTextFormattedCitation" : "(Brosh et al. 2002; Machwe et al. 2006; Machwe et al. 2011; Machwe et al. 2007; Fry &amp; Loeb 1999)", "previouslyFormattedCitation" : "(Brosh et al. 2002; Machwe et al. 2006; Machwe et al. 2011; Machwe et al. 2007; Fry &amp; Loeb 1999)"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(Brosh et al. 2002; Machwe et al. 2006; Machwe et al. 2011; Machwe et al. 2007; Fry &amp; Loeb 1999)</w:t>
      </w:r>
      <w:r w:rsidR="00F20EC0" w:rsidRPr="00DF0680">
        <w:rPr>
          <w:rFonts w:cs="Times New Roman"/>
          <w:color w:val="auto"/>
        </w:rPr>
        <w:fldChar w:fldCharType="end"/>
      </w:r>
      <w:r w:rsidR="00691E3A" w:rsidRPr="00DF0680">
        <w:rPr>
          <w:rFonts w:cs="Times New Roman"/>
          <w:color w:val="auto"/>
        </w:rPr>
        <w:t xml:space="preserve">. </w:t>
      </w:r>
      <w:r w:rsidR="001C11B9" w:rsidRPr="00DF0680">
        <w:rPr>
          <w:rFonts w:cs="Times New Roman"/>
          <w:color w:val="auto"/>
        </w:rPr>
        <w:t>Unlike the other RecQ helicases, WRN has</w:t>
      </w:r>
      <w:r w:rsidR="008749CD" w:rsidRPr="00DF0680">
        <w:rPr>
          <w:rFonts w:cs="Times New Roman"/>
          <w:color w:val="auto"/>
        </w:rPr>
        <w:t xml:space="preserve"> a</w:t>
      </w:r>
      <w:r w:rsidR="00400FB3" w:rsidRPr="00DF0680">
        <w:rPr>
          <w:rFonts w:cs="Times New Roman"/>
          <w:color w:val="auto"/>
        </w:rPr>
        <w:t xml:space="preserve"> 3’-5’</w:t>
      </w:r>
      <w:r w:rsidR="001C11B9" w:rsidRPr="00DF0680">
        <w:rPr>
          <w:rFonts w:cs="Times New Roman"/>
          <w:color w:val="auto"/>
        </w:rPr>
        <w:t xml:space="preserve"> exonuclease activity. </w:t>
      </w:r>
      <w:r w:rsidR="00851B9D" w:rsidRPr="00DF0680">
        <w:rPr>
          <w:rFonts w:cs="Times New Roman"/>
          <w:i/>
          <w:color w:val="auto"/>
        </w:rPr>
        <w:t>In vitro</w:t>
      </w:r>
      <w:r w:rsidR="00851B9D" w:rsidRPr="00DF0680">
        <w:rPr>
          <w:rFonts w:cs="Times New Roman"/>
          <w:color w:val="auto"/>
        </w:rPr>
        <w:t xml:space="preserve"> studies found that t</w:t>
      </w:r>
      <w:r w:rsidR="001C11B9" w:rsidRPr="00DF0680">
        <w:rPr>
          <w:rFonts w:cs="Times New Roman"/>
          <w:color w:val="auto"/>
        </w:rPr>
        <w:t xml:space="preserve">his activity is dependent </w:t>
      </w:r>
      <w:r w:rsidR="00C432F6" w:rsidRPr="00DF0680">
        <w:rPr>
          <w:rFonts w:cs="Times New Roman"/>
          <w:color w:val="auto"/>
        </w:rPr>
        <w:t>on substrate unwinding</w:t>
      </w:r>
      <w:r w:rsidR="001C11B9" w:rsidRPr="00DF0680">
        <w:rPr>
          <w:rFonts w:cs="Times New Roman"/>
          <w:color w:val="auto"/>
        </w:rPr>
        <w:t xml:space="preserve">, is stimulated by </w:t>
      </w:r>
      <w:r w:rsidR="00851B9D" w:rsidRPr="00DF0680">
        <w:rPr>
          <w:rFonts w:cs="Times New Roman"/>
          <w:color w:val="auto"/>
        </w:rPr>
        <w:t>ATP</w:t>
      </w:r>
      <w:r w:rsidR="001C11B9" w:rsidRPr="00DF0680">
        <w:rPr>
          <w:rFonts w:cs="Times New Roman"/>
          <w:color w:val="auto"/>
        </w:rPr>
        <w:t>,</w:t>
      </w:r>
      <w:r w:rsidR="00851B9D" w:rsidRPr="00DF0680">
        <w:rPr>
          <w:rFonts w:cs="Times New Roman"/>
          <w:color w:val="auto"/>
        </w:rPr>
        <w:t xml:space="preserve"> dATP and CTP,</w:t>
      </w:r>
      <w:r w:rsidR="001C11B9" w:rsidRPr="00DF0680">
        <w:rPr>
          <w:rFonts w:cs="Times New Roman"/>
          <w:color w:val="auto"/>
        </w:rPr>
        <w:t xml:space="preserve"> and preferentially digests </w:t>
      </w:r>
      <w:r w:rsidR="002A5F1E" w:rsidRPr="00DF0680">
        <w:rPr>
          <w:rFonts w:cs="Times New Roman"/>
          <w:color w:val="auto"/>
        </w:rPr>
        <w:t>recessed strands in partial duplexes (with an even greater preference for the same substrate with a single mismatched 3’ nucleotide)</w:t>
      </w:r>
      <w:r w:rsidR="003E387F" w:rsidRPr="00DF0680">
        <w:rPr>
          <w:rFonts w:cs="Times New Roman"/>
          <w:color w:val="auto"/>
        </w:rPr>
        <w:t>, for both DNA and RNA</w:t>
      </w:r>
      <w:r w:rsidR="001C11B9" w:rsidRPr="00DF0680">
        <w:rPr>
          <w:rFonts w:cs="Times New Roman"/>
          <w:color w:val="auto"/>
        </w:rPr>
        <w:t xml:space="preserv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"10.1074/jbc.273.51.34139", "ISSN" : "00219258", "author" : [ { "dropping-particle" : "", "family" : "Shen", "given" : "J.-C.", "non-dropping-particle" : "", "parse-names" : false, "suffix" : "" } ], "container-title" : "Journal of Biological Chemistry", "id" : "ITEM-1", "issue" : "51", "issued" : { "date-parts" : [ [ "1998", "12", "18" ] ] }, "page" : "34139-34144", "title" : "Werner Syndrome Protein. I. DNA HELICASE AND DNA EXONUCLEASE RESIDE ON THE SAME POLYPEPTIDE", "type" : "article-journal", "volume" : "273" }, "uris" : [ "http://www.mendeley.com/documents/?uuid=476cf37f-f15f-4f74-9fda-f689f2731254" ] }, { "id" : "ITEM-2", "itemData" : { "DOI" : "10.1074/jbc.273.51.34145", "ISBN" : "3414534150", "ISSN" : "00219258", "author" : [ { "dropping-particle" : "", "family" : "Kamath-Loeb", "given" : "a. S.", "non-dropping-particle" : "", "parse-names" : false, "suffix" : "" } ], "container-title" : "Journal of Biological Chemistry", "id" : "ITEM-2", "issue" : "51", "issued" : { "date-parts" : [ [ "1998", "12", "18" ] ] }, "page" : "34145-34150", "title" : "Werner Syndrome Protein. II. CHARACTERIZATION OF THE INTEGRAL 3' -&gt; 5' DNA EXONUCLEASE", "type" : "article-journal", "volume" : "273" }, "uris" : [ "http://www.mendeley.com/documents/?uuid=6cba0d08-6bb4-40c0-b346-5523d5ecf1bf" ] }, { "id" : "ITEM-3", "itemData" : { "DOI" : "10.1093/nar/27.11.2361", "ISSN" : "0305-1048", "author" : [ { "dropping-particle" : "", "family" : "Suzuki", "given" : "N.", "non-dropping-particle" : "", "parse-names" : false, "suffix" : "" }, { "dropping-particle" : "", "family" : "Shiratori", "given" : "M.", "non-dropping-particle" : "", "parse-names" : false, "suffix" : "" }, { "dropping-particle" : "", "family" : "Goto", "given" : "M.", "non-dropping-particle" : "", "parse-names" : false, "suffix" : "" }, { "dropping-particle" : "", "family" : "Furuichi", "given" : "Y.", "non-dropping-particle" : "", "parse-names" : false, "suffix" : "" } ], "container-title" : "Nucleic Acids Research", "id" : "ITEM-3", "issue" : "11", "issued" : { "date-parts" : [ [ "1999", "1", "1" ] ] }, "page" : "2361-2368", "title" : "Werner syndrome helicase contains a 5'-&gt;3' exonuclease activity that digests DNA and RNA strands in DNA/DNA and RNA/DNA duplexes dependent on unwinding", "type" : "article-journal", "volume" : "27" }, "uris" : [ "http://www.mendeley.com/documents/?uuid=4a83d3b8-6be2-4cf4-8b34-3eceadb1bc3b" ] }, { "id" : "ITEM-4", "itemData" : { "author" : [ { "dropping-particle" : "", "family" : "Huang", "given" : "Shurong", "non-dropping-particle" : "", "parse-names" : false, "suffix" : "" }, { "dropping-particle" : "", "family" : "Beresten", "given" : "Sergey", "non-dropping-particle" : "", "parse-names" : false, "suffix" : "" }, { "dropping-particle" : "", "family" : "Li", "given" : "Baomin", "non-dropping-particle" : "", "parse-names" : false, "suffix" : "" }, { "dropping-particle" : "", "family" : "Oshima", "given" : "Junko", "non-dropping-particle" : "", "parse-names" : false, "suffix" : "" }, { "dropping-particle" : "", "family" : "Ellis", "given" : "Nathan A", "non-dropping-particle" : "", "parse-names" : false, "suffix" : "" }, { "dropping-particle" : "", "family" : "Campisi", "given" : "Judith", "non-dropping-particle" : "", "parse-names" : false, "suffix" : "" } ], "container-title" : "Nucleic Acids Research", "id" : "ITEM-4", "issue" : "12", "issued" : { "date-parts" : [ [ "2000" ] ] }, "page" : "2396-2405", "title" : "Characterization of the human and mouse WRN 3\u2032\u21925\u2032 exonuclease", "type" : "article-journal", "volume" : "28" }, "uris" : [ "http://www.mendeley.com/documents/?uuid=7fb7d818-6bc9-4f08-bf5e-adb4f8d008c4" ] } ], "mendeley" : { "formattedCitation" : "(Shen 1998; Kamath-Loeb 1998; Suzuki et al. 1999; Huang et al. 2000)", "plainTextFormattedCitation" : "(Shen 1998; Kamath-Loeb 1998; Suzuki et al. 1999; Huang et al. 2000)", "previouslyFormattedCitation" : "(Shen 1998; Kamath-Loeb 1998; Suzuki et al. 1999; Huang et al. 2000)"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(Shen 1998; Kamath-Loeb 1998; Suzuki et al. 1999; Huang et al. 2000)</w:t>
      </w:r>
      <w:r w:rsidR="00F20EC0" w:rsidRPr="00DF0680">
        <w:rPr>
          <w:rFonts w:cs="Times New Roman"/>
          <w:color w:val="auto"/>
        </w:rPr>
        <w:fldChar w:fldCharType="end"/>
      </w:r>
      <w:r w:rsidR="002A5F1E" w:rsidRPr="00DF0680">
        <w:rPr>
          <w:rFonts w:cs="Times New Roman"/>
          <w:color w:val="auto"/>
        </w:rPr>
        <w:t xml:space="preserve">. </w:t>
      </w:r>
      <w:r w:rsidR="003861BF" w:rsidRPr="00DF0680">
        <w:rPr>
          <w:rFonts w:cs="Times New Roman"/>
          <w:color w:val="auto"/>
        </w:rPr>
        <w:t xml:space="preserve">By using </w:t>
      </w:r>
      <w:r w:rsidR="00E83544" w:rsidRPr="00DF0680">
        <w:rPr>
          <w:rFonts w:cs="Times New Roman"/>
          <w:color w:val="auto"/>
        </w:rPr>
        <w:t>its</w:t>
      </w:r>
      <w:r w:rsidR="003861BF" w:rsidRPr="00DF0680">
        <w:rPr>
          <w:rFonts w:cs="Times New Roman"/>
          <w:color w:val="auto"/>
        </w:rPr>
        <w:t xml:space="preserve"> exonuclease activity to digest the leading </w:t>
      </w:r>
      <w:r w:rsidR="00E83544" w:rsidRPr="00DF0680">
        <w:rPr>
          <w:rFonts w:cs="Times New Roman"/>
          <w:color w:val="auto"/>
        </w:rPr>
        <w:t xml:space="preserve">daughter </w:t>
      </w:r>
      <w:r w:rsidR="003861BF" w:rsidRPr="00DF0680">
        <w:rPr>
          <w:rFonts w:cs="Times New Roman"/>
          <w:color w:val="auto"/>
        </w:rPr>
        <w:t>strand, WRN can enhance regression of stalled forks</w:t>
      </w:r>
      <w:r w:rsidR="00E83544" w:rsidRPr="00DF0680">
        <w:rPr>
          <w:rFonts w:cs="Times New Roman"/>
          <w:color w:val="auto"/>
        </w:rPr>
        <w:t xml:space="preserve"> and formation of daughter strand duplexes</w:t>
      </w:r>
      <w:r w:rsidR="00AF7863" w:rsidRPr="00DF0680">
        <w:rPr>
          <w:rFonts w:cs="Times New Roman"/>
          <w:color w:val="auto"/>
        </w:rPr>
        <w:t xml:space="preserve"> </w:t>
      </w:r>
      <w:r w:rsidR="00AF7863" w:rsidRPr="00DF0680">
        <w:rPr>
          <w:rFonts w:cs="Times New Roman"/>
          <w:i/>
          <w:color w:val="auto"/>
        </w:rPr>
        <w:t>in vitro</w:t>
      </w:r>
      <w:r w:rsidR="00E83544" w:rsidRPr="00DF0680">
        <w:rPr>
          <w:rFonts w:cs="Times New Roman"/>
          <w:color w:val="auto"/>
        </w:rPr>
        <w:t xml:space="preserv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"10.1093/nar/gkm561", "ISSN" : "1362-4962", "PMID" : "17717003", "abstract" : "The premature aging and cancer-prone disease Werner syndrome stems from loss of WRN protein function. WRN deficiency causes replication abnormalities, sensitivity to certain genotoxic agents, genomic instability and early replicative senescence in primary fibroblasts. As a RecQ helicase family member, WRN is a DNA-dependent ATPase and unwinding enzyme, but also possesses strand annealing and exonuclease activities. RecQ helicases are postulated to participate in pathways responding to replication blockage, pathways possibly initiated by fork regression. In this study, a series of model replication fork substrates were used to examine the fork regression capability of WRN. Our results demonstrate that WRN catalyzes fork regression and Holliday junction formation. This process is an ATP-dependent reaction that is particularly efficient on forks containing single-stranded gaps of at least 11-13 nt on the leading arm at the fork junction. Importantly, WRN exonuclease activity, by digesting the leading daughter strand, enhances regression of forks with smaller gaps on the leading arm, thus creating an optimal structure for regression. Our results suggest that the multiple activities of WRN cooperate to promote replication fork regression. These findings, along with the established cellular consequences of WRN deficiency, strongly support a role for WRN in regression of blocked replication forks.", "author" : [ { "dropping-particle" : "", "family" : "Machwe", "given" : "Amrita", "non-dropping-particle" : "", "parse-names" : false, "suffix" : "" }, { "dropping-particle" : "", "family" : "Xiao", "given" : "Liren", "non-dropping-particle" : "", "parse-names" : false, "suffix" : "" }, { "dropping-particle" : "", "family" : "Lloyd", "given" : "Robert G", "non-dropping-particle" : "", "parse-names" : false, "suffix" : "" }, { "dropping-particle" : "", "family" : "Bolt", "given" : "Edward", "non-dropping-particle" : "", "parse-names" : false, "suffix" : "" }, { "dropping-particle" : "", "family" : "Orren", "given" : "David K", "non-dropping-particle" : "", "parse-names" : false, "suffix" : "" } ], "container-title" : "Nucleic Acids Research", "id" : "ITEM-1", "issue" : "17", "issued" : { "date-parts" : [ [ "2007", "1" ] ] }, "page" : "5729-47", "title" : "Replication fork regression in vitro by the Werner syndrome protein (WRN): holliday junction formation, the effect of leading arm structure and a potential role for WRN exonuclease activity.", "type" : "article-journal", "volume" : "35" }, "uris" : [ "http://www.mendeley.com/documents/?uuid=33166ee7-9678-4bbc-a841-316d6fc62dd8" ] } ], "mendeley" : { "formattedCitation" : "(Machwe et al. 2007)", "plainTextFormattedCitation" : "(Machwe et al. 2007)", "previouslyFormattedCitation" : "(Machwe et al. 2007)"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(Machwe et al. 2007)</w:t>
      </w:r>
      <w:r w:rsidR="00F20EC0" w:rsidRPr="00DF0680">
        <w:rPr>
          <w:rFonts w:cs="Times New Roman"/>
          <w:color w:val="auto"/>
        </w:rPr>
        <w:fldChar w:fldCharType="end"/>
      </w:r>
      <w:r w:rsidR="00E83544" w:rsidRPr="00DF0680">
        <w:rPr>
          <w:rFonts w:cs="Times New Roman"/>
          <w:color w:val="auto"/>
        </w:rPr>
        <w:t>.</w:t>
      </w:r>
    </w:p>
    <w:p w:rsidR="001402CC" w:rsidRPr="00DF0680" w:rsidRDefault="000C140C" w:rsidP="00213580">
      <w:pPr>
        <w:rPr>
          <w:rFonts w:cs="Times New Roman"/>
          <w:color w:val="auto"/>
        </w:rPr>
      </w:pPr>
      <w:r w:rsidRPr="00DF0680">
        <w:rPr>
          <w:rFonts w:cs="Times New Roman"/>
          <w:color w:val="auto"/>
        </w:rPr>
        <w:t xml:space="preserve">Like other previously mentioned RECQ helicases, WRN has a role in homologous recombination. WRN interacts functionally with the HR proteins Rad52, RPA, and co-localizes with RPA and Rad51 at nuclear foci in response to DNA damage </w:t>
      </w:r>
      <w:r w:rsidR="00F20EC0" w:rsidRPr="00DF0680">
        <w:rPr>
          <w:rFonts w:cs="Times New Roman"/>
          <w:color w:val="auto"/>
        </w:rPr>
        <w:fldChar w:fldCharType="begin" w:fldLock="1"/>
      </w:r>
      <w:r w:rsidR="00472A2F" w:rsidRPr="00DF0680">
        <w:rPr>
          <w:rFonts w:cs="Times New Roman"/>
          <w:color w:val="auto"/>
        </w:rPr>
        <w:instrText>ADDIN CSL_CITATION { "citationItems" : [ { "id" : "ITEM-1", "itemData" : { "DOI" : "10.1046/j.1365-2443.2001.00433.x", "ISSN" : "1356-9597", "author" : [ { "dropping-particle" : "", "family" : "Sakamoto", "given" : "Shuichi", "non-dropping-particle" : "", "parse-names" : false, "suffix" : "" }, { "dropping-particle" : "", "family" : "Nishikawa", "given" : "Kaori", "non-dropping-particle" : "", "parse-names" : false, "suffix" : "" }, { "dropping-particle" : "", "family" : "Heo", "given" : "Seok-Jin", "non-dropping-particle" : "", "parse-names" : false, "suffix" : "" }, { "dropping-particle" : "", "family" : "Goto", "given" : "Makoto", "non-dropping-particle" : "", "parse-names" : false, "suffix" : "" }, { "dropping-particle" : "", "family" : "Furuichi", "given" : "Yasuhiro", "non-dropping-particle" : "", "parse-names" : false, "suffix" : "" }, { "dropping-particle" : "", "family" : "Shimamoto", "given" : "Akira", "non-dropping-particle" : "", "parse-names" : false, "suffix" : "" } ], "container-title" : "Genes to Cells", "id" : "ITEM-1", "issue" : "5", "issued" : { "date-parts" : [ [ "2001", "5" ] ] }, "page" : "421-430", "title" : "Werner helicase relocates into nuclear foci in response to DNA damaging agents and co-localizes with RPA and Rad51", "type" : "article-journal", "volume" : "6" }, "uris" : [ "http://www.mendeley.com/documents/?uuid=722dd690-d03f-4643-88bf-405f50f1d965" ] }, { "id" : "ITEM-2", "itemData" : { "DOI" : "10.1074/jbc.274.26.18341", "ISSN" : "0021-9258", "author" : [ { "dropping-particle" : "", "family" : "Brosh", "given" : "R. M.", "non-dropping-particle" : "", "parse-names" : false, "suffix" : "" }, { "dropping-particle" : "", "family" : "Orren", "given" : "D. K.", "non-dropping-particle" : "", "parse-names" : false, "suffix" : "" }, { "dropping-particle" : "", "family" : "Nehlin", "given" : "J. O.", "non-dropping-particle" : "", "parse-names" : false, "suffix" : "" }, { "dropping-particle" : "", "family" : "Ravn", "given" : "P. H.", "non-dropping-particle" : "", "parse-names" : false, "suffix" : "" }, { "dropping-particle" : "", "family" : "Kenny", "given" : "M. K.", "non-dropping-particle" : "", "parse-names" : false, "suffix" : "" }, { "dropping-particle" : "", "family" : "Machwe", "given" : "a.", "non-dropping-particle" : "", "parse-names" : false, "suffix" : "" }, { "dropping-particle" : "", "family" : "Bohr", "given" : "V. a.", "non-dropping-particle" : "", "parse-names" : false, "suffix" : "" } ], "container-title" : "Journal of Biological Chemistry", "id" : "ITEM-2", "issue" : "26", "issued" : { "date-parts" : [ [ "1999", "6", "25" ] ] }, "page" : "18341-18350", "title" : "Functional and Physical Interaction between WRN Helicase and Human Replication Protein A", "type" : "article-journal", "volume" : "274" }, "uris" : [ "http://www.mendeley.com/documents/?uuid=73f067a6-5cbd-4d17-a460-da810f9d3c0d" ] }, { "id" : "ITEM-3", "itemData" : { "DOI" : "10.1074/jbc.M303885200", "ISSN" : "0021-9258", "PMID" : "12750383", "abstract" : "Werner syndrome (WS) is a premature aging disorder that predisposes affected individuals to cancer development. The affected gene, WRN, encodes an RecQ homologue whose precise biological function remains elusive. Altered DNA recombination is a hallmark of WS cells suggesting that WRN plays an important role in these pathways. Here we report a novel physical and functional interaction between WRN and the homologous recombination mediator protein RAD52. Fluorescence resonance energy transfer (FRET) analyses show that WRN and RAD52 form a complex in vivo that co-localizes in foci associated with arrested replication forks. Biochemical studies demonstrate that RAD52 both inhibits and enhances WRN helicase activity in a DNA structure-dependent manner, whereas WRN increases the efficiency of RAD52-mediated strand annealing between non-duplex DNA and homologous sequences contained within a double-stranded plasmid. These results suggest that coordinated WRN and RAD52 activities are involved in replication fork rescue after DNA damage.", "author" : [ { "dropping-particle" : "", "family" : "Baynton", "given" : "Kathy", "non-dropping-particle" : "", "parse-names" : false, "suffix" : "" }, { "dropping-particle" : "", "family" : "Otterlei", "given" : "Marit", "non-dropping-particle" : "", "parse-names" : false, "suffix" : "" }, { "dropping-particle" : "", "family" : "Bj\u00f8r\u00e5s", "given" : "Magnar", "non-dropping-particle" : "", "parse-names" : false, "suffix" : "" }, { "dropping-particle" : "", "family" : "Kobbe", "given" : "Cayetano", "non-dropping-particle" : "von", "parse-names" : false, "suffix" : "" }, { "dropping-particle" : "", "family" : "Bohr", "given" : "Vilhelm a", "non-dropping-particle" : "", "parse-names" : false, "suffix" : "" }, { "dropping-particle" : "", "family" : "Seeberg", "given" : "Erling", "non-dropping-particle" : "", "parse-names" : false, "suffix" : "" } ], "container-title" : "The Journal of Biological Chemistry", "id" : "ITEM-3", "issue" : "38", "issued" : { "date-parts" : [ [ "2003", "9", "19" ] ] }, "page" : "36476-86", "title" : "WRN interacts physically and functionally with the recombination mediator protein RAD52.", "type" : "article-journal", "volume" : "278" }, "uris" : [ "http://www.mendeley.com/documents/?uuid=06a8d484-b0ab-4759-8124-17f2e773206d" ] } ], "mendeley" : { "formattedCitation" : "(Sakamoto et al. 2001; Brosh et al. 1999; Baynton et al. 2003)", "plainTextFormattedCitation" : "(Sakamoto et al. 2001; Brosh et al. 1999; Baynton et al. 2003)", "previouslyFormattedCitation" : "(Sakamoto et al. 2001; Brosh et al. 1999; Baynton et al. 2003)" }, "properties" : { "noteIndex" : 0 }, "schema" : "https://github.com/citation-style-language/schema/raw/master/csl-citation.json" }</w:instrText>
      </w:r>
      <w:r w:rsidR="00F20EC0" w:rsidRPr="00DF0680">
        <w:rPr>
          <w:rFonts w:cs="Times New Roman"/>
          <w:color w:val="auto"/>
        </w:rPr>
        <w:fldChar w:fldCharType="separate"/>
      </w:r>
      <w:r w:rsidR="00472A2F" w:rsidRPr="00DF0680">
        <w:rPr>
          <w:rFonts w:cs="Times New Roman"/>
          <w:color w:val="auto"/>
        </w:rPr>
        <w:t>(Sakamoto et al. 2001; Brosh et al. 1999; Baynton et al. 2003)</w:t>
      </w:r>
      <w:r w:rsidR="00F20EC0" w:rsidRPr="00DF0680">
        <w:rPr>
          <w:rFonts w:cs="Times New Roman"/>
          <w:color w:val="auto"/>
        </w:rPr>
        <w:fldChar w:fldCharType="end"/>
      </w:r>
      <w:r w:rsidRPr="00DF0680">
        <w:rPr>
          <w:rFonts w:cs="Times New Roman"/>
          <w:color w:val="auto"/>
        </w:rPr>
        <w:t xml:space="preserve">. Suppression of RAD51-dependent HR, and expression of WRN or the bacterial RusA resolvase rescued WRN cells’ sensitivity to DNA damage and HR defect </w:t>
      </w:r>
      <w:r w:rsidR="00F20EC0" w:rsidRPr="00DF0680">
        <w:rPr>
          <w:rFonts w:cs="Times New Roman"/>
          <w:color w:val="auto"/>
        </w:rPr>
        <w:fldChar w:fldCharType="begin" w:fldLock="1"/>
      </w:r>
      <w:r w:rsidR="00472A2F" w:rsidRPr="00DF0680">
        <w:rPr>
          <w:rFonts w:cs="Times New Roman"/>
          <w:color w:val="auto"/>
        </w:rPr>
        <w:instrText>ADDIN CSL_CITATION { "citationItems" : [ { "id" : "ITEM-1", "itemData" : { "DOI" : "10.1128/MCB.22.20.6971", "author" : [ { "dropping-particle" : "", "family" : "Saintigny", "given" : "Yannick", "non-dropping-particle" : "", "parse-names" : false, "suffix" : "" }, { "dropping-particle" : "", "family" : "Makienko", "given" : "Kate", "non-dropping-particle" : "", "parse-names" : false, "suffix" : "" }, { "dropping-particle" : "", "family" : "Swanson", "given" : "Cristina", "non-dropping-particle" : "", "parse-names" : false, "suffix" : "" }, { "dropping-particle" : "", "family" : "Emond", "given" : "Mary J", "non-dropping-particle" : "", "parse-names" : false, "suffix" : "" }, { "dropping-particle" : "", "family" : "Monnat", "given" : "Raymond J", "non-dropping-particle" : "", "parse-names" : false, "suffix" : "" } ], "container-title" : "Molecular and Cellular Biology", "id" : "ITEM-1", "issue" : "20", "issued" : { "date-parts" : [ [ "2002" ] ] }, "page" : "6971-8", "title" : "Homologous recombination resolution defect in Werner syndrome", "type" : "article-journal", "volume" : "22" }, "uris" : [ "http://www.mendeley.com/documents/?uuid=73242a33-9336-454d-9b15-7ec32e4bff82" ] } ], "mendeley" : { "formattedCitation" : "(Saintigny et al. 2002)", "plainTextFormattedCitation" : "(Saintigny et al. 2002)", "previouslyFormattedCitation" : "(Saintigny et al. 2002)" }, "properties" : { "noteIndex" : 0 }, "schema" : "https://github.com/citation-style-language/schema/raw/master/csl-citation.json" }</w:instrText>
      </w:r>
      <w:r w:rsidR="00F20EC0" w:rsidRPr="00DF0680">
        <w:rPr>
          <w:rFonts w:cs="Times New Roman"/>
          <w:color w:val="auto"/>
        </w:rPr>
        <w:fldChar w:fldCharType="separate"/>
      </w:r>
      <w:r w:rsidR="00472A2F" w:rsidRPr="00DF0680">
        <w:rPr>
          <w:rFonts w:cs="Times New Roman"/>
          <w:color w:val="auto"/>
        </w:rPr>
        <w:t>(Saintigny et al. 2002)</w:t>
      </w:r>
      <w:r w:rsidR="00F20EC0" w:rsidRPr="00DF0680">
        <w:rPr>
          <w:rFonts w:cs="Times New Roman"/>
          <w:color w:val="auto"/>
        </w:rPr>
        <w:fldChar w:fldCharType="end"/>
      </w:r>
      <w:r w:rsidRPr="00DF0680">
        <w:rPr>
          <w:rFonts w:cs="Times New Roman"/>
          <w:color w:val="auto"/>
        </w:rPr>
        <w:t xml:space="preserve">. </w:t>
      </w:r>
      <w:r w:rsidR="00C674F3" w:rsidRPr="00DF0680">
        <w:rPr>
          <w:rFonts w:cs="Times New Roman"/>
          <w:color w:val="auto"/>
        </w:rPr>
        <w:t xml:space="preserve">The homologous </w:t>
      </w:r>
      <w:r w:rsidR="00C674F3" w:rsidRPr="00DF0680">
        <w:rPr>
          <w:rFonts w:cs="Times New Roman"/>
          <w:color w:val="auto"/>
        </w:rPr>
        <w:lastRenderedPageBreak/>
        <w:t xml:space="preserve">recombination defect seen in Werner syndrome is thought to result in a lack of repression of </w:t>
      </w:r>
      <w:r w:rsidR="000A1679" w:rsidRPr="00DF0680">
        <w:rPr>
          <w:rFonts w:cs="Times New Roman"/>
          <w:color w:val="auto"/>
        </w:rPr>
        <w:t>aberrant HR by Werner helicase.</w:t>
      </w:r>
    </w:p>
    <w:p w:rsidR="004732B6" w:rsidRPr="00DF0680" w:rsidRDefault="004732B6" w:rsidP="007B093E">
      <w:pPr>
        <w:rPr>
          <w:rFonts w:cs="Times New Roman"/>
        </w:rPr>
      </w:pPr>
      <w:r w:rsidRPr="00DF0680">
        <w:rPr>
          <w:rFonts w:cs="Times New Roman"/>
        </w:rPr>
        <w:t xml:space="preserve">WRN interacts with </w:t>
      </w:r>
      <w:r w:rsidR="007B6838" w:rsidRPr="00DF0680">
        <w:rPr>
          <w:rFonts w:cs="Times New Roman"/>
        </w:rPr>
        <w:t xml:space="preserve">a number of proteins involved in replication. </w:t>
      </w:r>
      <w:r w:rsidRPr="00DF0680">
        <w:rPr>
          <w:rFonts w:cs="Times New Roman"/>
        </w:rPr>
        <w:t>PCNA</w:t>
      </w:r>
      <w:r w:rsidR="009A5677" w:rsidRPr="00DF0680">
        <w:rPr>
          <w:rFonts w:cs="Times New Roman"/>
        </w:rPr>
        <w:t xml:space="preserve"> and Topoisomerase I have been shown to bind to WRN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"Huang", "given" : "Shurong", "non-dropping-particle" : "", "parse-names" : false, "suffix" : "" }, { "dropping-particle" : "", "family" : "Beresten", "given" : "Sergey", "non-dropping-particle" : "", "parse-names" : false, "suffix" : "" }, { "dropping-particle" : "", "family" : "Li", "given" : "Baomin", "non-dropping-particle" : "", "parse-names" : false, "suffix" : "" }, { "dropping-particle" : "", "family" : "Oshima", "given" : "Junko", "non-dropping-particle" : "", "parse-names" : false, "suffix" : "" }, { "dropping-particle" : "", "family" : "Ellis", "given" : "Nathan A", "non-dropping-particle" : "", "parse-names" : false, "suffix" : "" }, { "dropping-particle" : "", "family" : "Campisi", "given" : "Judith", "non-dropping-particle" : "", "parse-names" : false, "suffix" : "" } ], "container-title" : "Nucleic Acids Research", "id" : "ITEM-1", "issue" : "12", "issued" : { "date-parts" : [ [ "2000" ] ] }, "page" : "2396-2405", "title" : "Characterization of the human and mouse WRN 3\u2032\u21925\u2032 exonuclease", "type" : "article-journal", "volume" : "28" }, "uris" : [ "http://www.mendeley.com/documents/?uuid=7fb7d818-6bc9-4f08-bf5e-adb4f8d008c4" ] }, { "id" : "ITEM-2", "itemData" : { "author" : [ { "dropping-particle" : "", "family" : "Rodr\u0131guez-Lopez", "given" : "Ana M", "non-dropping-particle" : "", "parse-names" : false, "suffix" : "" }, { "dropping-particle" : "", "family" : "Jackson", "given" : "Dean A", "non-dropping-particle" : "", "parse-names" : false, "suffix" : "" }, { "dropping-particle" : "", "family" : "Nehlin", "given" : "Jan O", "non-dropping-particle" : "", "parse-names" : false, "suffix" : "" }, { "dropping-particle" : "", "family" : "Iborra", "given" : "Francisco", "non-dropping-particle" : "", "parse-names" : false, "suffix" : "" }, { "dropping-particle" : "V", "family" : "Warren", "given" : "Anna", "non-dropping-particle" : "", "parse-names" : false, "suffix" : "" }, { "dropping-particle" : "", "family" : "Cox", "given" : "Lynne S", "non-dropping-particle" : "", "parse-names" : false, "suffix" : "" } ], "container-title" : "Mechanisms of Ageing and Development", "id" : "ITEM-2", "issue" : "2", "issued" : { "date-parts" : [ [ "2003" ] ] }, "page" : "167-174", "title" : "Characterisation of the interaction between WRN, the helicase/exonuclease defective in progeroid Werner\u2019s syndrome, and an essential replication factor, PCNA", "type" : "article-journal", "volume" : "124" }, "uris" : [ "http://www.mendeley.com/documents/?uuid=a2e995f8-dd5f-4657-8e03-c18ae855db9e" ] }, { "id" : "ITEM-3", "itemData" : { "DOI" : "10.1074/jbc.274.53.37795", "ISBN" : "6174327663", "ISSN" : "0021-9258", "author" : [ { "dropping-particle" : "", "family" : "Lebel", "given" : "M.", "non-dropping-particle" : "", "parse-names" : false, "suffix" : "" }, { "dropping-particle" : "", "family" : "Spillare", "given" : "E. a.", "non-dropping-particle" : "", "parse-names" : false, "suffix" : "" }, { "dropping-particle" : "", "family" : "Harris", "given" : "C. C.", "non-dropping-particle" : "", "parse-names" : false, "suffix" : "" }, { "dropping-particle" : "", "family" : "Leder", "given" : "P.", "non-dropping-particle" : "", "parse-names" : false, "suffix" : "" } ], "container-title" : "Journal of Biological Chemistry", "id" : "ITEM-3", "issue" : "53", "issued" : { "date-parts" : [ [ "1999", "12", "31" ] ] }, "page" : "37795-37799", "title" : "The Werner Syndrome Gene Product Co-purifies with the DNA Replication Complex and Interacts with PCNA and Topoisomerase I", "type" : "article-journal", "volume" : "274" }, "uris" : [ "http://www.mendeley.com/documents/?uuid=5d40a6f1-f79b-4ab8-a1dc-88df577bc9cf" ] } ], "mendeley" : { "formattedCitation" : "(Huang et al. 2000; Rodr\u0131guez-Lopez et al. 2003; Lebel et al. 1999)", "plainTextFormattedCitation" : "(Huang et al. 2000; Rodr\u0131guez-Lopez et al. 2003; Lebel et al. 1999)", "previouslyFormattedCitation" : "(Huang et al. 2000; Rodr\u0131guez-Lopez et al. 2003; Lebel et al. 1999)"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(Huang et al. 2000; Rodrıguez-Lopez et al. 2003; Lebel et al. 1999)</w:t>
      </w:r>
      <w:r w:rsidR="00F20EC0" w:rsidRPr="00DF0680">
        <w:rPr>
          <w:rFonts w:cs="Times New Roman"/>
        </w:rPr>
        <w:fldChar w:fldCharType="end"/>
      </w:r>
      <w:r w:rsidR="009A5677" w:rsidRPr="00DF0680">
        <w:rPr>
          <w:rFonts w:cs="Times New Roman"/>
        </w:rPr>
        <w:t xml:space="preserve"> as well as polymerase δ </w:t>
      </w:r>
      <w:r w:rsidR="00F20EC0" w:rsidRPr="00DF0680">
        <w:rPr>
          <w:rFonts w:cs="Times New Roman"/>
        </w:rPr>
        <w:fldChar w:fldCharType="begin" w:fldLock="1"/>
      </w:r>
      <w:r w:rsidR="00525765" w:rsidRPr="00DF0680">
        <w:rPr>
          <w:rFonts w:cs="Times New Roman"/>
        </w:rPr>
        <w:instrText>ADDIN CSL_CITATION { "citationItems" : [ { "id" : "ITEM-1", "itemData" : { "DOI" : "10.1073/pnas.97.9.4603", "ISSN" : "0027-8424", "author" : [ { "dropping-particle" : "", "family" : "Kamath-Loeb", "given" : "a. S.", "non-dropping-particle" : "", "parse-names" : false, "suffix" : "" }, { "dropping-particle" : "", "family" : "Johansson", "given" : "E.", "non-dropping-particle" : "", "parse-names" : false, "suffix" : "" }, { "dropping-particle" : "", "family" : "Burgers", "given" : "P. M. J.", "non-dropping-particle" : "", "parse-names" : false, "suffix" : "" }, { "dropping-particle" : "", "family" : "Loeb", "given" : "L. a.", "non-dropping-particle" : "", "parse-names" : false, "suffix" : "" } ], "container-title" : "Proceedings of the National Academy of Sciences", "id" : "ITEM-1", "issue" : "9", "issued" : { "date-parts" : [ [ "2000", "4", "25" ] ] }, "page" : "4603-4608", "title" : "Functional interaction between the Werner Syndrome protein and DNA polymerase delta", "type" : "article-journal", "volume" : "97" }, "uris" : [ "http://www.mendeley.com/documents/?uuid=c04a462f-a29c-4284-9535-45651dc56e58" ] } ], "mendeley" : { "formattedCitation" : "(Kamath-Loeb et al. 2000)", "plainTextFormattedCitation" : "(Kamath-Loeb et al. 2000)", "previouslyFormattedCitation" : "(Kamath-Loeb et al. 2000)"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(Kamath-Loeb et al. 2000)</w:t>
      </w:r>
      <w:r w:rsidR="00F20EC0" w:rsidRPr="00DF0680">
        <w:rPr>
          <w:rFonts w:cs="Times New Roman"/>
        </w:rPr>
        <w:fldChar w:fldCharType="end"/>
      </w:r>
      <w:r w:rsidR="009A5677" w:rsidRPr="00DF0680">
        <w:rPr>
          <w:rFonts w:cs="Times New Roman"/>
        </w:rPr>
        <w:t xml:space="preserve">. </w:t>
      </w:r>
      <w:r w:rsidR="007B093E" w:rsidRPr="00DF0680">
        <w:rPr>
          <w:rFonts w:cs="Times New Roman"/>
        </w:rPr>
        <w:t xml:space="preserve">WRN increases the initiation rate of DNA synthesis and primer extension by polymerase δ, and it is thought that WRN and polymerase δ work together to degrade and replicate difficult areas of DNA secondary structure such a G-quadruplex, hairpins and DNA bubbles </w:t>
      </w:r>
      <w:r w:rsidR="00F20EC0" w:rsidRPr="00DF0680">
        <w:rPr>
          <w:rFonts w:cs="Times New Roman"/>
        </w:rPr>
        <w:fldChar w:fldCharType="begin" w:fldLock="1"/>
      </w:r>
      <w:r w:rsidR="004C2C43" w:rsidRPr="00DF0680">
        <w:rPr>
          <w:rFonts w:cs="Times New Roman"/>
        </w:rPr>
        <w:instrText>ADDIN CSL_CITATION { "citationItems" : [ { "id" : "ITEM-1", "itemData" : { "DOI" : "10.1074/jbc.M100253200", "ISSN" : "0021-9258", "PMID" : "11279038", "abstract" : "Werner syndrome (WS) is an inherited disorder characterized by premature aging and genomic instability. The protein encoded by the WS gene, WRN, possesses intrinsic 3' --&gt; 5' DNA helicase and 3' --&gt; 5' DNA exonuclease activities. WRN helicase resolves alternate DNA structures including tetraplex and triplex DNA, and Holliday junctions. Thus, one function of WRN may be to unwind secondary structures that impede cellular DNA transactions. We report here that hairpin and G'2 bimolecular tetraplex structures of the fragile X expanded sequence, d(CGG)(n), effectively impede synthesis by three eukaryotic replicative DNA polymerases (pol): pol alpha, pol delta, and pol epsilon. The constraints imposed on pol delta-catalyzed synthesis are relieved, however, by WRN; WRN facilitates pol delta to traverse these template secondary structures to synthesize full-length DNA products. The alleviatory effect of WRN is limited to pol delta; neither pol alpha nor pol epsilon can traverse template d(CGG)(n) hairpin and tetraplex structures in the presence of WRN. Alleviation of pausing by pol delta is observed with Escherichia coli RecQ but not with UvrD helicase, suggesting a concerted action of RecQ helicases and pol delta. Our findings suggest a possible role of WRN in rescuing pol delta-mediated replication at forks stalled by unusual DNA secondary structures.", "author" : [ { "dropping-particle" : "", "family" : "Kamath-Loeb", "given" : "a S", "non-dropping-particle" : "", "parse-names" : false, "suffix" : "" }, { "dropping-particle" : "", "family" : "Loeb", "given" : "L a", "non-dropping-particle" : "", "parse-names" : false, "suffix" : "" }, { "dropping-particle" : "", "family" : "Johansson", "given" : "E", "non-dropping-particle" : "", "parse-names" : false, "suffix" : "" }, { "dropping-particle" : "", "family" : "Burgers", "given" : "P M", "non-dropping-particle" : "", "parse-names" : false, "suffix" : "" }, { "dropping-particle" : "", "family" : "Fry", "given" : "M", "non-dropping-particle" : "", "parse-names" : false, "suffix" : "" } ], "container-title" : "The Journal of Biological Chemistry", "id" : "ITEM-1", "issue" : "19", "issued" : { "date-parts" : [ [ "2001", "5", "11" ] ] }, "page" : "16439-46", "title" : "Interactions between the Werner syndrome helicase and DNA polymerase delta specifically facilitate copying of tetraplex and hairpin structures of the d(CGG)n trinucleotide repeat sequence.", "type" : "article-journal", "volume" : "276" }, "uris" : [ "http://www.mendeley.com/documents/?uuid=7776aed4-f6b3-4a62-82e5-f16fdefddcff" ] }, { "id" : "ITEM-2", "itemData" : { "DOI" : "10.1074/jbc.M111.332577", "ISSN" : "1083-351X", "PMID" : "22351772", "abstract" : "DNA Polymerase \u03b4 (Pol \u03b4) and the Werner syndrome protein, WRN, are involved in maintaining cellular genomic stability. Pol \u03b4 synthesizes the lagging strand during replication of genomic DNA and also functions in the synthesis steps of DNA repair and recombination. WRN is a member of the RecQ helicase family, loss of which results in the premature aging and cancer-prone disorder, Werner syndrome. Both Pol \u03b4 and WRN encode 3' \u2192 5' DNA exonuclease activities. Pol \u03b4 exonuclease removes 3'-terminal mismatched nucleotides incorporated during replication to ensure high fidelity DNA synthesis. WRN exonuclease degrades DNA containing alternate secondary structures to prevent formation and enable resolution of stalled replication forks. We now observe that similarly to WRN, Pol \u03b4 degrades alternate DNA structures including bubbles, four-way junctions, and D-loops. Moreover, WRN and Pol \u03b4 form a complex with enhanced ability to hydrolyze these structures. We also present evidence that WRN can proofread for Pol \u03b4; WRN excises 3'-terminal mismatches to enable primer extension by Pol \u03b4. Consistent with our in vitro observations, we show that WRN contributes to the maintenance of DNA synthesis fidelity in vivo. Cells expressing limiting amounts (\u223c10% of normal) of WRN have elevated mutation frequencies compared with wild-type cells. Together, our data highlight the importance of WRN exonuclease activity and its cooperativity with Pol \u03b4 in preserving genome stability, which is compromised by the loss of WRN in Werner syndrome.", "author" : [ { "dropping-particle" : "", "family" : "Kamath-Loeb", "given" : "Ashwini S", "non-dropping-particle" : "", "parse-names" : false, "suffix" : "" }, { "dropping-particle" : "", "family" : "Shen", "given" : "Jiang-Cheng", "non-dropping-particle" : "", "parse-names" : false, "suffix" : "" }, { "dropping-particle" : "", "family" : "Schmitt", "given" : "Michael W", "non-dropping-particle" : "", "parse-names" : false, "suffix" : "" }, { "dropping-particle" : "", "family" : "Loeb", "given" : "Lawrence a", "non-dropping-particle" : "", "parse-names" : false, "suffix" : "" } ], "container-title" : "The Journal of Biological Chemistry", "id" : "ITEM-2", "issue" : "15", "issued" : { "date-parts" : [ [ "2012", "4", "6" ] ] }, "page" : "12480-90", "title" : "The Werner syndrome exonuclease facilitates DNA degradation and high fidelity DNA polymerization by human DNA polymerase \u03b4.", "type" : "article-journal", "volume" : "287" }, "uris" : [ "http://www.mendeley.com/documents/?uuid=d8d84243-548a-479a-8431-9e1196227bf8" ] }, { "id" : "ITEM-3", "itemData" : { "author" : [ { "dropping-particle" : "", "family" : "Shen", "given" : "Jiang-cheng", "non-dropping-particle" : "", "parse-names" : false, "suffix" : "" }, { "dropping-particle" : "", "family" : "Loeb", "given" : "Lawrence A", "non-dropping-particle" : "", "parse-names" : false, "suffix" : "" } ], "container-title" : "Nucleic Acids Research", "id" : "ITEM-3", "issue" : "17", "issued" : { "date-parts" : [ [ "2000" ] ] }, "page" : "3260-3268", "title" : "Werner syndrome exonuclease catalyzes structure-dependent degradation of DNA", "type" : "article-journal", "volume" : "28" }, "uris" : [ "http://www.mendeley.com/documents/?uuid=a1e762c7-0553-4447-82ae-7f1f10d5455f" ] }, { "id" : "ITEM-4", "itemData" : { "DOI" : "10.1073/pnas.97.9.4603", "ISSN" : "0027-8424", "author" : [ { "dropping-particle" : "", "family" : "Kamath-Loeb", "given" : "a. S.", "non-dropping-particle" : "", "parse-names" : false, "suffix" : "" }, { "dropping-particle" : "", "family" : "Johansson", "given" : "E.", "non-dropping-particle" : "", "parse-names" : false, "suffix" : "" }, { "dropping-particle" : "", "family" : "Burgers", "given" : "P. M. J.", "non-dropping-particle" : "", "parse-names" : false, "suffix" : "" }, { "dropping-particle" : "", "family" : "Loeb", "given" : "L. a.", "non-dropping-particle" : "", "parse-names" : false, "suffix" : "" } ], "container-title" : "Proceedings of the National Academy of Sciences", "id" : "ITEM-4", "issue" : "9", "issued" : { "date-parts" : [ [ "2000", "4", "25" ] ] }, "page" : "4603-4608", "title" : "Functional interaction between the Werner Syndrome protein and DNA polymerase delta", "type" : "article-journal", "volume" : "97" }, "uris" : [ "http://www.mendeley.com/documents/?uuid=c04a462f-a29c-4284-9535-45651dc56e58" ] }, { "id" : "ITEM-5", "itemData" : { "author" : [ { "dropping-particle" : "", "family" : "Rodr\u00edguez-L\u00f3pez", "given" : "Ana M", "non-dropping-particle" : "", "parse-names" : false, "suffix" : "" }, { "dropping-particle" : "", "family" : "Jackson", "given" : "Dean A", "non-dropping-particle" : "", "parse-names" : false, "suffix" : "" }, { "dropping-particle" : "", "family" : "Iborra", "given" : "Francisco", "non-dropping-particle" : "", "parse-names" : false, "suffix" : "" }, { "dropping-particle" : "", "family" : "Cox", "given" : "Lynne S", "non-dropping-particle" : "", "parse-names" : false, "suffix" : "" } ], "container-title" : "Aging Cell", "id" : "ITEM-5", "issue" : "1", "issued" : { "date-parts" : [ [ "2002" ] ] }, "page" : "30-39", "title" : "Asymmetry of DNA replication fork progression in Werner\u2019s syndrome", "type" : "article-journal", "volume" : "1" }, "uris" : [ "http://www.mendeley.com/documents/?uuid=ecb57a06-0a76-4e89-b16d-46545149ff0b" ] } ], "mendeley" : { "formattedCitation" : "(Kamath-Loeb et al. 2001; Kamath-Loeb et al. 2012; Shen &amp; Loeb 2000; Kamath-Loeb et al. 2000; Rodr\u00edguez-L\u00f3pez et al. 2002)", "plainTextFormattedCitation" : "(Kamath-Loeb et al. 2001; Kamath-Loeb et al. 2012; Shen &amp; Loeb 2000; Kamath-Loeb et al. 2000; Rodr\u00edguez-L\u00f3pez et al. 2002)", "previouslyFormattedCitation" : "(Kamath-Loeb et al. 2001; Kamath-Loeb et al. 2012; Shen &amp; Loeb 2000; Kamath-Loeb et al. 2000; Rodr\u00edguez-L\u00f3pez et al. 2002)" }, "properties" : { "noteIndex" : 0 }, "schema" : "https://github.com/citation-style-language/schema/raw/master/csl-citation.json" }</w:instrText>
      </w:r>
      <w:r w:rsidR="00F20EC0" w:rsidRPr="00DF0680">
        <w:rPr>
          <w:rFonts w:cs="Times New Roman"/>
        </w:rPr>
        <w:fldChar w:fldCharType="separate"/>
      </w:r>
      <w:r w:rsidR="00472A2F" w:rsidRPr="00DF0680">
        <w:rPr>
          <w:rFonts w:cs="Times New Roman"/>
        </w:rPr>
        <w:t>(Kamath-Loeb et al. 2001; Kamath-Loeb et al. 2012; Shen &amp; Loeb 2000; Kamath-Loeb et al. 2000; Rodríguez-López et al. 2002)</w:t>
      </w:r>
      <w:r w:rsidR="00F20EC0" w:rsidRPr="00DF0680">
        <w:rPr>
          <w:rFonts w:cs="Times New Roman"/>
        </w:rPr>
        <w:fldChar w:fldCharType="end"/>
      </w:r>
      <w:r w:rsidR="007B093E" w:rsidRPr="00DF0680">
        <w:rPr>
          <w:rFonts w:cs="Times New Roman"/>
        </w:rPr>
        <w:t xml:space="preserve">. </w:t>
      </w:r>
      <w:r w:rsidR="00AC4538" w:rsidRPr="00DF0680">
        <w:rPr>
          <w:rFonts w:cs="Times New Roman"/>
        </w:rPr>
        <w:t xml:space="preserve">WRN is also implicated in fork restart after replication arrest, possibly in complex with FEN1, with WS cells restarting in a MUS81-dependent recombination pathway </w:t>
      </w:r>
      <w:r w:rsidR="00F20EC0" w:rsidRPr="00DF0680">
        <w:rPr>
          <w:rFonts w:cs="Times New Roman"/>
        </w:rPr>
        <w:fldChar w:fldCharType="begin" w:fldLock="1"/>
      </w:r>
      <w:r w:rsidR="00B601B4" w:rsidRPr="00DF0680">
        <w:rPr>
          <w:rFonts w:cs="Times New Roman"/>
        </w:rPr>
        <w:instrText>ADDIN CSL_CITATION { "citationItems" : [ { "id" : "ITEM-1", "itemData" : { "author" : [ { "dropping-particle" : "", "family" : "Sidorova", "given" : "JM", "non-dropping-particle" : "", "parse-names" : false, "suffix" : "" }, { "dropping-particle" : "", "family" : "Li", "given" : "Nianzhen", "non-dropping-particle" : "", "parse-names" : false, "suffix" : "" }, { "dropping-particle" : "", "family" : "Folch", "given" : "A", "non-dropping-particle" : "", "parse-names" : false, "suffix" : "" }, { "dropping-particle" : "", "family" : "Monnat Jr.", "given" : "RJ", "non-dropping-particle" : "", "parse-names" : false, "suffix" : "" } ], "container-title" : "Cell Cycle", "id" : "ITEM-1", "issue" : "6", "issued" : { "date-parts" : [ [ "2008" ] ] }, "page" : "796-807", "title" : "The RecQ helicase WRN is required for normal replication fork progression after DNA damage or replication fork arrest", "type" : "article-journal", "volume" : "7" }, "uris" : [ "http://www.mendeley.com/documents/?uuid=9ec7f294-d968-4cf0-9689-4ab76476caa3" ] }, { "id" : "ITEM-2", "itemData" : { "DOI" : "10.1091/mbc.E03", "author" : [ { "dropping-particle" : "", "family" : "Sharma", "given" : "Sudha", "non-dropping-particle" : "", "parse-names" : false, "suffix" : "" }, { "dropping-particle" : "", "family" : "Otterlei", "given" : "Marit", "non-dropping-particle" : "", "parse-names" : false, "suffix" : "" }, { "dropping-particle" : "", "family" : "Sommers", "given" : "Joshua A", "non-dropping-particle" : "", "parse-names" : false, "suffix" : "" }, { "dropping-particle" : "", "family" : "Driscoll", "given" : "Henry C", "non-dropping-particle" : "", "parse-names" : false, "suffix" : "" }, { "dropping-particle" : "", "family" : "Dianov", "given" : "Grigory L", "non-dropping-particle" : "", "parse-names" : false, "suffix" : "" }, { "dropping-particle" : "", "family" : "Kao", "given" : "Hui-i", "non-dropping-particle" : "", "parse-names" : false, "suffix" : "" }, { "dropping-particle" : "", "family" : "Bambara", "given" : "Robert A", "non-dropping-particle" : "", "parse-names" : false, "suffix" : "" }, { "dropping-particle" : "", "family" : "Brosh", "given" : "Robert M", "non-dropping-particle" : "", "parse-names" : false, "suffix" : "" } ], "container-title" : "Molecular and General Genetics", "id" : "ITEM-2", "issue" : "2", "issued" : { "date-parts" : [ [ "2004" ] ] }, "page" : "734-750", "title" : "WRN Helicase and FEN-1 form a complex upon replication arrest and together process branch-migrating DNA structures associated with the replication fork", "type" : "article-journal", "volume" : "15" }, "uris" : [ "http://www.mendeley.com/documents/?uuid=eb54742f-f6e3-4707-8889-55224ba8a11e" ] }, { "id" : "ITEM-3", "itemData" : { "DOI" : "10.1083/jcb.200803173", "ISSN" : "1540-8140", "PMID" : "18852298", "abstract" : "Failure to stabilize and properly process stalled replication forks results in chromosome instability, which is a hallmark of cancer cells and several human genetic conditions that are characterized by cancer predisposition. Loss of WRN, a RecQ-like enzyme mutated in the cancer-prone disease Werner syndrome (WS), leads to rapid accumulation of double-strand breaks (DSBs) and proliferating cell nuclear antigen removal from chromatin upon DNA replication arrest. Knockdown of the MUS81 endonuclease in WRN-deficient cells completely prevents the accumulation of DSBs after fork stalling. Also, MUS81 knockdown in WS cells results in reduced chromatin recruitment of recombination enzymes, decreased yield of sister chromatid exchanges, and reduced survival after replication arrest. Thus, we provide novel evidence that WRN is required to avoid accumulation of DSBs and fork collapse after replication perturbation, and that prompt MUS81-dependent generation of DSBs is instrumental for recovery from hydroxyurea-mediated replication arrest under such pathological conditions.", "author" : [ { "dropping-particle" : "", "family" : "Franchitto", "given" : "Annapaola", "non-dropping-particle" : "", "parse-names" : false, "suffix" : "" }, { "dropping-particle" : "", "family" : "Pirzio", "given" : "Livia Maria", "non-dropping-particle" : "", "parse-names" : false, "suffix" : "" }, { "dropping-particle" : "", "family" : "Prosperi", "given" : "Ennio", "non-dropping-particle" : "", "parse-names" : false, "suffix" : "" }, { "dropping-particle" : "", "family" : "Sapora", "given" : "Orazio", "non-dropping-particle" : "", "parse-names" : false, "suffix" : "" }, { "dropping-particle" : "", "family" : "Bignami", "given" : "Margherita", "non-dropping-particle" : "", "parse-names" : false, "suffix" : "" }, { "dropping-particle" : "", "family" : "Pichierri", "given" : "Pietro", "non-dropping-particle" : "", "parse-names" : false, "suffix" : "" } ], "container-title" : "The Journal of Cell Biology", "id" : "ITEM-3", "issue" : "2", "issued" : { "date-parts" : [ [ "2008", "10", "20" ] ] }, "page" : "241-52", "title" : "Replication fork stalling in WRN-deficient cells is overcome by prompt activation of a MUS81-dependent pathway.", "type" : "article-journal", "volume" : "183" }, "uris" : [ "http://www.mendeley.com/documents/?uuid=66086db1-c2a5-4652-8ed9-58f3459b396d" ] } ], "mendeley" : { "formattedCitation" : "(Sidorova et al. 2008; Sharma et al. 2004a; Franchitto et al. 2008)", "plainTextFormattedCitation" : "(Sidorova et al. 2008; Sharma et al. 2004a; Franchitto et al. 2008)", "previouslyFormattedCitation" : "(Sidorova et al. 2008; Sharma et al. 2004a; Franchitto et al. 2008)" }, "properties" : { "noteIndex" : 0 }, "schema" : "https://github.com/citation-style-language/schema/raw/master/csl-citation.json" }</w:instrText>
      </w:r>
      <w:r w:rsidR="00F20EC0" w:rsidRPr="00DF0680">
        <w:rPr>
          <w:rFonts w:cs="Times New Roman"/>
        </w:rPr>
        <w:fldChar w:fldCharType="separate"/>
      </w:r>
      <w:r w:rsidR="00B601B4" w:rsidRPr="00DF0680">
        <w:rPr>
          <w:rFonts w:cs="Times New Roman"/>
        </w:rPr>
        <w:t>(Sidorova et al. 2008; Sharma et al. 2004a; Franchitto et al. 2008)</w:t>
      </w:r>
      <w:r w:rsidR="00F20EC0" w:rsidRPr="00DF0680">
        <w:rPr>
          <w:rFonts w:cs="Times New Roman"/>
        </w:rPr>
        <w:fldChar w:fldCharType="end"/>
      </w:r>
      <w:r w:rsidR="00AC4538" w:rsidRPr="00DF0680">
        <w:rPr>
          <w:rFonts w:cs="Times New Roman"/>
        </w:rPr>
        <w:t>.</w:t>
      </w:r>
    </w:p>
    <w:p w:rsidR="00AC4538" w:rsidRPr="00DF0680" w:rsidRDefault="00AC4538" w:rsidP="007B093E">
      <w:pPr>
        <w:rPr>
          <w:rFonts w:cs="Times New Roman"/>
          <w:color w:val="auto"/>
        </w:rPr>
      </w:pPr>
      <w:r w:rsidRPr="00DF0680">
        <w:rPr>
          <w:rFonts w:cs="Times New Roman"/>
          <w:color w:val="auto"/>
        </w:rPr>
        <w:t xml:space="preserve">WRN is phosphorylated by DNA-PKcs </w:t>
      </w:r>
      <w:r w:rsidR="006262DB" w:rsidRPr="00DF0680">
        <w:rPr>
          <w:rFonts w:cs="Times New Roman"/>
          <w:color w:val="auto"/>
        </w:rPr>
        <w:t xml:space="preserve">after damage, and in the presence of Ku, this inhibits the exonuclease activity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"10.1074/jbc.M111523200", "ISSN" : "0021-9258", "PMID" : "11889123", "abstract" : "Human Werner Syndrome is characterized by early onset of aging, elevated chromosomal instability, and a high incidence of cancer. Werner protein (WRN) is a member of the recQ gene family, but unlike other members of the recQ family, it contains a unique 3'--&gt;5' exonuclease activity. We have reported previously that human Ku heterodimer interacts physically with WRN and functionally stimulates WRN exonuclease activity. Because Ku and DNA-PKcs, the catalytic subunit of DNA-dependent protein kinase (DNA-PK), form a complex at DNA ends, we have now explored the possibility of functional modulation of WRN exonuclease activity by DNA-PK. We find that although DNA-PKcs alone does not affect the WRN exonuclease activity, the additional presence of Ku mediates a marked inhibition of it. The inhibition of WRN exonuclease by DNA-PKcs requires the kinase activity of DNA-PKcs. WRN is a target for DNA-PKcs phosphorylation, and this phosphorylation requires the presence of Ku. We also find that treatment of recombinant WRN with a Ser/Thr phosphatase enhances WRN exonuclease and helicase activities and that WRN catalytic activity can be inhibited by rephosphorylation of WRN with DNA-PK. Thus, the level of phosphorylation of WRN appears to regulate its catalytic activities. WRN forms a complex, both in vitro and in vivo, with DNA-PKC. WRN is phosphorylated in vivo after treatment of cells with DNA-damaging agents in a pathway that requires DNA-PKcs. Thus, WRN protein is a target for DNA-PK phosphorylation in vitro and in vivo, and this phosphorylation may be a way of regulating its different catalytic activities, possibly in the repair of DNA dsb.", "author" : [ { "dropping-particle" : "", "family" : "Karmakar", "given" : "Parimal", "non-dropping-particle" : "", "parse-names" : false, "suffix" : "" }, { "dropping-particle" : "", "family" : "Piotrowski", "given" : "Jason", "non-dropping-particle" : "", "parse-names" : false, "suffix" : "" }, { "dropping-particle" : "", "family" : "Brosh", "given" : "Robert M", "non-dropping-particle" : "", "parse-names" : false, "suffix" : "" }, { "dropping-particle" : "", "family" : "Sommers", "given" : "Joshua a", "non-dropping-particle" : "", "parse-names" : false, "suffix" : "" }, { "dropping-particle" : "", "family" : "Miller", "given" : "Susan P Lees", "non-dropping-particle" : "", "parse-names" : false, "suffix" : "" }, { "dropping-particle" : "", "family" : "Cheng", "given" : "Wen-Hsing", "non-dropping-particle" : "", "parse-names" : false, "suffix" : "" }, { "dropping-particle" : "", "family" : "Snowden", "given" : "Carey M", "non-dropping-particle" : "", "parse-names" : false, "suffix" : "" }, { "dropping-particle" : "", "family" : "Ramsden", "given" : "Dale a", "non-dropping-particle" : "", "parse-names" : false, "suffix" : "" }, { "dropping-particle" : "", "family" : "Bohr", "given" : "Vilhelm a", "non-dropping-particle" : "", "parse-names" : false, "suffix" : "" } ], "container-title" : "The Journal of Biological Chemistry", "id" : "ITEM-1", "issue" : "21", "issued" : { "date-parts" : [ [ "2002", "5", "24" ] ] }, "page" : "18291-302", "title" : "Werner protein is a target of DNA-dependent protein kinase in vivo and in vitro, and its catalytic activities are regulated by phosphorylation.", "type" : "article-journal", "volume" : "277" }, "uris" : [ "http://www.mendeley.com/documents/?uuid=062f9e9a-896b-47e4-b839-d325cf34524a" ] } ], "mendeley" : { "formattedCitation" : "(Karmakar et al. 2002)", "plainTextFormattedCitation" : "(Karmakar et al. 2002)", "previouslyFormattedCitation" : "(Karmakar et al. 2002)"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(Karmakar et al. 2002)</w:t>
      </w:r>
      <w:r w:rsidR="00F20EC0" w:rsidRPr="00DF0680">
        <w:rPr>
          <w:rFonts w:cs="Times New Roman"/>
          <w:color w:val="auto"/>
        </w:rPr>
        <w:fldChar w:fldCharType="end"/>
      </w:r>
      <w:r w:rsidR="006262DB" w:rsidRPr="00DF0680">
        <w:rPr>
          <w:rFonts w:cs="Times New Roman"/>
          <w:color w:val="auto"/>
        </w:rPr>
        <w:t xml:space="preserve">. Co-localisation with RPA at nuclear foci requires WRN phosphorylation by ATR. This phosphorylation also prevents DSBs forming at stalled forks and is required for efficient fork restart. Phosphorylation on different sites </w:t>
      </w:r>
      <w:r w:rsidR="003E16C0" w:rsidRPr="00DF0680">
        <w:rPr>
          <w:rFonts w:cs="Times New Roman"/>
          <w:color w:val="auto"/>
        </w:rPr>
        <w:t xml:space="preserve">of WRN </w:t>
      </w:r>
      <w:r w:rsidR="006262DB" w:rsidRPr="00DF0680">
        <w:rPr>
          <w:rFonts w:cs="Times New Roman"/>
          <w:color w:val="auto"/>
        </w:rPr>
        <w:t xml:space="preserve">by ATM is required for relocalisation of WRN away from nuclear foci, and possibly away from replication forks once DSBs have formed, allowing RAD51 foci to form and HR to occur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"10.1038/emboj.2010.205", "ISSN" : "1460-2075", "PMID" : "20802463", "abstract" : "Accurate response to replication arrest is crucial to preserve genome stability and requires both the ATR and ATM functions. The Werner syndrome protein (WRN) is implicated in the recovery of stalled replication forks, and although an ATR/ATM-dependent phosphorylation of WRN was observed after replication arrest, the function of such modifications during the response to perturbed replication is not yet appreciated. Here, we report that WRN is directly phosphorylated by ATR at multiple C-terminal S/TQ residues. Suppression of ATR-mediated phosphorylation of WRN prevents proper accumulation of WRN in nuclear foci, co-localisation with RPA and causes breakage of stalled forks. On the other hand, inhibition of ATM kinase activity or expression of an ATM-unphosphorylable WRN allele leads to retention of WRN in nuclear foci and impaired recruitment of RAD51 recombinase resulting in reduced viability after fork collapse. Altogether, our findings indicate that ATR and ATM promote recovery from perturbed replication by differently regulating WRN at defined moments of the response to replication fork arrest.", "author" : [ { "dropping-particle" : "", "family" : "Ammazzalorso", "given" : "Francesca", "non-dropping-particle" : "", "parse-names" : false, "suffix" : "" }, { "dropping-particle" : "", "family" : "Pirzio", "given" : "Livia Maria", "non-dropping-particle" : "", "parse-names" : false, "suffix" : "" }, { "dropping-particle" : "", "family" : "Bignami", "given" : "Margherita", "non-dropping-particle" : "", "parse-names" : false, "suffix" : "" }, { "dropping-particle" : "", "family" : "Franchitto", "given" : "Annapaola", "non-dropping-particle" : "", "parse-names" : false, "suffix" : "" }, { "dropping-particle" : "", "family" : "Pichierri", "given" : "Pietro", "non-dropping-particle" : "", "parse-names" : false, "suffix" : "" } ], "container-title" : "The EMBO Journal", "id" : "ITEM-1", "issue" : "18", "issued" : { "date-parts" : [ [ "2010", "9", "15" ] ] }, "page" : "3156-69", "publisher" : "Nature Publishing Group", "title" : "ATR and ATM differently regulate WRN to prevent DSBs at stalled replication forks and promote replication fork recovery.", "type" : "article-journal", "volume" : "29" }, "uris" : [ "http://www.mendeley.com/documents/?uuid=9b9b51de-4328-4b12-ac1c-9b25f40a719e" ] } ], "mendeley" : { "formattedCitation" : "(Ammazzalorso et al. 2010)", "plainTextFormattedCitation" : "(Ammazzalorso et al. 2010)", "previouslyFormattedCitation" : "(Ammazzalorso et al. 2010)"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(Ammazzalorso et al. 2010)</w:t>
      </w:r>
      <w:r w:rsidR="00F20EC0" w:rsidRPr="00DF0680">
        <w:rPr>
          <w:rFonts w:cs="Times New Roman"/>
          <w:color w:val="auto"/>
        </w:rPr>
        <w:fldChar w:fldCharType="end"/>
      </w:r>
      <w:r w:rsidR="006262DB" w:rsidRPr="00DF0680">
        <w:rPr>
          <w:rFonts w:cs="Times New Roman"/>
          <w:color w:val="auto"/>
        </w:rPr>
        <w:t xml:space="preserve">. WRN may also be involved in activating ATM and the S-phase checkpoint in response to </w:t>
      </w:r>
      <w:r w:rsidR="006C183B" w:rsidRPr="00DF0680">
        <w:rPr>
          <w:rFonts w:cs="Times New Roman"/>
          <w:color w:val="auto"/>
        </w:rPr>
        <w:t xml:space="preserve">collapsed replication forks </w:t>
      </w:r>
      <w:r w:rsidR="00F20EC0" w:rsidRPr="00DF0680">
        <w:rPr>
          <w:rFonts w:cs="Times New Roman"/>
          <w:color w:val="auto"/>
        </w:rPr>
        <w:fldChar w:fldCharType="begin" w:fldLock="1"/>
      </w:r>
      <w:r w:rsidR="00BB368C" w:rsidRPr="00DF0680">
        <w:rPr>
          <w:rFonts w:cs="Times New Roman"/>
          <w:color w:val="auto"/>
        </w:rPr>
        <w:instrText>ADDIN CSL_CITATION { "citationItems" : [ { "id" : "ITEM-1", "itemData" : { "DOI" : "10.1091/mbc.E07", "author" : [ { "dropping-particle" : "", "family" : "Cheng", "given" : "WH", "non-dropping-particle" : "", "parse-names" : false, "suffix" : "" }, { "dropping-particle" : "", "family" : "Muftic", "given" : "Diana", "non-dropping-particle" : "", "parse-names" : false, "suffix" : "" }, { "dropping-particle" : "", "family" : "Muftuoglu", "given" : "Meltem", "non-dropping-particle" : "", "parse-names" : false, "suffix" : "" }, { "dropping-particle" : "", "family" : "Dawut", "given" : "Lale", "non-dropping-particle" : "", "parse-names" : false, "suffix" : "" }, { "dropping-particle" : "", "family" : "Morris", "given" : "Christa", "non-dropping-particle" : "", "parse-names" : false, "suffix" : "" }, { "dropping-particle" : "", "family" : "Helleday", "given" : "Thomas", "non-dropping-particle" : "", "parse-names" : false, "suffix" : "" }, { "dropping-particle" : "", "family" : "Shiloh", "given" : "Yosef", "non-dropping-particle" : "", "parse-names" : false, "suffix" : "" }, { "dropping-particle" : "", "family" : "Bohr", "given" : "Vilhelm A", "non-dropping-particle" : "", "parse-names" : false, "suffix" : "" } ], "container-title" : "Molecular Biology of the Cell", "id" : "ITEM-1", "issue" : "9", "issued" : { "date-parts" : [ [ "2008" ] ] }, "page" : "3923-3933", "title" : "WRN Is Required for ATM Activation and the S-Phase Checkpoint in Response to Interstrand Cross-Link\u2013Induced DNA Double-Strand Breaks", "type" : "article-journal", "volume" : "19" }, "uris" : [ "http://www.mendeley.com/documents/?uuid=cc41baf2-be2e-446c-b82e-b87bb66ff3b8" ] } ], "mendeley" : { "formattedCitation" : "(Cheng et al. 2008)", "plainTextFormattedCitation" : "(Cheng et al. 2008)", "previouslyFormattedCitation" : "(Cheng et al. 2008)" }, "properties" : { "noteIndex" : 0 }, "schema" : "https://github.com/citation-style-language/schema/raw/master/csl-citation.json" }</w:instrText>
      </w:r>
      <w:r w:rsidR="00F20EC0" w:rsidRPr="00DF0680">
        <w:rPr>
          <w:rFonts w:cs="Times New Roman"/>
          <w:color w:val="auto"/>
        </w:rPr>
        <w:fldChar w:fldCharType="separate"/>
      </w:r>
      <w:r w:rsidR="004C2C43" w:rsidRPr="00DF0680">
        <w:rPr>
          <w:rFonts w:cs="Times New Roman"/>
          <w:color w:val="auto"/>
        </w:rPr>
        <w:t>(Cheng et al. 2008)</w:t>
      </w:r>
      <w:r w:rsidR="00F20EC0" w:rsidRPr="00DF0680">
        <w:rPr>
          <w:rFonts w:cs="Times New Roman"/>
          <w:color w:val="auto"/>
        </w:rPr>
        <w:fldChar w:fldCharType="end"/>
      </w:r>
      <w:r w:rsidR="006C183B" w:rsidRPr="00DF0680">
        <w:rPr>
          <w:rFonts w:cs="Times New Roman"/>
          <w:color w:val="auto"/>
        </w:rPr>
        <w:t>.</w:t>
      </w:r>
    </w:p>
    <w:p w:rsidR="006C183B" w:rsidRPr="00DF0680" w:rsidRDefault="00602935" w:rsidP="007B093E">
      <w:pPr>
        <w:rPr>
          <w:rFonts w:cs="Times New Roman"/>
          <w:color w:val="auto"/>
        </w:rPr>
      </w:pPr>
      <w:r w:rsidRPr="00DF0680">
        <w:rPr>
          <w:rFonts w:cs="Times New Roman"/>
          <w:color w:val="auto"/>
        </w:rPr>
        <w:t>Ku80/70 physically binds t</w:t>
      </w:r>
      <w:r w:rsidR="00F40949" w:rsidRPr="00DF0680">
        <w:rPr>
          <w:rFonts w:cs="Times New Roman"/>
          <w:color w:val="auto"/>
        </w:rPr>
        <w:t xml:space="preserve">o and stimulates the exonuclease activity of WRN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"10.1101/gad.14.8.907", "author" : [ { "dropping-particle" : "", "family" : "Cooper", "given" : "MP", "non-dropping-particle" : "", "parse-names" : false, "suffix" : "" }, { "dropping-particle" : "", "family" : "Machwe", "given" : "Amrita", "non-dropping-particle" : "", "parse-names" : false, "suffix" : "" } ], "container-title" : "Genes &amp; Development", "id" : "ITEM-1", "issue" : "8", "issued" : { "date-parts" : [ [ "2000" ] ] }, "page" : "907-912", "title" : "Ku complex interacts with and stimulates the Werner protein", "type" : "article-journal", "volume" : "14" }, "uris" : [ "http://www.mendeley.com/documents/?uuid=9945f69b-a9e4-4368-9b27-586896500688" ] }, { "id" : "ITEM-2", "itemData" : { "DOI" : "10.1074/jbc.C000289200", "ISSN" : "0021-9258", "PMID" : "10880505", "abstract" : "Werner syndrome (WS) is an autosomal recessive disease characterized by premature aging. The gene responsible for the syndrome was recently cloned and shown to encode a protein with strong homology to DNA/RNA helicases. In addition, the Werner syndrome protein (WRN) possesses an exonuclease activity. Based on the homology to helicases it has been proposed that WRN functions in some aspects of DNA replication, recombination, or repair. However, there is currently no evidence of a role of WRN in any of these processes; therefore, its biological function remains unknown. Using a biochemical approach, we have identified two polypeptides that bind to the WRN protein. Peptide sequence analysis indicates that the two proteins are identical to Ku70 and Ku80, a heterodimer involved in double strand DNA break repair by non-homologous DNA end joining. Protein-protein interaction studies reveal that WRN binds directly to Ku80 and that this interaction is mediated by the amino terminus of WRN. In addition, we show that the binding of Ku alters the specificity of the WRN exonuclease. These results suggest a potential involvement of WRN in the repair of double strand DNA breaks.", "author" : [ { "dropping-particle" : "", "family" : "Li", "given" : "B", "non-dropping-particle" : "", "parse-names" : false, "suffix" : "" }, { "dropping-particle" : "", "family" : "Comai", "given" : "L", "non-dropping-particle" : "", "parse-names" : false, "suffix" : "" } ], "container-title" : "The Journal of Biological Chemistry", "id" : "ITEM-2", "issue" : "37", "issued" : { "date-parts" : [ [ "2000", "9", "15" ] ] }, "page" : "28349-52", "title" : "Functional interaction between Ku and the werner syndrome protein in DNA end processing.", "type" : "article-journal", "volume" : "275" }, "uris" : [ "http://www.mendeley.com/documents/?uuid=3e671c60-bd85-437a-94d6-d983652f43e8" ] } ], "mendeley" : { "formattedCitation" : "(Cooper &amp; Machwe 2000; Li &amp; Comai 2000)", "plainTextFormattedCitation" : "(Cooper &amp; Machwe 2000; Li &amp; Comai 2000)", "previouslyFormattedCitation" : "(Cooper &amp; Machwe 2000; Li &amp; Comai 2000)"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(Cooper &amp; Machwe 2000; Li &amp; Comai 2000)</w:t>
      </w:r>
      <w:r w:rsidR="00F20EC0" w:rsidRPr="00DF0680">
        <w:rPr>
          <w:rFonts w:cs="Times New Roman"/>
          <w:color w:val="auto"/>
        </w:rPr>
        <w:fldChar w:fldCharType="end"/>
      </w:r>
      <w:r w:rsidR="00F40949" w:rsidRPr="00DF0680">
        <w:rPr>
          <w:rFonts w:cs="Times New Roman"/>
          <w:color w:val="auto"/>
        </w:rPr>
        <w:t>. Ku recruits WRN to double stranded DNA and stimulates it to degrade DNA ends</w:t>
      </w:r>
      <w:r w:rsidRPr="00DF0680">
        <w:rPr>
          <w:rFonts w:cs="Times New Roman"/>
          <w:color w:val="auto"/>
        </w:rPr>
        <w:t xml:space="preserve"> </w:t>
      </w:r>
      <w:r w:rsidRPr="00DF0680">
        <w:rPr>
          <w:rFonts w:cs="Times New Roman"/>
          <w:i/>
          <w:color w:val="auto"/>
        </w:rPr>
        <w:t>in vitro</w:t>
      </w:r>
      <w:r w:rsidR="00F40949" w:rsidRPr="00DF0680">
        <w:rPr>
          <w:rFonts w:cs="Times New Roman"/>
          <w:color w:val="auto"/>
        </w:rPr>
        <w:t xml:space="preserve">, possibly in a helicase-independent manner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"10.1074/jbc.M008575200", "ISSN" : "0021-9258", "PMID" : "11152456", "abstract" : "Werner syndrome (WS) is an inherited disease characterized by premature onset of aging, increased cancer incidence, and genomic instability. The WS gene encodes a protein with helicase and exonuclease activities. Our previous studies indicated that the Werner syndrome protein (WRN) interacts with Ku, a heterodimeric factor of 70- and 80-kDa subunits implicated in the repair of double strand DNA breaks. Moreover, we demonstrated that Ku70/80 strongly stimulates and alters WRN exonuclease activity. In this report, we investigate further the association between WRN and Ku70/80. First, using various WRN deletion mutants we show that 50 amino acids at the amino terminus are required and sufficient to interact with Ku70/80. In addition, our data indicate that the region of Ku80 between amino acids 215 and 276 is necessary for binding to WRN. Then, we show that the amino-terminal region of WRN from amino acid 1 to 388, which comprise the exonuclease domain, can be efficiently stimulated by Ku to degrade DNA substrates, indicating that the helicase domain and the carboxyl-terminal tail are not required for the stimulatory process. Finally, using gel shift assays, we demonstrate that Ku recruits WRN to DNA. Taken together, these results suggest that Ku-mediated activation of WRN exonuclease activity may play an important role in a cellular pathway that requires processing of DNA ends.", "author" : [ { "dropping-particle" : "", "family" : "Li", "given" : "B", "non-dropping-particle" : "", "parse-names" : false, "suffix" : "" }, { "dropping-particle" : "", "family" : "Comai", "given" : "L", "non-dropping-particle" : "", "parse-names" : false, "suffix" : "" } ], "container-title" : "The Journal of Biological Chemistry", "id" : "ITEM-1", "issue" : "13", "issued" : { "date-parts" : [ [ "2001", "3", "30" ] ] }, "page" : "9896-902", "title" : "Requirements for the nucleolytic processing of DNA ends by the Werner syndrome protein-Ku70/80 complex.", "type" : "article-journal", "volume" : "276" }, "uris" : [ "http://www.mendeley.com/documents/?uuid=e06902f4-7ddc-48cc-abdf-06fb0f38e8af" ] }, { "id" : "ITEM-2", "itemData" : { "author" : [ { "dropping-particle" : "", "family" : "Orren", "given" : "David K", "non-dropping-particle" : "", "parse-names" : false, "suffix" : "" }, { "dropping-particle" : "", "family" : "Machwe", "given" : "Amrita", "non-dropping-particle" : "", "parse-names" : false, "suffix" : "" }, { "dropping-particle" : "", "family" : "Karmakar", "given" : "Parimal", "non-dropping-particle" : "", "parse-names" : false, "suffix" : "" }, { "dropping-particle" : "", "family" : "Piotrowski", "given" : "Jason", "non-dropping-particle" : "", "parse-names" : false, "suffix" : "" }, { "dropping-particle" : "", "family" : "Cooper", "given" : "Marcus P", "non-dropping-particle" : "", "parse-names" : false, "suffix" : "" }, { "dropping-particle" : "", "family" : "Bohr", "given" : "Vilhelm A", "non-dropping-particle" : "", "parse-names" : false, "suffix" : "" } ], "container-title" : "Nucleic Acids Research", "id" : "ITEM-2", "issue" : "9", "issued" : { "date-parts" : [ [ "2001" ] ] }, "page" : "1926-1934", "title" : "A functional interaction of Ku with Werner exonuclease facilitates digestion of damaged DNA", "type" : "article-journal", "volume" : "29" }, "uris" : [ "http://www.mendeley.com/documents/?uuid=2422acdc-841d-4958-8ca2-9b7ea18bf35b" ] } ], "mendeley" : { "formattedCitation" : "(Li &amp; Comai 2001; Orren et al. 2001)", "plainTextFormattedCitation" : "(Li &amp; Comai 2001; Orren et al. 2001)", "previouslyFormattedCitation" : "(Li &amp; Comai 2001; Orren et al. 2001)"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(Li &amp; Comai 2001; Orren et al. 2001)</w:t>
      </w:r>
      <w:r w:rsidR="00F20EC0" w:rsidRPr="00DF0680">
        <w:rPr>
          <w:rFonts w:cs="Times New Roman"/>
          <w:color w:val="auto"/>
        </w:rPr>
        <w:fldChar w:fldCharType="end"/>
      </w:r>
      <w:r w:rsidR="00F40949" w:rsidRPr="00DF0680">
        <w:rPr>
          <w:rFonts w:cs="Times New Roman"/>
          <w:color w:val="auto"/>
        </w:rPr>
        <w:t xml:space="preserve">. </w:t>
      </w:r>
      <w:r w:rsidR="00F51AEA" w:rsidRPr="00DF0680">
        <w:rPr>
          <w:rFonts w:cs="Times New Roman"/>
          <w:color w:val="auto"/>
        </w:rPr>
        <w:t>WS cells</w:t>
      </w:r>
      <w:r w:rsidR="00F40949" w:rsidRPr="00DF0680">
        <w:rPr>
          <w:rFonts w:cs="Times New Roman"/>
          <w:color w:val="auto"/>
        </w:rPr>
        <w:t xml:space="preserve"> </w:t>
      </w:r>
      <w:r w:rsidR="00F51AEA" w:rsidRPr="00DF0680">
        <w:rPr>
          <w:rFonts w:cs="Times New Roman"/>
          <w:color w:val="auto"/>
        </w:rPr>
        <w:t xml:space="preserve">show extensive deletion at NHEJ ends which is complemented by the introduction of the WRN protein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"author" : [ { "dropping-particle" : "", "family" : "Oshima", "given" : "Junko", "non-dropping-particle" : "", "parse-names" : false, "suffix" : "" }, { "dropping-particle" : "", "family" : "Huang", "given" : "Shurong", "non-dropping-particle" : "", "parse-names" : false, "suffix" : "" }, { "dropping-particle" : "", "family" : "Pae", "given" : "Chong", "non-dropping-particle" : "", "parse-names" : false, "suffix" : "" }, { "dropping-particle" : "", "family" : "Campisi", "given" : "Judith", "non-dropping-particle" : "", "parse-names" : false, "suffix" : "" }, { "dropping-particle" : "", "family" : "Schiestl", "given" : "Robert H", "non-dropping-particle" : "", "parse-names" : false, "suffix" : "" } ], "container-title" : "Cancer Research", "id" : "ITEM-1", "issue" : "2", "issued" : { "date-parts" : [ [ "2002" ] ] }, "page" : "547-551", "title" : "Lack of WRN Results in Extensive Deletion at Nonhomologous Joining Ends", "type" : "article-journal", "volume" : "62" }, "uris" : [ "http://www.mendeley.com/documents/?uuid=334386c8-42f0-42f9-b34b-d20a2c358f3b" ] } ], "mendeley" : { "formattedCitation" : "(Oshima et al. 2002)", "plainTextFormattedCitation" : "(Oshima et al. 2002)", "previouslyFormattedCitation" : "(Oshima et al. 2002)"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(Oshima et al. 2002)</w:t>
      </w:r>
      <w:r w:rsidR="00F20EC0" w:rsidRPr="00DF0680">
        <w:rPr>
          <w:rFonts w:cs="Times New Roman"/>
          <w:color w:val="auto"/>
        </w:rPr>
        <w:fldChar w:fldCharType="end"/>
      </w:r>
      <w:r w:rsidR="00F51AEA" w:rsidRPr="00DF0680">
        <w:rPr>
          <w:rFonts w:cs="Times New Roman"/>
          <w:color w:val="auto"/>
        </w:rPr>
        <w:t xml:space="preserve">. </w:t>
      </w:r>
      <w:r w:rsidR="00415AFA" w:rsidRPr="00DF0680">
        <w:rPr>
          <w:rFonts w:cs="Times New Roman"/>
          <w:color w:val="auto"/>
        </w:rPr>
        <w:t xml:space="preserve">WRN, Ku and PARP1 have been found to form a complex </w:t>
      </w:r>
      <w:r w:rsidR="00415AFA" w:rsidRPr="00DF0680">
        <w:rPr>
          <w:rFonts w:cs="Times New Roman"/>
          <w:i/>
          <w:color w:val="auto"/>
        </w:rPr>
        <w:t>in vivo</w:t>
      </w:r>
      <w:r w:rsidR="00415AFA" w:rsidRPr="00DF0680">
        <w:rPr>
          <w:rFonts w:cs="Times New Roman"/>
          <w:color w:val="auto"/>
        </w:rPr>
        <w:t xml:space="preserve"> </w:t>
      </w:r>
      <w:r w:rsidR="005F7502" w:rsidRPr="00DF0680">
        <w:rPr>
          <w:rFonts w:cs="Times New Roman"/>
          <w:color w:val="auto"/>
        </w:rPr>
        <w:t>and in the presence of DNA, PARP1 poly(ADP-r</w:t>
      </w:r>
      <w:r w:rsidR="00C24FD2" w:rsidRPr="00DF0680">
        <w:rPr>
          <w:rFonts w:cs="Times New Roman"/>
          <w:color w:val="auto"/>
        </w:rPr>
        <w:t>i</w:t>
      </w:r>
      <w:r w:rsidR="005F7502" w:rsidRPr="00DF0680">
        <w:rPr>
          <w:rFonts w:cs="Times New Roman"/>
          <w:color w:val="auto"/>
        </w:rPr>
        <w:t>bosyl)ates itself and Ku</w:t>
      </w:r>
      <w:r w:rsidR="00415AFA" w:rsidRPr="00DF0680">
        <w:rPr>
          <w:rFonts w:cs="Times New Roman"/>
          <w:color w:val="auto"/>
        </w:rPr>
        <w:t xml:space="preserve">. </w:t>
      </w:r>
      <w:r w:rsidR="005F7502" w:rsidRPr="00DF0680">
        <w:rPr>
          <w:rFonts w:cs="Times New Roman"/>
          <w:color w:val="auto"/>
        </w:rPr>
        <w:t>This reduces the binding affinity of Ku and it can no longer stimulate the exonuclease activity</w:t>
      </w:r>
      <w:r w:rsidR="003E16C0" w:rsidRPr="00DF0680">
        <w:rPr>
          <w:rFonts w:cs="Times New Roman"/>
          <w:color w:val="auto"/>
        </w:rPr>
        <w:t xml:space="preserve"> of WRN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"10.1074/jbc.M311606200", "ISSN" : "0021-9258", "PMID" : "14734561", "abstract" : "Werner's syndrome (WS) is an inherited disease characterized by genomic instability and premature aging. The WS gene encodes a protein (WRN) with helicase and exonuclease activities. We have previously reported that WRN interacts with Ku70/80 and this interaction strongly stimulates WRN exonuclease activity. To gain further insight on the function of WRN and its relationship with the Ku heterodimer, we established a cell line expressing tagged WRN(H), a WRN point mutant lacking helicase activity, and used affinity purification, immunoblot analysis and mass spectroscopy to identify WRN-associated proteins. To this end, we identified three proteins that are stably associated with WRN in nuclear extracts. Two of these proteins, Ku70 and Ku80, were identified by immunoblot analysis. The third polypeptide, which was identified by mass spectrometry analysis, is identical to poly(ADP-ribose) polymerase-1(PARP-1), a 113-kDa enzyme that functions as a sensor of DNA damage. Biochemical fractionation studies and immunoprecipitation assays and studies confirmed that endogenous WRN is associated with subpopulations of PARP-1 and Ku70/80 in the cell. Protein interaction assays with purified proteins further indicated that PARP-1 binds directly to WRN and assembles in a complex with WRN and Ku70/80. In the presence of DNA and NAD(+), PARP-1 poly(ADP-ribosyl)ates itself and Ku70/80 but not WRN, and gel-shift assays showed that poly-(ADP-ribosyl)ation of Ku70/80 decreases the DNA-binding affinity of this factor. Significantly, (ADP-ribosyl)ation of Ku70/80 reduces the ability of this factor to stimulate WRN exonuclease, suggesting that covalent modification of Ku70/80 by PARP-1 may play a role in the regulation of the exonucleolytic activity of WRN.", "author" : [ { "dropping-particle" : "", "family" : "Li", "given" : "Baomin", "non-dropping-particle" : "", "parse-names" : false, "suffix" : "" }, { "dropping-particle" : "", "family" : "Navarro", "given" : "Sonia", "non-dropping-particle" : "", "parse-names" : false, "suffix" : "" }, { "dropping-particle" : "", "family" : "Kasahara", "given" : "Noriyuki", "non-dropping-particle" : "", "parse-names" : false, "suffix" : "" }, { "dropping-particle" : "", "family" : "Comai", "given" : "Lucio", "non-dropping-particle" : "", "parse-names" : false, "suffix" : "" } ], "container-title" : "The Journal of Biological Chemistry", "id" : "ITEM-1", "issue" : "14", "issued" : { "date-parts" : [ [ "2004", "4", "2" ] ] }, "page" : "13659-67", "title" : "Identification and biochemical characterization of a Werner's syndrome protein complex with Ku70/80 and poly(ADP-ribose) polymerase-1.", "type" : "article-journal", "volume" : "279" }, "uris" : [ "http://www.mendeley.com/documents/?uuid=04f194c9-75c4-4e6d-9bb0-506c668aea53" ] } ], "mendeley" : { "formattedCitation" : "(Li et al. 2004)", "plainTextFormattedCitation" : "(Li et al. 2004)", "previouslyFormattedCitation" : "(Li et al. 2004)"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(Li et al. 2004)</w:t>
      </w:r>
      <w:r w:rsidR="00F20EC0" w:rsidRPr="00DF0680">
        <w:rPr>
          <w:rFonts w:cs="Times New Roman"/>
          <w:color w:val="auto"/>
        </w:rPr>
        <w:fldChar w:fldCharType="end"/>
      </w:r>
      <w:r w:rsidR="005F7502" w:rsidRPr="00DF0680">
        <w:rPr>
          <w:rFonts w:cs="Times New Roman"/>
          <w:color w:val="auto"/>
        </w:rPr>
        <w:t xml:space="preserve">. </w:t>
      </w:r>
      <w:r w:rsidR="005F7502" w:rsidRPr="00DF0680">
        <w:rPr>
          <w:rFonts w:cs="Times New Roman"/>
          <w:i/>
          <w:color w:val="auto"/>
        </w:rPr>
        <w:t>In vitro</w:t>
      </w:r>
      <w:r w:rsidR="005F7502" w:rsidRPr="00DF0680">
        <w:rPr>
          <w:rFonts w:cs="Times New Roman"/>
          <w:color w:val="auto"/>
        </w:rPr>
        <w:t xml:space="preserve">, PARP1 also decreases the helicase activity of WRN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"10.1093/nar/gkh721", "ISSN" : "1362-4962", "PMID" : "15292449", "abstract" : "Werner syndrome (WS) is a genetic premature aging disorder in which patients appear much older than their chronological age. The gene mutated in WS encodes a nuclear protein (WRN) which possesses 3'-5' exonuclease and ATPase-dependent 3'-5' helicase activities. The genomic instability associated with WS cells and the biochemical characteristics of WRN suggest that WRN plays a role in DNA metabolic pathways such as transcription, replication, recombination and repair. Recently we have identified poly(ADP-ribose) polymerase-1 (PARP-1) as a new WRN interacting protein. In this paper, we further mapped the interacting domains. We found that PARP-1 bound to the N-terminus of WRN and to the C-terminus containing the RecQ-conserved (RQC) domain. WRN bound to the N-terminus of PARP-1 containing DNA binding and BRCA1 C-terminal (BRCT) domains. We show that unmodified PARP-1 inhibited both WRN exonuclease and helicase activities, and to our knowledge is the only known WRN protein partner that inactivates both of the WRN's catalytic activities suggesting a biologically significant regulation. Moreover, this dual inhibition seems to be specific for PARP-1, as PARP-2 did not affect WRN helicase activity and only slightly inhibited WRN exonuclease activity. The differential effect of PARP-1 and PARP-2 on WRN catalytic activity was not due to differences in affinity for WRN or the DNA substrate. Finally, we demonstrate that the inhibition of WRN by PARP-1 was influenced by the poly(ADP-ribosyl)ation state of PARP-1. The biological relevance of the specific modulation of WRN catalytic activities by PARP-1 are discussed in the context of pathways in which these proteins may function together, namely in the repair of DNA strand breaks.", "author" : [ { "dropping-particle" : "", "family" : "Kobbe", "given" : "Cayetano", "non-dropping-particle" : "von", "parse-names" : false, "suffix" : "" }, { "dropping-particle" : "", "family" : "Harrigan", "given" : "Jeanine a", "non-dropping-particle" : "", "parse-names" : false, "suffix" : "" }, { "dropping-particle" : "", "family" : "Schreiber", "given" : "Val\u00e9rie", "non-dropping-particle" : "", "parse-names" : false, "suffix" : "" }, { "dropping-particle" : "", "family" : "Stiegler", "given" : "Patrick", "non-dropping-particle" : "", "parse-names" : false, "suffix" : "" }, { "dropping-particle" : "", "family" : "Piotrowski", "given" : "Jason", "non-dropping-particle" : "", "parse-names" : false, "suffix" : "" }, { "dropping-particle" : "", "family" : "Dawut", "given" : "Lale", "non-dropping-particle" : "", "parse-names" : false, "suffix" : "" }, { "dropping-particle" : "", "family" : "Bohr", "given" : "Vilhelm a", "non-dropping-particle" : "", "parse-names" : false, "suffix" : "" } ], "container-title" : "Nucleic Acids Research", "id" : "ITEM-1", "issue" : "13", "issued" : { "date-parts" : [ [ "2004", "1" ] ] }, "page" : "4003-14", "title" : "Poly(ADP-ribose) polymerase 1 regulates both the exonuclease and helicase activities of the Werner syndrome protein.", "type" : "article-journal", "volume" : "32" }, "uris" : [ "http://www.mendeley.com/documents/?uuid=68b0fb7b-adc1-42b9-af5e-97530a31e5e8" ] } ], "mendeley" : { "formattedCitation" : "(von Kobbe et al. 2004)", "plainTextFormattedCitation" : "(von Kobbe et al. 2004)", "previouslyFormattedCitation" : "(von Kobbe et al. 2004)"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(von Kobbe et al. 2004)</w:t>
      </w:r>
      <w:r w:rsidR="00F20EC0" w:rsidRPr="00DF0680">
        <w:rPr>
          <w:rFonts w:cs="Times New Roman"/>
          <w:color w:val="auto"/>
        </w:rPr>
        <w:fldChar w:fldCharType="end"/>
      </w:r>
      <w:r w:rsidR="005F7502" w:rsidRPr="00DF0680">
        <w:rPr>
          <w:rFonts w:cs="Times New Roman"/>
          <w:color w:val="auto"/>
        </w:rPr>
        <w:t xml:space="preserve">. WRN may also regulate </w:t>
      </w:r>
      <w:r w:rsidR="005C0B06" w:rsidRPr="00DF0680">
        <w:rPr>
          <w:rFonts w:cs="Times New Roman"/>
          <w:color w:val="auto"/>
        </w:rPr>
        <w:t xml:space="preserve">PARP1 as WS cells are deficient in </w:t>
      </w:r>
      <w:r w:rsidR="004C2C43" w:rsidRPr="00DF0680">
        <w:rPr>
          <w:rFonts w:cs="Times New Roman"/>
          <w:color w:val="auto"/>
        </w:rPr>
        <w:t>PARylation</w:t>
      </w:r>
      <w:r w:rsidR="005C0B06" w:rsidRPr="00DF0680">
        <w:rPr>
          <w:rFonts w:cs="Times New Roman"/>
          <w:color w:val="auto"/>
        </w:rPr>
        <w:t xml:space="preserve"> after treatment </w:t>
      </w:r>
      <w:r w:rsidR="005C0B06" w:rsidRPr="00DF0680">
        <w:rPr>
          <w:rFonts w:cs="Times New Roman"/>
          <w:color w:val="auto"/>
        </w:rPr>
        <w:lastRenderedPageBreak/>
        <w:t>with H</w:t>
      </w:r>
      <w:r w:rsidR="005C0B06" w:rsidRPr="00DF0680">
        <w:rPr>
          <w:rFonts w:cs="Times New Roman"/>
          <w:color w:val="auto"/>
          <w:vertAlign w:val="subscript"/>
        </w:rPr>
        <w:t>2</w:t>
      </w:r>
      <w:r w:rsidR="005C0B06" w:rsidRPr="00DF0680">
        <w:rPr>
          <w:rFonts w:cs="Times New Roman"/>
          <w:color w:val="auto"/>
        </w:rPr>
        <w:t>O</w:t>
      </w:r>
      <w:r w:rsidR="005C0B06" w:rsidRPr="00DF0680">
        <w:rPr>
          <w:rFonts w:cs="Times New Roman"/>
          <w:color w:val="auto"/>
          <w:vertAlign w:val="subscript"/>
        </w:rPr>
        <w:t>2</w:t>
      </w:r>
      <w:r w:rsidR="005C0B06" w:rsidRPr="00DF0680">
        <w:rPr>
          <w:rFonts w:cs="Times New Roman"/>
          <w:color w:val="auto"/>
        </w:rPr>
        <w:t xml:space="preserve"> and MMS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"10.1128/MCB.23.23.8601-8613.2003", "ISSN" : "0270-7306", "author" : [ { "dropping-particle" : "", "family" : "Kobbe", "given" : "C.", "non-dropping-particle" : "von", "parse-names" : false, "suffix" : "" }, { "dropping-particle" : "", "family" : "Harrigan", "given" : "Jeanine A", "non-dropping-particle" : "", "parse-names" : false, "suffix" : "" }, { "dropping-particle" : "", "family" : "May", "given" : "Alfred", "non-dropping-particle" : "", "parse-names" : false, "suffix" : "" }, { "dropping-particle" : "", "family" : "Opresko", "given" : "Patricia L", "non-dropping-particle" : "", "parse-names" : false, "suffix" : "" }, { "dropping-particle" : "", "family" : "Dawut", "given" : "Lale", "non-dropping-particle" : "", "parse-names" : false, "suffix" : "" }, { "dropping-particle" : "", "family" : "Cheng", "given" : "W.-H.", "non-dropping-particle" : "", "parse-names" : false, "suffix" : "" }, { "dropping-particle" : "", "family" : "Bohr", "given" : "Vilhelm A", "non-dropping-particle" : "", "parse-names" : false, "suffix" : "" } ], "container-title" : "Molecular and Cellular Biology", "id" : "ITEM-1", "issue" : "23", "issued" : { "date-parts" : [ [ "2003", "11", "11" ] ] }, "page" : "8601-8613", "title" : "Central Role for the Werner Syndrome Protein/Poly(ADP-Ribose) Polymerase 1 Complex in the Poly(ADP-Ribosyl)ation Pathway after DNA Damage", "type" : "article-journal", "volume" : "23" }, "uris" : [ "http://www.mendeley.com/documents/?uuid=fa8829cc-1b7f-412b-9125-c4368af93298" ] } ], "mendeley" : { "formattedCitation" : "(von Kobbe et al. 2003)", "plainTextFormattedCitation" : "(von Kobbe et al. 2003)", "previouslyFormattedCitation" : "(von Kobbe et al. 2003)"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(von Kobbe et al. 2003)</w:t>
      </w:r>
      <w:r w:rsidR="00F20EC0" w:rsidRPr="00DF0680">
        <w:rPr>
          <w:rFonts w:cs="Times New Roman"/>
          <w:color w:val="auto"/>
        </w:rPr>
        <w:fldChar w:fldCharType="end"/>
      </w:r>
      <w:r w:rsidR="003E16C0" w:rsidRPr="00DF0680">
        <w:rPr>
          <w:rFonts w:cs="Times New Roman"/>
          <w:color w:val="auto"/>
        </w:rPr>
        <w:t>. Thi</w:t>
      </w:r>
      <w:r w:rsidR="005C0B06" w:rsidRPr="00DF0680">
        <w:rPr>
          <w:rFonts w:cs="Times New Roman"/>
          <w:color w:val="auto"/>
        </w:rPr>
        <w:t>s suggests that WRN may have a PARP1-regulated role in repair of DN</w:t>
      </w:r>
      <w:r w:rsidR="00155191" w:rsidRPr="00DF0680">
        <w:rPr>
          <w:rFonts w:cs="Times New Roman"/>
          <w:color w:val="auto"/>
        </w:rPr>
        <w:t>A damage sites such as DSBs, single strand break</w:t>
      </w:r>
      <w:r w:rsidR="005C0B06" w:rsidRPr="00DF0680">
        <w:rPr>
          <w:rFonts w:cs="Times New Roman"/>
          <w:color w:val="auto"/>
        </w:rPr>
        <w:t>s and stalled forks.</w:t>
      </w:r>
    </w:p>
    <w:p w:rsidR="00602935" w:rsidRPr="00DF0680" w:rsidRDefault="00FC45B3" w:rsidP="00213580">
      <w:pPr>
        <w:rPr>
          <w:rFonts w:cs="Times New Roman"/>
          <w:color w:val="auto"/>
        </w:rPr>
      </w:pPr>
      <w:r w:rsidRPr="00DF0680">
        <w:rPr>
          <w:rFonts w:cs="Times New Roman"/>
          <w:color w:val="auto"/>
        </w:rPr>
        <w:t xml:space="preserve">There is a lot of work </w:t>
      </w:r>
      <w:r w:rsidR="00883934" w:rsidRPr="00DF0680">
        <w:rPr>
          <w:rFonts w:cs="Times New Roman"/>
          <w:color w:val="auto"/>
        </w:rPr>
        <w:t>concerning</w:t>
      </w:r>
      <w:r w:rsidRPr="00DF0680">
        <w:rPr>
          <w:rFonts w:cs="Times New Roman"/>
          <w:color w:val="auto"/>
        </w:rPr>
        <w:t xml:space="preserve"> WRN’s role in telomere maintenance. </w:t>
      </w:r>
      <w:r w:rsidR="00374ACA" w:rsidRPr="00DF0680">
        <w:rPr>
          <w:rFonts w:cs="Times New Roman"/>
          <w:color w:val="auto"/>
        </w:rPr>
        <w:t>Cells with</w:t>
      </w:r>
      <w:r w:rsidR="008749CD" w:rsidRPr="00DF0680">
        <w:rPr>
          <w:rFonts w:cs="Times New Roman"/>
          <w:color w:val="auto"/>
        </w:rPr>
        <w:t>out</w:t>
      </w:r>
      <w:r w:rsidR="00374ACA" w:rsidRPr="00DF0680">
        <w:rPr>
          <w:rFonts w:cs="Times New Roman"/>
          <w:color w:val="auto"/>
        </w:rPr>
        <w:t xml:space="preserve"> WRN helicase activity show loss of the lagging strand telomeres and an increase in telomere-telomere recombination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"10.1101/gad.1321305", "ISSN" : "0890-9369", "PMID" : "16264192", "abstract" : "Werner Syndrome (WS) is characterized by premature aging, genomic instability, and cancer. The combined impact of WRN helicase deficiency and limiting telomere reserves is central to disease pathogenesis. Here, we report that cells doubly deficient for telomerase and WRN helicase show chromosomal aberrations and elevated recombination rates between telomeres of sister chromatids. Somatic reconstitution of WRN function, but not a WRN helicase-deficient mutant, abolished telomere sister chromatid exchange (T-SCE), indicating that WRN normally represses T-SCEs. Elevated T-SCE was associated with greater immortalization potential and resultant tumors maintained telomeres via the alternative lengthening of telomere (ALT) pathway. We propose that the increased incidence of chromosomal instability and cancer in WS relates in part to aberrant recombinations between sister chromatids at telomeres, which facilitates the activation of ALT and engenders cancer-relevant chromosomal aberrations and tumor formation.", "author" : [ { "dropping-particle" : "", "family" : "Laud", "given" : "Purnima R", "non-dropping-particle" : "", "parse-names" : false, "suffix" : "" }, { "dropping-particle" : "", "family" : "Multani", "given" : "Asha S", "non-dropping-particle" : "", "parse-names" : false, "suffix" : "" }, { "dropping-particle" : "", "family" : "Bailey", "given" : "Susan M", "non-dropping-particle" : "", "parse-names" : false, "suffix" : "" }, { "dropping-particle" : "", "family" : "Wu", "given" : "Ling", "non-dropping-particle" : "", "parse-names" : false, "suffix" : "" }, { "dropping-particle" : "", "family" : "Ma", "given" : "Jin", "non-dropping-particle" : "", "parse-names" : false, "suffix" : "" }, { "dropping-particle" : "", "family" : "Kingsley", "given" : "Charles", "non-dropping-particle" : "", "parse-names" : false, "suffix" : "" }, { "dropping-particle" : "", "family" : "Lebel", "given" : "Michel", "non-dropping-particle" : "", "parse-names" : false, "suffix" : "" }, { "dropping-particle" : "", "family" : "Pathak", "given" : "Sen", "non-dropping-particle" : "", "parse-names" : false, "suffix" : "" }, { "dropping-particle" : "", "family" : "DePinho", "given" : "Ronald a", "non-dropping-particle" : "", "parse-names" : false, "suffix" : "" }, { "dropping-particle" : "", "family" : "Chang", "given" : "Sandy", "non-dropping-particle" : "", "parse-names" : false, "suffix" : "" } ], "container-title" : "Genes &amp; Development", "id" : "ITEM-1", "issue" : "21", "issued" : { "date-parts" : [ [ "2005", "11", "1" ] ] }, "page" : "2560-70", "title" : "Elevated telomere-telomere recombination in WRN-deficient, telomere dysfunctional cells promotes escape from senescence and engagement of the ALT pathway.", "type" : "article-journal", "volume" : "19" }, "uris" : [ "http://www.mendeley.com/documents/?uuid=9a19cc54-4a98-4516-9e6b-5578f5e82c6f" ] }, { "id" : "ITEM-2", "itemData" : { "DOI" : "10.1126/science.1103619", "ISSN" : "1095-9203", "PMID" : "15591207", "abstract" : "Cells from Werner syndrome patients are characterized by slow growth rates, premature senescence, accelerated telomere shortening rates, and genome instability. The syndrome is caused by the loss of the RecQ helicase WRN, but the underlying molecular mechanism is unclear. Here we report that cells lacking WRN exhibit deletion of telomeres from single sister chromatids. Only telomeres replicated by lagging strand synthesis were affected, and prevention of loss of individual telomeres was dependent on the helicase activity of WRN. Telomere loss could be counteracted by telomerase activity. We propose that WRN is necessary for efficient replication of G-rich telomeric DNA, preventing telomere dysfunction and consequent genomic instability.", "author" : [ { "dropping-particle" : "", "family" : "Crabbe", "given" : "Laure", "non-dropping-particle" : "", "parse-names" : false, "suffix" : "" }, { "dropping-particle" : "", "family" : "Verdun", "given" : "Ramiro E", "non-dropping-particle" : "", "parse-names" : false, "suffix" : "" }, { "dropping-particle" : "", "family" : "Haggblom", "given" : "Candy I", "non-dropping-particle" : "", "parse-names" : false, "suffix" : "" }, { "dropping-particle" : "", "family" : "Karlseder", "given" : "Jan", "non-dropping-particle" : "", "parse-names" : false, "suffix" : "" } ], "container-title" : "Science", "id" : "ITEM-2", "issue" : "5703", "issued" : { "date-parts" : [ [ "2004", "12", "10" ] ] }, "page" : "1951-3", "title" : "Defective telomere lagging strand synthesis in cells lacking WRN helicase activity.", "type" : "article-journal", "volume" : "306" }, "uris" : [ "http://www.mendeley.com/documents/?uuid=f9875dbd-7b97-4ffa-881b-1fa516a4cc9e" ] } ], "mendeley" : { "formattedCitation" : "(Laud et al. 2005; Crabbe et al. 2004)", "plainTextFormattedCitation" : "(Laud et al. 2005; Crabbe et al. 2004)", "previouslyFormattedCitation" : "(Laud et al. 2005; Crabbe et al. 2004)"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(Laud et al. 2005; Crabbe et al. 2004)</w:t>
      </w:r>
      <w:r w:rsidR="00F20EC0" w:rsidRPr="00DF0680">
        <w:rPr>
          <w:rFonts w:cs="Times New Roman"/>
          <w:color w:val="auto"/>
        </w:rPr>
        <w:fldChar w:fldCharType="end"/>
      </w:r>
      <w:r w:rsidR="00374ACA" w:rsidRPr="00DF0680">
        <w:rPr>
          <w:rFonts w:cs="Times New Roman"/>
          <w:color w:val="auto"/>
        </w:rPr>
        <w:t xml:space="preserve">. </w:t>
      </w:r>
      <w:r w:rsidRPr="00DF0680">
        <w:rPr>
          <w:rFonts w:cs="Times New Roman"/>
          <w:color w:val="auto"/>
        </w:rPr>
        <w:t>The telomeric repeat binding factor TRF2 inter</w:t>
      </w:r>
      <w:r w:rsidR="00C26FBA" w:rsidRPr="00DF0680">
        <w:rPr>
          <w:rFonts w:cs="Times New Roman"/>
          <w:color w:val="auto"/>
        </w:rPr>
        <w:t>acts with WRN and stimulates it</w:t>
      </w:r>
      <w:r w:rsidRPr="00DF0680">
        <w:rPr>
          <w:rFonts w:cs="Times New Roman"/>
          <w:color w:val="auto"/>
        </w:rPr>
        <w:t xml:space="preserve">s helicase activity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"10.1074/jbc.M205396200", "ISSN" : "0021-9258", "PMID" : "12181313", "abstract" : "Werner syndrome is a human premature aging disorder displaying cellular defects associated with telomere maintenance including genomic instability, premature senescence, and accelerated telomere erosion. The yeast homologue of the Werner protein (WRN), Sgs1, is required for recombination-mediated lengthening of telomeres in telomerase-deficient cells. In human cells, we report that WRN co-localizes and physically interacts with the critical telomere maintenance protein TRF2. This interaction is mediated by the RecQ conserved C-terminal region of WRN. In vitro, TRF2 demonstrates high affinity for WRN and for another RecQ family member, the Bloom syndrome protein (BLM). TRF2 interaction with either WRN or BLM results in a notable stimulation of their helicase activities. Furthermore, the WRN and BLM helicases, partnered with replication protein A, actively unwind long telomeric duplex regions that are pre-bound by TRF2. These results suggest that TRF2 functions with WRN, and possibly BLM, in a common pathway at telomeric ends.", "author" : [ { "dropping-particle" : "", "family" : "Opresko", "given" : "Patricia L", "non-dropping-particle" : "", "parse-names" : false, "suffix" : "" }, { "dropping-particle" : "", "family" : "Kobbe", "given" : "Cayetano", "non-dropping-particle" : "von", "parse-names" : false, "suffix" : "" }, { "dropping-particle" : "", "family" : "Laine", "given" : "Jean-Philippe", "non-dropping-particle" : "", "parse-names" : false, "suffix" : "" }, { "dropping-particle" : "", "family" : "Harrigan", "given" : "Jeanine", "non-dropping-particle" : "", "parse-names" : false, "suffix" : "" }, { "dropping-particle" : "", "family" : "Hickson", "given" : "Ian D", "non-dropping-particle" : "", "parse-names" : false, "suffix" : "" }, { "dropping-particle" : "", "family" : "Bohr", "given" : "Vilhelm a", "non-dropping-particle" : "", "parse-names" : false, "suffix" : "" } ], "container-title" : "The Journal of Biological Chemistry", "id" : "ITEM-1", "issue" : "43", "issued" : { "date-parts" : [ [ "2002", "10", "25" ] ] }, "page" : "41110-9", "title" : "Telomere-binding protein TRF2 binds to and stimulates the Werner and Bloom syndrome helicases.", "type" : "article-journal", "volume" : "277" }, "uris" : [ "http://www.mendeley.com/documents/?uuid=df41f513-bb3c-4991-b8b8-ac034d89a0e7" ] } ], "mendeley" : { "formattedCitation" : "(Opresko et al. 2002)", "plainTextFormattedCitation" : "(Opresko et al. 2002)", "previouslyFormattedCitation" : "(Opresko et al. 2002)"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(Opresko et al. 2002)</w:t>
      </w:r>
      <w:r w:rsidR="00F20EC0" w:rsidRPr="00DF0680">
        <w:rPr>
          <w:rFonts w:cs="Times New Roman"/>
          <w:color w:val="auto"/>
        </w:rPr>
        <w:fldChar w:fldCharType="end"/>
      </w:r>
      <w:r w:rsidRPr="00DF0680">
        <w:rPr>
          <w:rFonts w:cs="Times New Roman"/>
          <w:color w:val="auto"/>
        </w:rPr>
        <w:t xml:space="preserve">. </w:t>
      </w:r>
      <w:r w:rsidR="00C45032" w:rsidRPr="00DF0680">
        <w:rPr>
          <w:rFonts w:cs="Times New Roman"/>
          <w:color w:val="auto"/>
        </w:rPr>
        <w:t xml:space="preserve">In ALT cells, </w:t>
      </w:r>
      <w:r w:rsidR="008769D7" w:rsidRPr="00DF0680">
        <w:rPr>
          <w:rFonts w:cs="Times New Roman"/>
          <w:color w:val="auto"/>
        </w:rPr>
        <w:t>TRF2 recruits WRN to telomeres, where i</w:t>
      </w:r>
      <w:r w:rsidR="00C26FBA" w:rsidRPr="00DF0680">
        <w:rPr>
          <w:rFonts w:cs="Times New Roman"/>
          <w:color w:val="auto"/>
        </w:rPr>
        <w:t>t can resolve telomeric D-loops</w:t>
      </w:r>
      <w:r w:rsidR="008769D7" w:rsidRPr="00DF0680">
        <w:rPr>
          <w:rFonts w:cs="Times New Roman"/>
          <w:color w:val="auto"/>
        </w:rPr>
        <w:t xml:space="preserve"> bound by TRF1 and TRF2 which can regulate WRN’s exonuclease activity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"10.1038/sj.onc.1206906", "ISSN" : "0950-9232", "PMID" : "14712220", "abstract" : "The cancer-prone and premature aging disease Werner syndrome is due to loss of WRN gene function. Cells lacking WRN demonstrate genomic instability, including telomeric abnormalities and undergo premature senescence, suggesting defects in telomere metabolism. This notion is strongly supported by our finding of physical and functional interactions between WRN and TRF2, a telomeric repeat binding factor essential for proper telomeric structure. TRF2 binds to DNA substrates containing telomeric repeats and facilitates their degradation specifically by WRN exonuclease activity. WRN and TRF2 also interact directly in the absence of DNA. These results suggest that TRF2 recruits WRN for accurate processing of telomeric structures in vivo. Thus, our findings link problems in telomere maintenance to both carcinogenesis and specific features of aging.", "author" : [ { "dropping-particle" : "", "family" : "Machwe", "given" : "Amrita", "non-dropping-particle" : "", "parse-names" : false, "suffix" : "" }, { "dropping-particle" : "", "family" : "Xiao", "given" : "Liren", "non-dropping-particle" : "", "parse-names" : false, "suffix" : "" }, { "dropping-particle" : "", "family" : "Orren", "given" : "David K", "non-dropping-particle" : "", "parse-names" : false, "suffix" : "" } ], "container-title" : "Oncogene", "id" : "ITEM-1", "issue" : "1", "issued" : { "date-parts" : [ [ "2004", "1", "8" ] ] }, "page" : "149-56", "title" : "TRF2 recruits the Werner syndrome (WRN) exonuclease for processing of telomeric DNA.", "type" : "article-journal", "volume" : "23" }, "uris" : [ "http://www.mendeley.com/documents/?uuid=bb5e3d61-34bb-402b-93ac-3260b83a4b3f" ] }, { "id" : "ITEM-2", "itemData" : { "DOI" : "10.1016/j.molcel.2004.05.023", "ISSN" : "1097-2765", "PMID" : "15200954", "abstract" : "Werner syndrome (WS) is characterized by features of premature aging and is caused by loss of the RecQ helicase protein WRN. WS fibroblasts display defects associated with telomere dysfunction, including accelerated telomere erosion and premature senescence. In yeast, RecQ helicases act in an alternative pathway for telomere lengthening (ALT) via homologous recombination. We found that WRN associates with telomeres when dissociation of telomeric D loops is likely during replication and recombination. In human ALT cells, WRN associates directly with telomeric DNA. The majority of TRF1/PCNA colocalizing foci contained WRN in live S phase ALT cells but not in telomerase-positive HeLa cells. Biochemically, the WRN helicase and 3' to 5' exonuclease act simultaneously and cooperate to release the 3' invading tail from a telomeric D loop in vitro. The telomere binding proteins TRF1 and TRF2 limit digestion by WRN. We propose roles for WRN in dissociating telomeric structures in telomerase-deficient cells.", "author" : [ { "dropping-particle" : "", "family" : "Opresko", "given" : "Patricia L", "non-dropping-particle" : "", "parse-names" : false, "suffix" : "" }, { "dropping-particle" : "", "family" : "Otterlei", "given" : "Marit", "non-dropping-particle" : "", "parse-names" : false, "suffix" : "" }, { "dropping-particle" : "", "family" : "Graakjaer", "given" : "Jesper", "non-dropping-particle" : "", "parse-names" : false, "suffix" : "" }, { "dropping-particle" : "", "family" : "Bruheim", "given" : "Per", "non-dropping-particle" : "", "parse-names" : false, "suffix" : "" }, { "dropping-particle" : "", "family" : "Dawut", "given" : "Lale", "non-dropping-particle" : "", "parse-names" : false, "suffix" : "" }, { "dropping-particle" : "", "family" : "K\u00f8lvraa", "given" : "Steen", "non-dropping-particle" : "", "parse-names" : false, "suffix" : "" }, { "dropping-particle" : "", "family" : "May", "given" : "Alfred", "non-dropping-particle" : "", "parse-names" : false, "suffix" : "" }, { "dropping-particle" : "", "family" : "Seidman", "given" : "Michael M", "non-dropping-particle" : "", "parse-names" : false, "suffix" : "" }, { "dropping-particle" : "", "family" : "Bohr", "given" : "Vilhem a", "non-dropping-particle" : "", "parse-names" : false, "suffix" : "" } ], "container-title" : "Molecular Cell", "id" : "ITEM-2", "issue" : "6", "issued" : { "date-parts" : [ [ "2004", "6", "18" ] ] }, "page" : "763-74", "title" : "The Werner syndrome helicase and exonuclease cooperate to resolve telomeric D loops in a manner regulated by TRF1 and TRF2.", "type" : "article-journal", "volume" : "14" }, "uris" : [ "http://www.mendeley.com/documents/?uuid=0da69327-168b-47ba-8daa-d5161fcb0cda" ] } ], "mendeley" : { "formattedCitation" : "(Machwe et al. 2004; Opresko et al. 2004)", "plainTextFormattedCitation" : "(Machwe et al. 2004; Opresko et al. 2004)", "previouslyFormattedCitation" : "(Machwe et al. 2004; Opresko et al. 2004)"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(Machwe et al. 2004; Opresko et al. 2004)</w:t>
      </w:r>
      <w:r w:rsidR="00F20EC0" w:rsidRPr="00DF0680">
        <w:rPr>
          <w:rFonts w:cs="Times New Roman"/>
          <w:color w:val="auto"/>
        </w:rPr>
        <w:fldChar w:fldCharType="end"/>
      </w:r>
      <w:r w:rsidR="008769D7" w:rsidRPr="00DF0680">
        <w:rPr>
          <w:rFonts w:cs="Times New Roman"/>
          <w:color w:val="auto"/>
        </w:rPr>
        <w:t xml:space="preserve">. </w:t>
      </w:r>
      <w:r w:rsidR="003F2E33" w:rsidRPr="00DF0680">
        <w:rPr>
          <w:rFonts w:cs="Times New Roman"/>
          <w:color w:val="auto"/>
        </w:rPr>
        <w:t>WRN’s D-loop resolving activity is also stimulated by the telomeric protein POT1</w:t>
      </w:r>
      <w:r w:rsidR="008F4BD7" w:rsidRPr="00DF0680">
        <w:rPr>
          <w:rFonts w:cs="Times New Roman"/>
          <w:color w:val="auto"/>
        </w:rPr>
        <w:t xml:space="preserve"> </w:t>
      </w:r>
      <w:r w:rsidR="008F4BD7" w:rsidRPr="00DF0680">
        <w:rPr>
          <w:rFonts w:cs="Times New Roman"/>
          <w:i/>
          <w:color w:val="auto"/>
        </w:rPr>
        <w:t>in vitro</w:t>
      </w:r>
      <w:r w:rsidR="003F2E33" w:rsidRPr="00DF0680">
        <w:rPr>
          <w:rFonts w:cs="Times New Roman"/>
          <w:color w:val="auto"/>
        </w:rPr>
        <w:t xml:space="preserve">, which can bind WRN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"10.1074/jbc.M505211200", "ISSN" : "0021-9258", "PMID" : "16030011", "abstract" : "Defects in human RecQ helicases WRN and BLM are responsible for the cancer-prone disorders Werner syndrome and Bloom syndrome. Cellular phenotypes of Werner syndrome and Bloom syndrome, including genomic instability and premature senescence, are consistent with telomere dysfunction. RecQ helicases are proposed to function in dissociating alternative DNA structures during recombination and/or replication at telomeric ends. Here we report that the telomeric single-strand DNA-binding protein, POT1, strongly stimulates WRN and BLM to unwind long telomeric forked duplexes and D-loop structures that are otherwise poor substrates for these helicases. This stimulation is dependent on the presence of telomeric sequence in the duplex regions of the substrates. In contrast, POT1 failed to stimulate a bacterial 3'-5'-helicase. We find that purified POT1 binds to WRN and BLM in vitro and that full-length POT1 (splice variant 1) precipitates a higher amount of endogenous WRN protein, compared with BLM, from the HeLa nuclear extract. We propose roles for the cooperation of POT1 with RecQ helicases WRN and BLM in resolving DNA structures at telomeric ends, in a manner that protects the telomeric 3' tail as it is exposed during unwinding.", "author" : [ { "dropping-particle" : "", "family" : "Opresko", "given" : "Patricia L", "non-dropping-particle" : "", "parse-names" : false, "suffix" : "" }, { "dropping-particle" : "", "family" : "Mason", "given" : "Penelope a", "non-dropping-particle" : "", "parse-names" : false, "suffix" : "" }, { "dropping-particle" : "", "family" : "Podell", "given" : "Elaine R", "non-dropping-particle" : "", "parse-names" : false, "suffix" : "" }, { "dropping-particle" : "", "family" : "Lei", "given" : "Ming", "non-dropping-particle" : "", "parse-names" : false, "suffix" : "" }, { "dropping-particle" : "", "family" : "Hickson", "given" : "Ian D", "non-dropping-particle" : "", "parse-names" : false, "suffix" : "" }, { "dropping-particle" : "", "family" : "Cech", "given" : "Thomas R", "non-dropping-particle" : "", "parse-names" : false, "suffix" : "" }, { "dropping-particle" : "", "family" : "Bohr", "given" : "Vilhelm a", "non-dropping-particle" : "", "parse-names" : false, "suffix" : "" } ], "container-title" : "The Journal of Biological Chemistry", "id" : "ITEM-1", "issue" : "37", "issued" : { "date-parts" : [ [ "2005", "9", "16" ] ] }, "page" : "32069-80", "title" : "POT1 stimulates RecQ helicases WRN and BLM to unwind telomeric DNA substrates.", "type" : "article-journal", "volume" : "280" }, "uris" : [ "http://www.mendeley.com/documents/?uuid=b087211c-735e-48ed-a31f-0c956a45eef3" ] } ], "mendeley" : { "formattedCitation" : "(Opresko et al. 2005)", "plainTextFormattedCitation" : "(Opresko et al. 2005)", "previouslyFormattedCitation" : "(Opresko et al. 2005)"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(Opresko et al. 2005)</w:t>
      </w:r>
      <w:r w:rsidR="00F20EC0" w:rsidRPr="00DF0680">
        <w:rPr>
          <w:rFonts w:cs="Times New Roman"/>
          <w:color w:val="auto"/>
        </w:rPr>
        <w:fldChar w:fldCharType="end"/>
      </w:r>
      <w:r w:rsidR="003F2E33" w:rsidRPr="00DF0680">
        <w:rPr>
          <w:rFonts w:cs="Times New Roman"/>
          <w:color w:val="auto"/>
        </w:rPr>
        <w:t xml:space="preserve">. This work suggests that in the absence of telomerase, WRN plays a crucial role in resolving the recombination intermediates generated by the ALT pathway. </w:t>
      </w:r>
    </w:p>
    <w:p w:rsidR="004613BA" w:rsidRPr="00DF0680" w:rsidRDefault="004613BA" w:rsidP="00E664FC">
      <w:pPr>
        <w:pStyle w:val="Heading3"/>
      </w:pPr>
      <w:bookmarkStart w:id="112" w:name="_Toc417204108"/>
      <w:bookmarkStart w:id="113" w:name="_Toc417674345"/>
      <w:r w:rsidRPr="00DF0680">
        <w:t>RECQL4</w:t>
      </w:r>
      <w:bookmarkEnd w:id="112"/>
      <w:bookmarkEnd w:id="113"/>
    </w:p>
    <w:p w:rsidR="004613BA" w:rsidRPr="00DF0680" w:rsidRDefault="00540AB7" w:rsidP="00245516">
      <w:pPr>
        <w:rPr>
          <w:rFonts w:cs="Times New Roman"/>
        </w:rPr>
      </w:pPr>
      <w:r w:rsidRPr="00DF0680">
        <w:rPr>
          <w:rFonts w:cs="Times New Roman"/>
        </w:rPr>
        <w:t>RecQ-like protein 4 (</w:t>
      </w:r>
      <w:r w:rsidR="006305BD" w:rsidRPr="00DF0680">
        <w:rPr>
          <w:rFonts w:cs="Times New Roman"/>
        </w:rPr>
        <w:t>RECQL4</w:t>
      </w:r>
      <w:r w:rsidRPr="00DF0680">
        <w:rPr>
          <w:rFonts w:cs="Times New Roman"/>
        </w:rPr>
        <w:t>)</w:t>
      </w:r>
      <w:r w:rsidR="006305BD" w:rsidRPr="00DF0680">
        <w:rPr>
          <w:rFonts w:cs="Times New Roman"/>
        </w:rPr>
        <w:t xml:space="preserve"> was discovered by searching through the expressed sequence tag (EST) database for sequences similar to the RecQ helicase motifs </w:t>
      </w:r>
      <w:r w:rsidR="00F20EC0" w:rsidRPr="00DF0680">
        <w:rPr>
          <w:rFonts w:cs="Times New Roman"/>
        </w:rPr>
        <w:fldChar w:fldCharType="begin" w:fldLock="1"/>
      </w:r>
      <w:r w:rsidR="00525765" w:rsidRPr="00DF0680">
        <w:rPr>
          <w:rFonts w:cs="Times New Roman"/>
        </w:rPr>
        <w:instrText>ADDIN CSL_CITATION { "citationItems" : [ { "id" : "ITEM-1", "itemData" : { "DOI" : "10.1006/geno.1998.5595", "ISSN" : "0888-7543", "PMID" : "9878247", "abstract" : "Two new human DNA helicase genes, RecQ4 and RecQ5, that belong to the RecQ helicase family were cloned and characterized. The addition of these genes increases the total to five helicase genes in the human RecQ family, which includes helicases involved in Bloom and Werner syndromes, the genetic diseases manifesting the distinctive but overlapping clinical phenotypes of immunodeficiency, premature aging, and an enhanced risk of cancer. The RecQ4 helicase is as large as the Bloom (BLM) and Werner (WRN) helicases, and its gene expression profile is organ-specific, resembling that of BLM helicase. In contrast, the RecQ5 helicase has a low molecular weight, similar to the human progenitor RecQ1 helicase, and is expressed in all the organs examined. All five human helicase genes are expressed in cultured K562 leukemia and fibroblast cells. Synchronized K562 cell cultures showed that the genes RecQ4 and BLM, and RecQ1 and WRN, seem to be upregulated at the G1/S and G2/M phases, respectively, of the cell cycle. The biological significance of multiple species of human RecQ helicases, which are apparently nonessential for life but may be related to distinct diseases, is discussed in light of the fact that unicellular organisms, like Escherichia coli and yeast, contain only one species of helicase of this particular family.", "author" : [ { "dropping-particle" : "", "family" : "Kitao", "given" : "S", "non-dropping-particle" : "", "parse-names" : false, "suffix" : "" }, { "dropping-particle" : "", "family" : "Ohsugi", "given" : "I", "non-dropping-particle" : "", "parse-names" : false, "suffix" : "" }, { "dropping-particle" : "", "family" : "Ichikawa", "given" : "K", "non-dropping-particle" : "", "parse-names" : false, "suffix" : "" }, { "dropping-particle" : "", "family" : "Goto", "given" : "M", "non-dropping-particle" : "", "parse-names" : false, "suffix" : "" }, { "dropping-particle" : "", "family" : "Furuichi", "given" : "Y", "non-dropping-particle" : "", "parse-names" : false, "suffix" : "" }, { "dropping-particle" : "", "family" : "Shimamoto", "given" : "a", "non-dropping-particle" : "", "parse-names" : false, "suffix" : "" } ], "container-title" : "Genomics", "id" : "ITEM-1", "issue" : "3", "issued" : { "date-parts" : [ [ "1998", "12", "15" ] ] }, "page" : "443-52", "title" : "Cloning of two new human helicase genes of the RecQ family: biological significance of multiple species in higher eukaryotes.", "type" : "article-journal", "volume" : "54" }, "uris" : [ "http://www.mendeley.com/documents/?uuid=f7907e67-04d1-4446-8aa4-00800521c959" ] } ], "mendeley" : { "formattedCitation" : "(Kitao et al. 1998)", "plainTextFormattedCitation" : "(Kitao et al. 1998)", "previouslyFormattedCitation" : "(Kitao et al. 1998)"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(Kitao et al. 1998)</w:t>
      </w:r>
      <w:r w:rsidR="00F20EC0" w:rsidRPr="00DF0680">
        <w:rPr>
          <w:rFonts w:cs="Times New Roman"/>
        </w:rPr>
        <w:fldChar w:fldCharType="end"/>
      </w:r>
      <w:r w:rsidR="006305BD" w:rsidRPr="00DF0680">
        <w:rPr>
          <w:rFonts w:cs="Times New Roman"/>
        </w:rPr>
        <w:t xml:space="preserve">. </w:t>
      </w:r>
      <w:r w:rsidR="00786C59" w:rsidRPr="00DF0680">
        <w:rPr>
          <w:rFonts w:cs="Times New Roman"/>
        </w:rPr>
        <w:t xml:space="preserve">Frameshift and nonsense mutations in RECQL4, resulting in truncated proteins, were found to be the cause of Rothmund-Thomson syndrome </w:t>
      </w:r>
      <w:r w:rsidR="007D529C" w:rsidRPr="00DF0680">
        <w:rPr>
          <w:rFonts w:cs="Times New Roman"/>
        </w:rPr>
        <w:t xml:space="preserve">(RTS) </w:t>
      </w:r>
      <w:r w:rsidR="00F20EC0" w:rsidRPr="00DF0680">
        <w:rPr>
          <w:rFonts w:cs="Times New Roman"/>
        </w:rPr>
        <w:fldChar w:fldCharType="begin" w:fldLock="1"/>
      </w:r>
      <w:r w:rsidR="00332613" w:rsidRPr="00DF0680">
        <w:rPr>
          <w:rFonts w:cs="Times New Roman"/>
        </w:rPr>
        <w:instrText>ADDIN CSL_CITATION { "citationItems" : [ { "id" : "ITEM-1", "itemData" : { "DOI" : "10.1038/8788", "ISSN" : "1061-4036", "PMID" : "10319867", "abstract" : "Rothmund-Thomson syndrome (RTS; also known as poikiloderma congenitale) is a rare, autosomal recessive genetic disorder characterized by abnormalities in skin and skeleton, juvenile cataracts, premature ageing and a predisposition to neoplasia. Cytogenetic studies indicate that cells from affected patients show genomic instability often associated with chromosomal rearrangements causing an acquired somatic mosaicism. The gene(s) responsible for RTS remains unknown. The genes responsible for Werner and Bloom syndromes (WRN and BLM, respectively) have been identified as homologues of Escherichia coli RecQ, which encodes a DNA helicase that unwinds double-stranded DNA into single-stranded DNAs. Other eukaryotic homologues thus far identified are human RECQL, Saccharomyces cerevisiae SGS1 and Schizosaccharomyces pombe rqh1. We recently cloned two new human helicase genes, RECQL4 at 8q24.3 and RECQL5 at 17q25, which encode members of the RecQ helicase family. Here, we report that three RTS patients carried two types of compound heterozygous mutations in RECQL4. The fact that the mutated alleles were inherited from the parents in one affected family and were not found in ethnically matched controls suggests that mutation of RECQL4 at human chromosome 8q24.3 is responsible for at least some cases of RTS.", "author" : [ { "dropping-particle" : "", "family" : "Kitao", "given" : "S", "non-dropping-particle" : "", "parse-names" : false, "suffix" : "" }, { "dropping-particle" : "", "family" : "Shimamoto", "given" : "a", "non-dropping-particle" : "", "parse-names" : false, "suffix" : "" }, { "dropping-particle" : "", "family" : "Goto", "given" : "M", "non-dropping-particle" : "", "parse-names" : false, "suffix" : "" }, { "dropping-particle" : "", "family" : "Miller", "given" : "R W", "non-dropping-particle" : "", "parse-names" : false, "suffix" : "" }, { "dropping-particle" : "", "family" : "Smithson", "given" : "W a", "non-dropping-particle" : "", "parse-names" : false, "suffix" : "" }, { "dropping-particle" : "", "family" : "Lindor", "given" : "N M", "non-dropping-particle" : "", "parse-names" : false, "suffix" : "" }, { "dropping-particle" : "", "family" : "Furuichi", "given" : "Y", "non-dropping-particle" : "", "parse-names" : false, "suffix" : "" } ], "container-title" : "Nature Genetics", "id" : "ITEM-1", "issue" : "1", "issued" : { "date-parts" : [ [ "1999", "5" ] ] }, "page" : "82-4", "title" : "Mutations in RECQL4 cause a subset of cases of Rothmund-Thomson syndrome.", "type" : "article-journal", "volume" : "22" }, "uris" : [ "http://www.mendeley.com/documents/?uuid=16fdcf7d-9603-4cac-83ff-d9d8e9979486" ] } ], "mendeley" : { "formattedCitation" : "(Kitao et al. 1999)", "plainTextFormattedCitation" : "(Kitao et al. 1999)", "previouslyFormattedCitation" : "(Kitao et al. 1999)"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(Kitao et al. 1999)</w:t>
      </w:r>
      <w:r w:rsidR="00F20EC0" w:rsidRPr="00DF0680">
        <w:rPr>
          <w:rFonts w:cs="Times New Roman"/>
        </w:rPr>
        <w:fldChar w:fldCharType="end"/>
      </w:r>
      <w:r w:rsidR="00786C59" w:rsidRPr="00DF0680">
        <w:rPr>
          <w:rFonts w:cs="Times New Roman"/>
        </w:rPr>
        <w:t xml:space="preserve">. Symptoms include poikiloderma (skin condition causing hyper/hypo pigmentation, atrophy and telangiectasia), alopecia, cataracts, retarded growth, hypogonadism and a high incidence of malignancies </w:t>
      </w:r>
      <w:r w:rsidR="00F20EC0" w:rsidRPr="00DF0680">
        <w:rPr>
          <w:rFonts w:cs="Times New Roman"/>
        </w:rPr>
        <w:fldChar w:fldCharType="begin" w:fldLock="1"/>
      </w:r>
      <w:r w:rsidR="00525765" w:rsidRPr="00DF0680">
        <w:rPr>
          <w:rFonts w:cs="Times New Roman"/>
        </w:rPr>
        <w:instrText>ADDIN CSL_CITATION { "citationItems" : [ { "id" : "ITEM-1", "itemData" : { "DOI" : "10.1016/0190-9622(92)70249-F", "ISSN" : "01909622", "author" : [ { "dropping-particle" : "", "family" : "Vennos", "given" : "Elizabeth M.", "non-dropping-particle" : "", "parse-names" : false, "suffix" : "" }, { "dropping-particle" : "", "family" : "Collins", "given" : "Marlise", "non-dropping-particle" : "", "parse-names" : false, "suffix" : "" }, { "dropping-particle" : "", "family" : "James", "given" : "William D.", "non-dropping-particle" : "", "parse-names" : false, "suffix" : "" } ], "container-title" : "Journal of the American Academy of Dermatology", "id" : "ITEM-1", "issue" : "5", "issued" : { "date-parts" : [ [ "1992", "11" ] ] }, "page" : "750-762", "title" : "Rothmund-Thomson syndrome: Review of the world literature", "type" : "article-journal", "volume" : "27" }, "uris" : [ "http://www.mendeley.com/documents/?uuid=ea9939ed-5077-4e3a-8c70-0214e8a00a02" ] } ], "mendeley" : { "formattedCitation" : "(Vennos et al. 1992)", "plainTextFormattedCitation" : "(Vennos et al. 1992)", "previouslyFormattedCitation" : "(Vennos et al. 1992)"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(Vennos et al. 1992)</w:t>
      </w:r>
      <w:r w:rsidR="00F20EC0" w:rsidRPr="00DF0680">
        <w:rPr>
          <w:rFonts w:cs="Times New Roman"/>
        </w:rPr>
        <w:fldChar w:fldCharType="end"/>
      </w:r>
      <w:r w:rsidR="00786C59" w:rsidRPr="00DF0680">
        <w:rPr>
          <w:rFonts w:cs="Times New Roman"/>
        </w:rPr>
        <w:t xml:space="preserve">. Cells from RTS patients are hypersensitive to a range of DNA damage inducing agents such as hydroxyurea and camptothecin </w:t>
      </w:r>
      <w:r w:rsidR="00F20EC0" w:rsidRPr="00DF0680">
        <w:rPr>
          <w:rFonts w:cs="Times New Roman"/>
        </w:rPr>
        <w:fldChar w:fldCharType="begin" w:fldLock="1"/>
      </w:r>
      <w:r w:rsidR="00332613" w:rsidRPr="00DF0680">
        <w:rPr>
          <w:rFonts w:cs="Times New Roman"/>
        </w:rPr>
        <w:instrText>ADDIN CSL_CITATION { "citationItems" : [ { "id" : "ITEM-1", "itemData" : { "DOI" : "10.1007/s00439-008-0518-4.Sensitivity", "ISBN" : "0043900805184", "author" : [ { "dropping-particle" : "", "family" : "Jin", "given" : "W", "non-dropping-particle" : "", "parse-names" : false, "suffix" : "" }, { "dropping-particle" : "", "family" : "Liu", "given" : "H", "non-dropping-particle" : "", "parse-names" : false, "suffix" : "" }, { "dropping-particle" : "", "family" : "Zhang", "given" : "Y", "non-dropping-particle" : "", "parse-names" : false, "suffix" : "" }, { "dropping-particle" : "", "family" : "Otta", "given" : "SK", "non-dropping-particle" : "", "parse-names" : false, "suffix" : "" }, { "dropping-particle" : "", "family" : "Plon", "given" : "SE", "non-dropping-particle" : "", "parse-names" : false, "suffix" : "" }, { "dropping-particle" : "", "family" : "Wang", "given" : "LL", "non-dropping-particle" : "", "parse-names" : false, "suffix" : "" } ], "container-title" : "Human Genetics", "id" : "ITEM-1", "issue" : "6", "issued" : { "date-parts" : [ [ "2008" ] ] }, "page" : "643-653", "title" : "Sensitivity of RECQL4-deficient fibroblasts from Rothmund\u2013Thomson syndrome patients to genotoxic agents", "type" : "article-journal", "volume" : "123" }, "uris" : [ "http://www.mendeley.com/documents/?uuid=d7630acb-c2a7-4443-afd8-697fda9c58f3" ] } ], "mendeley" : { "formattedCitation" : "(Jin et al. 2008)", "plainTextFormattedCitation" : "(Jin et al. 2008)", "previouslyFormattedCitation" : "(Jin et al. 2008)"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(Jin et al. 2008)</w:t>
      </w:r>
      <w:r w:rsidR="00F20EC0" w:rsidRPr="00DF0680">
        <w:rPr>
          <w:rFonts w:cs="Times New Roman"/>
        </w:rPr>
        <w:fldChar w:fldCharType="end"/>
      </w:r>
      <w:r w:rsidR="00786C59" w:rsidRPr="00DF0680">
        <w:rPr>
          <w:rFonts w:cs="Times New Roman"/>
        </w:rPr>
        <w:t>.</w:t>
      </w:r>
      <w:r w:rsidR="00F92BCF" w:rsidRPr="00DF0680">
        <w:rPr>
          <w:rFonts w:cs="Times New Roman"/>
        </w:rPr>
        <w:t xml:space="preserve"> </w:t>
      </w:r>
      <w:r w:rsidR="00E441EC" w:rsidRPr="00DF0680">
        <w:rPr>
          <w:rFonts w:cs="Times New Roman"/>
        </w:rPr>
        <w:t>Other disease</w:t>
      </w:r>
      <w:r w:rsidR="007D529C" w:rsidRPr="00DF0680">
        <w:rPr>
          <w:rFonts w:cs="Times New Roman"/>
        </w:rPr>
        <w:t>s</w:t>
      </w:r>
      <w:r w:rsidR="00E441EC" w:rsidRPr="00DF0680">
        <w:rPr>
          <w:rFonts w:cs="Times New Roman"/>
        </w:rPr>
        <w:t xml:space="preserve"> found to be caused by mutations in RECQL4 include Baller-Gerold syndrome (BGS – </w:t>
      </w:r>
      <w:r w:rsidR="007D529C" w:rsidRPr="00DF0680">
        <w:rPr>
          <w:rFonts w:cs="Times New Roman"/>
        </w:rPr>
        <w:t xml:space="preserve">an </w:t>
      </w:r>
      <w:r w:rsidR="00E441EC" w:rsidRPr="00DF0680">
        <w:rPr>
          <w:rFonts w:cs="Times New Roman"/>
        </w:rPr>
        <w:t>autosomal recessive condition with symptoms of radial aplasia and craniosynostosis) and RAPIDLINO syndrome (</w:t>
      </w:r>
      <w:r w:rsidR="00E441EC" w:rsidRPr="00DF0680">
        <w:rPr>
          <w:rFonts w:cs="Times New Roman"/>
          <w:u w:val="single"/>
        </w:rPr>
        <w:t>Ra</w:t>
      </w:r>
      <w:r w:rsidR="00E441EC" w:rsidRPr="00DF0680">
        <w:rPr>
          <w:rFonts w:cs="Times New Roman"/>
        </w:rPr>
        <w:t xml:space="preserve">dial hypo-/aplasia, </w:t>
      </w:r>
      <w:r w:rsidR="00E441EC" w:rsidRPr="00DF0680">
        <w:rPr>
          <w:rFonts w:cs="Times New Roman"/>
          <w:u w:val="single"/>
        </w:rPr>
        <w:t>P</w:t>
      </w:r>
      <w:r w:rsidR="00E441EC" w:rsidRPr="00DF0680">
        <w:rPr>
          <w:rFonts w:cs="Times New Roman"/>
        </w:rPr>
        <w:t xml:space="preserve">atellae hypo-/aplasia and cleft or highly arched palate, </w:t>
      </w:r>
      <w:r w:rsidR="00E441EC" w:rsidRPr="00DF0680">
        <w:rPr>
          <w:rFonts w:cs="Times New Roman"/>
          <w:u w:val="single"/>
        </w:rPr>
        <w:t>D</w:t>
      </w:r>
      <w:r w:rsidR="00E441EC" w:rsidRPr="00DF0680">
        <w:rPr>
          <w:rFonts w:cs="Times New Roman"/>
        </w:rPr>
        <w:t xml:space="preserve">iarrhoea and Dislocated joints, </w:t>
      </w:r>
      <w:r w:rsidR="00E441EC" w:rsidRPr="00DF0680">
        <w:rPr>
          <w:rFonts w:cs="Times New Roman"/>
          <w:u w:val="single"/>
        </w:rPr>
        <w:t>Li</w:t>
      </w:r>
      <w:r w:rsidR="00E441EC" w:rsidRPr="00DF0680">
        <w:rPr>
          <w:rFonts w:cs="Times New Roman"/>
        </w:rPr>
        <w:t xml:space="preserve">ttle size and Limb malformation, </w:t>
      </w:r>
      <w:r w:rsidR="00E441EC" w:rsidRPr="00DF0680">
        <w:rPr>
          <w:rFonts w:cs="Times New Roman"/>
          <w:u w:val="single"/>
        </w:rPr>
        <w:t>No</w:t>
      </w:r>
      <w:r w:rsidR="00E441EC" w:rsidRPr="00DF0680">
        <w:rPr>
          <w:rFonts w:cs="Times New Roman"/>
        </w:rPr>
        <w:t xml:space="preserve">se slender and </w:t>
      </w:r>
      <w:r w:rsidR="00E441EC" w:rsidRPr="00DF0680">
        <w:rPr>
          <w:rFonts w:cs="Times New Roman"/>
          <w:u w:val="single"/>
        </w:rPr>
        <w:t>No</w:t>
      </w:r>
      <w:r w:rsidR="00E441EC" w:rsidRPr="00DF0680">
        <w:rPr>
          <w:rFonts w:cs="Times New Roman"/>
        </w:rPr>
        <w:t xml:space="preserve">rmal intelligence) </w:t>
      </w:r>
      <w:r w:rsidR="00F20EC0" w:rsidRPr="00DF0680">
        <w:rPr>
          <w:rFonts w:cs="Times New Roman"/>
        </w:rPr>
        <w:fldChar w:fldCharType="begin" w:fldLock="1"/>
      </w:r>
      <w:r w:rsidR="00332613" w:rsidRPr="00DF0680">
        <w:rPr>
          <w:rFonts w:cs="Times New Roman"/>
        </w:rPr>
        <w:instrText>ADDIN CSL_CITATION { "citationItems" : [ { "id" : "ITEM-1", "itemData" : { "DOI" : "10.1136/jmg.2005.031781", "ISSN" : "1468-6244", "PMID" : "15964893", "abstract" : "Baller-Gerold syndrome (BGS) is a rare autosomal recessive condition with radial aplasia/hypoplasia and craniosynostosis (OMIM 218600). Of &gt;20 cases reported so far, a few appear atypical and have been reassigned to other nosologic entities, including Fanconi anaemia, Roberts SC phocomelia, and Pfeiffer syndromes after demonstration of corresponding cytogenetic or molecular abnormalities. Clinical overlap between BGS, Rothmund-Thomson syndrome (RTS), and RAPADILINO syndrome is noticeable. Because patients with RAPADILINO syndrome and a subset of patients with RTS have RECQL4 mutations, we reassessed two previously reported BGS families and found causal mutations in RECQL4 in both. In the first family, four affected offspring had craniosynostosis and radial defect and one of them developed poikiloderma. In this family, compound heterozygosity for a R1021W missense mutation and a g.2886delT frameshift mutation of exon 9 was found. In the second family, the affected male had craniosynostosis, radial ray defect, poikiloderma, and short stature. He had a homozygous splice site mutation (IVS17-2A&gt;C). In both families, the affected offspring had craniosynostosis, radial defects, and growth retardation, and two developed poikiloderma. Our results confirm that BGS in a subgroup of patients is due to RECQL4 mutations and could be integrated into a clinical spectrum that encompasses RTS and RAPADILINO syndrome.", "author" : [ { "dropping-particle" : "", "family" : "Maldergem", "given" : "L", "non-dropping-particle" : "Van", "parse-names" : false, "suffix" : "" }, { "dropping-particle" : "", "family" : "Siitonen", "given" : "H a", "non-dropping-particle" : "", "parse-names" : false, "suffix" : "" }, { "dropping-particle" : "", "family" : "Jalkh", "given" : "N", "non-dropping-particle" : "", "parse-names" : false, "suffix" : "" }, { "dropping-particle" : "", "family" : "Chouery", "given" : "E", "non-dropping-particle" : "", "parse-names" : false, "suffix" : "" }, { "dropping-particle" : "", "family" : "Roy", "given" : "M", "non-dropping-particle" : "De", "parse-names" : false, "suffix" : "" }, { "dropping-particle" : "", "family" : "Delague", "given" : "V", "non-dropping-particle" : "", "parse-names" : false, "suffix" : "" }, { "dropping-particle" : "", "family" : "Muenke", "given" : "M", "non-dropping-particle" : "", "parse-names" : false, "suffix" : "" }, { "dropping-particle" : "", "family" : "Jabs", "given" : "E W", "non-dropping-particle" : "", "parse-names" : false, "suffix" : "" }, { "dropping-particle" : "", "family" : "Cai", "given" : "J", "non-dropping-particle" : "", "parse-names" : false, "suffix" : "" }, { "dropping-particle" : "", "family" : "Wang", "given" : "L L", "non-dropping-particle" : "", "parse-names" : false, "suffix" : "" }, { "dropping-particle" : "", "family" : "Plon", "given" : "S E", "non-dropping-particle" : "", "parse-names" : false, "suffix" : "" }, { "dropping-particle" : "", "family" : "Fourneau", "given" : "C", "non-dropping-particle" : "", "parse-names" : false, "suffix" : "" }, { "dropping-particle" : "", "family" : "Kestil\u00e4", "given" : "M", "non-dropping-particle" : "", "parse-names" : false, "suffix" : "" }, { "dropping-particle" : "", "family" : "Gillerot", "given" : "Y", "non-dropping-particle" : "", "parse-names" : false, "suffix" : "" }, { "dropping-particle" : "", "family" : "M\u00e9garban\u00e9", "given" : "A", "non-dropping-particle" : "", "parse-names" : false, "suffix" : "" }, { "dropping-particle" : "", "family" : "Verloes", "given" : "A", "non-dropping-particle" : "", "parse-names" : false, "suffix" : "" } ], "container-title" : "Journal of Medical Genetics", "id" : "ITEM-1", "issue" : "2", "issued" : { "date-parts" : [ [ "2006", "2" ] ] }, "page" : "148-52", "title" : "Revisiting the craniosynostosis-radial ray hypoplasia association: Baller-Gerold syndrome caused by mutations in the RECQL4 gene.", "type" : "article-journal", "volume" : "43" }, "uris" : [ "http://www.mendeley.com/documents/?uuid=2efc067c-a5be-4159-9633-59a5f17dc462" ] }, { "id" : "ITEM-2", "itemData" : { "DOI" : "10.1093/hmg/ddg306", "ISSN" : "0964-6906", "PMID" : "12952869", "abstract" : "The RECQL4 helicase gene is a member of the RECQL gene family, mutated in some Rothmund-Thomson syndrome (RTS) patients. Other members of this gene family are BLM mutated in Bloom syndrome, WRN mutated in Werner syndrome and RECQL and RECQL5. All polypeptides encoded by RECQL genes share a central region of seven helicase domains. The function of RECQL4 remains unknown, but based on the domain homology it possesses ATP-dependent DNA helicase activity such as BLM and WRN. Rothmund-Thomson, Bloom and Werner syndromes have overlapping clinical features, of which high predisposition to malignancies is the most remarkable feature. Here we report a fourth syndrome resulting in mutations in the RECQL genes. RAPADILINO syndrome is an autosomal recessive disorder characterized by short stature, radial ray defects and other malformations, as well as infantile diarrhoea, but not by a significant cancer risk. Four mutations in the RECQL4 gene were found in the Finnish patients, the most common mutation representing exon 7 in-frame deletion saving the helicase domain and showing dominant effect over other three nonsense mutations. The tissue expression of Recql4 in mouse well agrees with the tissue symptoms of RAPADILINO. The skeletal malformations in RAPADILINO and RTS patients as well as the high osteosarcoma risk in RTS propose a special role for RECQL4 in bone development.", "author" : [ { "dropping-particle" : "", "family" : "Siitonen", "given" : "H Annika", "non-dropping-particle" : "", "parse-names" : false, "suffix" : "" }, { "dropping-particle" : "", "family" : "Kopra", "given" : "Outi", "non-dropping-particle" : "", "parse-names" : false, "suffix" : "" }, { "dropping-particle" : "", "family" : "K\u00e4\u00e4ri\u00e4inen", "given" : "Helena", "non-dropping-particle" : "", "parse-names" : false, "suffix" : "" }, { "dropping-particle" : "", "family" : "Haravuori", "given" : "Henna", "non-dropping-particle" : "", "parse-names" : false, "suffix" : "" }, { "dropping-particle" : "", "family" : "Winter", "given" : "Robin M", "non-dropping-particle" : "", "parse-names" : false, "suffix" : "" }, { "dropping-particle" : "", "family" : "S\u00e4\u00e4m\u00e4nen", "given" : "Anna-Marja", "non-dropping-particle" : "", "parse-names" : false, "suffix" : "" }, { "dropping-particle" : "", "family" : "Peltonen", "given" : "Leena", "non-dropping-particle" : "", "parse-names" : false, "suffix" : "" }, { "dropping-particle" : "", "family" : "Kestil\u00e4", "given" : "Marjo", "non-dropping-particle" : "", "parse-names" : false, "suffix" : "" } ], "container-title" : "Human Molecular Genetics", "id" : "ITEM-2", "issue" : "21", "issued" : { "date-parts" : [ [ "2003", "11", "1" ] ] }, "page" : "2837-44", "title" : "Molecular defect of RAPADILINO syndrome expands the phenotype spectrum of RECQL diseases.", "type" : "article-journal", "volume" : "12" }, "uris" : [ "http://www.mendeley.com/documents/?uuid=29f41c4a-e3e8-41bd-8ca5-1574e30c8724" ] } ], "mendeley" : { "formattedCitation" : "(Van Maldergem et al. 2006; Siitonen et al. 2003)", "plainTextFormattedCitation" : "(Van Maldergem et al. 2006; Siitonen et al. 2003)", "previouslyFormattedCitation" : "(Van Maldergem et al. 2006; Siitonen et al. 2003)"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(Van Maldergem et al. 2006; Siitonen et al. 2003)</w:t>
      </w:r>
      <w:r w:rsidR="00F20EC0" w:rsidRPr="00DF0680">
        <w:rPr>
          <w:rFonts w:cs="Times New Roman"/>
        </w:rPr>
        <w:fldChar w:fldCharType="end"/>
      </w:r>
      <w:r w:rsidR="00E441EC" w:rsidRPr="00DF0680">
        <w:rPr>
          <w:rFonts w:cs="Times New Roman"/>
        </w:rPr>
        <w:t>.</w:t>
      </w:r>
      <w:r w:rsidR="00B71FC3" w:rsidRPr="00DF0680">
        <w:rPr>
          <w:rFonts w:cs="Times New Roman"/>
        </w:rPr>
        <w:t xml:space="preserve"> The genetic difference between them </w:t>
      </w:r>
      <w:r w:rsidR="00D924EE" w:rsidRPr="00DF0680">
        <w:rPr>
          <w:rFonts w:cs="Times New Roman"/>
        </w:rPr>
        <w:t>h</w:t>
      </w:r>
      <w:r w:rsidR="00B71FC3" w:rsidRPr="00DF0680">
        <w:rPr>
          <w:rFonts w:cs="Times New Roman"/>
        </w:rPr>
        <w:t xml:space="preserve">as yet to be determined. </w:t>
      </w:r>
    </w:p>
    <w:p w:rsidR="004F43B8" w:rsidRPr="00DF0680" w:rsidRDefault="004F43B8" w:rsidP="00245516">
      <w:pPr>
        <w:rPr>
          <w:rFonts w:cs="Times New Roman"/>
          <w:color w:val="auto"/>
        </w:rPr>
      </w:pPr>
      <w:r w:rsidRPr="00DF0680">
        <w:rPr>
          <w:rFonts w:cs="Times New Roman"/>
          <w:color w:val="auto"/>
        </w:rPr>
        <w:t xml:space="preserve">RECQL4 is a 3’-5’ ATP-dependent DNA helicase with strand annealing activity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"10.1093/jb/mvp074", "ISSN" : "1756-2651", "PMID" : "19451148", "abstract" : "Human RECQL4 protein was expressed in insect cells using a baculovirus protein expression system and it was purified to near homogeneity. The protein sedimented at a position between catalase (230 kDa) and ferritin (440 kDa) in glycerol gradient centrifugation, suggesting that it forms homo-multimers. Activity to displace annealed 17-mer oligonucleotide in the presence of ATP was co-sedimented with hRECQL4 protein. In ion-exchange chromatography, both DNA helicase activity and single-stranded DNA-dependent ATPase activity were co-eluted with hRECQL4 protein. The requirements of ATP and Mg for the helicase activity were different from those for the ATPase activity. The data suggest that the helicase migrates on single-stranded DNA in a 3'-5' direction. These results suggest that the hRECQL4 protein exhibits DNA helicase activity.", "author" : [ { "dropping-particle" : "", "family" : "Suzuki", "given" : "Takahiro", "non-dropping-particle" : "", "parse-names" : false, "suffix" : "" }, { "dropping-particle" : "", "family" : "Kohno", "given" : "Toshiyuki", "non-dropping-particle" : "", "parse-names" : false, "suffix" : "" }, { "dropping-particle" : "", "family" : "Ishimi", "given" : "Yukio", "non-dropping-particle" : "", "parse-names" : false, "suffix" : "" } ], "container-title" : "Journal of Biochemistry", "id" : "ITEM-1", "issue" : "3", "issued" : { "date-parts" : [ [ "2009", "9" ] ] }, "page" : "327-35", "title" : "DNA helicase activity in purified human RECQL4 protein.", "type" : "article-journal", "volume" : "146" }, "uris" : [ "http://www.mendeley.com/documents/?uuid=eb818e49-e6c6-43e7-afdc-7b2aa739b2a7" ] }, { "id" : "ITEM-2", "itemData" : { "DOI" : "10.1038/emboj.2009.13", "ISSN" : "1460-2075", "PMID" : "19177149", "abstract" : "Human RECQ helicases have been linked to distinct clinical diseases with increased cancer rates and premature ageing. All RECQ proteins, except RECQ4, have been shown to be functional helicases. Mutations in RECQ4 lead to Rothmund-Thomson syndrome (RTS), and mouse models reveal that the conserved helicase motifs are required for avoidance of RTS. Furthermore, the amino (N) terminus of RECQ4 shares homology with yeast DNA replication initiation factor, Sld2, and is vital for embryonic development. Here, in contrast to previous reports, we show that RECQ4 exhibits DNA helicase activity. Importantly, two distinct regions of the protein, the conserved helicase motifs and the Sld2-like N-terminal domain, each independently promote ATP-dependent DNA unwinding. Taken together, our data provide the first biochemical clues underlying the molecular function of RECQ4 in DNA replication and genome maintenance.", "author" : [ { "dropping-particle" : "", "family" : "Xu", "given" : "Xiaohua", "non-dropping-particle" : "", "parse-names" : false, "suffix" : "" }, { "dropping-particle" : "", "family" : "Liu", "given" : "Yilun", "non-dropping-particle" : "", "parse-names" : false, "suffix" : "" } ], "container-title" : "The EMBO Journal", "id" : "ITEM-2", "issue" : "5", "issued" : { "date-parts" : [ [ "2009", "3", "4" ] ] }, "page" : "568-77", "title" : "Dual DNA unwinding activities of the Rothmund-Thomson syndrome protein, RECQ4.", "type" : "article-journal", "volume" : "28" }, "uris" : [ "http://www.mendeley.com/documents/?uuid=001a3425-b6b1-473e-97ce-4d9a62cced09" ] }, { "id" : "ITEM-3", "itemData" : { "DOI" : "10.1016/j.dnarep.2005.09.005", "ISSN" : "1568-7864", "PMID" : "16214424", "abstract" : "Rothmund-Thomson syndrome (RTS) is an autosomal recessive disorder characterized by growth deficiency, skin and skeletal abnormalities, and a predisposition to cancer. Mutations in the RECQ4 gene, one of five human homologs of the E. coli recQ gene, have been identified in a subset of RTS patients. Cells derived from RTS patients show high levels of chromosomal instability, implicating this protein in the maintenance of genomic integrity. However, RECQ4 is the least characterized of the RecQ helicase family with regard to its molecular and catalytic properties. We have expressed the human RECQ4 protein in E. coli and purified it to near homogeneity. We show that RECQ4 has an ATPase function that is activated by DNA, with ssDNA being much more effective than dsDNA in this regard. We have determined that a DNA length of 60 nucleotides is required to maximally activate ATP hydrolysis by RECQ4, while the minimal site size for ssDNA binding by RECQ4 is between 20 and 40 nucleotides. Interestingly, RECQ4 possesses a single-strand DNA annealing activity that is inhibited by the single-strand DNA binding protein RPA. Unlike the previously characterized members of the RecQ family, RECQ4 lacks a detectable DNA helicase activity.", "author" : [ { "dropping-particle" : "", "family" : "Macris", "given" : "Margaret a", "non-dropping-particle" : "", "parse-names" : false, "suffix" : "" }, { "dropping-particle" : "", "family" : "Krejci", "given" : "Lumir", "non-dropping-particle" : "", "parse-names" : false, "suffix" : "" }, { "dropping-particle" : "", "family" : "Bussen", "given" : "Wendy", "non-dropping-particle" : "", "parse-names" : false, "suffix" : "" }, { "dropping-particle" : "", "family" : "Shimamoto", "given" : "Akira", "non-dropping-particle" : "", "parse-names" : false, "suffix" : "" }, { "dropping-particle" : "", "family" : "Sung", "given" : "Patrick", "non-dropping-particle" : "", "parse-names" : false, "suffix" : "" } ], "container-title" : "DNA Repair", "id" : "ITEM-3", "issue" : "2", "issued" : { "date-parts" : [ [ "2006", "2", "3" ] ] }, "page" : "172-80", "title" : "Biochemical characterization of the RECQ4 protein, mutated in Rothmund-Thomson syndrome.", "type" : "article-journal", "volume" : "5" }, "uris" : [ "http://www.mendeley.com/documents/?uuid=810565b9-2664-4f42-9034-7798d0f2733a" ] } ], "mendeley" : { "formattedCitation" : "(Suzuki et al. 2009; Xu &amp; Liu 2009; Macris et al. 2006)", "plainTextFormattedCitation" : "(Suzuki et al. 2009; Xu &amp; Liu 2009; Macris et al. 2006)", "previouslyFormattedCitation" : "(Suzuki et al. 2009; Xu &amp; Liu 2009; Macris et al. 2006)"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(Suzuki et al. 2009; Xu &amp; Liu 2009; Macris et al. 2006)</w:t>
      </w:r>
      <w:r w:rsidR="00F20EC0" w:rsidRPr="00DF0680">
        <w:rPr>
          <w:rFonts w:cs="Times New Roman"/>
          <w:color w:val="auto"/>
        </w:rPr>
        <w:fldChar w:fldCharType="end"/>
      </w:r>
      <w:r w:rsidRPr="00DF0680">
        <w:rPr>
          <w:rFonts w:cs="Times New Roman"/>
          <w:color w:val="auto"/>
        </w:rPr>
        <w:t xml:space="preserve">.  It has been implicated </w:t>
      </w:r>
      <w:r w:rsidR="00346A76" w:rsidRPr="00DF0680">
        <w:rPr>
          <w:rFonts w:cs="Times New Roman"/>
          <w:color w:val="auto"/>
        </w:rPr>
        <w:t xml:space="preserve">in </w:t>
      </w:r>
      <w:r w:rsidR="00346A76" w:rsidRPr="00DF0680">
        <w:rPr>
          <w:rFonts w:cs="Times New Roman"/>
          <w:color w:val="auto"/>
        </w:rPr>
        <w:lastRenderedPageBreak/>
        <w:t>recovery from ionising radiation as cells without the C-terminus of RECQL4 are more sensitive to IR and after treatment, have a</w:t>
      </w:r>
      <w:r w:rsidR="00F40FC7" w:rsidRPr="00DF0680">
        <w:rPr>
          <w:rFonts w:cs="Times New Roman"/>
          <w:color w:val="auto"/>
        </w:rPr>
        <w:t>n</w:t>
      </w:r>
      <w:r w:rsidR="00346A76" w:rsidRPr="00DF0680">
        <w:rPr>
          <w:rFonts w:cs="Times New Roman"/>
          <w:color w:val="auto"/>
        </w:rPr>
        <w:t xml:space="preserve"> S-phase progression defect and slower moving replication forks </w:t>
      </w:r>
      <w:r w:rsidR="00F20EC0" w:rsidRPr="00DF0680">
        <w:rPr>
          <w:rFonts w:cs="Times New Roman"/>
          <w:color w:val="auto"/>
        </w:rPr>
        <w:fldChar w:fldCharType="begin" w:fldLock="1"/>
      </w:r>
      <w:r w:rsidR="00525765" w:rsidRPr="00DF0680">
        <w:rPr>
          <w:rFonts w:cs="Times New Roman"/>
          <w:color w:val="auto"/>
        </w:rPr>
        <w:instrText>ADDIN CSL_CITATION { "citationItems" : [ { "id" : "ITEM-1", "itemData" : { "DOI" : "10.1093/carcin/bgs149", "ISSN" : "1460-2180", "PMID" : "22508716", "abstract" : "The vertebrate RECQL4 (RECQ4) gene is thought to be the ortholog of budding yeast SLD2. However, RecQL4 contains within its C-terminus a RecQ-like helicase domain, which is absent in Sld2. We established human pre-B lymphocyte Nalm-6 cells, in which the endogenous RECQL4 gene was homozygously targeted such that the entire C-terminus would not be expressed. The RECQL4(\u0394C/\u0394C) cells behaved like the parental cells during unperturbed DNA replication or after treatment with agents that induce stalling of DNA replication forks, such as hydroxyurea (HU). However, after exposure to ionizing radiation (IR), the RECQL4(\u0394C/\u0394C) cells exhibited hypersensitivity, inability to complete S phase and prematurely terminated or paused DNA replication forks. Deletion of BLM, a gene that also encodes a RecQ helicase, had the opposite phenotype; an almost wild-type response to IR, but hypersensitivity to HU. Targeting both RECQL4 and BLM resulted in viable cells, which exhibited mostly additive phenotypes compared with those exhibited by the RECQL4(\u0394C/\u0394C) and the BLM(-/-) cells. We propose that RecQL4 facilitates DNA replication in cells that have been exposed to IR.", "author" : [ { "dropping-particle" : "", "family" : "Kohzaki", "given" : "Masaoki", "non-dropping-particle" : "", "parse-names" : false, "suffix" : "" }, { "dropping-particle" : "", "family" : "Chiourea", "given" : "Maria", "non-dropping-particle" : "", "parse-names" : false, "suffix" : "" }, { "dropping-particle" : "", "family" : "Versini", "given" : "Gwennaelle", "non-dropping-particle" : "", "parse-names" : false, "suffix" : "" }, { "dropping-particle" : "", "family" : "Adachi", "given" : "Noritaka", "non-dropping-particle" : "", "parse-names" : false, "suffix" : "" }, { "dropping-particle" : "", "family" : "Takeda", "given" : "Shunichi", "non-dropping-particle" : "", "parse-names" : false, "suffix" : "" }, { "dropping-particle" : "", "family" : "Gagos", "given" : "Sarantis", "non-dropping-particle" : "", "parse-names" : false, "suffix" : "" }, { "dropping-particle" : "", "family" : "Halazonetis", "given" : "Thanos D", "non-dropping-particle" : "", "parse-names" : false, "suffix" : "" } ], "container-title" : "Carcinogenesis", "id" : "ITEM-1", "issue" : "6", "issued" : { "date-parts" : [ [ "2012", "6" ] ] }, "page" : "1203-10", "title" : "The helicase domain and C-terminus of human RecQL4 facilitate replication elongation on DNA templates damaged by ionizing radiation.", "type" : "article-journal", "volume" : "33" }, "uris" : [ "http://www.mendeley.com/documents/?uuid=0309bd9c-a71b-4589-a6bd-40313e5c4afb" ] } ], "mendeley" : { "formattedCitation" : "(Kohzaki et al. 2012)", "plainTextFormattedCitation" : "(Kohzaki et al. 2012)", "previouslyFormattedCitation" : "(Kohzaki et al. 2012)"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(Kohzaki et al. 2012)</w:t>
      </w:r>
      <w:r w:rsidR="00F20EC0" w:rsidRPr="00DF0680">
        <w:rPr>
          <w:rFonts w:cs="Times New Roman"/>
          <w:color w:val="auto"/>
        </w:rPr>
        <w:fldChar w:fldCharType="end"/>
      </w:r>
      <w:r w:rsidR="00346A76" w:rsidRPr="00DF0680">
        <w:rPr>
          <w:rFonts w:cs="Times New Roman"/>
          <w:color w:val="auto"/>
        </w:rPr>
        <w:t xml:space="preserve">. It has also been seen to have a role in replication initiation as it is recruited to replication origins at G1/S and early S phase and </w:t>
      </w:r>
      <w:r w:rsidR="00F40FC7" w:rsidRPr="00DF0680">
        <w:rPr>
          <w:rFonts w:cs="Times New Roman"/>
          <w:color w:val="auto"/>
        </w:rPr>
        <w:t>depleting RECQL4 protein</w:t>
      </w:r>
      <w:r w:rsidR="00346A76" w:rsidRPr="00DF0680">
        <w:rPr>
          <w:rFonts w:cs="Times New Roman"/>
          <w:color w:val="auto"/>
        </w:rPr>
        <w:t xml:space="preserve"> reduces DNA synthesis and proliferation rate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"10.1128/MCB.01290-09", "ISSN" : "1098-5549", "PMID" : "20065033", "abstract" : "Cellular and biochemical studies support a role for all five human RecQ helicases in DNA replication; however, their specific functions during this process are unclear. Here we investigate the in vivo association of the five human RecQ helicases with three well-characterized human replication origins. We show that only RECQ1 (also called RECQL or RECQL1) and RECQ4 (also called RECQL4) associate with replication origins in a cell cycle-regulated fashion in unperturbed cells. RECQ4 is recruited to origins at late G(1), after ORC and MCM complex assembly, while RECQ1 and additional RECQ4 are loaded at origins at the onset of S phase, when licensed origins begin firing. Both proteins are lost from origins after DNA replication initiation, indicating either disassembly or tracking with the newly formed replisome. Nascent-origin DNA synthesis and the frequency of origin firing are reduced after RECQ1 depletion and, to a greater extent, after RECQ4 depletion. Depletion of RECQ1, though not that of RECQ4, also suppresses replication fork rates in otherwise unperturbed cells. These results indicate that RECQ1 and RECQ4 are integral components of the human replication complex and play distinct roles in DNA replication initiation and replication fork progression in vivo.", "author" : [ { "dropping-particle" : "", "family" : "Thangavel", "given" : "Saravanabhavan", "non-dropping-particle" : "", "parse-names" : false, "suffix" : "" }, { "dropping-particle" : "", "family" : "Mendoza-Maldonado", "given" : "Ramiro", "non-dropping-particle" : "", "parse-names" : false, "suffix" : "" }, { "dropping-particle" : "", "family" : "Tissino", "given" : "Erika", "non-dropping-particle" : "", "parse-names" : false, "suffix" : "" }, { "dropping-particle" : "", "family" : "Sidorova", "given" : "Julia M", "non-dropping-particle" : "", "parse-names" : false, "suffix" : "" }, { "dropping-particle" : "", "family" : "Yin", "given" : "Jinhu", "non-dropping-particle" : "", "parse-names" : false, "suffix" : "" }, { "dropping-particle" : "", "family" : "Wang", "given" : "Weidong", "non-dropping-particle" : "", "parse-names" : false, "suffix" : "" }, { "dropping-particle" : "", "family" : "Monnat", "given" : "Raymond J", "non-dropping-particle" : "", "parse-names" : false, "suffix" : "" }, { "dropping-particle" : "", "family" : "Falaschi", "given" : "Arturo", "non-dropping-particle" : "", "parse-names" : false, "suffix" : "" }, { "dropping-particle" : "", "family" : "Vindigni", "given" : "Alessandro", "non-dropping-particle" : "", "parse-names" : false, "suffix" : "" } ], "container-title" : "Molecular and Cellular Biology", "id" : "ITEM-1", "issue" : "6", "issued" : { "date-parts" : [ [ "2010", "3" ] ] }, "page" : "1382-96", "title" : "Human RECQ1 and RECQ4 helicases play distinct roles in DNA replication initiation.", "type" : "article-journal", "volume" : "30" }, "uris" : [ "http://www.mendeley.com/documents/?uuid=376ba441-3b7a-4c10-8395-3c3f1b390d1c" ] } ], "mendeley" : { "formattedCitation" : "(Thangavel et al. 2010)", "plainTextFormattedCitation" : "(Thangavel et al. 2010)", "previouslyFormattedCitation" : "(Thangavel et al. 2010)"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(Thangavel et al. 2010)</w:t>
      </w:r>
      <w:r w:rsidR="00F20EC0" w:rsidRPr="00DF0680">
        <w:rPr>
          <w:rFonts w:cs="Times New Roman"/>
          <w:color w:val="auto"/>
        </w:rPr>
        <w:fldChar w:fldCharType="end"/>
      </w:r>
      <w:r w:rsidR="00346A76" w:rsidRPr="00DF0680">
        <w:rPr>
          <w:rFonts w:cs="Times New Roman"/>
          <w:color w:val="auto"/>
        </w:rPr>
        <w:t xml:space="preserve">. </w:t>
      </w:r>
      <w:r w:rsidR="001B2782" w:rsidRPr="00DF0680">
        <w:rPr>
          <w:rFonts w:cs="Times New Roman"/>
          <w:color w:val="auto"/>
        </w:rPr>
        <w:t xml:space="preserve">The stable association of the CMG complex (Cdc45, Mcm2-7 and GINS), which plays a role in the formation and progress of replication forks, requires RECQL4 helicase </w:t>
      </w:r>
      <w:r w:rsidR="00F20EC0" w:rsidRPr="00DF0680">
        <w:rPr>
          <w:rFonts w:cs="Times New Roman"/>
          <w:color w:val="auto"/>
        </w:rPr>
        <w:fldChar w:fldCharType="begin" w:fldLock="1"/>
      </w:r>
      <w:r w:rsidR="001112F6" w:rsidRPr="00DF0680">
        <w:rPr>
          <w:rFonts w:cs="Times New Roman"/>
          <w:color w:val="auto"/>
        </w:rPr>
        <w:instrText>ADDIN CSL_CITATION { "citationItems" : [ { "id" : "ITEM-1", "itemData" : { "DOI" : "10.1073/pnas.0908039106", "ISSN" : "1091-6490", "PMID" : "19805216", "abstract" : "In eukaryotes, the activation of the prereplicative complex and assembly of an active DNA unwinding complex are critical but poorly understood steps required for the initiation of DNA replication. In this report, we have used bimolecular fluorescence complementation assays in HeLa cells to examine the interactions between Cdc45, Mcm2-7, and the GINS complex (collectively called the CMG complex), which seem to play a key role in the formation and progression of replication forks. Interactions between the CMG components were observed only after the G(1)/S transition of the cell cycle and were abolished by treatment of cells with either a CDK inhibitor or siRNA against the Cdc7 kinase. Stable association of CMG required all three components of the CMG complex as well as RecQL4, Ctf4/And-1, and Mcm10. Surprisingly, depletion of TopBP1, a homologue of Dpb11 that plays an essential role in the chromatin loading of Cdc45 and GINS in yeast cells, did not significantly affect CMG complex formation. These results suggest that the proteins involved in the assembly of initiation complexes in human cells may differ somewhat from those in yeast systems.", "author" : [ { "dropping-particle" : "", "family" : "Im", "given" : "Jun-Sub", "non-dropping-particle" : "", "parse-names" : false, "suffix" : "" }, { "dropping-particle" : "", "family" : "Ki", "given" : "Sang-Hee", "non-dropping-particle" : "", "parse-names" : false, "suffix" : "" }, { "dropping-particle" : "", "family" : "Farina", "given" : "Andrea", "non-dropping-particle" : "", "parse-names" : false, "suffix" : "" }, { "dropping-particle" : "", "family" : "Jung", "given" : "Dong-Soo", "non-dropping-particle" : "", "parse-names" : false, "suffix" : "" }, { "dropping-particle" : "", "family" : "Hurwitz", "given" : "Jerard", "non-dropping-particle" : "", "parse-names" : false, "suffix" : "" }, { "dropping-particle" : "", "family" : "Lee", "given" : "Joon-Kyu", "non-dropping-particle" : "", "parse-names" : false, "suffix" : "" } ], "container-title" : "Proceedings of the National Academy of Sciences", "id" : "ITEM-1", "issue" : "37", "issued" : { "date-parts" : [ [ "2009", "9", "15" ] ] }, "page" : "15628-32", "title" : "Assembly of the Cdc45-Mcm2-7-GINS complex in human cells requires the Ctf4/And-1, RecQL4, and Mcm10 proteins.", "type" : "article-journal", "volume" : "106" }, "uris" : [ "http://www.mendeley.com/documents/?uuid=88a1e1ca-0955-42a2-845d-4e601999f89b" ] } ], "mendeley" : { "formattedCitation" : "(Im et al. 2009)", "plainTextFormattedCitation" : "(Im et al. 2009)", "previouslyFormattedCitation" : "(Im et al. 2009)"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(Im et al. 2009)</w:t>
      </w:r>
      <w:r w:rsidR="00F20EC0" w:rsidRPr="00DF0680">
        <w:rPr>
          <w:rFonts w:cs="Times New Roman"/>
          <w:color w:val="auto"/>
        </w:rPr>
        <w:fldChar w:fldCharType="end"/>
      </w:r>
      <w:r w:rsidR="001B2782" w:rsidRPr="00DF0680">
        <w:rPr>
          <w:rFonts w:cs="Times New Roman"/>
          <w:color w:val="auto"/>
        </w:rPr>
        <w:t>. This</w:t>
      </w:r>
      <w:r w:rsidR="00D924EE" w:rsidRPr="00DF0680">
        <w:rPr>
          <w:rFonts w:cs="Times New Roman"/>
          <w:color w:val="auto"/>
        </w:rPr>
        <w:t xml:space="preserve"> association is dependent on MCM</w:t>
      </w:r>
      <w:r w:rsidR="001B2782" w:rsidRPr="00DF0680">
        <w:rPr>
          <w:rFonts w:cs="Times New Roman"/>
          <w:color w:val="auto"/>
        </w:rPr>
        <w:t xml:space="preserve">10, which can inhibit RECQL4’s helicase activity. </w:t>
      </w:r>
      <w:r w:rsidR="00F40FC7" w:rsidRPr="00DF0680">
        <w:rPr>
          <w:rFonts w:cs="Times New Roman"/>
          <w:color w:val="auto"/>
        </w:rPr>
        <w:t>Depletion</w:t>
      </w:r>
      <w:r w:rsidR="001B2782" w:rsidRPr="00DF0680">
        <w:rPr>
          <w:rFonts w:cs="Times New Roman"/>
          <w:color w:val="auto"/>
        </w:rPr>
        <w:t xml:space="preserve"> of these proteins decreased the incorporation of </w:t>
      </w:r>
      <w:r w:rsidR="001B2782" w:rsidRPr="00DF0680">
        <w:rPr>
          <w:rFonts w:cs="Times New Roman"/>
          <w:color w:val="auto"/>
          <w:vertAlign w:val="superscript"/>
        </w:rPr>
        <w:t>3</w:t>
      </w:r>
      <w:r w:rsidR="001B2782" w:rsidRPr="00DF0680">
        <w:rPr>
          <w:rFonts w:cs="Times New Roman"/>
          <w:color w:val="auto"/>
        </w:rPr>
        <w:t xml:space="preserve">H-thymidine after hydroxyurea treatment, suggesting that RECQL4 has a role in recovery after replication stress, but as this was a 48 hour treatment, it is more likely to be </w:t>
      </w:r>
      <w:r w:rsidR="009F13FD" w:rsidRPr="00DF0680">
        <w:rPr>
          <w:rFonts w:cs="Times New Roman"/>
          <w:color w:val="auto"/>
        </w:rPr>
        <w:t>due to new origin firing, rather than replication fork restart</w:t>
      </w:r>
      <w:r w:rsidR="001B2782" w:rsidRPr="00DF0680">
        <w:rPr>
          <w:rFonts w:cs="Times New Roman"/>
          <w:color w:val="auto"/>
        </w:rPr>
        <w:t xml:space="preserv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"10.1038/emboj.2009.235", "ISSN" : "1460-2075", "PMID" : "19696745", "abstract" : "Mutations in RECQ4, a member of the RecQ family of DNA helicases, have been linked to the progeroid disease Rothmund-Thomson Syndrome. Attempts to understand the complex phenotypes observed in recq4-deficient cells suggest a potential involvement in DNA repair and replication, yet the molecular basis of the function of RECQ4 in these processes remains unknown. Here, we report the identification of a highly purified chromatin-bound RECQ4 complex from human cell extracts. We found that essential replisome factors MCM10, MCM2-7 helicase, CDC45 and GINS are the primary interaction partner proteins of human RECQ4. Importantly, complex formation and the association of RECQ4 with the replication origin are cell-cycle regulated. Furthermore, we show that MCM10 is essential for the integrity of the RECQ4-MCM replicative helicase complex. MCM10 interacts directly with RECQ4 and regulates its DNA unwinding activity, and that this interaction may be modulated by cyclin-dependent kinase phosphorylation. Thus, these studies show that RECQ4 is an integral component of the MCM replicative helicase complex participating in DNA replication in human cells.", "author" : [ { "dropping-particle" : "", "family" : "Xu", "given" : "Xiaohua", "non-dropping-particle" : "", "parse-names" : false, "suffix" : "" }, { "dropping-particle" : "", "family" : "Rochette", "given" : "Patrick J", "non-dropping-particle" : "", "parse-names" : false, "suffix" : "" }, { "dropping-particle" : "", "family" : "Feyissa", "given" : "Eminet a", "non-dropping-particle" : "", "parse-names" : false, "suffix" : "" }, { "dropping-particle" : "V", "family" : "Su", "given" : "Tina", "non-dropping-particle" : "", "parse-names" : false, "suffix" : "" }, { "dropping-particle" : "", "family" : "Liu", "given" : "Yilun", "non-dropping-particle" : "", "parse-names" : false, "suffix" : "" } ], "container-title" : "The EMBO Journal", "id" : "ITEM-1", "issue" : "19", "issued" : { "date-parts" : [ [ "2009", "10", "7" ] ] }, "page" : "3005-14", "publisher" : "Nature Publishing Group", "title" : "MCM10 mediates RECQ4 association with MCM2-7 helicase complex during DNA replication.", "type" : "article-journal", "volume" : "28" }, "uris" : [ "http://www.mendeley.com/documents/?uuid=be69b457-9dd6-41da-94fe-285a7ea75552" ] } ], "mendeley" : { "formattedCitation" : "(Xu et al. 2009)", "plainTextFormattedCitation" : "(Xu et al. 2009)", "previouslyFormattedCitation" : "(Xu et al. 2009)"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(Xu et al. 2009)</w:t>
      </w:r>
      <w:r w:rsidR="00F20EC0" w:rsidRPr="00DF0680">
        <w:rPr>
          <w:rFonts w:cs="Times New Roman"/>
          <w:color w:val="auto"/>
        </w:rPr>
        <w:fldChar w:fldCharType="end"/>
      </w:r>
      <w:r w:rsidR="001B2782" w:rsidRPr="00DF0680">
        <w:rPr>
          <w:rFonts w:cs="Times New Roman"/>
          <w:color w:val="auto"/>
        </w:rPr>
        <w:t>.</w:t>
      </w:r>
      <w:r w:rsidR="009F13FD" w:rsidRPr="00DF0680">
        <w:rPr>
          <w:rFonts w:cs="Times New Roman"/>
          <w:color w:val="auto"/>
        </w:rPr>
        <w:t xml:space="preserve"> </w:t>
      </w:r>
    </w:p>
    <w:p w:rsidR="001E71A6" w:rsidRPr="00DF0680" w:rsidRDefault="001E71A6" w:rsidP="00245516">
      <w:pPr>
        <w:rPr>
          <w:rFonts w:cs="Times New Roman"/>
          <w:color w:val="auto"/>
        </w:rPr>
      </w:pPr>
      <w:r w:rsidRPr="00DF0680">
        <w:rPr>
          <w:rFonts w:cs="Times New Roman"/>
          <w:color w:val="auto"/>
        </w:rPr>
        <w:t>RECQL4 is unique within the RecQ helicase family as it localises to mitochondria</w:t>
      </w:r>
      <w:r w:rsidR="00073144" w:rsidRPr="00DF0680">
        <w:rPr>
          <w:rFonts w:cs="Times New Roman"/>
          <w:color w:val="auto"/>
        </w:rPr>
        <w:t xml:space="preserve"> </w:t>
      </w:r>
      <w:r w:rsidR="007967F1" w:rsidRPr="00DF0680">
        <w:rPr>
          <w:rFonts w:cs="Times New Roman"/>
          <w:color w:val="auto"/>
        </w:rPr>
        <w:t xml:space="preserve">using a mitochondrial localisation signal </w:t>
      </w:r>
      <w:r w:rsidR="00073144" w:rsidRPr="00DF0680">
        <w:rPr>
          <w:rFonts w:cs="Times New Roman"/>
          <w:color w:val="auto"/>
        </w:rPr>
        <w:t xml:space="preserve">and </w:t>
      </w:r>
      <w:r w:rsidR="00F40FC7" w:rsidRPr="00DF0680">
        <w:rPr>
          <w:rFonts w:cs="Times New Roman"/>
          <w:color w:val="auto"/>
        </w:rPr>
        <w:t xml:space="preserve">RECQL4 </w:t>
      </w:r>
      <w:r w:rsidR="00073144" w:rsidRPr="00DF0680">
        <w:rPr>
          <w:rFonts w:cs="Times New Roman"/>
          <w:color w:val="auto"/>
        </w:rPr>
        <w:t xml:space="preserve">deficient cells have increased amounts of mitochondrial DNA </w:t>
      </w:r>
      <w:r w:rsidR="00F40FC7" w:rsidRPr="00DF0680">
        <w:rPr>
          <w:rFonts w:cs="Times New Roman"/>
          <w:color w:val="auto"/>
        </w:rPr>
        <w:t xml:space="preserve">(mtDNA) </w:t>
      </w:r>
      <w:r w:rsidR="00073144" w:rsidRPr="00DF0680">
        <w:rPr>
          <w:rFonts w:cs="Times New Roman"/>
          <w:color w:val="auto"/>
        </w:rPr>
        <w:t xml:space="preserve">damage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"10.1111/j.1474-9726.2012.00803.x", "ISSN" : "1474-9726", "PMID" : "22296597", "abstract" : "RECQL4 is associated with Rothmund-Thomson Syndrome (RTS), a rare autosomal recessive disorder characterized by premature aging, genomic instability, and cancer predisposition. RECQL4 is a member of the RecQ helicase family, and has many similarities to WRN protein, which is also implicated in premature aging. There is no information about whether any of the RecQ helicases play roles in mitochondrial biogenesis, which is strongly implicated in the aging process. Here, we used microscopy to visualize RECQL4 in mitochondria. Fractionation of human and mouse cells also showed that RECQL4 was present in mitochondria. Q-PCR amplification of mitochondrial DNA demonstrated that mtDNA damage accumulated in RECQL4-deficient cells. Microarray analysis suggested that mitochondrial bioenergetic pathways might be affected in RTS. Measurements of mitochondrial bioenergetics showed a reduction in the mitochondrial reserve capacity after lentiviral knockdown of RECQL4 in two different primary cell lines. Additionally, biochemical assays with RECQL4, mitochondrial transcription factor A, and mitochondrial DNA polymerase \u03b3 showed that the polymerase inhibited RECQL4's helicase activity. RECQL4 is the first 3'-5' RecQ helicase to be found in both human and mouse mitochondria, and the loss of RECQL4 alters mitochondrial integrity.", "author" : [ { "dropping-particle" : "", "family" : "Croteau", "given" : "Deborah L", "non-dropping-particle" : "", "parse-names" : false, "suffix" : "" }, { "dropping-particle" : "", "family" : "Rossi", "given" : "Marie L", "non-dropping-particle" : "", "parse-names" : false, "suffix" : "" }, { "dropping-particle" : "", "family" : "Canugovi", "given" : "Chandrika", "non-dropping-particle" : "", "parse-names" : false, "suffix" : "" }, { "dropping-particle" : "", "family" : "Tian", "given" : "Jane", "non-dropping-particle" : "", "parse-names" : false, "suffix" : "" }, { "dropping-particle" : "", "family" : "Sykora", "given" : "Peter", "non-dropping-particle" : "", "parse-names" : false, "suffix" : "" }, { "dropping-particle" : "", "family" : "Ramamoorthy", "given" : "Mahesh", "non-dropping-particle" : "", "parse-names" : false, "suffix" : "" }, { "dropping-particle" : "", "family" : "Wang", "given" : "Zheng Ming", "non-dropping-particle" : "", "parse-names" : false, "suffix" : "" }, { "dropping-particle" : "", "family" : "Singh", "given" : "Dharmendra Kumar", "non-dropping-particle" : "", "parse-names" : false, "suffix" : "" }, { "dropping-particle" : "", "family" : "Akbari", "given" : "Mansour", "non-dropping-particle" : "", "parse-names" : false, "suffix" : "" }, { "dropping-particle" : "", "family" : "Kasiviswanathan", "given" : "Rajesh", "non-dropping-particle" : "", "parse-names" : false, "suffix" : "" }, { "dropping-particle" : "", "family" : "Copeland", "given" : "William C", "non-dropping-particle" : "", "parse-names" : false, "suffix" : "" }, { "dropping-particle" : "", "family" : "Bohr", "given" : "Vilhelm a", "non-dropping-particle" : "", "parse-names" : false, "suffix" : "" } ], "container-title" : "Aging Cell", "id" : "ITEM-1", "issue" : "3", "issued" : { "date-parts" : [ [ "2012", "6" ] ] }, "page" : "456-66", "title" : "RECQL4 localizes to mitochondria and preserves mitochondrial DNA integrity.", "type" : "article-journal", "volume" : "11" }, "uris" : [ "http://www.mendeley.com/documents/?uuid=ed6314ac-88ff-484a-b95e-3ad3291c1ffb" ] }, { "id" : "ITEM-2", "itemData" : { "DOI" : "10.1242/jcs.101501", "ISSN" : "1477-9137", "PMID" : "22357944", "abstract" : "Mutations in RECQL4 helicase are associated with Rothmund-Thomson syndrome (RTS). A subset of RTS patients is predisposed to cancer and is sensitive to DNA damaging agents. The enhanced sensitivity of cells from RTS patients correlates with the accumulation of transcriptionally active nuclear p53. We found that in untreated normal human cells these two nuclear proteins, p53 and RECQL4, instead colocalize in the mitochondrial nucleoids. RECQL4 accumulates in mitochondria in all phases of the cell cycle except S phase and physically interacts with p53 only in the absence of DNA damage. p53-RECQL4 binding leads to the masking of the nuclear localization signal of p53. The N-terminal 84 amino acids of RECQL4 contain a mitochondrial localization signal, which causes the localization of RECQL4-p53 complex to the mitochondria. RECQL4-p53 interaction is disrupted after stress, allowing p53 translocation to the nucleus. In untreated normal cells RECQL4 optimizes de novo replication of mtDNA, which is consequently decreased in fibroblasts from RTS patients. Wild-type RECQL4-complemented RTS cells show relocalization of both RECQL4 and p53 to the mitochondria, loss of p53 activation, restoration of de novo mtDNA replication and resistance to different types of DNA damage. In cells expressing \u039484 RECQL4, which cannot translocate to mitochondria, all the above functions are compromised. The recruitment of p53 to the sites of de novo mtDNA replication is also regulated by RECQL4. Thus these findings elucidate the mechanism by which p53 is regulated by RECQL4 in unstressed normal cells and also delineates the mitochondrial functions of the helicase.", "author" : [ { "dropping-particle" : "", "family" : "De", "given" : "Siddharth", "non-dropping-particle" : "", "parse-names" : false, "suffix" : "" }, { "dropping-particle" : "", "family" : "Kumari", "given" : "Jyoti", "non-dropping-particle" : "", "parse-names" : false, "suffix" : "" }, { "dropping-particle" : "", "family" : "Mudgal", "given" : "Richa", "non-dropping-particle" : "", "parse-names" : false, "suffix" : "" }, { "dropping-particle" : "", "family" : "Modi", "given" : "Priyanka", "non-dropping-particle" : "", "parse-names" : false, "suffix" : "" }, { "dropping-particle" : "", "family" : "Gupta", "given" : "Shruti", "non-dropping-particle" : "", "parse-names" : false, "suffix" : "" }, { "dropping-particle" : "", "family" : "Futami", "given" : "Kazunobu", "non-dropping-particle" : "", "parse-names" : false, "suffix" : "" }, { "dropping-particle" : "", "family" : "Goto", "given" : "Hideyuki", "non-dropping-particle" : "", "parse-names" : false, "suffix" : "" }, { "dropping-particle" : "", "family" : "Lindor", "given" : "Noralane M", "non-dropping-particle" : "", "parse-names" : false, "suffix" : "" }, { "dropping-particle" : "", "family" : "Furuichi", "given" : "Yasuhiro", "non-dropping-particle" : "", "parse-names" : false, "suffix" : "" }, { "dropping-particle" : "", "family" : "Mohanty", "given" : "Debasisa", "non-dropping-particle" : "", "parse-names" : false, "suffix" : "" }, { "dropping-particle" : "", "family" : "Sengupta", "given" : "Sagar", "non-dropping-particle" : "", "parse-names" : false, "suffix" : "" } ], "container-title" : "Journal of Cell Science", "id" : "ITEM-2", "issue" : "Pt 10", "issued" : { "date-parts" : [ [ "2012", "5", "15" ] ] }, "page" : "2509-22", "title" : "RECQL4 is essential for the transport of p53 to mitochondria in normal human cells in the absence of exogenous stress.", "type" : "article-journal", "volume" : "125" }, "uris" : [ "http://www.mendeley.com/documents/?uuid=d3a00ebe-a14a-44d1-86e6-20d334a25c93" ] } ], "mendeley" : { "formattedCitation" : "(Croteau et al. 2012; De et al. 2012)", "plainTextFormattedCitation" : "(Croteau et al. 2012; De et al. 2012)", "previouslyFormattedCitation" : "(Croteau et al. 2012; De et al. 2012)"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(Croteau et al. 2012; De et al. 2012)</w:t>
      </w:r>
      <w:r w:rsidR="00F20EC0" w:rsidRPr="00DF0680">
        <w:rPr>
          <w:rFonts w:cs="Times New Roman"/>
          <w:color w:val="auto"/>
        </w:rPr>
        <w:fldChar w:fldCharType="end"/>
      </w:r>
      <w:r w:rsidR="00073144" w:rsidRPr="00DF0680">
        <w:rPr>
          <w:rFonts w:cs="Times New Roman"/>
          <w:color w:val="auto"/>
        </w:rPr>
        <w:t xml:space="preserve">. </w:t>
      </w:r>
      <w:r w:rsidR="007967F1" w:rsidRPr="00DF0680">
        <w:rPr>
          <w:rFonts w:cs="Times New Roman"/>
          <w:color w:val="auto"/>
        </w:rPr>
        <w:t xml:space="preserve">RECQL4 binds to p53, which masks their respective nuclear localisation signals, allowing them both to be re-localised to the mitochondria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"10.1242/jcs.101501", "ISSN" : "1477-9137", "PMID" : "22357944", "abstract" : "Mutations in RECQL4 helicase are associated with Rothmund-Thomson syndrome (RTS). A subset of RTS patients is predisposed to cancer and is sensitive to DNA damaging agents. The enhanced sensitivity of cells from RTS patients correlates with the accumulation of transcriptionally active nuclear p53. We found that in untreated normal human cells these two nuclear proteins, p53 and RECQL4, instead colocalize in the mitochondrial nucleoids. RECQL4 accumulates in mitochondria in all phases of the cell cycle except S phase and physically interacts with p53 only in the absence of DNA damage. p53-RECQL4 binding leads to the masking of the nuclear localization signal of p53. The N-terminal 84 amino acids of RECQL4 contain a mitochondrial localization signal, which causes the localization of RECQL4-p53 complex to the mitochondria. RECQL4-p53 interaction is disrupted after stress, allowing p53 translocation to the nucleus. In untreated normal cells RECQL4 optimizes de novo replication of mtDNA, which is consequently decreased in fibroblasts from RTS patients. Wild-type RECQL4-complemented RTS cells show relocalization of both RECQL4 and p53 to the mitochondria, loss of p53 activation, restoration of de novo mtDNA replication and resistance to different types of DNA damage. In cells expressing \u039484 RECQL4, which cannot translocate to mitochondria, all the above functions are compromised. The recruitment of p53 to the sites of de novo mtDNA replication is also regulated by RECQL4. Thus these findings elucidate the mechanism by which p53 is regulated by RECQL4 in unstressed normal cells and also delineates the mitochondrial functions of the helicase.", "author" : [ { "dropping-particle" : "", "family" : "De", "given" : "Siddharth", "non-dropping-particle" : "", "parse-names" : false, "suffix" : "" }, { "dropping-particle" : "", "family" : "Kumari", "given" : "Jyoti", "non-dropping-particle" : "", "parse-names" : false, "suffix" : "" }, { "dropping-particle" : "", "family" : "Mudgal", "given" : "Richa", "non-dropping-particle" : "", "parse-names" : false, "suffix" : "" }, { "dropping-particle" : "", "family" : "Modi", "given" : "Priyanka", "non-dropping-particle" : "", "parse-names" : false, "suffix" : "" }, { "dropping-particle" : "", "family" : "Gupta", "given" : "Shruti", "non-dropping-particle" : "", "parse-names" : false, "suffix" : "" }, { "dropping-particle" : "", "family" : "Futami", "given" : "Kazunobu", "non-dropping-particle" : "", "parse-names" : false, "suffix" : "" }, { "dropping-particle" : "", "family" : "Goto", "given" : "Hideyuki", "non-dropping-particle" : "", "parse-names" : false, "suffix" : "" }, { "dropping-particle" : "", "family" : "Lindor", "given" : "Noralane M", "non-dropping-particle" : "", "parse-names" : false, "suffix" : "" }, { "dropping-particle" : "", "family" : "Furuichi", "given" : "Yasuhiro", "non-dropping-particle" : "", "parse-names" : false, "suffix" : "" }, { "dropping-particle" : "", "family" : "Mohanty", "given" : "Debasisa", "non-dropping-particle" : "", "parse-names" : false, "suffix" : "" }, { "dropping-particle" : "", "family" : "Sengupta", "given" : "Sagar", "non-dropping-particle" : "", "parse-names" : false, "suffix" : "" } ], "container-title" : "Journal of Cell Science", "id" : "ITEM-1", "issue" : "Pt 10", "issued" : { "date-parts" : [ [ "2012", "5", "15" ] ] }, "page" : "2509-22", "title" : "RECQL4 is essential for the transport of p53 to mitochondria in normal human cells in the absence of exogenous stress.", "type" : "article-journal", "volume" : "125" }, "uris" : [ "http://www.mendeley.com/documents/?uuid=d3a00ebe-a14a-44d1-86e6-20d334a25c93" ] } ], "mendeley" : { "formattedCitation" : "(De et al. 2012)", "plainTextFormattedCitation" : "(De et al. 2012)", "previouslyFormattedCitation" : "(De et al. 2012)"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(De et al. 2012)</w:t>
      </w:r>
      <w:r w:rsidR="00F20EC0" w:rsidRPr="00DF0680">
        <w:rPr>
          <w:rFonts w:cs="Times New Roman"/>
          <w:color w:val="auto"/>
        </w:rPr>
        <w:fldChar w:fldCharType="end"/>
      </w:r>
      <w:r w:rsidR="00F40FC7" w:rsidRPr="00DF0680">
        <w:rPr>
          <w:rFonts w:cs="Times New Roman"/>
          <w:color w:val="auto"/>
        </w:rPr>
        <w:t>,</w:t>
      </w:r>
      <w:r w:rsidR="007967F1" w:rsidRPr="00DF0680">
        <w:rPr>
          <w:rFonts w:cs="Times New Roman"/>
          <w:color w:val="auto"/>
        </w:rPr>
        <w:t xml:space="preserve"> </w:t>
      </w:r>
      <w:r w:rsidR="00F40FC7" w:rsidRPr="00DF0680">
        <w:rPr>
          <w:rFonts w:cs="Times New Roman"/>
          <w:color w:val="auto"/>
        </w:rPr>
        <w:t>where RECQL4 was</w:t>
      </w:r>
      <w:r w:rsidR="00A405E5" w:rsidRPr="00DF0680">
        <w:rPr>
          <w:rFonts w:cs="Times New Roman"/>
          <w:color w:val="auto"/>
        </w:rPr>
        <w:t xml:space="preserve"> shown to be required for de novo mtDNA replication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"10.1242/jcs.101501", "ISSN" : "1477-9137", "PMID" : "22357944", "abstract" : "Mutations in RECQL4 helicase are associated with Rothmund-Thomson syndrome (RTS). A subset of RTS patients is predisposed to cancer and is sensitive to DNA damaging agents. The enhanced sensitivity of cells from RTS patients correlates with the accumulation of transcriptionally active nuclear p53. We found that in untreated normal human cells these two nuclear proteins, p53 and RECQL4, instead colocalize in the mitochondrial nucleoids. RECQL4 accumulates in mitochondria in all phases of the cell cycle except S phase and physically interacts with p53 only in the absence of DNA damage. p53-RECQL4 binding leads to the masking of the nuclear localization signal of p53. The N-terminal 84 amino acids of RECQL4 contain a mitochondrial localization signal, which causes the localization of RECQL4-p53 complex to the mitochondria. RECQL4-p53 interaction is disrupted after stress, allowing p53 translocation to the nucleus. In untreated normal cells RECQL4 optimizes de novo replication of mtDNA, which is consequently decreased in fibroblasts from RTS patients. Wild-type RECQL4-complemented RTS cells show relocalization of both RECQL4 and p53 to the mitochondria, loss of p53 activation, restoration of de novo mtDNA replication and resistance to different types of DNA damage. In cells expressing \u039484 RECQL4, which cannot translocate to mitochondria, all the above functions are compromised. The recruitment of p53 to the sites of de novo mtDNA replication is also regulated by RECQL4. Thus these findings elucidate the mechanism by which p53 is regulated by RECQL4 in unstressed normal cells and also delineates the mitochondrial functions of the helicase.", "author" : [ { "dropping-particle" : "", "family" : "De", "given" : "Siddharth", "non-dropping-particle" : "", "parse-names" : false, "suffix" : "" }, { "dropping-particle" : "", "family" : "Kumari", "given" : "Jyoti", "non-dropping-particle" : "", "parse-names" : false, "suffix" : "" }, { "dropping-particle" : "", "family" : "Mudgal", "given" : "Richa", "non-dropping-particle" : "", "parse-names" : false, "suffix" : "" }, { "dropping-particle" : "", "family" : "Modi", "given" : "Priyanka", "non-dropping-particle" : "", "parse-names" : false, "suffix" : "" }, { "dropping-particle" : "", "family" : "Gupta", "given" : "Shruti", "non-dropping-particle" : "", "parse-names" : false, "suffix" : "" }, { "dropping-particle" : "", "family" : "Futami", "given" : "Kazunobu", "non-dropping-particle" : "", "parse-names" : false, "suffix" : "" }, { "dropping-particle" : "", "family" : "Goto", "given" : "Hideyuki", "non-dropping-particle" : "", "parse-names" : false, "suffix" : "" }, { "dropping-particle" : "", "family" : "Lindor", "given" : "Noralane M", "non-dropping-particle" : "", "parse-names" : false, "suffix" : "" }, { "dropping-particle" : "", "family" : "Furuichi", "given" : "Yasuhiro", "non-dropping-particle" : "", "parse-names" : false, "suffix" : "" }, { "dropping-particle" : "", "family" : "Mohanty", "given" : "Debasisa", "non-dropping-particle" : "", "parse-names" : false, "suffix" : "" }, { "dropping-particle" : "", "family" : "Sengupta", "given" : "Sagar", "non-dropping-particle" : "", "parse-names" : false, "suffix" : "" } ], "container-title" : "Journal of Cell Science", "id" : "ITEM-1", "issue" : "Pt 10", "issued" : { "date-parts" : [ [ "2012", "5", "15" ] ] }, "page" : "2509-22", "title" : "RECQL4 is essential for the transport of p53 to mitochondria in normal human cells in the absence of exogenous stress.", "type" : "article-journal", "volume" : "125" }, "uris" : [ "http://www.mendeley.com/documents/?uuid=d3a00ebe-a14a-44d1-86e6-20d334a25c93" ] } ], "mendeley" : { "formattedCitation" : "(De et al. 2012)", "plainTextFormattedCitation" : "(De et al. 2012)", "previouslyFormattedCitation" : "(De et al. 2012)"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(De et al. 2012)</w:t>
      </w:r>
      <w:r w:rsidR="00F20EC0" w:rsidRPr="00DF0680">
        <w:rPr>
          <w:rFonts w:cs="Times New Roman"/>
          <w:color w:val="auto"/>
        </w:rPr>
        <w:fldChar w:fldCharType="end"/>
      </w:r>
      <w:r w:rsidR="00A405E5" w:rsidRPr="00DF0680">
        <w:rPr>
          <w:rFonts w:cs="Times New Roman"/>
          <w:color w:val="auto"/>
        </w:rPr>
        <w:t xml:space="preserve">. </w:t>
      </w:r>
      <w:r w:rsidR="005D66F1" w:rsidRPr="00DF0680">
        <w:rPr>
          <w:rFonts w:cs="Times New Roman"/>
          <w:color w:val="auto"/>
        </w:rPr>
        <w:t xml:space="preserve">Together, RECQL4 and p53 regulate the binding of the mitochondrial </w:t>
      </w:r>
      <w:r w:rsidR="005D66F1" w:rsidRPr="00DF0680">
        <w:rPr>
          <w:rFonts w:cs="Times New Roman"/>
        </w:rPr>
        <w:t xml:space="preserve">polymerase γ to a specific area in the mitochondrial genome known as a mutation hotspot </w:t>
      </w:r>
      <w:r w:rsidR="00F20EC0" w:rsidRPr="00DF0680">
        <w:rPr>
          <w:rFonts w:cs="Times New Roman"/>
        </w:rPr>
        <w:fldChar w:fldCharType="begin" w:fldLock="1"/>
      </w:r>
      <w:r w:rsidR="00525765" w:rsidRPr="00DF0680">
        <w:rPr>
          <w:rFonts w:cs="Times New Roman"/>
        </w:rPr>
        <w:instrText>ADDIN CSL_CITATION { "citationItems" : [ { "id" : "ITEM-1", "itemData" : { "DOI" : "10.1093/carcin/bgt315", "ISSN" : "1460-2180", "PMID" : "24067899", "abstract" : "Germline mutations in RECQL4 and p53 lead to cancer predisposition syndromes, Rothmund-Thomson syndrome (RTS) and Li-Fraumeni syndrome (LFS), respectively. RECQL4 is essential for the transport of p53 to the mitochondria under unstressed conditions. Here, we show that both RECQL4 and p53 interact with mitochondrial polymerase (Pol\u03b3A/B2) and regulate its binding to the mitochondrial DNA (mtDNA) control region (D-loop). Both RECQL4 and p53 bind to the exonuclease and polymerase domains of Pol\u03b3A. Kinetic constants for interactions between Pol\u03b3A-RECQL4, Pol\u03b3A-p53 and Pol\u03b3B-p53 indicate that RECQL4 and p53 are accessory factors for Pol\u03b3A-Pol\u03b3B and Pol\u03b3A-DNA interactions. RECQL4 enhances the binding of Pol\u03b3A to DNA, thereby potentiating the exonuclease and polymerization activities of Pol\u03b3A/B2. To investigate whether lack of RECQL4 and p53 results in increased mitochondrial genome instability, resequencing of the entire mitochondrial genome was undertaken from multiple RTS and LFS patient fibroblasts. We found multiple somatic mutations and polymorphisms in both RTS and LFS patient cells. A significant number of mutations and polymorphisms were common between RTS and LFS patients. These changes are associated with either aging and/or cancer, thereby indicating that the phenotypes associated with these syndromes may be due to deregulation of mitochondrial genome stability caused by the lack of RECQL4 and p53. Summary: The biochemical mechanisms by which RECQL4 and p53 affect mtDNA replication have been elucidated. Resequencing of RTS and LFS patients' mitochondrial genome reveals common mutations indicating similar mechanisms of regulation by RECQL4 and p53.", "author" : [ { "dropping-particle" : "", "family" : "Gupta", "given" : "Shruti", "non-dropping-particle" : "", "parse-names" : false, "suffix" : "" }, { "dropping-particle" : "", "family" : "De", "given" : "Siddharth", "non-dropping-particle" : "", "parse-names" : false, "suffix" : "" }, { "dropping-particle" : "", "family" : "Srivastava", "given" : "Vivek", "non-dropping-particle" : "", "parse-names" : false, "suffix" : "" }, { "dropping-particle" : "", "family" : "Hussain", "given" : "Mansoor", "non-dropping-particle" : "", "parse-names" : false, "suffix" : "" }, { "dropping-particle" : "", "family" : "Kumari", "given" : "Jyoti", "non-dropping-particle" : "", "parse-names" : false, "suffix" : "" }, { "dropping-particle" : "", "family" : "Muniyappa", "given" : "K", "non-dropping-particle" : "", "parse-names" : false, "suffix" : "" }, { "dropping-particle" : "", "family" : "Sengupta", "given" : "Sagar", "non-dropping-particle" : "", "parse-names" : false, "suffix" : "" } ], "container-title" : "Carcinogenesis", "id" : "ITEM-1", "issue" : "1", "issued" : { "date-parts" : [ [ "2014", "1" ] ] }, "page" : "34-45", "title" : "RECQL4 and p53 potentiate the activity of polymerase \u03b3 and maintain the integrity of the human mitochondrial genome.", "type" : "article-journal", "volume" : "35" }, "uris" : [ "http://www.mendeley.com/documents/?uuid=4b8b631a-9aed-46c6-8fcd-53db3a49b4e7" ] } ], "mendeley" : { "formattedCitation" : "(Gupta et al. 2014)", "plainTextFormattedCitation" : "(Gupta et al. 2014)", "previouslyFormattedCitation" : "(Gupta et al. 2014)"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(Gupta et al. 2014)</w:t>
      </w:r>
      <w:r w:rsidR="00F20EC0" w:rsidRPr="00DF0680">
        <w:rPr>
          <w:rFonts w:cs="Times New Roman"/>
        </w:rPr>
        <w:fldChar w:fldCharType="end"/>
      </w:r>
      <w:r w:rsidR="005D66F1" w:rsidRPr="00DF0680">
        <w:rPr>
          <w:rFonts w:cs="Times New Roman"/>
        </w:rPr>
        <w:t xml:space="preserve">. Both bind to polymerase γ, but RECQL4 potentiates the binding to mtDNA, and the polymerase inhibits </w:t>
      </w:r>
      <w:r w:rsidR="005564BB" w:rsidRPr="00DF0680">
        <w:rPr>
          <w:rFonts w:cs="Times New Roman"/>
        </w:rPr>
        <w:t>RECQL4’s</w:t>
      </w:r>
      <w:r w:rsidR="005D66F1" w:rsidRPr="00DF0680">
        <w:rPr>
          <w:rFonts w:cs="Times New Roman"/>
        </w:rPr>
        <w:t xml:space="preserve"> helicase activity </w:t>
      </w:r>
      <w:r w:rsidR="00F20EC0" w:rsidRPr="00DF0680">
        <w:rPr>
          <w:rFonts w:cs="Times New Roman"/>
        </w:rPr>
        <w:fldChar w:fldCharType="begin" w:fldLock="1"/>
      </w:r>
      <w:r w:rsidR="00332613" w:rsidRPr="00DF0680">
        <w:rPr>
          <w:rFonts w:cs="Times New Roman"/>
        </w:rPr>
        <w:instrText>ADDIN CSL_CITATION { "citationItems" : [ { "id" : "ITEM-1", "itemData" : { "DOI" : "10.1093/carcin/bgt315", "ISSN" : "1460-2180", "PMID" : "24067899", "abstract" : "Germline mutations in RECQL4 and p53 lead to cancer predisposition syndromes, Rothmund-Thomson syndrome (RTS) and Li-Fraumeni syndrome (LFS), respectively. RECQL4 is essential for the transport of p53 to the mitochondria under unstressed conditions. Here, we show that both RECQL4 and p53 interact with mitochondrial polymerase (Pol\u03b3A/B2) and regulate its binding to the mitochondrial DNA (mtDNA) control region (D-loop). Both RECQL4 and p53 bind to the exonuclease and polymerase domains of Pol\u03b3A. Kinetic constants for interactions between Pol\u03b3A-RECQL4, Pol\u03b3A-p53 and Pol\u03b3B-p53 indicate that RECQL4 and p53 are accessory factors for Pol\u03b3A-Pol\u03b3B and Pol\u03b3A-DNA interactions. RECQL4 enhances the binding of Pol\u03b3A to DNA, thereby potentiating the exonuclease and polymerization activities of Pol\u03b3A/B2. To investigate whether lack of RECQL4 and p53 results in increased mitochondrial genome instability, resequencing of the entire mitochondrial genome was undertaken from multiple RTS and LFS patient fibroblasts. We found multiple somatic mutations and polymorphisms in both RTS and LFS patient cells. A significant number of mutations and polymorphisms were common between RTS and LFS patients. These changes are associated with either aging and/or cancer, thereby indicating that the phenotypes associated with these syndromes may be due to deregulation of mitochondrial genome stability caused by the lack of RECQL4 and p53. Summary: The biochemical mechanisms by which RECQL4 and p53 affect mtDNA replication have been elucidated. Resequencing of RTS and LFS patients' mitochondrial genome reveals common mutations indicating similar mechanisms of regulation by RECQL4 and p53.", "author" : [ { "dropping-particle" : "", "family" : "Gupta", "given" : "Shruti", "non-dropping-particle" : "", "parse-names" : false, "suffix" : "" }, { "dropping-particle" : "", "family" : "De", "given" : "Siddharth", "non-dropping-particle" : "", "parse-names" : false, "suffix" : "" }, { "dropping-particle" : "", "family" : "Srivastava", "given" : "Vivek", "non-dropping-particle" : "", "parse-names" : false, "suffix" : "" }, { "dropping-particle" : "", "family" : "Hussain", "given" : "Mansoor", "non-dropping-particle" : "", "parse-names" : false, "suffix" : "" }, { "dropping-particle" : "", "family" : "Kumari", "given" : "Jyoti", "non-dropping-particle" : "", "parse-names" : false, "suffix" : "" }, { "dropping-particle" : "", "family" : "Muniyappa", "given" : "K", "non-dropping-particle" : "", "parse-names" : false, "suffix" : "" }, { "dropping-particle" : "", "family" : "Sengupta", "given" : "Sagar", "non-dropping-particle" : "", "parse-names" : false, "suffix" : "" } ], "container-title" : "Carcinogenesis", "id" : "ITEM-1", "issue" : "1", "issued" : { "date-parts" : [ [ "2014", "1" ] ] }, "page" : "34-45", "title" : "RECQL4 and p53 potentiate the activity of polymerase \u03b3 and maintain the integrity of the human mitochondrial genome.", "type" : "article-journal", "volume" : "35" }, "uris" : [ "http://www.mendeley.com/documents/?uuid=4b8b631a-9aed-46c6-8fcd-53db3a49b4e7" ] }, { "id" : "ITEM-2", "itemData" : { "DOI" : "10.1111/j.1474-9726.2012.00803.x", "ISSN" : "1474-9726", "PMID" : "22296597", "abstract" : "RECQL4 is associated with Rothmund-Thomson Syndrome (RTS), a rare autosomal recessive disorder characterized by premature aging, genomic instability, and cancer predisposition. RECQL4 is a member of the RecQ helicase family, and has many similarities to WRN protein, which is also implicated in premature aging. There is no information about whether any of the RecQ helicases play roles in mitochondrial biogenesis, which is strongly implicated in the aging process. Here, we used microscopy to visualize RECQL4 in mitochondria. Fractionation of human and mouse cells also showed that RECQL4 was present in mitochondria. Q-PCR amplification of mitochondrial DNA demonstrated that mtDNA damage accumulated in RECQL4-deficient cells. Microarray analysis suggested that mitochondrial bioenergetic pathways might be affected in RTS. Measurements of mitochondrial bioenergetics showed a reduction in the mitochondrial reserve capacity after lentiviral knockdown of RECQL4 in two different primary cell lines. Additionally, biochemical assays with RECQL4, mitochondrial transcription factor A, and mitochondrial DNA polymerase \u03b3 showed that the polymerase inhibited RECQL4's helicase activity. RECQL4 is the first 3'-5' RecQ helicase to be found in both human and mouse mitochondria, and the loss of RECQL4 alters mitochondrial integrity.", "author" : [ { "dropping-particle" : "", "family" : "Croteau", "given" : "Deborah L", "non-dropping-particle" : "", "parse-names" : false, "suffix" : "" }, { "dropping-particle" : "", "family" : "Rossi", "given" : "Marie L", "non-dropping-particle" : "", "parse-names" : false, "suffix" : "" }, { "dropping-particle" : "", "family" : "Canugovi", "given" : "Chandrika", "non-dropping-particle" : "", "parse-names" : false, "suffix" : "" }, { "dropping-particle" : "", "family" : "Tian", "given" : "Jane", "non-dropping-particle" : "", "parse-names" : false, "suffix" : "" }, { "dropping-particle" : "", "family" : "Sykora", "given" : "Peter", "non-dropping-particle" : "", "parse-names" : false, "suffix" : "" }, { "dropping-particle" : "", "family" : "Ramamoorthy", "given" : "Mahesh", "non-dropping-particle" : "", "parse-names" : false, "suffix" : "" }, { "dropping-particle" : "", "family" : "Wang", "given" : "Zheng Ming", "non-dropping-particle" : "", "parse-names" : false, "suffix" : "" }, { "dropping-particle" : "", "family" : "Singh", "given" : "Dharmendra Kumar", "non-dropping-particle" : "", "parse-names" : false, "suffix" : "" }, { "dropping-particle" : "", "family" : "Akbari", "given" : "Mansour", "non-dropping-particle" : "", "parse-names" : false, "suffix" : "" }, { "dropping-particle" : "", "family" : "Kasiviswanathan", "given" : "Rajesh", "non-dropping-particle" : "", "parse-names" : false, "suffix" : "" }, { "dropping-particle" : "", "family" : "Copeland", "given" : "William C", "non-dropping-particle" : "", "parse-names" : false, "suffix" : "" }, { "dropping-particle" : "", "family" : "Bohr", "given" : "Vilhelm a", "non-dropping-particle" : "", "parse-names" : false, "suffix" : "" } ], "container-title" : "Aging Cell", "id" : "ITEM-2", "issue" : "3", "issued" : { "date-parts" : [ [ "2012", "6" ] ] }, "page" : "456-66", "title" : "RECQL4 localizes to mitochondria and preserves mitochondrial DNA integrity.", "type" : "article-journal", "volume" : "11" }, "uris" : [ "http://www.mendeley.com/documents/?uuid=ed6314ac-88ff-484a-b95e-3ad3291c1ffb" ] } ], "mendeley" : { "formattedCitation" : "(Gupta et al. 2014; Croteau et al. 2012)", "plainTextFormattedCitation" : "(Gupta et al. 2014; Croteau et al. 2012)", "previouslyFormattedCitation" : "(Gupta et al. 2014; Croteau et al. 2012)"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(Gupta et al. 2014; Croteau et al. 2012)</w:t>
      </w:r>
      <w:r w:rsidR="00F20EC0" w:rsidRPr="00DF0680">
        <w:rPr>
          <w:rFonts w:cs="Times New Roman"/>
        </w:rPr>
        <w:fldChar w:fldCharType="end"/>
      </w:r>
      <w:r w:rsidR="005564BB" w:rsidRPr="00DF0680">
        <w:rPr>
          <w:rFonts w:cs="Times New Roman"/>
        </w:rPr>
        <w:t>. This all suggests that RECQL4 works with p53 to preserve the integrity of the mitochondrial genome.</w:t>
      </w:r>
    </w:p>
    <w:p w:rsidR="005564BB" w:rsidRPr="00DF0680" w:rsidRDefault="005564BB" w:rsidP="00245516">
      <w:pPr>
        <w:rPr>
          <w:rFonts w:cs="Times New Roman"/>
          <w:color w:val="auto"/>
        </w:rPr>
      </w:pPr>
      <w:r w:rsidRPr="00DF0680">
        <w:rPr>
          <w:rFonts w:cs="Times New Roman"/>
          <w:color w:val="auto"/>
        </w:rPr>
        <w:t>RECQL4 stimulates the activity of</w:t>
      </w:r>
      <w:r w:rsidR="00621850" w:rsidRPr="00DF0680">
        <w:rPr>
          <w:rFonts w:cs="Times New Roman"/>
          <w:color w:val="auto"/>
        </w:rPr>
        <w:t>, and in the presence of H</w:t>
      </w:r>
      <w:r w:rsidR="00621850" w:rsidRPr="00DF0680">
        <w:rPr>
          <w:rFonts w:cs="Times New Roman"/>
          <w:color w:val="auto"/>
          <w:vertAlign w:val="subscript"/>
        </w:rPr>
        <w:t>2</w:t>
      </w:r>
      <w:r w:rsidR="00621850" w:rsidRPr="00DF0680">
        <w:rPr>
          <w:rFonts w:cs="Times New Roman"/>
          <w:color w:val="auto"/>
        </w:rPr>
        <w:t>O</w:t>
      </w:r>
      <w:r w:rsidR="00621850" w:rsidRPr="00DF0680">
        <w:rPr>
          <w:rFonts w:cs="Times New Roman"/>
          <w:color w:val="auto"/>
          <w:vertAlign w:val="subscript"/>
        </w:rPr>
        <w:t>2</w:t>
      </w:r>
      <w:r w:rsidR="00621850" w:rsidRPr="00DF0680">
        <w:rPr>
          <w:rFonts w:cs="Times New Roman"/>
          <w:color w:val="auto"/>
        </w:rPr>
        <w:t xml:space="preserve"> co-localises with,</w:t>
      </w:r>
      <w:r w:rsidRPr="00DF0680">
        <w:rPr>
          <w:rFonts w:cs="Times New Roman"/>
          <w:color w:val="auto"/>
        </w:rPr>
        <w:t xml:space="preserve"> APE1, Polβ</w:t>
      </w:r>
      <w:r w:rsidR="00621850" w:rsidRPr="00DF0680">
        <w:rPr>
          <w:rFonts w:cs="Times New Roman"/>
          <w:color w:val="auto"/>
        </w:rPr>
        <w:t xml:space="preserve"> and F</w:t>
      </w:r>
      <w:r w:rsidR="00D924EE" w:rsidRPr="00DF0680">
        <w:rPr>
          <w:rFonts w:cs="Times New Roman"/>
          <w:color w:val="auto"/>
        </w:rPr>
        <w:t>EN</w:t>
      </w:r>
      <w:r w:rsidR="00621850" w:rsidRPr="00DF0680">
        <w:rPr>
          <w:rFonts w:cs="Times New Roman"/>
          <w:color w:val="auto"/>
        </w:rPr>
        <w:t xml:space="preserve">1, </w:t>
      </w:r>
      <w:r w:rsidRPr="00DF0680">
        <w:rPr>
          <w:rFonts w:cs="Times New Roman"/>
          <w:color w:val="auto"/>
        </w:rPr>
        <w:t>all of which have</w:t>
      </w:r>
      <w:r w:rsidR="00621850" w:rsidRPr="00DF0680">
        <w:rPr>
          <w:rFonts w:cs="Times New Roman"/>
          <w:color w:val="auto"/>
        </w:rPr>
        <w:t xml:space="preserve"> roles in base excision repair. This data, together with the fact that RTS and RECQL4-deficient cells have defective H</w:t>
      </w:r>
      <w:r w:rsidR="00621850" w:rsidRPr="00DF0680">
        <w:rPr>
          <w:rFonts w:cs="Times New Roman"/>
          <w:color w:val="auto"/>
          <w:vertAlign w:val="subscript"/>
        </w:rPr>
        <w:t>2</w:t>
      </w:r>
      <w:r w:rsidR="00621850" w:rsidRPr="00DF0680">
        <w:rPr>
          <w:rFonts w:cs="Times New Roman"/>
          <w:color w:val="auto"/>
        </w:rPr>
        <w:t>O</w:t>
      </w:r>
      <w:r w:rsidR="00621850" w:rsidRPr="00DF0680">
        <w:rPr>
          <w:rFonts w:cs="Times New Roman"/>
          <w:color w:val="auto"/>
          <w:vertAlign w:val="subscript"/>
        </w:rPr>
        <w:t>2</w:t>
      </w:r>
      <w:r w:rsidR="00621850" w:rsidRPr="00DF0680">
        <w:rPr>
          <w:rFonts w:cs="Times New Roman"/>
          <w:color w:val="auto"/>
        </w:rPr>
        <w:t xml:space="preserve"> lesion repair, increased </w:t>
      </w:r>
      <w:r w:rsidR="00F40FC7" w:rsidRPr="00DF0680">
        <w:rPr>
          <w:rFonts w:cs="Times New Roman"/>
          <w:color w:val="auto"/>
        </w:rPr>
        <w:t xml:space="preserve">spontaneous </w:t>
      </w:r>
      <w:r w:rsidR="00621850" w:rsidRPr="00DF0680">
        <w:rPr>
          <w:rFonts w:cs="Times New Roman"/>
          <w:color w:val="auto"/>
        </w:rPr>
        <w:t>XRCC1 foci and high endogenous level of 8-oxoG, suggest</w:t>
      </w:r>
      <w:r w:rsidR="00F40FC7" w:rsidRPr="00DF0680">
        <w:rPr>
          <w:rFonts w:cs="Times New Roman"/>
          <w:color w:val="auto"/>
        </w:rPr>
        <w:t>s</w:t>
      </w:r>
      <w:r w:rsidR="00621850" w:rsidRPr="00DF0680">
        <w:rPr>
          <w:rFonts w:cs="Times New Roman"/>
          <w:color w:val="auto"/>
        </w:rPr>
        <w:t xml:space="preserve"> that RECQL4 may have a role in base excision repair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"10.1093/hmg/ddp291", "ISSN" : "1460-2083", "PMID" : "19567405", "abstract" : "RECQL4 is a human RecQ helicase which is mutated in approximately two-thirds of individuals with Rothmund-Thomson syndrome (RTS), a disease characterized at the cellular level by chromosomal instability. BLM and WRN are also human RecQ helicases, which are mutated in Bloom and Werner's syndrome, respectively, and associated with chromosomal instability as well as premature aging. Here we show that primary RTS and RECQL4 siRNA knockdown human fibroblasts accumulate more H(2)O(2)-induced DNA strand breaks than control cells, suggesting that RECQL4 may stimulate repair of H(2)O(2)-induced DNA damage. RTS primary fibroblasts also accumulate more XRCC1 foci than control cells in response to endogenous or induced oxidative stress and have a high basal level of endogenous formamidopyrimidines. In cells treated with H(2)O(2), RECQL4 co-localizes with APE1, and FEN1, key participants in base excision repair. Biochemical experiments indicate that RECQL4 specifically stimulates the apurinic endonuclease activity of APE1, the DNA strand displacement activity of DNA polymerase beta, and incision of a 1- or 10-nucleotide flap DNA substrate by Flap Endonuclease I. Additionally, RTS cells display an upregulation of BER pathway genes and fail to respond like normal cells to oxidative stress. The data herein support a model in which RECQL4 regulates both directly and indirectly base excision repair capacity.", "author" : [ { "dropping-particle" : "", "family" : "Schurman", "given" : "Shepherd H", "non-dropping-particle" : "", "parse-names" : false, "suffix" : "" }, { "dropping-particle" : "", "family" : "Hedayati", "given" : "Mohammad", "non-dropping-particle" : "", "parse-names" : false, "suffix" : "" }, { "dropping-particle" : "", "family" : "Wang", "given" : "ZhengMing", "non-dropping-particle" : "", "parse-names" : false, "suffix" : "" }, { "dropping-particle" : "", "family" : "Singh", "given" : "Dharmendra K", "non-dropping-particle" : "", "parse-names" : false, "suffix" : "" }, { "dropping-particle" : "", "family" : "Speina", "given" : "Elzbieta", "non-dropping-particle" : "", "parse-names" : false, "suffix" : "" }, { "dropping-particle" : "", "family" : "Zhang", "given" : "Yongqing", "non-dropping-particle" : "", "parse-names" : false, "suffix" : "" }, { "dropping-particle" : "", "family" : "Becker", "given" : "Kevin", "non-dropping-particle" : "", "parse-names" : false, "suffix" : "" }, { "dropping-particle" : "", "family" : "Macris", "given" : "Margaret", "non-dropping-particle" : "", "parse-names" : false, "suffix" : "" }, { "dropping-particle" : "", "family" : "Sung", "given" : "Patrick", "non-dropping-particle" : "", "parse-names" : false, "suffix" : "" }, { "dropping-particle" : "", "family" : "Wilson", "given" : "David M", "non-dropping-particle" : "", "parse-names" : false, "suffix" : "" }, { "dropping-particle" : "", "family" : "Croteau", "given" : "Deborah L", "non-dropping-particle" : "", "parse-names" : false, "suffix" : "" }, { "dropping-particle" : "", "family" : "Bohr", "given" : "Vilhelm a", "non-dropping-particle" : "", "parse-names" : false, "suffix" : "" } ], "container-title" : "Human Molecular Genetics", "id" : "ITEM-1", "issue" : "18", "issued" : { "date-parts" : [ [ "2009", "9", "15" ] ] }, "page" : "3470-83", "title" : "Direct and indirect roles of RECQL4 in modulating base excision repair capacity.", "type" : "article-journal", "volume" : "18" }, "uris" : [ "http://www.mendeley.com/documents/?uuid=59d3e1cb-fd04-4a6b-bc30-83c96d246c12" ] } ], "mendeley" : { "formattedCitation" : "(Schurman et al. 2009)", "plainTextFormattedCitation" : "(Schurman et al. 2009)", "previouslyFormattedCitation" : "(Schurman et al. 2009)" }, "properties" : { "noteIndex" : 0 }, "schema" : "https://github.com/citation-style-language/schema/raw/master/csl-citation.json" }</w:instrText>
      </w:r>
      <w:r w:rsidR="00F20EC0" w:rsidRPr="00DF0680">
        <w:rPr>
          <w:rFonts w:cs="Times New Roman"/>
          <w:color w:val="auto"/>
        </w:rPr>
        <w:fldChar w:fldCharType="separate"/>
      </w:r>
      <w:r w:rsidR="007E40B7" w:rsidRPr="00DF0680">
        <w:rPr>
          <w:rFonts w:cs="Times New Roman"/>
          <w:color w:val="auto"/>
        </w:rPr>
        <w:t>(Schurman et al. 2009)</w:t>
      </w:r>
      <w:r w:rsidR="00F20EC0" w:rsidRPr="00DF0680">
        <w:rPr>
          <w:rFonts w:cs="Times New Roman"/>
          <w:color w:val="auto"/>
        </w:rPr>
        <w:fldChar w:fldCharType="end"/>
      </w:r>
      <w:r w:rsidR="00621850" w:rsidRPr="00DF0680">
        <w:rPr>
          <w:rFonts w:cs="Times New Roman"/>
          <w:color w:val="auto"/>
        </w:rPr>
        <w:t xml:space="preserve">. </w:t>
      </w:r>
    </w:p>
    <w:p w:rsidR="00245516" w:rsidRPr="00DF0680" w:rsidRDefault="00621850" w:rsidP="00A025CF">
      <w:pPr>
        <w:rPr>
          <w:rFonts w:cs="Times New Roman"/>
        </w:rPr>
      </w:pPr>
      <w:r w:rsidRPr="00DF0680">
        <w:rPr>
          <w:rFonts w:cs="Times New Roman"/>
        </w:rPr>
        <w:t>RTS and RECQ</w:t>
      </w:r>
      <w:r w:rsidR="008E1F91" w:rsidRPr="00DF0680">
        <w:rPr>
          <w:rFonts w:cs="Times New Roman"/>
        </w:rPr>
        <w:t xml:space="preserve">L4 deficient cells show abnormal telomeres </w:t>
      </w:r>
      <w:r w:rsidR="00F40FC7" w:rsidRPr="00DF0680">
        <w:rPr>
          <w:rFonts w:cs="Times New Roman"/>
        </w:rPr>
        <w:t xml:space="preserve">suggesting a role for RECQL4 in telomere maintenance. </w:t>
      </w:r>
      <w:r w:rsidR="008E1F91" w:rsidRPr="00DF0680">
        <w:rPr>
          <w:rFonts w:cs="Times New Roman"/>
        </w:rPr>
        <w:t>REC</w:t>
      </w:r>
      <w:r w:rsidR="00532E88" w:rsidRPr="00DF0680">
        <w:rPr>
          <w:rFonts w:cs="Times New Roman"/>
        </w:rPr>
        <w:t>QL4 associates with telomeres during</w:t>
      </w:r>
      <w:r w:rsidR="008E1F91" w:rsidRPr="00DF0680">
        <w:rPr>
          <w:rFonts w:cs="Times New Roman"/>
        </w:rPr>
        <w:t xml:space="preserve"> </w:t>
      </w:r>
      <w:r w:rsidR="008E1F91" w:rsidRPr="00DF0680">
        <w:rPr>
          <w:rFonts w:cs="Times New Roman"/>
        </w:rPr>
        <w:lastRenderedPageBreak/>
        <w:t>replication</w:t>
      </w:r>
      <w:r w:rsidR="00532E88" w:rsidRPr="00DF0680">
        <w:rPr>
          <w:rFonts w:cs="Times New Roman"/>
        </w:rPr>
        <w:t xml:space="preserve"> in</w:t>
      </w:r>
      <w:r w:rsidR="008E1F91" w:rsidRPr="00DF0680">
        <w:rPr>
          <w:rFonts w:cs="Times New Roman"/>
        </w:rPr>
        <w:t xml:space="preserve"> U2OS and HeLa cells </w:t>
      </w:r>
      <w:r w:rsidR="00F20EC0" w:rsidRPr="00DF0680">
        <w:rPr>
          <w:rFonts w:cs="Times New Roman"/>
        </w:rPr>
        <w:fldChar w:fldCharType="begin" w:fldLock="1"/>
      </w:r>
      <w:r w:rsidR="00332613" w:rsidRPr="00DF0680">
        <w:rPr>
          <w:rFonts w:cs="Times New Roman"/>
        </w:rPr>
        <w:instrText>ADDIN CSL_CITATION { "citationItems" : [ { "id" : "ITEM-1", "itemData" : { "DOI" : "10.1074/jbc.M111.295063", "ISSN" : "1083-351X", "PMID" : "22039056", "abstract" : "Telomeres are structures at the ends of chromosomes and are composed of long tracks of short tandem repeat DNA sequences bound by a unique set of proteins (shelterin). Telomeric DNA is believed to form G-quadruplex and D-loop structures, which presents a challenge to the DNA replication and repair machinery. Although the RecQ helicases WRN and BLM are implicated in the resolution of telomeric secondary structures, very little is known about RECQL4, the RecQ helicase mutated in Rothmund-Thomson syndrome (RTS). Here, we report that RTS patient cells have elevated levels of fragile telomeric ends and that RECQL4-depleted human cells accumulate fragile sites, sister chromosome exchanges, and double strand breaks at telomeric sites. Further, RECQL4 localizes to telomeres and associates with shelterin proteins TRF1 and TRF2. Using recombinant proteins we showed that RECQL4 resolves telomeric D-loop structures with the help of shelterin proteins TRF1, TRF2, and POT1. We also found a novel functional synergistic interaction of this protein with WRN during D-loop unwinding. These data implicate RECQL4 in telomere maintenance.", "author" : [ { "dropping-particle" : "", "family" : "Ghosh", "given" : "Avik K", "non-dropping-particle" : "", "parse-names" : false, "suffix" : "" }, { "dropping-particle" : "", "family" : "Rossi", "given" : "Marie L", "non-dropping-particle" : "", "parse-names" : false, "suffix" : "" }, { "dropping-particle" : "", "family" : "Singh", "given" : "Dharmendra Kumar", "non-dropping-particle" : "", "parse-names" : false, "suffix" : "" }, { "dropping-particle" : "", "family" : "Dunn", "given" : "Christopher", "non-dropping-particle" : "", "parse-names" : false, "suffix" : "" }, { "dropping-particle" : "", "family" : "Ramamoorthy", "given" : "Mahesh", "non-dropping-particle" : "", "parse-names" : false, "suffix" : "" }, { "dropping-particle" : "", "family" : "Croteau", "given" : "Deborah L", "non-dropping-particle" : "", "parse-names" : false, "suffix" : "" }, { "dropping-particle" : "", "family" : "Liu", "given" : "Yie", "non-dropping-particle" : "", "parse-names" : false, "suffix" : "" }, { "dropping-particle" : "", "family" : "Bohr", "given" : "Vilhelm a", "non-dropping-particle" : "", "parse-names" : false, "suffix" : "" } ], "container-title" : "The Journal of Biological Chemistry", "id" : "ITEM-1", "issue" : "1", "issued" : { "date-parts" : [ [ "2012", "1", "2" ] ] }, "page" : "196-209", "title" : "RECQL4, the protein mutated in Rothmund-Thomson syndrome, functions in telomere maintenance.", "type" : "article-journal", "volume" : "287" }, "uris" : [ "http://www.mendeley.com/documents/?uuid=efb897d8-c210-451f-9777-779ffc805a53" ] } ], "mendeley" : { "formattedCitation" : "(Ghosh et al. 2012)", "plainTextFormattedCitation" : "(Ghosh et al. 2012)", "previouslyFormattedCitation" : "(Ghosh et al. 2012)"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(Ghosh et al. 2012)</w:t>
      </w:r>
      <w:r w:rsidR="00F20EC0" w:rsidRPr="00DF0680">
        <w:rPr>
          <w:rFonts w:cs="Times New Roman"/>
        </w:rPr>
        <w:fldChar w:fldCharType="end"/>
      </w:r>
      <w:r w:rsidR="008E1F91" w:rsidRPr="00DF0680">
        <w:rPr>
          <w:rFonts w:cs="Times New Roman"/>
        </w:rPr>
        <w:t xml:space="preserve"> </w:t>
      </w:r>
      <w:r w:rsidR="00F40FC7" w:rsidRPr="00DF0680">
        <w:rPr>
          <w:rFonts w:cs="Times New Roman"/>
        </w:rPr>
        <w:t xml:space="preserve">and </w:t>
      </w:r>
      <w:r w:rsidR="00F40FC7" w:rsidRPr="00DF0680">
        <w:rPr>
          <w:rFonts w:cs="Times New Roman"/>
          <w:i/>
        </w:rPr>
        <w:t>i</w:t>
      </w:r>
      <w:r w:rsidRPr="00DF0680">
        <w:rPr>
          <w:rFonts w:cs="Times New Roman"/>
          <w:i/>
        </w:rPr>
        <w:t>n vitro</w:t>
      </w:r>
      <w:r w:rsidRPr="00DF0680">
        <w:rPr>
          <w:rFonts w:cs="Times New Roman"/>
        </w:rPr>
        <w:t xml:space="preserve"> work</w:t>
      </w:r>
      <w:r w:rsidR="008E1F91" w:rsidRPr="00DF0680">
        <w:rPr>
          <w:rFonts w:cs="Times New Roman"/>
        </w:rPr>
        <w:t xml:space="preserve"> shows that </w:t>
      </w:r>
      <w:r w:rsidRPr="00DF0680">
        <w:rPr>
          <w:rFonts w:cs="Times New Roman"/>
        </w:rPr>
        <w:t xml:space="preserve"> </w:t>
      </w:r>
      <w:r w:rsidR="008E1F91" w:rsidRPr="00DF0680">
        <w:rPr>
          <w:rFonts w:cs="Times New Roman"/>
        </w:rPr>
        <w:t>RECQL4 can unwind telomeric D-loops with WRN and, individually, pref</w:t>
      </w:r>
      <w:r w:rsidRPr="00DF0680">
        <w:rPr>
          <w:rFonts w:cs="Times New Roman"/>
        </w:rPr>
        <w:t>erentially unwind telomeric D-loops containing thymine glycol</w:t>
      </w:r>
      <w:r w:rsidR="008E1F91" w:rsidRPr="00DF0680">
        <w:rPr>
          <w:rFonts w:cs="Times New Roman"/>
        </w:rPr>
        <w:t>, stimulated by TRF2</w:t>
      </w:r>
      <w:r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"10.1016/j.dnarep.2013.04.005", "ISSN" : "1568-7856", "PMID" : "23683351", "abstract" : "Telomeres are critical for cell survival and functional integrity. Oxidative DNA damage induces telomeric instability and cellular senescence that are associated with normal aging and segmental premature aging disorders such as Werner Syndrome and Rothmund-Thomson Syndrome, caused by mutations in WRN and RECQL4 helicases respectively. Characterizing the metabolic roles of RECQL4 and WRN in telomere maintenance is crucial in understanding the pathogenesis of their associated disorders. We have previously shown that WRN and RECQL4 display a preference in vitro to unwind telomeric DNA substrates containing the oxidative lesion 8-oxoguanine. Here, we show that RECQL4 helicase has a preferential activity in vitro on telomeric substrates containing thymine glycol, a critical lesion that blocks DNA metabolism, and can be modestly stimulated further on a D-loop structure by TRF2, a telomeric shelterin protein. Unlike that reported for telomeric D-loops containing 8-oxoguanine, RECQL4 does not cooperate with WRN to unwind telomeric D-loops with thymine glycol, suggesting RECQL4 helicase is selective for the type of oxidative lesion. RECQL4's function at the telomere is not yet understood, and our findings suggest a novel role for RECQL4 in the repair of thymine glycol lesions to promote efficient telomeric maintenance.", "author" : [ { "dropping-particle" : "", "family" : "Ferrarelli", "given" : "Leslie K", "non-dropping-particle" : "", "parse-names" : false, "suffix" : "" }, { "dropping-particle" : "", "family" : "Popuri", "given" : "Venkateswarlu", "non-dropping-particle" : "", "parse-names" : false, "suffix" : "" }, { "dropping-particle" : "", "family" : "Ghosh", "given" : "Avik K", "non-dropping-particle" : "", "parse-names" : false, "suffix" : "" }, { "dropping-particle" : "", "family" : "Tadokoro", "given" : "Takashi", "non-dropping-particle" : "", "parse-names" : false, "suffix" : "" }, { "dropping-particle" : "", "family" : "Canugovi", "given" : "Chandrika", "non-dropping-particle" : "", "parse-names" : false, "suffix" : "" }, { "dropping-particle" : "", "family" : "Hsu", "given" : "Joseph K", "non-dropping-particle" : "", "parse-names" : false, "suffix" : "" }, { "dropping-particle" : "", "family" : "Croteau", "given" : "Deborah L", "non-dropping-particle" : "", "parse-names" : false, "suffix" : "" }, { "dropping-particle" : "", "family" : "Bohr", "given" : "Vilhelm a", "non-dropping-particle" : "", "parse-names" : false, "suffix" : "" } ], "container-title" : "DNA Repair", "id" : "ITEM-1", "issue" : "7", "issued" : { "date-parts" : [ [ "2013", "5", "14" ] ] }, "page" : "518-28", "publisher" : "Elsevier B.V.", "title" : "The RECQL4 protein, deficient in Rothmund-Thomson syndrome is active on telomeric D-loops containing DNA metabolism blocking lesions.", "type" : "article-journal", "volume" : "12" }, "uris" : [ "http://www.mendeley.com/documents/?uuid=a318cf20-c2c3-473a-a6b0-821e3e79c041" ] }, { "id" : "ITEM-2", "itemData" : { "DOI" : "10.1074/jbc.M111.295063", "ISSN" : "1083-351X", "PMID" : "22039056", "abstract" : "Telomeres are structures at the ends of chromosomes and are composed of long tracks of short tandem repeat DNA sequences bound by a unique set of proteins (shelterin). Telomeric DNA is believed to form G-quadruplex and D-loop structures, which presents a challenge to the DNA replication and repair machinery. Although the RecQ helicases WRN and BLM are implicated in the resolution of telomeric secondary structures, very little is known about RECQL4, the RecQ helicase mutated in Rothmund-Thomson syndrome (RTS). Here, we report that RTS patient cells have elevated levels of fragile telomeric ends and that RECQL4-depleted human cells accumulate fragile sites, sister chromosome exchanges, and double strand breaks at telomeric sites. Further, RECQL4 localizes to telomeres and associates with shelterin proteins TRF1 and TRF2. Using recombinant proteins we showed that RECQL4 resolves telomeric D-loop structures with the help of shelterin proteins TRF1, TRF2, and POT1. We also found a novel functional synergistic interaction of this protein with WRN during D-loop unwinding. These data implicate RECQL4 in telomere maintenance.", "author" : [ { "dropping-particle" : "", "family" : "Ghosh", "given" : "Avik K", "non-dropping-particle" : "", "parse-names" : false, "suffix" : "" }, { "dropping-particle" : "", "family" : "Rossi", "given" : "Marie L", "non-dropping-particle" : "", "parse-names" : false, "suffix" : "" }, { "dropping-particle" : "", "family" : "Singh", "given" : "Dharmendra Kumar", "non-dropping-particle" : "", "parse-names" : false, "suffix" : "" }, { "dropping-particle" : "", "family" : "Dunn", "given" : "Christopher", "non-dropping-particle" : "", "parse-names" : false, "suffix" : "" }, { "dropping-particle" : "", "family" : "Ramamoorthy", "given" : "Mahesh", "non-dropping-particle" : "", "parse-names" : false, "suffix" : "" }, { "dropping-particle" : "", "family" : "Croteau", "given" : "Deborah L", "non-dropping-particle" : "", "parse-names" : false, "suffix" : "" }, { "dropping-particle" : "", "family" : "Liu", "given" : "Yie", "non-dropping-particle" : "", "parse-names" : false, "suffix" : "" }, { "dropping-particle" : "", "family" : "Bohr", "given" : "Vilhelm a", "non-dropping-particle" : "", "parse-names" : false, "suffix" : "" } ], "container-title" : "The Journal of Biological Chemistry", "id" : "ITEM-2", "issue" : "1", "issued" : { "date-parts" : [ [ "2012", "1", "2" ] ] }, "page" : "196-209", "title" : "RECQL4, the protein mutated in Rothmund-Thomson syndrome, functions in telomere maintenance.", "type" : "article-journal", "volume" : "287" }, "uris" : [ "http://www.mendeley.com/documents/?uuid=efb897d8-c210-451f-9777-779ffc805a53" ] } ], "mendeley" : { "formattedCitation" : "(Ferrarelli et al. 2013; Ghosh et al. 2012)", "plainTextFormattedCitation" : "(Ferrarelli et al. 2013; Ghosh et al. 2012)", "previouslyFormattedCitation" : "(Ferrarelli et al. 2013; Ghosh et al. 2012)"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(Ferrarelli et al. 2013; Ghosh et al. 2012)</w:t>
      </w:r>
      <w:r w:rsidR="00F20EC0" w:rsidRPr="00DF0680">
        <w:rPr>
          <w:rFonts w:cs="Times New Roman"/>
        </w:rPr>
        <w:fldChar w:fldCharType="end"/>
      </w:r>
      <w:r w:rsidRPr="00DF0680">
        <w:rPr>
          <w:rFonts w:cs="Times New Roman"/>
        </w:rPr>
        <w:t xml:space="preserve">.  </w:t>
      </w:r>
      <w:r w:rsidR="008E1F91" w:rsidRPr="00DF0680">
        <w:rPr>
          <w:rFonts w:cs="Times New Roman"/>
        </w:rPr>
        <w:t>It would appear that, like WRN and BLM, R</w:t>
      </w:r>
      <w:r w:rsidR="00527875" w:rsidRPr="00DF0680">
        <w:rPr>
          <w:rFonts w:cs="Times New Roman"/>
        </w:rPr>
        <w:t>ECQL4 has a role at telomeres but further work needs</w:t>
      </w:r>
      <w:r w:rsidR="00532E88" w:rsidRPr="00DF0680">
        <w:rPr>
          <w:rFonts w:cs="Times New Roman"/>
        </w:rPr>
        <w:t xml:space="preserve"> to be done to clarify this</w:t>
      </w:r>
      <w:r w:rsidR="00527875" w:rsidRPr="00DF0680">
        <w:rPr>
          <w:rFonts w:cs="Times New Roman"/>
        </w:rPr>
        <w:t>.</w:t>
      </w:r>
    </w:p>
    <w:p w:rsidR="00577EA5" w:rsidRPr="00DF0680" w:rsidRDefault="00577EA5">
      <w:pPr>
        <w:spacing w:line="276" w:lineRule="auto"/>
        <w:jc w:val="left"/>
        <w:rPr>
          <w:rFonts w:cs="Times New Roman"/>
        </w:rPr>
      </w:pPr>
      <w:r w:rsidRPr="00DF0680">
        <w:rPr>
          <w:rFonts w:cs="Times New Roman"/>
        </w:rPr>
        <w:br w:type="page"/>
      </w:r>
    </w:p>
    <w:p w:rsidR="004613BA" w:rsidRPr="00DF0680" w:rsidRDefault="004613BA" w:rsidP="00E664FC">
      <w:pPr>
        <w:pStyle w:val="Heading2"/>
      </w:pPr>
      <w:bookmarkStart w:id="114" w:name="_Toc417204109"/>
      <w:bookmarkStart w:id="115" w:name="_Toc417204711"/>
      <w:bookmarkStart w:id="116" w:name="_Toc417204771"/>
      <w:bookmarkStart w:id="117" w:name="_Toc417674346"/>
      <w:r w:rsidRPr="00DF0680">
        <w:lastRenderedPageBreak/>
        <w:t>RECQL5</w:t>
      </w:r>
      <w:bookmarkEnd w:id="114"/>
      <w:bookmarkEnd w:id="115"/>
      <w:bookmarkEnd w:id="116"/>
      <w:bookmarkEnd w:id="117"/>
    </w:p>
    <w:p w:rsidR="00173346" w:rsidRPr="00DF0680" w:rsidRDefault="00540AB7" w:rsidP="00A025CF">
      <w:pPr>
        <w:rPr>
          <w:rFonts w:cs="Times New Roman"/>
        </w:rPr>
      </w:pPr>
      <w:r w:rsidRPr="00DF0680">
        <w:rPr>
          <w:rFonts w:cs="Times New Roman"/>
        </w:rPr>
        <w:t>RecQ-like protein 5 (</w:t>
      </w:r>
      <w:r w:rsidR="003A5870" w:rsidRPr="00DF0680">
        <w:rPr>
          <w:rFonts w:cs="Times New Roman"/>
        </w:rPr>
        <w:t>RECQL5</w:t>
      </w:r>
      <w:r w:rsidRPr="00DF0680">
        <w:rPr>
          <w:rFonts w:cs="Times New Roman"/>
        </w:rPr>
        <w:t>)</w:t>
      </w:r>
      <w:r w:rsidR="003A5870" w:rsidRPr="00DF0680">
        <w:rPr>
          <w:rFonts w:cs="Times New Roman"/>
        </w:rPr>
        <w:t xml:space="preserve"> was identified along with RECQL4 by Kitao </w:t>
      </w:r>
      <w:r w:rsidR="003A5870" w:rsidRPr="00DF0680">
        <w:rPr>
          <w:rFonts w:cs="Times New Roman"/>
          <w:i/>
        </w:rPr>
        <w:t>et al.</w:t>
      </w:r>
      <w:r w:rsidR="003A5870" w:rsidRPr="00DF0680">
        <w:rPr>
          <w:rFonts w:cs="Times New Roman"/>
        </w:rPr>
        <w:t xml:space="preserve"> searching through the expressed sequence tag (EST) database for sequences homologous to RecQ </w:t>
      </w:r>
      <w:r w:rsidR="00F20EC0" w:rsidRPr="00DF0680">
        <w:rPr>
          <w:rFonts w:cs="Times New Roman"/>
        </w:rPr>
        <w:fldChar w:fldCharType="begin" w:fldLock="1"/>
      </w:r>
      <w:r w:rsidR="00525765" w:rsidRPr="00DF0680">
        <w:rPr>
          <w:rFonts w:cs="Times New Roman"/>
        </w:rPr>
        <w:instrText>ADDIN CSL_CITATION { "citationItems" : [ { "id" : "ITEM-1", "itemData" : { "DOI" : "10.1006/geno.1998.5595", "ISSN" : "0888-7543", "PMID" : "9878247", "abstract" : "Two new human DNA helicase genes, RecQ4 and RecQ5, that belong to the RecQ helicase family were cloned and characterized. The addition of these genes increases the total to five helicase genes in the human RecQ family, which includes helicases involved in Bloom and Werner syndromes, the genetic diseases manifesting the distinctive but overlapping clinical phenotypes of immunodeficiency, premature aging, and an enhanced risk of cancer. The RecQ4 helicase is as large as the Bloom (BLM) and Werner (WRN) helicases, and its gene expression profile is organ-specific, resembling that of BLM helicase. In contrast, the RecQ5 helicase has a low molecular weight, similar to the human progenitor RecQ1 helicase, and is expressed in all the organs examined. All five human helicase genes are expressed in cultured K562 leukemia and fibroblast cells. Synchronized K562 cell cultures showed that the genes RecQ4 and BLM, and RecQ1 and WRN, seem to be upregulated at the G1/S and G2/M phases, respectively, of the cell cycle. The biological significance of multiple species of human RecQ helicases, which are apparently nonessential for life but may be related to distinct diseases, is discussed in light of the fact that unicellular organisms, like Escherichia coli and yeast, contain only one species of helicase of this particular family.", "author" : [ { "dropping-particle" : "", "family" : "Kitao", "given" : "S", "non-dropping-particle" : "", "parse-names" : false, "suffix" : "" }, { "dropping-particle" : "", "family" : "Ohsugi", "given" : "I", "non-dropping-particle" : "", "parse-names" : false, "suffix" : "" }, { "dropping-particle" : "", "family" : "Ichikawa", "given" : "K", "non-dropping-particle" : "", "parse-names" : false, "suffix" : "" }, { "dropping-particle" : "", "family" : "Goto", "given" : "M", "non-dropping-particle" : "", "parse-names" : false, "suffix" : "" }, { "dropping-particle" : "", "family" : "Furuichi", "given" : "Y", "non-dropping-particle" : "", "parse-names" : false, "suffix" : "" }, { "dropping-particle" : "", "family" : "Shimamoto", "given" : "a", "non-dropping-particle" : "", "parse-names" : false, "suffix" : "" } ], "container-title" : "Genomics", "id" : "ITEM-1", "issue" : "3", "issued" : { "date-parts" : [ [ "1998", "12", "15" ] ] }, "page" : "443-52", "title" : "Cloning of two new human helicase genes of the RecQ family: biological significance of multiple species in higher eukaryotes.", "type" : "article-journal", "volume" : "54" }, "uris" : [ "http://www.mendeley.com/documents/?uuid=f7907e67-04d1-4446-8aa4-00800521c959" ] } ], "mendeley" : { "formattedCitation" : "(Kitao et al. 1998)", "plainTextFormattedCitation" : "(Kitao et al. 1998)", "previouslyFormattedCitation" : "(Kitao et al. 1998)"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(Kitao et al. 1998)</w:t>
      </w:r>
      <w:r w:rsidR="00F20EC0" w:rsidRPr="00DF0680">
        <w:rPr>
          <w:rFonts w:cs="Times New Roman"/>
        </w:rPr>
        <w:fldChar w:fldCharType="end"/>
      </w:r>
      <w:r w:rsidR="003A5870" w:rsidRPr="00DF0680">
        <w:rPr>
          <w:rFonts w:cs="Times New Roman"/>
        </w:rPr>
        <w:t xml:space="preserve">. </w:t>
      </w:r>
      <w:r w:rsidR="00A33519" w:rsidRPr="00DF0680">
        <w:rPr>
          <w:rFonts w:cs="Times New Roman"/>
        </w:rPr>
        <w:t xml:space="preserve">RECQL5 is a 3’ to 5’ helicase </w:t>
      </w:r>
      <w:r w:rsidR="00F00A32" w:rsidRPr="00DF0680">
        <w:rPr>
          <w:rFonts w:cs="Times New Roman"/>
        </w:rPr>
        <w:t>that has weak Holliday junction unwinding activity</w:t>
      </w:r>
      <w:r w:rsidR="00FE2D06" w:rsidRPr="00DF0680">
        <w:rPr>
          <w:rFonts w:cs="Times New Roman"/>
        </w:rPr>
        <w:t xml:space="preserve">, </w:t>
      </w:r>
      <w:r w:rsidR="00A33519" w:rsidRPr="00DF0680">
        <w:rPr>
          <w:rFonts w:cs="Times New Roman"/>
        </w:rPr>
        <w:t>has been shown to bind to topoisomerases</w:t>
      </w:r>
      <w:r w:rsidR="00FE2D06" w:rsidRPr="00DF0680">
        <w:rPr>
          <w:rFonts w:cs="Times New Roman"/>
        </w:rPr>
        <w:t xml:space="preserve"> 2α,</w:t>
      </w:r>
      <w:r w:rsidR="00A33519" w:rsidRPr="00DF0680">
        <w:rPr>
          <w:rFonts w:cs="Times New Roman"/>
        </w:rPr>
        <w:t xml:space="preserve"> 3α and 3β</w:t>
      </w:r>
      <w:r w:rsidR="00FE2D06" w:rsidRPr="00DF0680">
        <w:rPr>
          <w:rFonts w:cs="Times New Roman"/>
        </w:rPr>
        <w:t xml:space="preserve">, and </w:t>
      </w:r>
      <w:r w:rsidR="00A26532" w:rsidRPr="00DF0680">
        <w:rPr>
          <w:rFonts w:cs="Times New Roman"/>
        </w:rPr>
        <w:t xml:space="preserve">is </w:t>
      </w:r>
      <w:r w:rsidR="00FE2D06" w:rsidRPr="00DF0680">
        <w:rPr>
          <w:rFonts w:cs="Times New Roman"/>
        </w:rPr>
        <w:t>required for cell cycle progression and DNA decatenation</w:t>
      </w:r>
      <w:r w:rsidR="006663BD"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"ISSN" : "1362-4962", "PMID" : "10710432", "abstract" : "The RecQ helicase superfamily has been implicated in DNA repair and recombination. At least five human RecQ-related genes exist: RecQ1, BLM, WRN, RecQ4 and RecQ5. Mutations in BLM, WRN and RecQ4 are associated with Bloom, Werner and Rothmund-Thomson syndromes, respectively, involving a predisposition to malignancies and a cellular phenotype that includes increased chromosome instability. RecQ5 is small, containing only a core part of the RecQ helicase, but three isomer transcripts code for small RecQ5alpha (corresponding to the original RecQ5 with 410 amino acids), new large RecQ5beta (991 amino acids) and small RecQ5gamma (435 amino acids) proteins that contain the core helicase motifs. By determining the genomic structure, we found that the three isoforms are generated by differential splicing from the RecQ5 gene that contains at least 19 exons. Northern blot analysis using a RecQ5beta-specific probe indicates that RecQ5beta mRNA is expressed strongly in the testis. Immunocytochemical staining of three N-terminally tagged RecQ5 isomers expressed in 293EBNA cells showed that RecQ5beta migrates to the nucleus and exists exclusively in the nucleoplasm, while the small RecQ5alpha and RecQ5gamma proteins stay in the cytoplasm. Immunoprecipitation and an extended cytochemical experiment suggested that the nucleoplasmic RecQ5beta, like yeast Sgs1 DNA helicase, binds to topoisomerases 3alpha and 3beta, but not to topoisomerase 1. These results predict that RecQ5beta may have an important role in DNA metabolism and may also be related to a distinct genetic disease.", "author" : [ { "dropping-particle" : "", "family" : "Shimamoto", "given" : "a", "non-dropping-particle" : "", "parse-names" : false, "suffix" : "" }, { "dropping-particle" : "", "family" : "Nishikawa", "given" : "K", "non-dropping-particle" : "", "parse-names" : false, "suffix" : "" }, { "dropping-particle" : "", "family" : "Kitao", "given" : "S", "non-dropping-particle" : "", "parse-names" : false, "suffix" : "" }, { "dropping-particle" : "", "family" : "Furuichi", "given" : "Y", "non-dropping-particle" : "", "parse-names" : false, "suffix" : "" } ], "container-title" : "Nucleic Acids Research", "id" : "ITEM-1", "issue" : "7", "issued" : { "date-parts" : [ [ "2000", "4", "1" ] ] }, "page" : "1647-55", "title" : "Human RecQ5beta, a large isomer of RecQ5 DNA helicase, localizes in the nucleoplasm and interacts with topoisomerases 3alpha and 3beta.", "type" : "article-journal", "volume" : "28" }, "uris" : [ "http://www.mendeley.com/documents/?uuid=408234f2-1554-45e7-a4d8-f46d3df3f0cb" ] }, { "id" : "ITEM-2", "itemData" : { "DOI" : "10.1038/sj.emboj.7600301", "ISSN" : "0261-4189", "PMID" : "15241474", "abstract" : "Proteins belonging to the highly conserved RecQ helicase family are essential for the maintenance of genomic stability. Here, we describe the biochemical properties of the human RECQ5beta protein. Like BLM and WRN, RECQ5beta is an ATP-dependent 3'-5' DNA helicase that can promote migration of Holliday junctions. However, RECQ5beta required the single-stranded DNA-binding protein RPA in order to mediate the efficient unwinding of oligonucleotide-based substrates. Surprisingly, we found that RECQ5beta possesses an intrinsic DNA strand-annealing activity that is inhibited by RPA. Analysis of deletion variants of RECQ5beta revealed that the DNA helicase activity resides in the conserved N-terminal portion of the protein, whereas strand annealing is mediated by the unique C-terminal domain. Moreover, the strand-annealing activity of RECQ5beta was strongly inhibited by ATPgammaS, a poorly hydrolyzable analog of ATP. This effect was alleviated by mutations in the ATP-binding motif of RECQ5beta, indicating that the ATP-bound form of the protein cannot promote strand annealing. This is the first demonstration of a DNA helicase with an intrinsic DNA strand-annealing function residing in a separate domain.", "author" : [ { "dropping-particle" : "", "family" : "Garcia", "given" : "Patrick L", "non-dropping-particle" : "", "parse-names" : false, "suffix" : "" }, { "dropping-particle" : "", "family" : "Liu", "given" : "Yilun", "non-dropping-particle" : "", "parse-names" : false, "suffix" : "" }, { "dropping-particle" : "", "family" : "Jiricny", "given" : "Josef", "non-dropping-particle" : "", "parse-names" : false, "suffix" : "" }, { "dropping-particle" : "", "family" : "West", "given" : "Stephen C", "non-dropping-particle" : "", "parse-names" : false, "suffix" : "" }, { "dropping-particle" : "", "family" : "Janscak", "given" : "Pavel", "non-dropping-particle" : "", "parse-names" : false, "suffix" : "" } ], "container-title" : "The EMBO Journal", "id" : "ITEM-2", "issue" : "14", "issued" : { "date-parts" : [ [ "2004", "7", "21" ] ] }, "page" : "2882-91", "title" : "Human RECQ5beta, a protein with DNA helicase and strand-annealing activities in a single polypeptide.", "type" : "article-journal", "volume" : "23" }, "uris" : [ "http://www.mendeley.com/documents/?uuid=2a27854f-75a4-4e43-9214-4e4c1b2886c3" ] }, { "id" : "ITEM-3", "itemData" : { "DOI" : "10.1093/nar/gkr844", "ISSN" : "1362-4962", "PMID" : "22013166", "abstract" : "DNA decatenation mediated by Topoisomerase II is required to separate the interlinked sister chromatids post-replication. SGS1, a yeast homolog of the human RecQ family of helicases interacts with Topoisomerase II and plays a role in chromosome segregation, but this functional interaction has yet to be identified in higher organisms. Here, we report a physical and functional interaction of Topoisomerase II\u03b1 with RECQL5, one of five mammalian RecQ helicases, during DNA replication. Direct interaction of RECQL5 with Topoisomerase II\u03b1 stimulates the decatenation activity of Topoisomerase II\u03b1. Consistent with these observations, RECQL5 co-localizes with Topoisomerase II\u03b1 during S-phase of the cell cycle. Moreover, cells with stable depletions of RECQL5 display a slow proliferation rate, a G2/M cell cycle arrest and late S-phase cycling defects. Metaphase spreads generated from RECQL5-depleted cells exhibit undercondensed and entangled chromosomes. Further, RECQL5-depleted cells activate a G2/M checkpoint and undergo apoptosis. These phenotypes are similar to those observed when Topoisomerase II catalytic activity is inhibited. These results reveal an important role for RECQL5 in the maintenance of genomic stability and a new insight into the decatenation process.", "author" : [ { "dropping-particle" : "", "family" : "Ramamoorthy", "given" : "Mahesh", "non-dropping-particle" : "", "parse-names" : false, "suffix" : "" }, { "dropping-particle" : "", "family" : "Tadokoro", "given" : "Takashi", "non-dropping-particle" : "", "parse-names" : false, "suffix" : "" }, { "dropping-particle" : "", "family" : "Rybanska", "given" : "Ivana", "non-dropping-particle" : "", "parse-names" : false, "suffix" : "" }, { "dropping-particle" : "", "family" : "Ghosh", "given" : "Avik K", "non-dropping-particle" : "", "parse-names" : false, "suffix" : "" }, { "dropping-particle" : "", "family" : "Wersto", "given" : "Robert", "non-dropping-particle" : "", "parse-names" : false, "suffix" : "" }, { "dropping-particle" : "", "family" : "May", "given" : "Alfred", "non-dropping-particle" : "", "parse-names" : false, "suffix" : "" }, { "dropping-particle" : "", "family" : "Kulikowicz", "given" : "Tomasz", "non-dropping-particle" : "", "parse-names" : false, "suffix" : "" }, { "dropping-particle" : "", "family" : "Sykora", "given" : "Peter", "non-dropping-particle" : "", "parse-names" : false, "suffix" : "" }, { "dropping-particle" : "", "family" : "Croteau", "given" : "Deborah L", "non-dropping-particle" : "", "parse-names" : false, "suffix" : "" }, { "dropping-particle" : "", "family" : "Bohr", "given" : "Vilhelm a", "non-dropping-particle" : "", "parse-names" : false, "suffix" : "" } ], "container-title" : "Nucleic Acids Research", "id" : "ITEM-3", "issue" : "4", "issued" : { "date-parts" : [ [ "2012", "2" ] ] }, "page" : "1621-35", "title" : "RECQL5 cooperates with Topoisomerase II alpha in DNA decatenation and cell cycle progression.", "type" : "article-journal", "volume" : "40" }, "uris" : [ "http://www.mendeley.com/documents/?uuid=a954ba82-7067-44f7-869a-184b84cbec77" ] } ], "mendeley" : { "formattedCitation" : "(Shimamoto et al. 2000; Garcia et al. 2004; Ramamoorthy et al. 2012)", "plainTextFormattedCitation" : "(Shimamoto et al. 2000; Garcia et al. 2004; Ramamoorthy et al. 2012)", "previouslyFormattedCitation" : "(Shimamoto et al. 2000; Garcia et al. 2004; Ramamoorthy et al. 2012)"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(Shimamoto et al. 2000; Garcia et al. 2004; Ramamoorthy et al. 2012)</w:t>
      </w:r>
      <w:r w:rsidR="00F20EC0" w:rsidRPr="00DF0680">
        <w:rPr>
          <w:rFonts w:cs="Times New Roman"/>
        </w:rPr>
        <w:fldChar w:fldCharType="end"/>
      </w:r>
      <w:r w:rsidR="00A33519" w:rsidRPr="00DF0680">
        <w:rPr>
          <w:rFonts w:cs="Times New Roman"/>
        </w:rPr>
        <w:t xml:space="preserve">. </w:t>
      </w:r>
      <w:r w:rsidR="00F45F54" w:rsidRPr="00DF0680">
        <w:rPr>
          <w:rFonts w:cs="Times New Roman"/>
          <w:i/>
        </w:rPr>
        <w:t>In vitro</w:t>
      </w:r>
      <w:r w:rsidR="00F45F54" w:rsidRPr="00DF0680">
        <w:rPr>
          <w:rFonts w:cs="Times New Roman"/>
        </w:rPr>
        <w:t xml:space="preserve"> work has shown that i</w:t>
      </w:r>
      <w:r w:rsidR="00016DB9" w:rsidRPr="00DF0680">
        <w:rPr>
          <w:rFonts w:cs="Times New Roman"/>
        </w:rPr>
        <w:t xml:space="preserve">t preferentially unwinds </w:t>
      </w:r>
      <w:r w:rsidR="00F45F54" w:rsidRPr="00DF0680">
        <w:rPr>
          <w:rFonts w:cs="Times New Roman"/>
        </w:rPr>
        <w:t xml:space="preserve">3’ flap substrates resembling </w:t>
      </w:r>
      <w:r w:rsidR="00016DB9" w:rsidRPr="00DF0680">
        <w:rPr>
          <w:rFonts w:cs="Times New Roman"/>
        </w:rPr>
        <w:t>the lagging strand at replication fork structures and can promote strand exchange, as well as binding</w:t>
      </w:r>
      <w:r w:rsidR="001D05E7" w:rsidRPr="00DF0680">
        <w:rPr>
          <w:rFonts w:cs="Times New Roman"/>
        </w:rPr>
        <w:t xml:space="preserve"> and co-localising with</w:t>
      </w:r>
      <w:r w:rsidR="00016DB9" w:rsidRPr="00DF0680">
        <w:rPr>
          <w:rFonts w:cs="Times New Roman"/>
        </w:rPr>
        <w:t xml:space="preserve"> </w:t>
      </w:r>
      <w:r w:rsidR="001D05E7" w:rsidRPr="00DF0680">
        <w:rPr>
          <w:rFonts w:cs="Times New Roman"/>
        </w:rPr>
        <w:t xml:space="preserve">PCNA </w:t>
      </w:r>
      <w:r w:rsidR="001D05E7" w:rsidRPr="00DF0680">
        <w:rPr>
          <w:rFonts w:cs="Times New Roman"/>
          <w:i/>
        </w:rPr>
        <w:t xml:space="preserve">in vivo </w:t>
      </w:r>
      <w:r w:rsidR="00F20EC0" w:rsidRPr="00DF0680">
        <w:rPr>
          <w:rFonts w:cs="Times New Roman"/>
          <w:i/>
        </w:rPr>
        <w:fldChar w:fldCharType="begin" w:fldLock="1"/>
      </w:r>
      <w:r w:rsidR="00F45F54" w:rsidRPr="00DF0680">
        <w:rPr>
          <w:rFonts w:cs="Times New Roman"/>
          <w:i/>
        </w:rPr>
        <w:instrText>ADDIN CSL_CITATION { "citationItems" : [ { "id" : "ITEM-1", "itemData" : { "DOI" : "10.1093/nar/gkg243", "ISSN" : "13624962", "author" : [ { "dropping-particle" : "", "family" : "Ozsoy", "given" : "A. Z.", "non-dropping-particle" : "", "parse-names" : false, "suffix" : "" }, { "dropping-particle" : "", "family" : "Ragonese", "given" : "H. M.", "non-dropping-particle" : "", "parse-names" : false, "suffix" : "" }, { "dropping-particle" : "", "family" : "Matson", "given" : "S. W.", "non-dropping-particle" : "", "parse-names" : false, "suffix" : "" } ], "container-title" : "Nucleic Acids Research", "id" : "ITEM-1", "issue" : "5", "issued" : { "date-parts" : [ [ "2003", "3", "1" ] ] }, "page" : "1554-1564", "title" : "Analysis of helicase activity and substrate specificity of Drosophila RECQ5", "type" : "article-journal", "volume" : "31" }, "uris" : [ "http://www.mendeley.com/documents/?uuid=31588422-359e-4fe0-84b0-8061a21ced74" ] }, { "id" : "ITEM-2", "itemData" : { "DOI" : "10.1093/nar/gkl677", "ISSN" : "1362-4962", "PMID" : "17003056", "abstract" : "The role of the human RECQ5beta helicase in the maintenance of genomic stability remains elusive. Here we show that RECQ5beta promotes strand exchange between arms of synthetic forked DNA structures resembling a stalled replication fork in a reaction dependent on ATP hydrolysis. BLM and WRN can also promote strand exchange on these structures. However, in the presence of human replication protein A (hRPA), the action of these RecQ-type helicases is strongly biased towards unwinding of the parental duplex, an effect not seen with RECQ5beta. A domain within the non-conserved portion of RECQ5beta is identified as being important for its ability to unwind the lagging-strand arm and to promote strand exchange on hRPA-coated forked structures. We also show that RECQ5beta associates with DNA replication factories in S phase nuclei and persists at the sites of stalled replication forks after exposure of cells to UV irradiation. Moreover, RECQ5beta is found to physically interact with the polymerase processivity factor proliferating cell nuclear antigen in vitro and in vivo. Collectively, these findings suggest that RECQ5beta may promote regression of stalled replication forks to facilitate the bypass of replication-blocking lesions by template-switching. Loss of such activity could explain the elevated level of mitotic crossovers observed in RECQ5beta-deficient cells.", "author" : [ { "dropping-particle" : "", "family" : "Kanagaraj", "given" : "Radhakrishnan", "non-dropping-particle" : "", "parse-names" : false, "suffix" : "" }, { "dropping-particle" : "", "family" : "Saydam", "given" : "Nurten", "non-dropping-particle" : "", "parse-names" : false, "suffix" : "" }, { "dropping-particle" : "", "family" : "Garcia", "given" : "Patrick L", "non-dropping-particle" : "", "parse-names" : false, "suffix" : "" }, { "dropping-particle" : "", "family" : "Zheng", "given" : "Lu", "non-dropping-particle" : "", "parse-names" : false, "suffix" : "" }, { "dropping-particle" : "", "family" : "Janscak", "given" : "Pavel", "non-dropping-particle" : "", "parse-names" : false, "suffix" : "" } ], "container-title" : "Nucleic Acids Research", "id" : "ITEM-2", "issue" : "18", "issued" : { "date-parts" : [ [ "2006", "1" ] ] }, "page" : "5217-31", "title" : "Human RECQ5beta helicase promotes strand exchange on synthetic DNA structures resembling a stalled replication fork.", "type" : "article-journal", "volume" : "34" }, "uris" : [ "http://www.mendeley.com/documents/?uuid=421aec01-011d-41e5-b8c0-70ad24861d42" ] } ], "mendeley" : { "formattedCitation" : "(Ozsoy et al. 2003; Kanagaraj et al. 2006)", "plainTextFormattedCitation" : "(Ozsoy et al. 2003; Kanagaraj et al. 2006)", "previouslyFormattedCitation" : "(Ozsoy et al. 2003; Kanagaraj et al. 2006)" }, "properties" : { "noteIndex" : 0 }, "schema" : "https://github.com/citation-style-language/schema/raw/master/csl-citation.json" }</w:instrText>
      </w:r>
      <w:r w:rsidR="00F20EC0" w:rsidRPr="00DF0680">
        <w:rPr>
          <w:rFonts w:cs="Times New Roman"/>
          <w:i/>
        </w:rPr>
        <w:fldChar w:fldCharType="separate"/>
      </w:r>
      <w:r w:rsidR="00F45F54" w:rsidRPr="00DF0680">
        <w:rPr>
          <w:rFonts w:cs="Times New Roman"/>
        </w:rPr>
        <w:t>(Ozsoy et al. 2003; Kanagaraj et al. 2006)</w:t>
      </w:r>
      <w:r w:rsidR="00F20EC0" w:rsidRPr="00DF0680">
        <w:rPr>
          <w:rFonts w:cs="Times New Roman"/>
          <w:i/>
        </w:rPr>
        <w:fldChar w:fldCharType="end"/>
      </w:r>
      <w:r w:rsidR="001D05E7" w:rsidRPr="00DF0680">
        <w:rPr>
          <w:rFonts w:cs="Times New Roman"/>
        </w:rPr>
        <w:t>.</w:t>
      </w:r>
      <w:r w:rsidR="00843249" w:rsidRPr="00DF0680">
        <w:rPr>
          <w:rFonts w:cs="Times New Roman"/>
        </w:rPr>
        <w:t xml:space="preserve"> RECQL5 has three different isoforms, </w:t>
      </w:r>
      <w:r w:rsidR="00F45F54" w:rsidRPr="00DF0680">
        <w:rPr>
          <w:rFonts w:cs="Times New Roman"/>
        </w:rPr>
        <w:t xml:space="preserve">generated from differential splicing, </w:t>
      </w:r>
      <w:r w:rsidR="00843249" w:rsidRPr="00DF0680">
        <w:rPr>
          <w:rFonts w:cs="Times New Roman"/>
        </w:rPr>
        <w:t>α, β and γ</w:t>
      </w:r>
      <w:r w:rsidR="00F45F54" w:rsidRPr="00DF0680">
        <w:rPr>
          <w:rFonts w:cs="Times New Roman"/>
        </w:rPr>
        <w:t xml:space="preserve"> </w:t>
      </w:r>
      <w:r w:rsidR="00F20EC0" w:rsidRPr="00DF0680">
        <w:rPr>
          <w:rFonts w:cs="Times New Roman"/>
        </w:rPr>
        <w:fldChar w:fldCharType="begin" w:fldLock="1"/>
      </w:r>
      <w:r w:rsidR="00B45DAC" w:rsidRPr="00DF0680">
        <w:rPr>
          <w:rFonts w:cs="Times New Roman"/>
        </w:rPr>
        <w:instrText>ADDIN CSL_CITATION { "citationItems" : [ { "id" : "ITEM-1", "itemData" : { "ISSN" : "1362-4962", "PMID" : "10710432", "abstract" : "The RecQ helicase superfamily has been implicated in DNA repair and recombination. At least five human RecQ-related genes exist: RecQ1, BLM, WRN, RecQ4 and RecQ5. Mutations in BLM, WRN and RecQ4 are associated with Bloom, Werner and Rothmund-Thomson syndromes, respectively, involving a predisposition to malignancies and a cellular phenotype that includes increased chromosome instability. RecQ5 is small, containing only a core part of the RecQ helicase, but three isomer transcripts code for small RecQ5alpha (corresponding to the original RecQ5 with 410 amino acids), new large RecQ5beta (991 amino acids) and small RecQ5gamma (435 amino acids) proteins that contain the core helicase motifs. By determining the genomic structure, we found that the three isoforms are generated by differential splicing from the RecQ5 gene that contains at least 19 exons. Northern blot analysis using a RecQ5beta-specific probe indicates that RecQ5beta mRNA is expressed strongly in the testis. Immunocytochemical staining of three N-terminally tagged RecQ5 isomers expressed in 293EBNA cells showed that RecQ5beta migrates to the nucleus and exists exclusively in the nucleoplasm, while the small RecQ5alpha and RecQ5gamma proteins stay in the cytoplasm. Immunoprecipitation and an extended cytochemical experiment suggested that the nucleoplasmic RecQ5beta, like yeast Sgs1 DNA helicase, binds to topoisomerases 3alpha and 3beta, but not to topoisomerase 1. These results predict that RecQ5beta may have an important role in DNA metabolism and may also be related to a distinct genetic disease.", "author" : [ { "dropping-particle" : "", "family" : "Shimamoto", "given" : "a", "non-dropping-particle" : "", "parse-names" : false, "suffix" : "" }, { "dropping-particle" : "", "family" : "Nishikawa", "given" : "K", "non-dropping-particle" : "", "parse-names" : false, "suffix" : "" }, { "dropping-particle" : "", "family" : "Kitao", "given" : "S", "non-dropping-particle" : "", "parse-names" : false, "suffix" : "" }, { "dropping-particle" : "", "family" : "Furuichi", "given" : "Y", "non-dropping-particle" : "", "parse-names" : false, "suffix" : "" } ], "container-title" : "Nucleic Acids Research", "id" : "ITEM-1", "issue" : "7", "issued" : { "date-parts" : [ [ "2000", "4", "1" ] ] }, "page" : "1647-55", "title" : "Human RecQ5beta, a large isomer of RecQ5 DNA helicase, localizes in the nucleoplasm and interacts with topoisomerases 3alpha and 3beta.", "type" : "article-journal", "volume" : "28" }, "uris" : [ "http://www.mendeley.com/documents/?uuid=408234f2-1554-45e7-a4d8-f46d3df3f0cb" ] } ], "mendeley" : { "formattedCitation" : "(Shimamoto et al. 2000)", "plainTextFormattedCitation" : "(Shimamoto et al. 2000)", "previouslyFormattedCitation" : "(Shimamoto et al. 2000)" }, "properties" : { "noteIndex" : 0 }, "schema" : "https://github.com/citation-style-language/schema/raw/master/csl-citation.json" }</w:instrText>
      </w:r>
      <w:r w:rsidR="00F20EC0" w:rsidRPr="00DF0680">
        <w:rPr>
          <w:rFonts w:cs="Times New Roman"/>
        </w:rPr>
        <w:fldChar w:fldCharType="separate"/>
      </w:r>
      <w:r w:rsidR="00F45F54" w:rsidRPr="00DF0680">
        <w:rPr>
          <w:rFonts w:cs="Times New Roman"/>
        </w:rPr>
        <w:t>(Shimamoto et al. 2000)</w:t>
      </w:r>
      <w:r w:rsidR="00F20EC0" w:rsidRPr="00DF0680">
        <w:rPr>
          <w:rFonts w:cs="Times New Roman"/>
        </w:rPr>
        <w:fldChar w:fldCharType="end"/>
      </w:r>
      <w:r w:rsidR="00843249" w:rsidRPr="00DF0680">
        <w:rPr>
          <w:rFonts w:cs="Times New Roman"/>
        </w:rPr>
        <w:t xml:space="preserve"> (see </w:t>
      </w:r>
      <w:r w:rsidR="00F20EC0" w:rsidRPr="00DF0680">
        <w:rPr>
          <w:rFonts w:cs="Times New Roman"/>
        </w:rPr>
        <w:fldChar w:fldCharType="begin"/>
      </w:r>
      <w:r w:rsidR="006B2135" w:rsidRPr="00DF0680">
        <w:rPr>
          <w:rFonts w:cs="Times New Roman"/>
        </w:rPr>
        <w:instrText xml:space="preserve"> REF _Ref416515211 \h </w:instrText>
      </w:r>
      <w:r w:rsidR="00F20EC0" w:rsidRPr="00DF0680">
        <w:rPr>
          <w:rFonts w:cs="Times New Roman"/>
        </w:rPr>
      </w:r>
      <w:r w:rsidR="00F20EC0" w:rsidRPr="00DF0680">
        <w:rPr>
          <w:rFonts w:cs="Times New Roman"/>
        </w:rPr>
        <w:fldChar w:fldCharType="separate"/>
      </w:r>
      <w:r w:rsidR="009801AF" w:rsidRPr="00DF0680">
        <w:t>Figure 1.7</w:t>
      </w:r>
      <w:r w:rsidR="00F20EC0" w:rsidRPr="00DF0680">
        <w:rPr>
          <w:rFonts w:cs="Times New Roman"/>
        </w:rPr>
        <w:fldChar w:fldCharType="end"/>
      </w:r>
      <w:r w:rsidR="00843249" w:rsidRPr="00DF0680">
        <w:rPr>
          <w:rFonts w:cs="Times New Roman"/>
        </w:rPr>
        <w:t>), although the work described below focuses on RECQL5β.</w:t>
      </w:r>
    </w:p>
    <w:p w:rsidR="00173346" w:rsidRPr="00DF0680" w:rsidRDefault="00B036EA" w:rsidP="00173346">
      <w:pPr>
        <w:keepNext/>
        <w:jc w:val="center"/>
        <w:rPr>
          <w:rFonts w:cs="Times New Roman"/>
        </w:rPr>
      </w:pPr>
      <w:r w:rsidRPr="00DF0680">
        <w:drawing>
          <wp:inline distT="0" distB="0" distL="0" distR="0">
            <wp:extent cx="5400040" cy="2165755"/>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5400040" cy="2165755"/>
                    </a:xfrm>
                    <a:prstGeom prst="rect">
                      <a:avLst/>
                    </a:prstGeom>
                    <a:noFill/>
                    <a:ln w="9525">
                      <a:noFill/>
                      <a:miter lim="800000"/>
                      <a:headEnd/>
                      <a:tailEnd/>
                    </a:ln>
                  </pic:spPr>
                </pic:pic>
              </a:graphicData>
            </a:graphic>
          </wp:inline>
        </w:drawing>
      </w:r>
    </w:p>
    <w:p w:rsidR="00173346" w:rsidRPr="00DF0680" w:rsidRDefault="00173346" w:rsidP="00D94477">
      <w:pPr>
        <w:pStyle w:val="Caption"/>
      </w:pPr>
    </w:p>
    <w:p w:rsidR="00843249" w:rsidRPr="00DF0680" w:rsidRDefault="00173346" w:rsidP="00D94477">
      <w:pPr>
        <w:pStyle w:val="Caption"/>
      </w:pPr>
      <w:bookmarkStart w:id="118" w:name="_Toc409449305"/>
      <w:bookmarkStart w:id="119" w:name="_Toc417813889"/>
      <w:bookmarkStart w:id="120" w:name="_Ref416515211"/>
      <w:r w:rsidRPr="00DF0680">
        <w:t xml:space="preserve">Figure </w:t>
      </w:r>
      <w:fldSimple w:instr=" STYLEREF 1 \s ">
        <w:r w:rsidR="006119E3">
          <w:rPr>
            <w:noProof/>
          </w:rPr>
          <w:t>1</w:t>
        </w:r>
      </w:fldSimple>
      <w:r w:rsidR="006119E3">
        <w:t>.</w:t>
      </w:r>
      <w:fldSimple w:instr=" SEQ Figure \* ARABIC \s 1 ">
        <w:r w:rsidR="006119E3">
          <w:rPr>
            <w:noProof/>
          </w:rPr>
          <w:t>7</w:t>
        </w:r>
      </w:fldSimple>
      <w:bookmarkEnd w:id="120"/>
      <w:r w:rsidRPr="00DF0680">
        <w:t xml:space="preserve"> – The isoforms of RECQL5 and their domain structure</w:t>
      </w:r>
      <w:bookmarkEnd w:id="118"/>
      <w:bookmarkEnd w:id="119"/>
    </w:p>
    <w:p w:rsidR="00B036EA" w:rsidRPr="00DF0680" w:rsidRDefault="00173346" w:rsidP="00173346">
      <w:pPr>
        <w:spacing w:line="276" w:lineRule="auto"/>
        <w:rPr>
          <w:rFonts w:cs="Times New Roman"/>
          <w:i/>
          <w:iCs/>
        </w:rPr>
      </w:pPr>
      <w:r w:rsidRPr="00DF0680">
        <w:rPr>
          <w:rFonts w:cs="Times New Roman"/>
        </w:rPr>
        <w:t xml:space="preserve">The isoforms of RECQL5 are aligned according to their homologous RECQ helicase domain shown in </w:t>
      </w:r>
      <w:r w:rsidRPr="00DF0680">
        <w:rPr>
          <w:rFonts w:cs="Times New Roman"/>
          <w:i/>
          <w:iCs/>
        </w:rPr>
        <w:t>green</w:t>
      </w:r>
      <w:r w:rsidRPr="00DF0680">
        <w:rPr>
          <w:rFonts w:cs="Times New Roman"/>
        </w:rPr>
        <w:t xml:space="preserve">. </w:t>
      </w:r>
      <w:r w:rsidRPr="00DF0680">
        <w:rPr>
          <w:rFonts w:cs="Times New Roman"/>
          <w:i/>
          <w:iCs/>
        </w:rPr>
        <w:t>Orange</w:t>
      </w:r>
      <w:r w:rsidRPr="00DF0680">
        <w:rPr>
          <w:rFonts w:cs="Times New Roman"/>
        </w:rPr>
        <w:t xml:space="preserve"> is the RQC domain containing a zinc-binding motif, a helix-hairpin-helix winged-helix domain and a β-hairpin motif and the </w:t>
      </w:r>
      <w:r w:rsidRPr="00DF0680">
        <w:rPr>
          <w:rFonts w:cs="Times New Roman"/>
          <w:i/>
          <w:iCs/>
        </w:rPr>
        <w:t>yellow</w:t>
      </w:r>
      <w:r w:rsidRPr="00DF0680">
        <w:rPr>
          <w:rFonts w:cs="Times New Roman"/>
        </w:rPr>
        <w:t xml:space="preserve"> regions are rich in acidic residues. The </w:t>
      </w:r>
      <w:r w:rsidRPr="00DF0680">
        <w:rPr>
          <w:rFonts w:cs="Times New Roman"/>
          <w:i/>
          <w:iCs/>
        </w:rPr>
        <w:t>dark grey</w:t>
      </w:r>
      <w:r w:rsidRPr="00DF0680">
        <w:rPr>
          <w:rFonts w:cs="Times New Roman"/>
        </w:rPr>
        <w:t xml:space="preserve"> is the nuclear localisation signal and the </w:t>
      </w:r>
      <w:r w:rsidRPr="00DF0680">
        <w:rPr>
          <w:rFonts w:cs="Times New Roman"/>
          <w:i/>
          <w:iCs/>
        </w:rPr>
        <w:t xml:space="preserve">red </w:t>
      </w:r>
      <w:r w:rsidRPr="00DF0680">
        <w:rPr>
          <w:rFonts w:cs="Times New Roman"/>
        </w:rPr>
        <w:t xml:space="preserve">is the PCNA-interacting motif (PIM). </w:t>
      </w:r>
      <w:r w:rsidRPr="00DF0680">
        <w:rPr>
          <w:rFonts w:cs="Times New Roman"/>
          <w:i/>
          <w:iCs/>
        </w:rPr>
        <w:t>Purple</w:t>
      </w:r>
      <w:r w:rsidRPr="00DF0680">
        <w:rPr>
          <w:rFonts w:cs="Times New Roman"/>
        </w:rPr>
        <w:t xml:space="preserve"> represents the Set2 Rpb1 interacting (SRI) domain and the </w:t>
      </w:r>
      <w:r w:rsidRPr="00DF0680">
        <w:rPr>
          <w:rFonts w:cs="Times New Roman"/>
          <w:i/>
          <w:iCs/>
        </w:rPr>
        <w:t>light blue</w:t>
      </w:r>
      <w:r w:rsidRPr="00DF0680">
        <w:rPr>
          <w:rFonts w:cs="Times New Roman"/>
        </w:rPr>
        <w:t xml:space="preserve"> is the kinase-inducible domain interacting (KIX) domain, both of which RECQL5 requires for binding to </w:t>
      </w:r>
      <w:r w:rsidR="00577EA5" w:rsidRPr="00DF0680">
        <w:rPr>
          <w:rFonts w:cs="Times New Roman"/>
        </w:rPr>
        <w:t>RNA Pol II</w:t>
      </w:r>
      <w:r w:rsidRPr="00DF0680">
        <w:rPr>
          <w:rFonts w:cs="Times New Roman"/>
        </w:rPr>
        <w:t xml:space="preserve">. The </w:t>
      </w:r>
      <w:r w:rsidRPr="00DF0680">
        <w:rPr>
          <w:rFonts w:cs="Times New Roman"/>
          <w:i/>
          <w:iCs/>
        </w:rPr>
        <w:t>pink</w:t>
      </w:r>
      <w:r w:rsidRPr="00DF0680">
        <w:rPr>
          <w:rFonts w:cs="Times New Roman"/>
        </w:rPr>
        <w:t xml:space="preserve"> BRC repeat variant  domain is required for RECQL5 to bind RAD51.</w:t>
      </w:r>
      <w:r w:rsidRPr="00DF0680">
        <w:rPr>
          <w:rFonts w:cs="Times New Roman"/>
          <w:i/>
          <w:iCs/>
        </w:rPr>
        <w:t xml:space="preserve"> </w:t>
      </w:r>
    </w:p>
    <w:p w:rsidR="00843249" w:rsidRPr="00DF0680" w:rsidRDefault="00B036EA" w:rsidP="00B036EA">
      <w:pPr>
        <w:spacing w:line="276" w:lineRule="auto"/>
        <w:jc w:val="left"/>
        <w:rPr>
          <w:rFonts w:cs="Times New Roman"/>
          <w:i/>
          <w:iCs/>
        </w:rPr>
      </w:pPr>
      <w:r w:rsidRPr="00DF0680">
        <w:rPr>
          <w:rFonts w:cs="Times New Roman"/>
          <w:i/>
          <w:iCs/>
        </w:rPr>
        <w:br w:type="page"/>
      </w:r>
    </w:p>
    <w:p w:rsidR="00A26532" w:rsidRPr="00DF0680" w:rsidRDefault="00A26532" w:rsidP="00A26532">
      <w:pPr>
        <w:rPr>
          <w:rFonts w:cs="Times New Roman"/>
        </w:rPr>
      </w:pPr>
      <w:r w:rsidRPr="00DF0680">
        <w:rPr>
          <w:rFonts w:cs="Times New Roman"/>
        </w:rPr>
        <w:lastRenderedPageBreak/>
        <w:t xml:space="preserve">Evidence for RECQL5’s role in HR stems from RECQL5 deficient cells showing an elevated level of sister chromatid exchanges </w:t>
      </w:r>
      <w:r w:rsidR="00F20EC0" w:rsidRPr="00DF0680">
        <w:rPr>
          <w:rFonts w:cs="Times New Roman"/>
        </w:rPr>
        <w:fldChar w:fldCharType="begin" w:fldLock="1"/>
      </w:r>
      <w:r w:rsidR="00332613" w:rsidRPr="00DF0680">
        <w:rPr>
          <w:rFonts w:cs="Times New Roman"/>
        </w:rPr>
        <w:instrText>ADDIN CSL_CITATION { "citationItems" : [ { "id" : "ITEM-1", "itemData" : { "DOI" : "10.1128/MCB.25.9.3431", "author" : [ { "dropping-particle" : "", "family" : "Hu", "given" : "Yiduo", "non-dropping-particle" : "", "parse-names" : false, "suffix" : "" }, { "dropping-particle" : "", "family" : "Lu", "given" : "Xincheng", "non-dropping-particle" : "", "parse-names" : false, "suffix" : "" }, { "dropping-particle" : "", "family" : "Barnes", "given" : "Ellen", "non-dropping-particle" : "", "parse-names" : false, "suffix" : "" }, { "dropping-particle" : "", "family" : "Yan", "given" : "Min", "non-dropping-particle" : "", "parse-names" : false, "suffix" : "" } ], "container-title" : "Molecular and Cellular Biology", "id" : "ITEM-1", "issue" : "9", "issued" : { "date-parts" : [ [ "2005" ] ] }, "page" : "3431-42", "title" : "Recql5 and Blm RecQ DNA helicases have nonredundant roles in suppressing crossovers", "type" : "article-journal", "volume" : "25" }, "uris" : [ "http://www.mendeley.com/documents/?uuid=8789f443-2e71-463f-a585-a2e2e66e441d" ] } ], "mendeley" : { "formattedCitation" : "(Hu et al. 2005)", "plainTextFormattedCitation" : "(Hu et al. 2005)", "previouslyFormattedCitation" : "(Hu et al. 2005)"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(Hu et al. 2005)</w:t>
      </w:r>
      <w:r w:rsidR="00F20EC0" w:rsidRPr="00DF0680">
        <w:rPr>
          <w:rFonts w:cs="Times New Roman"/>
        </w:rPr>
        <w:fldChar w:fldCharType="end"/>
      </w:r>
      <w:r w:rsidRPr="00DF0680">
        <w:rPr>
          <w:rFonts w:cs="Times New Roman"/>
        </w:rPr>
        <w:t xml:space="preserve">. It also has a functional interaction with Rad51, the HR protein responsible for strand invasion. Cells deficient in RECQL5 have increased number of RAD51 and γH2AX foci, and RECQL5 can bind RAD51 to disrupt filament formation and inhibit homologous recombination </w:t>
      </w:r>
      <w:r w:rsidR="00F20EC0" w:rsidRPr="00DF0680">
        <w:rPr>
          <w:rFonts w:cs="Times New Roman"/>
        </w:rPr>
        <w:fldChar w:fldCharType="begin" w:fldLock="1"/>
      </w:r>
      <w:r w:rsidR="00332613" w:rsidRPr="00DF0680">
        <w:rPr>
          <w:rFonts w:cs="Times New Roman"/>
        </w:rPr>
        <w:instrText>ADDIN CSL_CITATION { "citationItems" : [ { "id" : "ITEM-1", "itemData" : { "DOI" : "10.1101/gad.1609107", "ISSN" : "0890-9369", "PMID" : "18003859", "abstract" : "Members of the RecQ helicase family play critical roles in genome maintenance. There are five RecQ homologs in mammals, and defects in three of these (BLM, WRN, and RECQL4) give rise to cancer predisposition syndromes in humans. RECQL and RECQL5 have not been associated with a human disease. Here we show that deletion of Recql5 in mice results in cancer susceptibility. Recql5-deficient cells exhibit elevated frequencies of spontaneous DNA double-strand breaks and homologous recombination (HR) as scored using a reporter that harbors a direct repeat, and are prone to gross chromosomal rearrangements in response to replication stress. To understand how RECQL5 regulates HR, we use purified proteins to demonstrate that human RECQL5 binds the Rad51 recombinase and inhibits Rad51-mediated D-loop formation. By biochemical means and electron microscopy, we show that RECQL5 displaces Rad51 from single-stranded DNA (ssDNA) in a reaction that requires ATP hydrolysis and RPA. Together, our results identify RECQL5 as an important tumor suppressor that may act by preventing inappropriate HR events via Rad51 presynaptic filament disruption.", "author" : [ { "dropping-particle" : "", "family" : "Hu", "given" : "Yiduo", "non-dropping-particle" : "", "parse-names" : false, "suffix" : "" }, { "dropping-particle" : "", "family" : "Raynard", "given" : "Steven", "non-dropping-particle" : "", "parse-names" : false, "suffix" : "" }, { "dropping-particle" : "", "family" : "Sehorn", "given" : "Michael G", "non-dropping-particle" : "", "parse-names" : false, "suffix" : "" }, { "dropping-particle" : "", "family" : "Lu", "given" : "Xincheng", "non-dropping-particle" : "", "parse-names" : false, "suffix" : "" }, { "dropping-particle" : "", "family" : "Bussen", "given" : "Wendy", "non-dropping-particle" : "", "parse-names" : false, "suffix" : "" }, { "dropping-particle" : "", "family" : "Zheng", "given" : "Lu", "non-dropping-particle" : "", "parse-names" : false, "suffix" : "" }, { "dropping-particle" : "", "family" : "Stark", "given" : "Jeremy M", "non-dropping-particle" : "", "parse-names" : false, "suffix" : "" }, { "dropping-particle" : "", "family" : "Barnes", "given" : "Ellen L", "non-dropping-particle" : "", "parse-names" : false, "suffix" : "" }, { "dropping-particle" : "", "family" : "Chi", "given" : "Peter", "non-dropping-particle" : "", "parse-names" : false, "suffix" : "" }, { "dropping-particle" : "", "family" : "Janscak", "given" : "Pavel", "non-dropping-particle" : "", "parse-names" : false, "suffix" : "" }, { "dropping-particle" : "", "family" : "Jasin", "given" : "Maria", "non-dropping-particle" : "", "parse-names" : false, "suffix" : "" }, { "dropping-particle" : "", "family" : "Vogel", "given" : "Hannes", "non-dropping-particle" : "", "parse-names" : false, "suffix" : "" }, { "dropping-particle" : "", "family" : "Sung", "given" : "Patrick", "non-dropping-particle" : "", "parse-names" : false, "suffix" : "" }, { "dropping-particle" : "", "family" : "Luo", "given" : "Guangbin", "non-dropping-particle" : "", "parse-names" : false, "suffix" : "" } ], "container-title" : "Genes &amp; Development", "id" : "ITEM-1", "issue" : "23", "issued" : { "date-parts" : [ [ "2007", "12", "1" ] ] }, "page" : "3073-84", "title" : "RECQL5/Recql5 helicase regulates homologous recombination and suppresses tumor formation via disruption of Rad51 presynaptic filaments.", "type" : "article-journal", "volume" : "21" }, "uris" : [ "http://www.mendeley.com/documents/?uuid=569f0011-a132-4c3c-8afd-04e50c78a14c" ] } ], "mendeley" : { "formattedCitation" : "(Hu et al. 2007)", "plainTextFormattedCitation" : "(Hu et al. 2007)", "previouslyFormattedCitation" : "(Hu et al. 2007)"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(Hu et al. 2007)</w:t>
      </w:r>
      <w:r w:rsidR="00F20EC0" w:rsidRPr="00DF0680">
        <w:rPr>
          <w:rFonts w:cs="Times New Roman"/>
        </w:rPr>
        <w:fldChar w:fldCharType="end"/>
      </w:r>
      <w:r w:rsidRPr="00DF0680">
        <w:rPr>
          <w:rFonts w:cs="Times New Roman"/>
        </w:rPr>
        <w:t>. Without ATPase activity, or binding to RAD51, RECQL5 cannot exhibit</w:t>
      </w:r>
      <w:r w:rsidR="005922AD" w:rsidRPr="00DF0680">
        <w:rPr>
          <w:rFonts w:cs="Times New Roman"/>
          <w:i/>
        </w:rPr>
        <w:t xml:space="preserve"> its </w:t>
      </w:r>
      <w:r w:rsidRPr="00DF0680">
        <w:rPr>
          <w:rFonts w:cs="Times New Roman"/>
        </w:rPr>
        <w:t xml:space="preserve">anti-recombinase activity and the RAD51 binding site contains conserved BRC domains </w:t>
      </w:r>
      <w:r w:rsidR="00F20EC0" w:rsidRPr="00DF0680">
        <w:rPr>
          <w:rFonts w:cs="Times New Roman"/>
        </w:rPr>
        <w:fldChar w:fldCharType="begin" w:fldLock="1"/>
      </w:r>
      <w:r w:rsidR="00332613" w:rsidRPr="00DF0680">
        <w:rPr>
          <w:rFonts w:cs="Times New Roman"/>
        </w:rPr>
        <w:instrText>ADDIN CSL_CITATION { "citationItems" : [ { "id" : "ITEM-1", "itemData" : { "DOI" : "10.1074/jbc.M110.110478", "ISSN" : "1083-351X", "PMID" : "20348101", "abstract" : "Homologous recombination (HR) provides an efficient mechanism for error-free repair of DNA double-strand breaks (DSBs). However, HR can be also harmful as inappropriate or untimely HR events can give rise to lethal recombination intermediates and chromosome rearrangements. A critical step of HR is the formation of a RAD51 filament on single-stranded (ss)DNA, which mediates the invasion of a homologous DNA molecule. In mammalian cells, several DNA helicases have been implicated in the regulation of this process. RECQ5, a member of the RecQ family of DNA helicases, interacts physically with the RAD51 recombinase and disrupts RAD51 presynaptic filaments in a reaction dependent on ATP hydrolysis. Here, we have precisely mapped the RAD51-interacting domain of RECQ5 and generated mutants that fail to interact with RAD51. We show that although these mutants retain normal ATPase activity, they are impaired in their ability to displace RAD51 from ssDNA. Moreover, we show that ablation of RECQ5-RAD51 complex formation by a point mutation alleviates the inhibitory effect of RECQ5 on HR-mediated DSB repair. These findings provide support for the proposal that interaction with RAD51 is critical for the anti-recombinase attribute of RECQ5.", "author" : [ { "dropping-particle" : "", "family" : "Schwendener", "given" : "Sybille", "non-dropping-particle" : "", "parse-names" : false, "suffix" : "" }, { "dropping-particle" : "", "family" : "Raynard", "given" : "Steven", "non-dropping-particle" : "", "parse-names" : false, "suffix" : "" }, { "dropping-particle" : "", "family" : "Paliwal", "given" : "Shreya", "non-dropping-particle" : "", "parse-names" : false, "suffix" : "" }, { "dropping-particle" : "", "family" : "Cheng", "given" : "Anita", "non-dropping-particle" : "", "parse-names" : false, "suffix" : "" }, { "dropping-particle" : "", "family" : "Kanagaraj", "given" : "Radhakrishnan", "non-dropping-particle" : "", "parse-names" : false, "suffix" : "" }, { "dropping-particle" : "", "family" : "Shevelev", "given" : "Igor", "non-dropping-particle" : "", "parse-names" : false, "suffix" : "" }, { "dropping-particle" : "", "family" : "Stark", "given" : "Jeremy M", "non-dropping-particle" : "", "parse-names" : false, "suffix" : "" }, { "dropping-particle" : "", "family" : "Sung", "given" : "Patrick", "non-dropping-particle" : "", "parse-names" : false, "suffix" : "" }, { "dropping-particle" : "", "family" : "Janscak", "given" : "Pavel", "non-dropping-particle" : "", "parse-names" : false, "suffix" : "" } ], "container-title" : "The Journal of Biological Chemistry", "id" : "ITEM-1", "issue" : "21", "issued" : { "date-parts" : [ [ "2010", "5", "21" ] ] }, "page" : "15739-45", "title" : "Physical interaction of RECQ5 helicase with RAD51 facilitates its anti-recombinase activity.", "type" : "article-journal", "volume" : "285" }, "uris" : [ "http://www.mendeley.com/documents/?uuid=fbdeffda-5039-4e6a-9229-37c029b276aa" ] }, { "id" : "ITEM-2", "itemData" : { "DOI" : "10.1074/jbc.M112.375014", "ISSN" : "1083-351X", "PMID" : "22645136", "abstract" : "The BRC repeat is a structural motif in the tumor suppressor BRCA2 (breast cancer type 2 susceptibility protein), which promotes homologous recombination (HR) by regulating RAD51 recombinase activity. To date, the BRC repeat has not been observed in other proteins, so that its role in HR is inferred only in the context of BRCA2. Here, we identified a BRC repeat variant, named BRCv, in the RECQL5 helicase, which possesses anti-recombinase activity in vitro and suppresses HR and promotes cellular resistance to camptothecin-induced replication stress in vivo. RECQL5-BRCv interacted with RAD51 through two conserved motifs similar to those in the BRCA2-BRC repeat. Mutations of either motif compromised functions of RECQL5, including association with RAD51, inhibition of RAD51-mediated D-loop formation, suppression of sister chromatid exchange, and resistance to camptothecin-induced replication stress. Potential BRCvs were also found in other HR regulatory proteins, including Srs2 and Sgs1, which possess anti-recombinase activities similar to that of RECQL5. A point mutation in the predicted Srs2-BRCv disrupted the ability of the protein to bind RAD51 and to inhibit D-loop formation. Thus, BRC is a common RAD51 interaction module that can be utilized by different proteins to either promote HR, as in the case of BRCA2, or to suppress HR, as in RECQL5.", "author" : [ { "dropping-particle" : "", "family" : "Islam", "given" : "M Nurul", "non-dropping-particle" : "", "parse-names" : false, "suffix" : "" }, { "dropping-particle" : "", "family" : "Paquet", "given" : "Nicolas", "non-dropping-particle" : "", "parse-names" : false, "suffix" : "" }, { "dropping-particle" : "", "family" : "Fox", "given" : "David", "non-dropping-particle" : "", "parse-names" : false, "suffix" : "" }, { "dropping-particle" : "", "family" : "Dray", "given" : "Eloise", "non-dropping-particle" : "", "parse-names" : false, "suffix" : "" }, { "dropping-particle" : "", "family" : "Zheng", "given" : "Xiao-Feng", "non-dropping-particle" : "", "parse-names" : false, "suffix" : "" }, { "dropping-particle" : "", "family" : "Klein", "given" : "Hannah", "non-dropping-particle" : "", "parse-names" : false, "suffix" : "" }, { "dropping-particle" : "", "family" : "Sung", "given" : "Patrick", "non-dropping-particle" : "", "parse-names" : false, "suffix" : "" }, { "dropping-particle" : "", "family" : "Wang", "given" : "Weidong", "non-dropping-particle" : "", "parse-names" : false, "suffix" : "" } ], "container-title" : "The Journal of Biological Chemistry", "id" : "ITEM-2", "issue" : "28", "issued" : { "date-parts" : [ [ "2012", "7", "6" ] ] }, "page" : "23808-18", "title" : "A variant of the breast cancer type 2 susceptibility protein (BRC) repeat is essential for the RECQL5 helicase to interact with RAD51 recombinase for genome stabilization.", "type" : "article-journal", "volume" : "287" }, "uris" : [ "http://www.mendeley.com/documents/?uuid=d4e1d540-3b2c-47cf-b2d0-c9915f47bacb" ] }, { "id" : "ITEM-3", "itemData" : { "DOI" : "10.1101/gad.1609107", "ISSN" : "0890-9369", "PMID" : "18003859", "abstract" : "Members of the RecQ helicase family play critical roles in genome maintenance. There are five RecQ homologs in mammals, and defects in three of these (BLM, WRN, and RECQL4) give rise to cancer predisposition syndromes in humans. RECQL and RECQL5 have not been associated with a human disease. Here we show that deletion of Recql5 in mice results in cancer susceptibility. Recql5-deficient cells exhibit elevated frequencies of spontaneous DNA double-strand breaks and homologous recombination (HR) as scored using a reporter that harbors a direct repeat, and are prone to gross chromosomal rearrangements in response to replication stress. To understand how RECQL5 regulates HR, we use purified proteins to demonstrate that human RECQL5 binds the Rad51 recombinase and inhibits Rad51-mediated D-loop formation. By biochemical means and electron microscopy, we show that RECQL5 displaces Rad51 from single-stranded DNA (ssDNA) in a reaction that requires ATP hydrolysis and RPA. Together, our results identify RECQL5 as an important tumor suppressor that may act by preventing inappropriate HR events via Rad51 presynaptic filament disruption.", "author" : [ { "dropping-particle" : "", "family" : "Hu", "given" : "Yiduo", "non-dropping-particle" : "", "parse-names" : false, "suffix" : "" }, { "dropping-particle" : "", "family" : "Raynard", "given" : "Steven", "non-dropping-particle" : "", "parse-names" : false, "suffix" : "" }, { "dropping-particle" : "", "family" : "Sehorn", "given" : "Michael G", "non-dropping-particle" : "", "parse-names" : false, "suffix" : "" }, { "dropping-particle" : "", "family" : "Lu", "given" : "Xincheng", "non-dropping-particle" : "", "parse-names" : false, "suffix" : "" }, { "dropping-particle" : "", "family" : "Bussen", "given" : "Wendy", "non-dropping-particle" : "", "parse-names" : false, "suffix" : "" }, { "dropping-particle" : "", "family" : "Zheng", "given" : "Lu", "non-dropping-particle" : "", "parse-names" : false, "suffix" : "" }, { "dropping-particle" : "", "family" : "Stark", "given" : "Jeremy M", "non-dropping-particle" : "", "parse-names" : false, "suffix" : "" }, { "dropping-particle" : "", "family" : "Barnes", "given" : "Ellen L", "non-dropping-particle" : "", "parse-names" : false, "suffix" : "" }, { "dropping-particle" : "", "family" : "Chi", "given" : "Peter", "non-dropping-particle" : "", "parse-names" : false, "suffix" : "" }, { "dropping-particle" : "", "family" : "Janscak", "given" : "Pavel", "non-dropping-particle" : "", "parse-names" : false, "suffix" : "" }, { "dropping-particle" : "", "family" : "Jasin", "given" : "Maria", "non-dropping-particle" : "", "parse-names" : false, "suffix" : "" }, { "dropping-particle" : "", "family" : "Vogel", "given" : "Hannes", "non-dropping-particle" : "", "parse-names" : false, "suffix" : "" }, { "dropping-particle" : "", "family" : "Sung", "given" : "Patrick", "non-dropping-particle" : "", "parse-names" : false, "suffix" : "" }, { "dropping-particle" : "", "family" : "Luo", "given" : "Guangbin", "non-dropping-particle" : "", "parse-names" : false, "suffix" : "" } ], "container-title" : "Genes &amp; Development", "id" : "ITEM-3", "issue" : "23", "issued" : { "date-parts" : [ [ "2007", "12", "1" ] ] }, "page" : "3073-84", "title" : "RECQL5/Recql5 helicase regulates homologous recombination and suppresses tumor formation via disruption of Rad51 presynaptic filaments.", "type" : "article-journal", "volume" : "21" }, "uris" : [ "http://www.mendeley.com/documents/?uuid=569f0011-a132-4c3c-8afd-04e50c78a14c" ] } ], "mendeley" : { "formattedCitation" : "(Schwendener et al. 2010; Islam et al. 2012; Hu et al. 2007)", "plainTextFormattedCitation" : "(Schwendener et al. 2010; Islam et al. 2012; Hu et al. 2007)", "previouslyFormattedCitation" : "(Schwendener et al. 2010; Islam et al. 2012; Hu et al. 2007)"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(Schwendener et al. 2010; Islam et al. 2012; Hu et al. 2007)</w:t>
      </w:r>
      <w:r w:rsidR="00F20EC0" w:rsidRPr="00DF0680">
        <w:rPr>
          <w:rFonts w:cs="Times New Roman"/>
        </w:rPr>
        <w:fldChar w:fldCharType="end"/>
      </w:r>
      <w:r w:rsidRPr="00DF0680">
        <w:rPr>
          <w:rFonts w:cs="Times New Roman"/>
        </w:rPr>
        <w:t xml:space="preserve">. Work </w:t>
      </w:r>
      <w:r w:rsidRPr="00DF0680">
        <w:rPr>
          <w:rFonts w:cs="Times New Roman"/>
          <w:i/>
        </w:rPr>
        <w:t>in vivo</w:t>
      </w:r>
      <w:r w:rsidRPr="00DF0680">
        <w:rPr>
          <w:rFonts w:cs="Times New Roman"/>
        </w:rPr>
        <w:t xml:space="preserve"> has shown that RECQL5 promotes the SDSA pathway, suppressing cross-overs, during DSB induced homologous recombination </w:t>
      </w:r>
      <w:r w:rsidR="00F20EC0" w:rsidRPr="00DF0680">
        <w:rPr>
          <w:rFonts w:cs="Times New Roman"/>
        </w:rPr>
        <w:fldChar w:fldCharType="begin" w:fldLock="1"/>
      </w:r>
      <w:r w:rsidR="00332613" w:rsidRPr="00DF0680">
        <w:rPr>
          <w:rFonts w:cs="Times New Roman"/>
        </w:rPr>
        <w:instrText>ADDIN CSL_CITATION { "citationItems" : [ { "id" : "ITEM-1", "itemData" : { "DOI" : "10.1093/nar/gkt1263", "ISSN" : "1362-4962", "PMID" : "24319145", "abstract" : "Most mitotic homologous recombination (HR) events proceed via a synthesis-dependent strand annealing mechanism to avoid crossing over, which may give rise to chromosomal rearrangements and loss of heterozygosity. The molecular mechanisms controlling HR sub-pathway choice are poorly understood. Here, we show that human RECQ5, a DNA helicase that can disrupt RAD51 nucleoprotein filaments, promotes formation of non-crossover products during DNA double-strand break-induced HR and counteracts the inhibitory effect of RAD51 on RAD52-mediated DNA annealing in vitro and in vivo. Moreover, we demonstrate that RECQ5 deficiency is associated with an increased occupancy of RAD51 at a double-strand break site, and it also causes an elevation of sister chromatid exchanges on inactivation of the Holliday junction dissolution pathway or on induction of a high load of DNA damage in the cell. Collectively, our findings suggest that RECQ5 acts during the post-synaptic phase of synthesis-dependent strand annealing to prevent formation of aberrant RAD51 filaments on the extended invading strand, thus limiting its channeling into potentially hazardous crossover pathway of HR.", "author" : [ { "dropping-particle" : "", "family" : "Paliwal", "given" : "Shreya", "non-dropping-particle" : "", "parse-names" : false, "suffix" : "" }, { "dropping-particle" : "", "family" : "Kanagaraj", "given" : "Radhakrishnan", "non-dropping-particle" : "", "parse-names" : false, "suffix" : "" }, { "dropping-particle" : "", "family" : "Sturzenegger", "given" : "Andreas", "non-dropping-particle" : "", "parse-names" : false, "suffix" : "" }, { "dropping-particle" : "", "family" : "Burdova", "given" : "Kamila", "non-dropping-particle" : "", "parse-names" : false, "suffix" : "" }, { "dropping-particle" : "", "family" : "Janscak", "given" : "Pavel", "non-dropping-particle" : "", "parse-names" : false, "suffix" : "" } ], "container-title" : "Nucleic Acids Research", "id" : "ITEM-1", "issue" : "4", "issued" : { "date-parts" : [ [ "2013", "12", "6" ] ] }, "page" : "2380-90", "title" : "Human RECQ5 helicase promotes repair of DNA double-strand breaks by synthesis-dependent strand annealing.", "type" : "article-journal", "volume" : "42" }, "uris" : [ "http://www.mendeley.com/documents/?uuid=9756a8b4-6ceb-49b9-a51d-9f3ade3d9007" ] } ], "mendeley" : { "formattedCitation" : "(Paliwal et al. 2013)", "plainTextFormattedCitation" : "(Paliwal et al. 2013)", "previouslyFormattedCitation" : "(Paliwal et al. 2013)"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(Paliwal et al. 2013)</w:t>
      </w:r>
      <w:r w:rsidR="00F20EC0" w:rsidRPr="00DF0680">
        <w:rPr>
          <w:rFonts w:cs="Times New Roman"/>
        </w:rPr>
        <w:fldChar w:fldCharType="end"/>
      </w:r>
      <w:r w:rsidRPr="00DF0680">
        <w:rPr>
          <w:rFonts w:cs="Times New Roman"/>
        </w:rPr>
        <w:t xml:space="preserve">. </w:t>
      </w:r>
    </w:p>
    <w:p w:rsidR="00A33519" w:rsidRPr="00DF0680" w:rsidRDefault="00DF0100" w:rsidP="00A025CF">
      <w:pPr>
        <w:rPr>
          <w:rFonts w:cs="Times New Roman"/>
        </w:rPr>
      </w:pPr>
      <w:r w:rsidRPr="00DF0680">
        <w:rPr>
          <w:rFonts w:cs="Times New Roman"/>
        </w:rPr>
        <w:t xml:space="preserve">RECQL5 has functional links with other proteins involved in homologous recombination. </w:t>
      </w:r>
      <w:r w:rsidR="006663BD" w:rsidRPr="00DF0680">
        <w:rPr>
          <w:rFonts w:cs="Times New Roman"/>
        </w:rPr>
        <w:t>RECQL5 binds to and inhibits the exonuclease activity of MRE11 within the MRN complex</w:t>
      </w:r>
      <w:r w:rsidR="00E57AC1"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"10.1093/nar/gkp147", "ISSN" : "1362-4962", "PMID" : "19270065", "abstract" : "RECQ5 DNA helicase suppresses homologous recombination (HR) possibly through disruption of RAD51 filaments. Here, we show that RECQ5 is constitutively associated with the MRE11-RAD50-NBS1 (MRN) complex, a primary sensor of DNA double-strand breaks (DSBs) that promotes DSB repair and regulates DNA damage signaling via activation of the ATM kinase. Experiments with purified proteins indicated that RECQ5 interacts with the MRN complex through both MRE11 and NBS1. Functional assays revealed that RECQ5 specifically inhibited the 3'--&gt;5' exonuclease activity of MRE11, while MRN had no effect on the helicase activity of RECQ5. At the cellular level, we observed that the MRN complex was required for the recruitment of RECQ5 to sites of DNA damage. Accumulation of RECQ5 at DSBs was neither dependent on MDC1 that mediates binding of MRN to DSB-flanking chromatin nor on CtIP that acts in conjunction with MRN to promote resection of DSBs for repair by HR. Collectively, these data suggest that the MRN complex recruits RECQ5 to sites of DNA damage to regulate DNA repair.", "author" : [ { "dropping-particle" : "", "family" : "Zheng", "given" : "Lu", "non-dropping-particle" : "", "parse-names" : false, "suffix" : "" }, { "dropping-particle" : "", "family" : "Kanagaraj", "given" : "Radhakrishnan", "non-dropping-particle" : "", "parse-names" : false, "suffix" : "" }, { "dropping-particle" : "", "family" : "Mihaljevic", "given" : "Boris", "non-dropping-particle" : "", "parse-names" : false, "suffix" : "" }, { "dropping-particle" : "", "family" : "Schwendener", "given" : "Sybille", "non-dropping-particle" : "", "parse-names" : false, "suffix" : "" }, { "dropping-particle" : "", "family" : "Sartori", "given" : "Alessandro a", "non-dropping-particle" : "", "parse-names" : false, "suffix" : "" }, { "dropping-particle" : "", "family" : "Gerrits", "given" : "Bertran", "non-dropping-particle" : "", "parse-names" : false, "suffix" : "" }, { "dropping-particle" : "", "family" : "Shevelev", "given" : "Igor", "non-dropping-particle" : "", "parse-names" : false, "suffix" : "" }, { "dropping-particle" : "", "family" : "Janscak", "given" : "Pavel", "non-dropping-particle" : "", "parse-names" : false, "suffix" : "" } ], "container-title" : "Nucleic Acids Research", "id" : "ITEM-1", "issue" : "8", "issued" : { "date-parts" : [ [ "2009", "5" ] ] }, "page" : "2645-57", "title" : "MRE11 complex links RECQ5 helicase to sites of DNA damage.", "type" : "article-journal", "volume" : "37" }, "uris" : [ "http://www.mendeley.com/documents/?uuid=1d2d60df-0a93-460f-abb4-64ead233ffa9" ] } ], "mendeley" : { "formattedCitation" : "(Zheng et al. 2009)", "plainTextFormattedCitation" : "(Zheng et al. 2009)", "previouslyFormattedCitation" : "(Zheng et al. 2009)"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(Zheng et al. 2009)</w:t>
      </w:r>
      <w:r w:rsidR="00F20EC0" w:rsidRPr="00DF0680">
        <w:rPr>
          <w:rFonts w:cs="Times New Roman"/>
        </w:rPr>
        <w:fldChar w:fldCharType="end"/>
      </w:r>
      <w:r w:rsidR="00A33519" w:rsidRPr="00DF0680">
        <w:rPr>
          <w:rFonts w:cs="Times New Roman"/>
        </w:rPr>
        <w:t xml:space="preserve">. </w:t>
      </w:r>
      <w:r w:rsidR="006663BD" w:rsidRPr="00DF0680">
        <w:rPr>
          <w:rFonts w:cs="Times New Roman"/>
        </w:rPr>
        <w:t xml:space="preserve">The MRN complex is required to bring RECQL5 into sites of DSBs </w:t>
      </w:r>
      <w:r w:rsidR="0005148D" w:rsidRPr="00DF0680">
        <w:rPr>
          <w:rFonts w:cs="Times New Roman"/>
        </w:rPr>
        <w:t xml:space="preserve">induced by IR and long HU exposure. </w:t>
      </w:r>
      <w:r w:rsidR="00A33519" w:rsidRPr="00DF0680">
        <w:rPr>
          <w:rFonts w:cs="Times New Roman"/>
        </w:rPr>
        <w:t>This recruitment does not require MRE11’s exonuclease activity and is independent of the proteins BLM, WRN and ATM</w:t>
      </w:r>
      <w:r w:rsidR="00E57AC1" w:rsidRPr="00DF0680">
        <w:rPr>
          <w:rFonts w:cs="Times New Roman"/>
        </w:rPr>
        <w:t xml:space="preserve"> </w:t>
      </w:r>
      <w:r w:rsidR="00F20EC0" w:rsidRPr="00DF0680">
        <w:rPr>
          <w:rFonts w:cs="Times New Roman"/>
        </w:rPr>
        <w:fldChar w:fldCharType="begin" w:fldLock="1"/>
      </w:r>
      <w:r w:rsidR="00724E72" w:rsidRPr="00DF0680">
        <w:rPr>
          <w:rFonts w:cs="Times New Roman"/>
        </w:rPr>
        <w:instrText>ADDIN CSL_CITATION { "citationItems" : [ { "id" : "ITEM-1", "itemData" : { "DOI" : "10.1016/j.dnarep.2012.05.001", "ISSN" : "1568-7856", "PMID" : "22633600", "abstract" : "RECQL5 is one of the five human RecQ helicases, involved in the maintenance of genomic integrity. While much insight has been gained into the function of the Werner (WRN) and Bloom syndrome proteins (BLM), little is known about RECQL5. We have analyzed the recruitment and retention dynamics of RECQL5 at laser-induced DNA double strand breaks (DSBs) relative to other human RecQ helicases. RECQL5-depleted cells accumulate persistent 53BP1 foci followed by \u03b3-irradiation, indicating a potential role of RECQL5 in the processing of DSBs. Real time imaging of live cells using confocal laser microscopy shows that RECQL5 is recruited early to laser-induced DSBs and remains for a shorter duration than BLM and WRN, but persist longer than RECQL4. These studies illustrate the differential involvement of RecQ helicases in the DSB repair process. Mapping of domains within RECQL5 that are necessary for recruitment to DSBs revealed that both the helicase and KIX domains are required for DNA damage recognition and stable association of RECQL5 to the DSB sites. Previous studies have shown that MRE11 is essential for the recruitment of RECQL5 to the DSB sites. Here we show that the recruitment of RECQL5 does not depend on the exonuclease activity of MRE11 or on active transcription by RNA polymerase II, one of the prominent interacting partners of RECQL5. Also, the recruitment of RECQL5 to laser-induced damage sites is independent of the presence of other DNA damage signaling and repair proteins BLM, WRN and ATM.", "author" : [ { "dropping-particle" : "", "family" : "Popuri", "given" : "Venkateswarlu", "non-dropping-particle" : "", "parse-names" : false, "suffix" : "" }, { "dropping-particle" : "", "family" : "Ramamoorthy", "given" : "Mahesh", "non-dropping-particle" : "", "parse-names" : false, "suffix" : "" }, { "dropping-particle" : "", "family" : "Tadokoro", "given" : "Takashi", "non-dropping-particle" : "", "parse-names" : false, "suffix" : "" }, { "dropping-particle" : "", "family" : "Singh", "given" : "Dharmendra Kumar", "non-dropping-particle" : "", "parse-names" : false, "suffix" : "" }, { "dropping-particle" : "", "family" : "Karmakar", "given" : "Parimal", "non-dropping-particle" : "", "parse-names" : false, "suffix" : "" }, { "dropping-particle" : "", "family" : "Croteau", "given" : "Deborah L", "non-dropping-particle" : "", "parse-names" : false, "suffix" : "" }, { "dropping-particle" : "", "family" : "Bohr", "given" : "Vilhelm a", "non-dropping-particle" : "", "parse-names" : false, "suffix" : "" } ], "container-title" : "DNA Repair", "id" : "ITEM-1", "issue" : "7", "issued" : { "date-parts" : [ [ "2012", "7", "1" ] ] }, "page" : "624-35", "publisher" : "Elsevier B.V.", "title" : "Recruitment and retention dynamics of RECQL5 at DNA double strand break sites.", "type" : "article-journal", "volume" : "11" }, "uris" : [ "http://www.mendeley.com/documents/?uuid=e77c3c40-dad5-440c-a1b9-2f425259d77c" ] } ], "mendeley" : { "formattedCitation" : "(Popuri et al. 2012b)", "plainTextFormattedCitation" : "(Popuri et al. 2012b)", "previouslyFormattedCitation" : "(Popuri et al. 2012b)" }, "properties" : { "noteIndex" : 0 }, "schema" : "https://github.com/citation-style-language/schema/raw/master/csl-citation.json" }</w:instrText>
      </w:r>
      <w:r w:rsidR="00F20EC0" w:rsidRPr="00DF0680">
        <w:rPr>
          <w:rFonts w:cs="Times New Roman"/>
        </w:rPr>
        <w:fldChar w:fldCharType="separate"/>
      </w:r>
      <w:r w:rsidR="00EA1B48" w:rsidRPr="00DF0680">
        <w:rPr>
          <w:rFonts w:cs="Times New Roman"/>
        </w:rPr>
        <w:t>(Popuri et al. 2012b)</w:t>
      </w:r>
      <w:r w:rsidR="00F20EC0" w:rsidRPr="00DF0680">
        <w:rPr>
          <w:rFonts w:cs="Times New Roman"/>
        </w:rPr>
        <w:fldChar w:fldCharType="end"/>
      </w:r>
      <w:r w:rsidR="00A33519" w:rsidRPr="00DF0680">
        <w:rPr>
          <w:rFonts w:cs="Times New Roman"/>
        </w:rPr>
        <w:t xml:space="preserve">. </w:t>
      </w:r>
      <w:r w:rsidR="006663BD" w:rsidRPr="00DF0680">
        <w:rPr>
          <w:rFonts w:cs="Times New Roman"/>
        </w:rPr>
        <w:t>The M</w:t>
      </w:r>
      <w:r w:rsidR="00A33519" w:rsidRPr="00DF0680">
        <w:rPr>
          <w:rFonts w:cs="Times New Roman"/>
        </w:rPr>
        <w:t>RN complex and RECQL5 co-loca</w:t>
      </w:r>
      <w:r w:rsidR="006663BD" w:rsidRPr="00DF0680">
        <w:rPr>
          <w:rFonts w:cs="Times New Roman"/>
        </w:rPr>
        <w:t>lize at sites of DNA damage, and</w:t>
      </w:r>
      <w:r w:rsidR="00A33519" w:rsidRPr="00DF0680">
        <w:rPr>
          <w:rFonts w:cs="Times New Roman"/>
        </w:rPr>
        <w:t xml:space="preserve"> when MRE11 is depleted by shRNA, the RECQL5 foci formed after HU treatment are completely abolished</w:t>
      </w:r>
      <w:r w:rsidR="00E57AC1"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"10.1093/nar/gkp147", "ISSN" : "1362-4962", "PMID" : "19270065", "abstract" : "RECQ5 DNA helicase suppresses homologous recombination (HR) possibly through disruption of RAD51 filaments. Here, we show that RECQ5 is constitutively associated with the MRE11-RAD50-NBS1 (MRN) complex, a primary sensor of DNA double-strand breaks (DSBs) that promotes DSB repair and regulates DNA damage signaling via activation of the ATM kinase. Experiments with purified proteins indicated that RECQ5 interacts with the MRN complex through both MRE11 and NBS1. Functional assays revealed that RECQ5 specifically inhibited the 3'--&gt;5' exonuclease activity of MRE11, while MRN had no effect on the helicase activity of RECQ5. At the cellular level, we observed that the MRN complex was required for the recruitment of RECQ5 to sites of DNA damage. Accumulation of RECQ5 at DSBs was neither dependent on MDC1 that mediates binding of MRN to DSB-flanking chromatin nor on CtIP that acts in conjunction with MRN to promote resection of DSBs for repair by HR. Collectively, these data suggest that the MRN complex recruits RECQ5 to sites of DNA damage to regulate DNA repair.", "author" : [ { "dropping-particle" : "", "family" : "Zheng", "given" : "Lu", "non-dropping-particle" : "", "parse-names" : false, "suffix" : "" }, { "dropping-particle" : "", "family" : "Kanagaraj", "given" : "Radhakrishnan", "non-dropping-particle" : "", "parse-names" : false, "suffix" : "" }, { "dropping-particle" : "", "family" : "Mihaljevic", "given" : "Boris", "non-dropping-particle" : "", "parse-names" : false, "suffix" : "" }, { "dropping-particle" : "", "family" : "Schwendener", "given" : "Sybille", "non-dropping-particle" : "", "parse-names" : false, "suffix" : "" }, { "dropping-particle" : "", "family" : "Sartori", "given" : "Alessandro a", "non-dropping-particle" : "", "parse-names" : false, "suffix" : "" }, { "dropping-particle" : "", "family" : "Gerrits", "given" : "Bertran", "non-dropping-particle" : "", "parse-names" : false, "suffix" : "" }, { "dropping-particle" : "", "family" : "Shevelev", "given" : "Igor", "non-dropping-particle" : "", "parse-names" : false, "suffix" : "" }, { "dropping-particle" : "", "family" : "Janscak", "given" : "Pavel", "non-dropping-particle" : "", "parse-names" : false, "suffix" : "" } ], "container-title" : "Nucleic Acids Research", "id" : "ITEM-1", "issue" : "8", "issued" : { "date-parts" : [ [ "2009", "5" ] ] }, "page" : "2645-57", "title" : "MRE11 complex links RECQ5 helicase to sites of DNA damage.", "type" : "article-journal", "volume" : "37" }, "uris" : [ "http://www.mendeley.com/documents/?uuid=1d2d60df-0a93-460f-abb4-64ead233ffa9" ] } ], "mendeley" : { "formattedCitation" : "(Zheng et al. 2009)", "plainTextFormattedCitation" : "(Zheng et al. 2009)", "previouslyFormattedCitation" : "(Zheng et al. 2009)"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(Zheng et al. 2009)</w:t>
      </w:r>
      <w:r w:rsidR="00F20EC0" w:rsidRPr="00DF0680">
        <w:rPr>
          <w:rFonts w:cs="Times New Roman"/>
        </w:rPr>
        <w:fldChar w:fldCharType="end"/>
      </w:r>
      <w:r w:rsidR="00A33519" w:rsidRPr="00DF0680">
        <w:rPr>
          <w:rFonts w:cs="Times New Roman"/>
        </w:rPr>
        <w:t xml:space="preserve">. </w:t>
      </w:r>
      <w:r w:rsidR="00A26532" w:rsidRPr="00DF0680">
        <w:rPr>
          <w:rFonts w:cs="Times New Roman"/>
        </w:rPr>
        <w:t>It may be that RECQL5 is brought into these sites of DNA damage to promote SDSA.</w:t>
      </w:r>
    </w:p>
    <w:p w:rsidR="007E35FF" w:rsidRPr="00DF0680" w:rsidRDefault="00A33519" w:rsidP="00A025CF">
      <w:pPr>
        <w:rPr>
          <w:rFonts w:cs="Times New Roman"/>
        </w:rPr>
      </w:pPr>
      <w:r w:rsidRPr="00DF0680">
        <w:rPr>
          <w:rFonts w:cs="Times New Roman"/>
        </w:rPr>
        <w:t>Another protein that has been shown to bind to RECQL5 is flap endonuclease 1 (FEN1). This protein is a 5’ to 3’ exonuclease and acts at nicks in duplex DNA. FEN1 is responsible for removing the RNA primers of the Okazaki fragments on the lagging strand during the replication process and has also been implicated in long patch base excision repair</w:t>
      </w:r>
      <w:r w:rsidR="00D7660B"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"10.1093/emboj/16.11.3341", "ISSN" : "0261-4189", "PMID" : "9214649", "abstract" : "Two forms of DNA base excision-repair (BER) have been observed: a 'short-patch' BER pathway involving replacement of one nucleotide and a 'long-patch' BER pathway with gap-filling of several nucleotides. The latter mode of repair has been investigated using human cell-free extracts or purified proteins. Correction of a regular abasic site in DNA mainly involves incorporation of a single nucleotide, whereas repair patches of two to six nucleotides in length were found after repair of a reduced or oxidized abasic site. Human AP endonuclease, DNA polymerase beta and a DNA ligase (either III or I) were sufficient for the repair of a regular AP site. In contrast, the structure-specific nuclease DNase IV (FEN1) was essential for repair of a reduced AP site, which occurred through the long-patch BER pathway. DNase IV was required for cleavage of a reaction intermediate generated by template strand displacement during gap-filling. XPG, a related nuclease, could not substitute for DNase IV. The long-patch BER pathway was largely dependent on DNA polymerase beta in cell extracts, but the reaction could be reconstituted with either DNA polymerase beta or delta. Efficient repair of gamma-ray-induced oxidized AP sites in plasmid DNA also required DNase IV. PCNA could promote the Pol beta-dependent long-patch pathway by stimulation of DNase IV.", "author" : [ { "dropping-particle" : "", "family" : "Klungland", "given" : "a", "non-dropping-particle" : "", "parse-names" : false, "suffix" : "" }, { "dropping-particle" : "", "family" : "Lindahl", "given" : "T", "non-dropping-particle" : "", "parse-names" : false, "suffix" : "" } ], "container-title" : "The EMBO Journal", "id" : "ITEM-1", "issue" : "11", "issued" : { "date-parts" : [ [ "1997", "6", "2" ] ] }, "page" : "3341-8", "title" : "Second pathway for completion of human DNA base excision-repair: reconstitution with purified proteins and requirement for DNase IV (FEN1).", "type" : "article-journal", "volume" : "16" }, "uris" : [ "http://www.mendeley.com/documents/?uuid=d2345d4a-7687-410b-9f3e-8228eb2757fc" ] }, { "id" : "ITEM-2", "itemData" : { "DOI" : "10.1074/jbc.270.38.22109", "ISSN" : "0021-9258", "author" : [ { "dropping-particle" : "", "family" : "Li", "given" : "X.", "non-dropping-particle" : "", "parse-names" : false, "suffix" : "" }, { "dropping-particle" : "", "family" : "Li", "given" : "J.", "non-dropping-particle" : "", "parse-names" : false, "suffix" : "" }, { "dropping-particle" : "", "family" : "Harrington", "given" : "J.", "non-dropping-particle" : "", "parse-names" : false, "suffix" : "" }, { "dropping-particle" : "", "family" : "Lieber", "given" : "M. R.", "non-dropping-particle" : "", "parse-names" : false, "suffix" : "" }, { "dropping-particle" : "", "family" : "Burgers", "given" : "P. M. J.", "non-dropping-particle" : "", "parse-names" : false, "suffix" : "" } ], "container-title" : "Journal of Biological Chemistry", "id" : "ITEM-2", "issue" : "38", "issued" : { "date-parts" : [ [ "1995", "9", "22" ] ] }, "page" : "22109-22112", "title" : "Lagging Strand DNA Synthesis at the Eukaryotic Replication Fork Involves Binding and Stimulation of FEN-1 by Proliferating Cell Nuclear Antigen", "type" : "article-journal", "volume" : "270" }, "uris" : [ "http://www.mendeley.com/documents/?uuid=9f471e98-0e02-4681-a2cd-aeb54752edf3" ] } ], "mendeley" : { "formattedCitation" : "(Klungland &amp; Lindahl 1997; Li et al. 1995)", "plainTextFormattedCitation" : "(Klungland &amp; Lindahl 1997; Li et al. 1995)", "previouslyFormattedCitation" : "(Klungland &amp; Lindahl 1997; Li et al. 1995)"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(Klungland &amp; Lindahl 1997; Li et al. 1995)</w:t>
      </w:r>
      <w:r w:rsidR="00F20EC0" w:rsidRPr="00DF0680">
        <w:rPr>
          <w:rFonts w:cs="Times New Roman"/>
        </w:rPr>
        <w:fldChar w:fldCharType="end"/>
      </w:r>
      <w:r w:rsidRPr="00DF0680">
        <w:rPr>
          <w:rFonts w:cs="Times New Roman"/>
        </w:rPr>
        <w:t xml:space="preserve">. Using a flap DNA substrate susceptible to cleavage by FEN1, Speina </w:t>
      </w:r>
      <w:r w:rsidRPr="00DF0680">
        <w:rPr>
          <w:rFonts w:cs="Times New Roman"/>
          <w:i/>
        </w:rPr>
        <w:t>et al.</w:t>
      </w:r>
      <w:r w:rsidRPr="00DF0680">
        <w:rPr>
          <w:rFonts w:cs="Times New Roman"/>
        </w:rPr>
        <w:t xml:space="preserve"> showed that RECQL5 can</w:t>
      </w:r>
      <w:r w:rsidR="007E35FF" w:rsidRPr="00DF0680">
        <w:rPr>
          <w:rFonts w:cs="Times New Roman"/>
        </w:rPr>
        <w:t xml:space="preserve"> bind to and</w:t>
      </w:r>
      <w:r w:rsidRPr="00DF0680">
        <w:rPr>
          <w:rFonts w:cs="Times New Roman"/>
        </w:rPr>
        <w:t xml:space="preserve"> stimulate FEN1’s exonuclease activity</w:t>
      </w:r>
      <w:r w:rsidR="007E35FF"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"10.1093/nar/gkp1217", "ISSN" : "1362-4962", "PMID" : "20081208", "abstract" : "Human RECQL5 is a member of the RecQ helicase family which is implicated in genome maintenance. Five human members of the family have been identified; three of them, BLM, WRN and RECQL4 are associated with elevated cancer risk. RECQL1 and RECQL5 have not been linked to any human disorder yet; cells devoid of RECQL1 and RECQL5 display increased chromosomal instability. Here, we report the physical and functional interaction of the large isomer of RECQL5, RECQL5beta, with the human flap endonuclease 1, FEN1, which plays a critical role in DNA replication, recombination and repair. RECQL5beta dramatically stimulates the rate of FEN1 cleavage of flap DNA substrates. Moreover, we show that RECQL5beta and FEN1 interact physically and co-localize in the nucleus in response to DNA damage. Our findings, together with the previous literature on WRN, BLM and RECQL4's stimulation of FEN1, suggests that the ability of RecQ helicases to stimulate FEN1 may be a general feature of this class of enzymes. This could indicate a common role for the RecQ helicases in the processing of oxidative DNA damage.", "author" : [ { "dropping-particle" : "", "family" : "Speina", "given" : "Elzbieta", "non-dropping-particle" : "", "parse-names" : false, "suffix" : "" }, { "dropping-particle" : "", "family" : "Dawut", "given" : "Lale", "non-dropping-particle" : "", "parse-names" : false, "suffix" : "" }, { "dropping-particle" : "", "family" : "Hedayati", "given" : "Mohammad", "non-dropping-particle" : "", "parse-names" : false, "suffix" : "" }, { "dropping-particle" : "", "family" : "Wang", "given" : "Zhengming", "non-dropping-particle" : "", "parse-names" : false, "suffix" : "" }, { "dropping-particle" : "", "family" : "May", "given" : "Alfred", "non-dropping-particle" : "", "parse-names" : false, "suffix" : "" }, { "dropping-particle" : "", "family" : "Schwendener", "given" : "Sybille", "non-dropping-particle" : "", "parse-names" : false, "suffix" : "" }, { "dropping-particle" : "", "family" : "Janscak", "given" : "Pavel", "non-dropping-particle" : "", "parse-names" : false, "suffix" : "" }, { "dropping-particle" : "", "family" : "Croteau", "given" : "Deborah L", "non-dropping-particle" : "", "parse-names" : false, "suffix" : "" }, { "dropping-particle" : "", "family" : "Bohr", "given" : "Vilhelm a", "non-dropping-particle" : "", "parse-names" : false, "suffix" : "" } ], "container-title" : "Nucleic Acids Research", "id" : "ITEM-1", "issue" : "9", "issued" : { "date-parts" : [ [ "2010", "5" ] ] }, "page" : "2904-16", "title" : "Human RECQL5beta stimulates flap endonuclease 1.", "type" : "article-journal", "volume" : "38" }, "uris" : [ "http://www.mendeley.com/documents/?uuid=073adcf6-eba5-495f-a7e8-01fc7a55ad79" ] } ], "mendeley" : { "formattedCitation" : "(Speina et al. 2010)", "plainTextFormattedCitation" : "(Speina et al. 2010)", "previouslyFormattedCitation" : "(Speina et al. 2010)"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(Speina et al. 2010)</w:t>
      </w:r>
      <w:r w:rsidR="00F20EC0" w:rsidRPr="00DF0680">
        <w:rPr>
          <w:rFonts w:cs="Times New Roman"/>
        </w:rPr>
        <w:fldChar w:fldCharType="end"/>
      </w:r>
      <w:r w:rsidRPr="00DF0680">
        <w:rPr>
          <w:rFonts w:cs="Times New Roman"/>
        </w:rPr>
        <w:t xml:space="preserve">. Other members of the RecQ helicase family (BLM, WRN and RECQL4) have also been shown to have the same </w:t>
      </w:r>
      <w:r w:rsidR="007E35FF" w:rsidRPr="00DF0680">
        <w:rPr>
          <w:rFonts w:cs="Times New Roman"/>
        </w:rPr>
        <w:t>binding and stimulating activity</w:t>
      </w:r>
      <w:r w:rsidR="00E57AC1" w:rsidRPr="00DF0680">
        <w:rPr>
          <w:rFonts w:cs="Times New Roman"/>
        </w:rPr>
        <w:t xml:space="preserve"> </w:t>
      </w:r>
      <w:r w:rsidR="00F20EC0" w:rsidRPr="00DF0680">
        <w:rPr>
          <w:rFonts w:cs="Times New Roman"/>
        </w:rPr>
        <w:fldChar w:fldCharType="begin" w:fldLock="1"/>
      </w:r>
      <w:r w:rsidR="00724E72" w:rsidRPr="00DF0680">
        <w:rPr>
          <w:rFonts w:cs="Times New Roman"/>
        </w:rPr>
        <w:instrText>ADDIN CSL_CITATION { "citationItems" : [ { "id" : "ITEM-1", "itemData" : { "DOI" : "10.1093/hmg/ddp291", "ISSN" : "1460-2083", "PMID" : "19567405", "abstract" : "RECQL4 is a human RecQ helicase which is mutated in approximately two-thirds of individuals with Rothmund-Thomson syndrome (RTS), a disease characterized at the cellular level by chromosomal instability. BLM and WRN are also human RecQ helicases, which are mutated in Bloom and Werner's syndrome, respectively, and associated with chromosomal instability as well as premature aging. Here we show that primary RTS and RECQL4 siRNA knockdown human fibroblasts accumulate more H(2)O(2)-induced DNA strand breaks than control cells, suggesting that RECQL4 may stimulate repair of H(2)O(2)-induced DNA damage. RTS primary fibroblasts also accumulate more XRCC1 foci than control cells in response to endogenous or induced oxidative stress and have a high basal level of endogenous formamidopyrimidines. In cells treated with H(2)O(2), RECQL4 co-localizes with APE1, and FEN1, key participants in base excision repair. Biochemical experiments indicate that RECQL4 specifically stimulates the apurinic endonuclease activity of APE1, the DNA strand displacement activity of DNA polymerase beta, and incision of a 1- or 10-nucleotide flap DNA substrate by Flap Endonuclease I. Additionally, RTS cells display an upregulation of BER pathway genes and fail to respond like normal cells to oxidative stress. The data herein support a model in which RECQL4 regulates both directly and indirectly base excision repair capacity.", "author" : [ { "dropping-particle" : "", "family" : "Schurman", "given" : "Shepherd H", "non-dropping-particle" : "", "parse-names" : false, "suffix" : "" }, { "dropping-particle" : "", "family" : "Hedayati", "given" : "Mohammad", "non-dropping-particle" : "", "parse-names" : false, "suffix" : "" }, { "dropping-particle" : "", "family" : "Wang", "given" : "ZhengMing", "non-dropping-particle" : "", "parse-names" : false, "suffix" : "" }, { "dropping-particle" : "", "family" : "Singh", "given" : "Dharmendra K", "non-dropping-particle" : "", "parse-names" : false, "suffix" : "" }, { "dropping-particle" : "", "family" : "Speina", "given" : "Elzbieta", "non-dropping-particle" : "", "parse-names" : false, "suffix" : "" }, { "dropping-particle" : "", "family" : "Zhang", "given" : "Yongqing", "non-dropping-particle" : "", "parse-names" : false, "suffix" : "" }, { "dropping-particle" : "", "family" : "Becker", "given" : "Kevin", "non-dropping-particle" : "", "parse-names" : false, "suffix" : "" }, { "dropping-particle" : "", "family" : "Macris", "given" : "Margaret", "non-dropping-particle" : "", "parse-names" : false, "suffix" : "" }, { "dropping-particle" : "", "family" : "Sung", "given" : "Patrick", "non-dropping-particle" : "", "parse-names" : false, "suffix" : "" }, { "dropping-particle" : "", "family" : "Wilson", "given" : "David M", "non-dropping-particle" : "", "parse-names" : false, "suffix" : "" }, { "dropping-particle" : "", "family" : "Croteau", "given" : "Deborah L", "non-dropping-particle" : "", "parse-names" : false, "suffix" : "" }, { "dropping-particle" : "", "family" : "Bohr", "given" : "Vilhelm a", "non-dropping-particle" : "", "parse-names" : false, "suffix" : "" } ], "container-title" : "Human Molecular Genetics", "id" : "ITEM-1", "issue" : "18", "issued" : { "date-parts" : [ [ "2009", "9", "15" ] ] }, "page" : "3470-83", "title" : "Direct and indirect roles of RECQL4 in modulating base excision repair capacity.", "type" : "article-journal", "volume" : "18" }, "uris" : [ "http://www.mendeley.com/documents/?uuid=59d3e1cb-fd04-4a6b-bc30-83c96d246c12" ] }, { "id" : "ITEM-2", "itemData" : { "author" : [ { "dropping-particle" : "", "family" : "Brosh", "given" : "Robert M", "non-dropping-particle" : "", "parse-names" : false, "suffix" : "" }, { "dropping-particle" : "Von", "family" : "Kobbe", "given" : "Cayetano", "non-dropping-particle" : "", "parse-names" : false, "suffix" : "" }, { "dropping-particle" : "", "family" : "Sommers", "given" : "Joshua A", "non-dropping-particle" : "", "parse-names" : false, "suffix" : "" }, { "dropping-particle" : "", "family" : "Karmakar", "given" : "Parimal", "non-dropping-particle" : "", "parse-names" : false, "suffix" : "" }, { "dropping-particle" : "", "family" : "Opresko", "given" : "Patricia L", "non-dropping-particle" : "", "parse-names" : false, "suffix" : "" }, { "dropping-particle" : "", "family" : "Piotrowski", "given" : "Jason", "non-dropping-particle" : "", "parse-names" : false, "suffix" : "" }, { "dropping-particle" : "", "family" : "Dianova", "given" : "Irina", "non-dropping-particle" : "", "parse-names" : false, "suffix" : "" }, { "dropping-particle" : "", "family" : "Dianov", "given" : "Grigory L", "non-dropping-particle" : "", "parse-names" : false, "suffix" : "" }, { "dropping-particle" : "", "family" : "Bohr", "given" : "Vilhelm A", "non-dropping-particle" : "", "parse-names" : false, "suffix" : "" } ], "container-title" : "The EMBO Journal", "id" : "ITEM-2", "issue" : "20", "issued" : { "date-parts" : [ [ "2001" ] ] }, "page" : "5791-5801", "title" : "Werner syndrome protein interacts with human flap endonuclease 1 and stimulates its cleavage activity", "type" : "article-journal", "volume" : "20" }, "uris" : [ "http://www.mendeley.com/documents/?uuid=4a2d1010-ee35-4a73-a3ce-1b6428ea2bf1" ] }, { "id" : "ITEM-3", "itemData" : { "DOI" : "10.1074/jbc.M309898200", "ISSN" : "0021-9258", "PMID" : "14688284", "abstract" : "Bloom's syndrome (BS) is a rare autosomal recessive genetic disorder associated with genomic instability and an elevated risk of cancer. Cellular features of BS include an accumulation of abnormal replication intermediates and increased sister chromatid exchange. Although it has been suggested that the underlying defect responsible for hyper-recombination in BS cells is a temporal delay in the maturation of DNA replication intermediates, the precise role of the BS gene product, BLM, in DNA metabolism remains elusive. We report here a novel interaction of the BLM protein with the human 5'-flap endonuclease/5'-3' exonuclease (FEN-1), a genome stability factor involved in Okazaki fragment processing and DNA repair. BLM protein stimulates both the endonucleolytic and exonucleolytic cleavage activity of FEN-1 and this functional interaction is independent of BLM catalytic activity. BLM and FEN-1 are associated with each other in human nuclei as shown by their reciprocal co-immunoprecipitation from HeLa nuclear extracts. The BLM-FEN-1 physical interaction is mediated through a region of the BLM C-terminal domain that shares homology with the FEN-1 interaction domain of the Werner syndrome protein, a RecQ helicase family member homologous to BLM. This study provides the first evidence for a direct interaction of BLM with a human nucleolytic enzyme. We suggest that functional interactions between RecQ helicases and Rad2 family nucleases serve to process DNA substrates that are intermediates in DNA replication and repair.", "author" : [ { "dropping-particle" : "", "family" : "Sharma", "given" : "Sudha", "non-dropping-particle" : "", "parse-names" : false, "suffix" : "" }, { "dropping-particle" : "", "family" : "Sommers", "given" : "Joshua a", "non-dropping-particle" : "", "parse-names" : false, "suffix" : "" }, { "dropping-particle" : "", "family" : "Wu", "given" : "Leonard", "non-dropping-particle" : "", "parse-names" : false, "suffix" : "" }, { "dropping-particle" : "", "family" : "Bohr", "given" : "Vilhelm a", "non-dropping-particle" : "", "parse-names" : false, "suffix" : "" }, { "dropping-particle" : "", "family" : "Hickson", "given" : "Ian D", "non-dropping-particle" : "", "parse-names" : false, "suffix" : "" }, { "dropping-particle" : "", "family" : "Brosh", "given" : "Robert M", "non-dropping-particle" : "", "parse-names" : false, "suffix" : "" } ], "container-title" : "The Journal of Biological Chemistry", "id" : "ITEM-3", "issue" : "11", "issued" : { "date-parts" : [ [ "2004", "3", "12" ] ] }, "page" : "9847-56", "title" : "Stimulation of flap endonuclease-1 by the Bloom's syndrome protein.", "type" : "article-journal", "volume" : "279" }, "uris" : [ "http://www.mendeley.com/documents/?uuid=12af39cc-1472-4ffb-b476-c0105f853333" ] } ], "mendeley" : { "formattedCitation" : "(Schurman et al. 2009; Brosh et al. 2001; Sharma et al. 2004b)", "plainTextFormattedCitation" : "(Schurman et al. 2009; Brosh et al. 2001; Sharma et al. 2004b)", "previouslyFormattedCitation" : "(Schurman et al. 2009; Brosh et al. 2001; Sharma et al. 2004b)" }, "properties" : { "noteIndex" : 0 }, "schema" : "https://github.com/citation-style-language/schema/raw/master/csl-citation.json" }</w:instrText>
      </w:r>
      <w:r w:rsidR="00F20EC0" w:rsidRPr="00DF0680">
        <w:rPr>
          <w:rFonts w:cs="Times New Roman"/>
        </w:rPr>
        <w:fldChar w:fldCharType="separate"/>
      </w:r>
      <w:r w:rsidR="00EA1B48" w:rsidRPr="00DF0680">
        <w:rPr>
          <w:rFonts w:cs="Times New Roman"/>
        </w:rPr>
        <w:t>(Schurman et al. 2009; Brosh et al. 2001; Sharma et al. 2004b)</w:t>
      </w:r>
      <w:r w:rsidR="00F20EC0" w:rsidRPr="00DF0680">
        <w:rPr>
          <w:rFonts w:cs="Times New Roman"/>
        </w:rPr>
        <w:fldChar w:fldCharType="end"/>
      </w:r>
      <w:r w:rsidRPr="00DF0680">
        <w:rPr>
          <w:rFonts w:cs="Times New Roman"/>
        </w:rPr>
        <w:t xml:space="preserve">. </w:t>
      </w:r>
      <w:r w:rsidR="00D50E63" w:rsidRPr="00DF0680">
        <w:rPr>
          <w:rFonts w:cs="Times New Roman"/>
        </w:rPr>
        <w:t xml:space="preserve">With the involvement of the RECQ helicases in replication, it may indicate a role for processing Okazaki fragments. </w:t>
      </w:r>
      <w:r w:rsidRPr="00DF0680">
        <w:rPr>
          <w:rFonts w:cs="Times New Roman"/>
        </w:rPr>
        <w:t>Confocal microsco</w:t>
      </w:r>
      <w:r w:rsidR="00D50E63" w:rsidRPr="00DF0680">
        <w:rPr>
          <w:rFonts w:cs="Times New Roman"/>
        </w:rPr>
        <w:t>py shows</w:t>
      </w:r>
      <w:r w:rsidRPr="00DF0680">
        <w:rPr>
          <w:rFonts w:cs="Times New Roman"/>
        </w:rPr>
        <w:t xml:space="preserve"> FLAG-RECQL5-MYC co</w:t>
      </w:r>
      <w:r w:rsidR="00DF0100" w:rsidRPr="00DF0680">
        <w:rPr>
          <w:rFonts w:cs="Times New Roman"/>
        </w:rPr>
        <w:t>-</w:t>
      </w:r>
      <w:r w:rsidRPr="00DF0680">
        <w:rPr>
          <w:rFonts w:cs="Times New Roman"/>
        </w:rPr>
        <w:t xml:space="preserve">localizing with FEN1 before and after </w:t>
      </w:r>
      <w:r w:rsidR="00D50E63" w:rsidRPr="00DF0680">
        <w:rPr>
          <w:rFonts w:cs="Times New Roman"/>
        </w:rPr>
        <w:t>H</w:t>
      </w:r>
      <w:r w:rsidR="00D50E63" w:rsidRPr="00DF0680">
        <w:rPr>
          <w:rFonts w:cs="Times New Roman"/>
          <w:vertAlign w:val="subscript"/>
        </w:rPr>
        <w:t>2</w:t>
      </w:r>
      <w:r w:rsidR="00D50E63" w:rsidRPr="00DF0680">
        <w:rPr>
          <w:rFonts w:cs="Times New Roman"/>
        </w:rPr>
        <w:t>O</w:t>
      </w:r>
      <w:r w:rsidR="00D50E63" w:rsidRPr="00DF0680">
        <w:rPr>
          <w:rFonts w:cs="Times New Roman"/>
          <w:vertAlign w:val="subscript"/>
        </w:rPr>
        <w:t>2</w:t>
      </w:r>
      <w:r w:rsidR="00D50E63" w:rsidRPr="00DF0680">
        <w:rPr>
          <w:rFonts w:cs="Times New Roman"/>
        </w:rPr>
        <w:t xml:space="preserve">-induced </w:t>
      </w:r>
      <w:r w:rsidRPr="00DF0680">
        <w:rPr>
          <w:rFonts w:cs="Times New Roman"/>
        </w:rPr>
        <w:t>DNA damage</w:t>
      </w:r>
      <w:r w:rsidR="00D50E63" w:rsidRPr="00DF0680">
        <w:rPr>
          <w:rFonts w:cs="Times New Roman"/>
        </w:rPr>
        <w:t xml:space="preserve"> and this could point to a role for RECQL5 and FEN1 in BER.</w:t>
      </w:r>
    </w:p>
    <w:p w:rsidR="00A33519" w:rsidRPr="00DF0680" w:rsidRDefault="00A33519" w:rsidP="00A025CF">
      <w:pPr>
        <w:rPr>
          <w:rFonts w:cs="Times New Roman"/>
        </w:rPr>
      </w:pPr>
      <w:r w:rsidRPr="00DF0680">
        <w:rPr>
          <w:rFonts w:cs="Times New Roman"/>
        </w:rPr>
        <w:lastRenderedPageBreak/>
        <w:t xml:space="preserve">RECQL5 has also been shown to have a role </w:t>
      </w:r>
      <w:r w:rsidR="00D7660B" w:rsidRPr="00DF0680">
        <w:rPr>
          <w:rFonts w:cs="Times New Roman"/>
        </w:rPr>
        <w:t xml:space="preserve">in </w:t>
      </w:r>
      <w:r w:rsidR="00103036" w:rsidRPr="00DF0680">
        <w:rPr>
          <w:rFonts w:cs="Times New Roman"/>
        </w:rPr>
        <w:t xml:space="preserve">protecting the cell from </w:t>
      </w:r>
      <w:r w:rsidR="007E35FF" w:rsidRPr="00DF0680">
        <w:rPr>
          <w:rFonts w:cs="Times New Roman"/>
        </w:rPr>
        <w:t xml:space="preserve">replication </w:t>
      </w:r>
      <w:r w:rsidRPr="00DF0680">
        <w:rPr>
          <w:rFonts w:cs="Times New Roman"/>
        </w:rPr>
        <w:t xml:space="preserve">stress. The work done by Blundred </w:t>
      </w:r>
      <w:r w:rsidRPr="00DF0680">
        <w:rPr>
          <w:rFonts w:cs="Times New Roman"/>
          <w:i/>
        </w:rPr>
        <w:t>et al</w:t>
      </w:r>
      <w:r w:rsidRPr="00DF0680">
        <w:rPr>
          <w:rFonts w:cs="Times New Roman"/>
        </w:rPr>
        <w:t xml:space="preserve">. (2010) shows that RECQL5 </w:t>
      </w:r>
      <w:r w:rsidR="00D7660B" w:rsidRPr="00DF0680">
        <w:rPr>
          <w:rFonts w:cs="Times New Roman"/>
        </w:rPr>
        <w:t>forms foci during G1/S which increase in number in replication stress caused by camptothecin, hydroxyurea and thymidine, and over-expressing the helicase</w:t>
      </w:r>
      <w:r w:rsidRPr="00DF0680">
        <w:rPr>
          <w:rFonts w:cs="Times New Roman"/>
        </w:rPr>
        <w:t xml:space="preserve"> </w:t>
      </w:r>
      <w:r w:rsidR="007E35FF" w:rsidRPr="00DF0680">
        <w:rPr>
          <w:rFonts w:cs="Times New Roman"/>
        </w:rPr>
        <w:t>provide</w:t>
      </w:r>
      <w:r w:rsidR="00D7660B" w:rsidRPr="00DF0680">
        <w:rPr>
          <w:rFonts w:cs="Times New Roman"/>
        </w:rPr>
        <w:t>s</w:t>
      </w:r>
      <w:r w:rsidR="007E35FF" w:rsidRPr="00DF0680">
        <w:rPr>
          <w:rFonts w:cs="Times New Roman"/>
        </w:rPr>
        <w:t xml:space="preserve"> resistance to </w:t>
      </w:r>
      <w:r w:rsidRPr="00DF0680">
        <w:rPr>
          <w:rFonts w:cs="Times New Roman"/>
        </w:rPr>
        <w:t xml:space="preserve">thymidine </w:t>
      </w:r>
      <w:r w:rsidR="00D7660B" w:rsidRPr="00DF0680">
        <w:rPr>
          <w:rFonts w:cs="Times New Roman"/>
        </w:rPr>
        <w:t xml:space="preserve">induced stress </w:t>
      </w:r>
      <w:r w:rsidR="00F20EC0" w:rsidRPr="00DF0680">
        <w:rPr>
          <w:rFonts w:cs="Times New Roman"/>
        </w:rPr>
        <w:fldChar w:fldCharType="begin" w:fldLock="1"/>
      </w:r>
      <w:r w:rsidR="00332613" w:rsidRPr="00DF0680">
        <w:rPr>
          <w:rFonts w:cs="Times New Roman"/>
        </w:rPr>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(Blundred et al. 2010)</w:t>
      </w:r>
      <w:r w:rsidR="00F20EC0" w:rsidRPr="00DF0680">
        <w:rPr>
          <w:rFonts w:cs="Times New Roman"/>
        </w:rPr>
        <w:fldChar w:fldCharType="end"/>
      </w:r>
      <w:r w:rsidRPr="00DF0680">
        <w:rPr>
          <w:rFonts w:cs="Times New Roman"/>
        </w:rPr>
        <w:t>. A recombination assay also showed that thymidine-induced HR was reduced in these RECQL5 over-expressing cells</w:t>
      </w:r>
      <w:r w:rsidR="00A26532" w:rsidRPr="00DF0680">
        <w:rPr>
          <w:rFonts w:cs="Times New Roman"/>
        </w:rPr>
        <w:t>, suggesting promotion of an alternate repair pathway</w:t>
      </w:r>
      <w:r w:rsidRPr="00DF0680">
        <w:rPr>
          <w:rFonts w:cs="Times New Roman"/>
        </w:rPr>
        <w:t xml:space="preserve">. </w:t>
      </w:r>
      <w:r w:rsidR="00532E88" w:rsidRPr="00DF0680">
        <w:rPr>
          <w:rFonts w:cs="Times New Roman"/>
        </w:rPr>
        <w:t>Although the</w:t>
      </w:r>
      <w:r w:rsidR="00D7660B" w:rsidRPr="00DF0680">
        <w:rPr>
          <w:rFonts w:cs="Times New Roman"/>
        </w:rPr>
        <w:t xml:space="preserve"> work showed that over-expressing REC</w:t>
      </w:r>
      <w:r w:rsidRPr="00DF0680">
        <w:rPr>
          <w:rFonts w:cs="Times New Roman"/>
        </w:rPr>
        <w:t xml:space="preserve">QL5 had no effect on the sensitivity to CPT, Lu </w:t>
      </w:r>
      <w:r w:rsidRPr="00DF0680">
        <w:rPr>
          <w:rFonts w:cs="Times New Roman"/>
          <w:i/>
        </w:rPr>
        <w:t>et al</w:t>
      </w:r>
      <w:r w:rsidR="00A26532" w:rsidRPr="00DF0680">
        <w:rPr>
          <w:rFonts w:cs="Times New Roman"/>
          <w:i/>
        </w:rPr>
        <w:t>.</w:t>
      </w:r>
      <w:r w:rsidRPr="00DF0680">
        <w:rPr>
          <w:rFonts w:cs="Times New Roman"/>
        </w:rPr>
        <w:t xml:space="preserve"> (2009 and 2011) s</w:t>
      </w:r>
      <w:r w:rsidR="00A26532" w:rsidRPr="00DF0680">
        <w:rPr>
          <w:rFonts w:cs="Times New Roman"/>
        </w:rPr>
        <w:t>howed that mouse cells without</w:t>
      </w:r>
      <w:r w:rsidRPr="00DF0680">
        <w:rPr>
          <w:rFonts w:cs="Times New Roman"/>
        </w:rPr>
        <w:t xml:space="preserve"> R</w:t>
      </w:r>
      <w:r w:rsidR="00D7660B" w:rsidRPr="00DF0680">
        <w:rPr>
          <w:rFonts w:cs="Times New Roman"/>
        </w:rPr>
        <w:t>ECQL5 are hypersensitive to CPT</w:t>
      </w:r>
      <w:r w:rsidR="00A706B3"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"10.1091/mbc.E08-06-0565", "ISSN" : "1939-4586", "PMID" : "18987339", "abstract" : "Disruption of replication can lead to loss of genome integrity and increase of cancer susceptibility in mammals. Thus, a replication impediment constitutes a formidable challenge to these organisms. Recent studies indicate that homologous recombination (HR) plays an important role in suppressing genome instability and promoting cell survival after exposure to various replication inhibitors, including a topoisomerase I inhibitor, camptothecin (CPT). Here, we report that the deletion of RecQ helicase Recql5 in mouse ES cells and embryonic fibroblast (MEF) cells resulted in a significant increase in CPT sensitivity and a profound reduction in DNA replication after the treatment with CPT, but not other DNA-damaging agents. This CPT-induced cell death is replication dependent and occurs primarily after the cells had exited the first cell cycle after CPT treatment. Furthermore, we show that Recql5 functions nonredundantly with Rad51, a key factor for HR to protect mouse ES cells from CPT-induced cytotoxicity. These new findings strongly suggest that Recql5 plays an important role in maintaining active DNA replication to prevent the collapse of replication forks and the accumulation of DSBs in order to preserve genome integrity and to prevent cell death after replication stress as a result of topoisomerase I poisoning.", "author" : [ { "dropping-particle" : "", "family" : "Hu", "given" : "Yiduo", "non-dropping-particle" : "", "parse-names" : false, "suffix" : "" }, { "dropping-particle" : "", "family" : "Lu", "given" : "Xincheng", "non-dropping-particle" : "", "parse-names" : false, "suffix" : "" }, { "dropping-particle" : "", "family" : "Zhou", "given" : "Guangjin", "non-dropping-particle" : "", "parse-names" : false, "suffix" : "" }, { "dropping-particle" : "", "family" : "Barnes", "given" : "Ellen L", "non-dropping-particle" : "", "parse-names" : false, "suffix" : "" }, { "dropping-particle" : "", "family" : "Luo", "given" : "Guangbin", "non-dropping-particle" : "", "parse-names" : false, "suffix" : "" } ], "container-title" : "Molecular Biology of the Cell", "id" : "ITEM-1", "issue" : "1", "issued" : { "date-parts" : [ [ "2009", "1" ] ] }, "page" : "114-23", "title" : "Recql5 plays an important role in DNA replication and cell survival after camptothecin treatment.", "type" : "article-journal", "volume" : "20" }, "uris" : [ "http://www.mendeley.com/documents/?uuid=acf9f23d-1453-499d-9549-0b89779a80a3" ] } ], "mendeley" : { "formattedCitation" : "(Hu et al. 2009)", "plainTextFormattedCitation" : "(Hu et al. 2009)", "previouslyFormattedCitation" : "(Hu et al. 2009)"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(Hu et al. 2009)</w:t>
      </w:r>
      <w:r w:rsidR="00F20EC0" w:rsidRPr="00DF0680">
        <w:rPr>
          <w:rFonts w:cs="Times New Roman"/>
        </w:rPr>
        <w:fldChar w:fldCharType="end"/>
      </w:r>
      <w:r w:rsidR="00D7660B" w:rsidRPr="00DF0680">
        <w:rPr>
          <w:rFonts w:cs="Times New Roman"/>
        </w:rPr>
        <w:t>.</w:t>
      </w:r>
      <w:r w:rsidRPr="00DF0680">
        <w:rPr>
          <w:rFonts w:cs="Times New Roman"/>
        </w:rPr>
        <w:t xml:space="preserve"> </w:t>
      </w:r>
      <w:r w:rsidR="00D7660B" w:rsidRPr="00DF0680">
        <w:rPr>
          <w:rFonts w:cs="Times New Roman"/>
        </w:rPr>
        <w:t xml:space="preserve">This was </w:t>
      </w:r>
      <w:r w:rsidR="00A706B3" w:rsidRPr="00DF0680">
        <w:rPr>
          <w:rFonts w:cs="Times New Roman"/>
        </w:rPr>
        <w:t xml:space="preserve">also </w:t>
      </w:r>
      <w:r w:rsidR="00A26532" w:rsidRPr="00DF0680">
        <w:rPr>
          <w:rFonts w:cs="Times New Roman"/>
        </w:rPr>
        <w:t>done in x</w:t>
      </w:r>
      <w:r w:rsidRPr="00DF0680">
        <w:rPr>
          <w:rFonts w:cs="Times New Roman"/>
        </w:rPr>
        <w:t xml:space="preserve">enograph tumours derived from RECQL5 null </w:t>
      </w:r>
      <w:r w:rsidR="00103036" w:rsidRPr="00DF0680">
        <w:rPr>
          <w:rFonts w:cs="Times New Roman"/>
        </w:rPr>
        <w:t xml:space="preserve">HCT116 </w:t>
      </w:r>
      <w:r w:rsidRPr="00DF0680">
        <w:rPr>
          <w:rFonts w:cs="Times New Roman"/>
        </w:rPr>
        <w:t>cells</w:t>
      </w:r>
      <w:r w:rsidR="00A706B3" w:rsidRPr="00DF0680">
        <w:rPr>
          <w:rFonts w:cs="Times New Roman"/>
        </w:rPr>
        <w:t xml:space="preserve"> which </w:t>
      </w:r>
      <w:r w:rsidR="003227B8" w:rsidRPr="00DF0680">
        <w:rPr>
          <w:rFonts w:cs="Times New Roman"/>
        </w:rPr>
        <w:t>could be killed</w:t>
      </w:r>
      <w:r w:rsidR="00A26532" w:rsidRPr="00DF0680">
        <w:rPr>
          <w:rFonts w:cs="Times New Roman"/>
        </w:rPr>
        <w:t xml:space="preserve"> by</w:t>
      </w:r>
      <w:r w:rsidR="00A706B3" w:rsidRPr="00DF0680">
        <w:rPr>
          <w:rFonts w:cs="Times New Roman"/>
        </w:rPr>
        <w:t xml:space="preserve"> treatment</w:t>
      </w:r>
      <w:r w:rsidR="00A26532" w:rsidRPr="00DF0680">
        <w:rPr>
          <w:rFonts w:cs="Times New Roman"/>
        </w:rPr>
        <w:t xml:space="preserve"> with</w:t>
      </w:r>
      <w:r w:rsidRPr="00DF0680">
        <w:rPr>
          <w:rFonts w:cs="Times New Roman"/>
        </w:rPr>
        <w:t xml:space="preserve"> CPT, whereas those </w:t>
      </w:r>
      <w:r w:rsidR="00A26532" w:rsidRPr="00DF0680">
        <w:rPr>
          <w:rFonts w:cs="Times New Roman"/>
        </w:rPr>
        <w:t>from the parental cell line could</w:t>
      </w:r>
      <w:r w:rsidRPr="00DF0680">
        <w:rPr>
          <w:rFonts w:cs="Times New Roman"/>
        </w:rPr>
        <w:t xml:space="preserve"> not</w:t>
      </w:r>
      <w:r w:rsidR="00A706B3"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"10.1042/BSR20100108", "ISSN" : "1573-4935", "PMID" : "21210765", "abstract" : "Camptothecins (CPTs) are an important class of effective anticancer agents that target type I topoisomerase in humans. Irinotecan and topotecan are currently used to treat various types of cancers and many CPT derivatives are being developed. However, these drugs are only effective in a small percentage of each type of cancers and the molecular underpinning for this individualized response to the drug has remained elusive. Thus, identification of the main determinants for cell survival in response to this unique class of drug should help to improve their clinical applications. In this study, we examined whether RECQL5 constituted an important determinant of CPT resistance in colon cancer cells. Specifically, RECQL5 deficient derivatives of both DDL1 and HCT116 cells, two colorectal cancer cell lines were generated by adenovirus-based somatic gene targeting experiments and the CPT sensitivity between the RECQL5 proficient parental lines and their corresponding RECQL5 deficient derivatives were examined. We found that deletion of RECQL5 from DDL1 and HCT116 both resulted in a significant enhancement in CPT sensitivity under in vitro cultured condition. More importantly, xenograft tumors derived from RECQL5 deficient HCT116 cells but not those from the parental line could be cured by a CPT-based therapy in nude mice. Thus, this study has identified RECQL5 as a major determinant for CPT resistance in colorectal cancer cells and a potential candidate as a biomarker for irinotecan-based treatment for colon cancer.", "author" : [ { "dropping-particle" : "", "family" : "Wang", "given" : "Xiaoqi", "non-dropping-particle" : "", "parse-names" : false, "suffix" : "" }, { "dropping-particle" : "", "family" : "Lu", "given" : "Xincheng", "non-dropping-particle" : "", "parse-names" : false, "suffix" : "" }, { "dropping-particle" : "", "family" : "Zhou", "given" : "Guangjin", "non-dropping-particle" : "", "parse-names" : false, "suffix" : "" }, { "dropping-particle" : "", "family" : "Lou", "given" : "Hua", "non-dropping-particle" : "", "parse-names" : false, "suffix" : "" }, { "dropping-particle" : "", "family" : "Luo", "given" : "Guangbin", "non-dropping-particle" : "", "parse-names" : false, "suffix" : "" } ], "container-title" : "Bioscience Reports", "id" : "ITEM-1", "issue" : "5", "issued" : { "date-parts" : [ [ "2011", "1", "6" ] ] }, "page" : "363-369", "title" : "RECQL5 is an important determinant for camptothecin tolerance in human colorectal cancer cells.", "type" : "article-journal", "volume" : "31" }, "uris" : [ "http://www.mendeley.com/documents/?uuid=d813dd37-89ef-43b6-8abd-e56e7edf5180" ] } ], "mendeley" : { "formattedCitation" : "(Wang et al. 2011)", "plainTextFormattedCitation" : "(Wang et al. 2011)", "previouslyFormattedCitation" : "(Wang et al. 2011)"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(Wang et al. 2011)</w:t>
      </w:r>
      <w:r w:rsidR="00F20EC0" w:rsidRPr="00DF0680">
        <w:rPr>
          <w:rFonts w:cs="Times New Roman"/>
        </w:rPr>
        <w:fldChar w:fldCharType="end"/>
      </w:r>
      <w:r w:rsidRPr="00DF0680">
        <w:rPr>
          <w:rFonts w:cs="Times New Roman"/>
        </w:rPr>
        <w:t xml:space="preserve">. </w:t>
      </w:r>
      <w:r w:rsidR="001112F6" w:rsidRPr="00DF0680">
        <w:rPr>
          <w:rFonts w:cs="Times New Roman"/>
        </w:rPr>
        <w:t>Also, RECQL5 deletion in FA-defective cells, increases sensitivity to CPT</w:t>
      </w:r>
      <w:r w:rsidR="0010646A" w:rsidRPr="00DF0680">
        <w:rPr>
          <w:rFonts w:cs="Times New Roman"/>
        </w:rPr>
        <w:t>, and reduces replication restart after hydroxyurea-induced fork stalling in an additive manner</w:t>
      </w:r>
      <w:r w:rsidR="001112F6"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"10.1093/nar/gku1334", "ISSN" : "1362-4962", "PMID" : "25520194", "abstract" : "Fanconi anemia (FA) patients exhibit bone marrow failure, developmental defects and cancer. The FA pathway maintains chromosomal stability in concert with replication fork maintenance and DNA double strand break (DSB) repair pathways including RAD51-mediated homologous recombination (HR). RAD51 is a recombinase that maintains replication forks and repairs DSBs, but also rearranges chromosomes. Two RecQ helicases, RECQL5 and Bloom syndrome mutated (BLM) suppress HR through nonredundant mechanisms. Here we test the impact deletion of RECQL5 and BLM has on mouse embryonic stem (ES) cells deleted for FANCB, a member of the FA core complex. We show that RECQL5, but not BLM, conferred resistance to mitomycin C (MMC, an interstrand crosslinker) and camptothecin (CPT, a type 1 topoisomerase inhibitor) in FANCB-defective cells. RECQL5 suppressed, while BLM caused, breaks and radials in FANCB-deleted cells exposed to CPT or MMC, respectively. RECQL5 protected the nascent replication strand from MRE11-mediated degradation and restarted stressed replication forks in a manner additive to FANCB. By contrast BLM restarted, but did not protect, replication forks in a manner epistatic to FANCB. RECQL5 also lowered RAD51 levels in FANCB-deleted cells at stressed replication sites implicating a rearrangement avoidance mechanism. Thus, RECQL5 and BLM impact FANCB-defective cells differently in response to replication stress with relevance to chemotherapeutic regimes.", "author" : [ { "dropping-particle" : "", "family" : "Kim", "given" : "Tae Moon", "non-dropping-particle" : "", "parse-names" : false, "suffix" : "" }, { "dropping-particle" : "", "family" : "Son", "given" : "Mi Young", "non-dropping-particle" : "", "parse-names" : false, "suffix" : "" }, { "dropping-particle" : "", "family" : "Dodds", "given" : "Sherry", "non-dropping-particle" : "", "parse-names" : false, "suffix" : "" }, { "dropping-particle" : "", "family" : "Hu", "given" : "Lingchuan", "non-dropping-particle" : "", "parse-names" : false, "suffix" : "" }, { "dropping-particle" : "", "family" : "Luo", "given" : "Guangbin", "non-dropping-particle" : "", "parse-names" : false, "suffix" : "" }, { "dropping-particle" : "", "family" : "Hasty", "given" : "Paul", "non-dropping-particle" : "", "parse-names" : false, "suffix" : "" } ], "container-title" : "Nucleic Acids Research", "id" : "ITEM-1", "issue" : "2", "issued" : { "date-parts" : [ [ "2014", "12", "17" ] ] }, "page" : "893-903", "title" : "RECQL5 and BLM exhibit divergent functions in cells defective for the Fanconi anemia pathway.", "type" : "article-journal", "volume" : "43" }, "uris" : [ "http://www.mendeley.com/documents/?uuid=18330df9-ef80-4d73-baf5-abb2f9ad4d6a" ] } ], "mendeley" : { "formattedCitation" : "(Kim et al. 2014)", "plainTextFormattedCitation" : "(Kim et al. 2014)", "previouslyFormattedCitation" : "(Kim et al. 2014)" }, "properties" : { "noteIndex" : 0 }, "schema" : "https://github.com/citation-style-language/schema/raw/master/csl-citation.json" }</w:instrText>
      </w:r>
      <w:r w:rsidR="00F20EC0" w:rsidRPr="00DF0680">
        <w:rPr>
          <w:rFonts w:cs="Times New Roman"/>
        </w:rPr>
        <w:fldChar w:fldCharType="separate"/>
      </w:r>
      <w:r w:rsidR="001112F6" w:rsidRPr="00DF0680">
        <w:rPr>
          <w:rFonts w:cs="Times New Roman"/>
        </w:rPr>
        <w:t>(Kim et al. 2014)</w:t>
      </w:r>
      <w:r w:rsidR="00F20EC0" w:rsidRPr="00DF0680">
        <w:rPr>
          <w:rFonts w:cs="Times New Roman"/>
        </w:rPr>
        <w:fldChar w:fldCharType="end"/>
      </w:r>
      <w:r w:rsidR="001112F6" w:rsidRPr="00DF0680">
        <w:rPr>
          <w:rFonts w:cs="Times New Roman"/>
        </w:rPr>
        <w:t xml:space="preserve">. </w:t>
      </w:r>
      <w:r w:rsidR="00B96F25" w:rsidRPr="00DF0680">
        <w:rPr>
          <w:rFonts w:cs="Times New Roman"/>
        </w:rPr>
        <w:t>It is clear that the response of cells to replication stresses is not consistent between RECQL5 depletion and over-expression</w:t>
      </w:r>
      <w:r w:rsidR="006768C4" w:rsidRPr="00DF0680">
        <w:rPr>
          <w:rFonts w:cs="Times New Roman"/>
        </w:rPr>
        <w:t xml:space="preserve"> systems</w:t>
      </w:r>
      <w:r w:rsidR="00B96F25" w:rsidRPr="00DF0680">
        <w:rPr>
          <w:rFonts w:cs="Times New Roman"/>
        </w:rPr>
        <w:t xml:space="preserve">. </w:t>
      </w:r>
    </w:p>
    <w:p w:rsidR="00B96F25" w:rsidRPr="00DF0680" w:rsidRDefault="00B96F25" w:rsidP="00B96F25">
      <w:pPr>
        <w:rPr>
          <w:rFonts w:cs="Times New Roman"/>
          <w:color w:val="auto"/>
        </w:rPr>
      </w:pPr>
      <w:r w:rsidRPr="00DF0680">
        <w:rPr>
          <w:rFonts w:cs="Times New Roman"/>
          <w:color w:val="auto"/>
        </w:rPr>
        <w:t>Sensitivity to oxidative stress is also seen in RECQL5 deficient cells, with the helicase being recruited to laser-induced single strand breaks</w:t>
      </w:r>
      <w:r w:rsidR="00294781" w:rsidRPr="00DF0680">
        <w:rPr>
          <w:rFonts w:cs="Times New Roman"/>
          <w:color w:val="auto"/>
        </w:rPr>
        <w:t xml:space="preserve"> (determined by the recruitment of GFP-XRCC1 but not GFP-53BP1)</w:t>
      </w:r>
      <w:r w:rsidRPr="00DF0680">
        <w:rPr>
          <w:rFonts w:cs="Times New Roman"/>
          <w:color w:val="auto"/>
        </w:rPr>
        <w:t xml:space="preserve">, and the BER protein XRCC1 staying at these sites longer, when RECQL5 is not present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"10.1091/mbc.E12-02-0110", "ISSN" : "1939-4586", "PMID" : "22973052", "abstract" : "Human RECQL5 is a member of the RecQ helicase family, which maintains genome stability via participation in many DNA metabolic processes, including DNA repair. Human cells lacking RECQL5 display chromosomal instability. We find that cells depleted of RECQL5 are sensitive to oxidative stress, accumulate endogenous DNA damage, and increase the cellular poly(ADP-ribosyl)ate response. In contrast to the RECQ helicase family members WRN, BLM, and RECQL4, RECQL5 accumulates at laser-induced single-strand breaks in normal human cells. RECQL5 depletion affects the levels of PARP-1 and XRCC1, and our collective results suggest that RECQL5 modulates and/or directly participates in base excision repair of endogenous DNA damage, thereby promoting chromosome stability in normal human cells.", "author" : [ { "dropping-particle" : "", "family" : "Tadokoro", "given" : "Takashi", "non-dropping-particle" : "", "parse-names" : false, "suffix" : "" }, { "dropping-particle" : "", "family" : "Ramamoorthy", "given" : "Mahesh", "non-dropping-particle" : "", "parse-names" : false, "suffix" : "" }, { "dropping-particle" : "", "family" : "Popuri", "given" : "Venkateswarlu", "non-dropping-particle" : "", "parse-names" : false, "suffix" : "" }, { "dropping-particle" : "", "family" : "May", "given" : "Alfred", "non-dropping-particle" : "", "parse-names" : false, "suffix" : "" }, { "dropping-particle" : "", "family" : "Tian", "given" : "Jingyan", "non-dropping-particle" : "", "parse-names" : false, "suffix" : "" }, { "dropping-particle" : "", "family" : "Sykora", "given" : "Peter", "non-dropping-particle" : "", "parse-names" : false, "suffix" : "" }, { "dropping-particle" : "", "family" : "Rybanska", "given" : "Ivana", "non-dropping-particle" : "", "parse-names" : false, "suffix" : "" }, { "dropping-particle" : "", "family" : "Wilson", "given" : "David M", "non-dropping-particle" : "", "parse-names" : false, "suffix" : "" }, { "dropping-particle" : "", "family" : "Croteau", "given" : "Deborah L", "non-dropping-particle" : "", "parse-names" : false, "suffix" : "" }, { "dropping-particle" : "", "family" : "Bohr", "given" : "Vilhelm a", "non-dropping-particle" : "", "parse-names" : false, "suffix" : "" } ], "container-title" : "Molecular Biology of the Cell", "id" : "ITEM-1", "issue" : "21", "issued" : { "date-parts" : [ [ "2012", "11" ] ] }, "page" : "4273-85", "title" : "Human RECQL5 participates in the removal of endogenous DNA damage.", "type" : "article-journal", "volume" : "23" }, "uris" : [ "http://www.mendeley.com/documents/?uuid=709cad32-1f72-47d8-b9d4-df1d02a4cd55" ] } ], "mendeley" : { "formattedCitation" : "(Tadokoro et al. 2012)", "plainTextFormattedCitation" : "(Tadokoro et al. 2012)", "previouslyFormattedCitation" : "(Tadokoro et al. 2012)" }, "properties" : { "noteIndex" : 0 }, "schema" : "https://github.com/citation-style-language/schema/raw/master/csl-citation.json" }</w:instrText>
      </w:r>
      <w:r w:rsidR="00F20EC0" w:rsidRPr="00DF0680">
        <w:rPr>
          <w:rFonts w:cs="Times New Roman"/>
          <w:color w:val="auto"/>
        </w:rPr>
        <w:fldChar w:fldCharType="separate"/>
      </w:r>
      <w:r w:rsidRPr="00DF0680">
        <w:rPr>
          <w:rFonts w:cs="Times New Roman"/>
          <w:color w:val="auto"/>
        </w:rPr>
        <w:t>(Tadokoro et al. 2012)</w:t>
      </w:r>
      <w:r w:rsidR="00F20EC0" w:rsidRPr="00DF0680">
        <w:rPr>
          <w:rFonts w:cs="Times New Roman"/>
          <w:color w:val="auto"/>
        </w:rPr>
        <w:fldChar w:fldCharType="end"/>
      </w:r>
      <w:r w:rsidRPr="00DF0680">
        <w:rPr>
          <w:rFonts w:cs="Times New Roman"/>
          <w:color w:val="auto"/>
        </w:rPr>
        <w:t xml:space="preserve">. The activation of PARP1 and expression of PARP1 and XRCC1 may also be regulated by RECQL5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"10.1091/mbc.E12-02-0110", "ISSN" : "1939-4586", "PMID" : "22973052", "abstract" : "Human RECQL5 is a member of the RecQ helicase family, which maintains genome stability via participation in many DNA metabolic processes, including DNA repair. Human cells lacking RECQL5 display chromosomal instability. We find that cells depleted of RECQL5 are sensitive to oxidative stress, accumulate endogenous DNA damage, and increase the cellular poly(ADP-ribosyl)ate response. In contrast to the RECQ helicase family members WRN, BLM, and RECQL4, RECQL5 accumulates at laser-induced single-strand breaks in normal human cells. RECQL5 depletion affects the levels of PARP-1 and XRCC1, and our collective results suggest that RECQL5 modulates and/or directly participates in base excision repair of endogenous DNA damage, thereby promoting chromosome stability in normal human cells.", "author" : [ { "dropping-particle" : "", "family" : "Tadokoro", "given" : "Takashi", "non-dropping-particle" : "", "parse-names" : false, "suffix" : "" }, { "dropping-particle" : "", "family" : "Ramamoorthy", "given" : "Mahesh", "non-dropping-particle" : "", "parse-names" : false, "suffix" : "" }, { "dropping-particle" : "", "family" : "Popuri", "given" : "Venkateswarlu", "non-dropping-particle" : "", "parse-names" : false, "suffix" : "" }, { "dropping-particle" : "", "family" : "May", "given" : "Alfred", "non-dropping-particle" : "", "parse-names" : false, "suffix" : "" }, { "dropping-particle" : "", "family" : "Tian", "given" : "Jingyan", "non-dropping-particle" : "", "parse-names" : false, "suffix" : "" }, { "dropping-particle" : "", "family" : "Sykora", "given" : "Peter", "non-dropping-particle" : "", "parse-names" : false, "suffix" : "" }, { "dropping-particle" : "", "family" : "Rybanska", "given" : "Ivana", "non-dropping-particle" : "", "parse-names" : false, "suffix" : "" }, { "dropping-particle" : "", "family" : "Wilson", "given" : "David M", "non-dropping-particle" : "", "parse-names" : false, "suffix" : "" }, { "dropping-particle" : "", "family" : "Croteau", "given" : "Deborah L", "non-dropping-particle" : "", "parse-names" : false, "suffix" : "" }, { "dropping-particle" : "", "family" : "Bohr", "given" : "Vilhelm a", "non-dropping-particle" : "", "parse-names" : false, "suffix" : "" } ], "container-title" : "Molecular Biology of the Cell", "id" : "ITEM-1", "issue" : "21", "issued" : { "date-parts" : [ [ "2012", "11" ] ] }, "page" : "4273-85", "title" : "Human RECQL5 participates in the removal of endogenous DNA damage.", "type" : "article-journal", "volume" : "23" }, "uris" : [ "http://www.mendeley.com/documents/?uuid=709cad32-1f72-47d8-b9d4-df1d02a4cd55" ] } ], "mendeley" : { "formattedCitation" : "(Tadokoro et al. 2012)", "plainTextFormattedCitation" : "(Tadokoro et al. 2012)", "previouslyFormattedCitation" : "(Tadokoro et al. 2012)" }, "properties" : { "noteIndex" : 0 }, "schema" : "https://github.com/citation-style-language/schema/raw/master/csl-citation.json" }</w:instrText>
      </w:r>
      <w:r w:rsidR="00F20EC0" w:rsidRPr="00DF0680">
        <w:rPr>
          <w:rFonts w:cs="Times New Roman"/>
          <w:color w:val="auto"/>
        </w:rPr>
        <w:fldChar w:fldCharType="separate"/>
      </w:r>
      <w:r w:rsidRPr="00DF0680">
        <w:rPr>
          <w:rFonts w:cs="Times New Roman"/>
          <w:color w:val="auto"/>
        </w:rPr>
        <w:t>(Tadokoro et al. 2012)</w:t>
      </w:r>
      <w:r w:rsidR="00F20EC0" w:rsidRPr="00DF0680">
        <w:rPr>
          <w:rFonts w:cs="Times New Roman"/>
          <w:color w:val="auto"/>
        </w:rPr>
        <w:fldChar w:fldCharType="end"/>
      </w:r>
      <w:r w:rsidRPr="00DF0680">
        <w:rPr>
          <w:rFonts w:cs="Times New Roman"/>
          <w:color w:val="auto"/>
        </w:rPr>
        <w:t xml:space="preserve">. It is interesting to note that these proteins also play a role in repairing camptothecin-induced DNA damage </w:t>
      </w:r>
      <w:r w:rsidR="00F20EC0" w:rsidRPr="00DF0680">
        <w:rPr>
          <w:rFonts w:cs="Times New Roman"/>
          <w:color w:val="auto"/>
        </w:rPr>
        <w:fldChar w:fldCharType="begin" w:fldLock="1"/>
      </w:r>
      <w:r w:rsidR="00332613" w:rsidRPr="00DF0680">
        <w:rPr>
          <w:rFonts w:cs="Times New Roman"/>
          <w:color w:val="auto"/>
        </w:rPr>
        <w:instrText>ADDIN CSL_CITATION { "citationItems" : [ { "id" : "ITEM-1", "itemData" : { "DOI" : "10.1158/1078-0432.CCR-05-1224", "ISBN" : "4419124644", "ISSN" : "1078-0432", "PMID" : "16322308", "abstract" : "Poly(ADP-ribose) polymerase (PARP) inhibitors enhance DNA topoisomerase I (topo I) poison-induced cytotoxicity and antitumor activity in vitro and in vivo, but the mechanism has not been defined. We investigated the role of PARP-1 in the response to topo I poisons using PARP-1-/- and PARP-1+/+ mouse embryonic fibroblasts and the potent PARP-1 inhibitor, AG14361 (Ki &lt; 5 nmol/L). PARP-1-/- mouse embryonic fibroblasts were 3-fold more sensitive to topotecan than PARP-1+/+ mouse embryonic fibroblasts (GI50, 21 and 65 nmol/L, respectively). AG14361 caused a &gt;3-fold sensitization of PARP-1+/+ cells to topotecan compared with a &lt;1.4-fold sensitization in PARP-1-/- cells. In human leukemia K562 cells, AG14361 caused a 2-fold sensitization to camptothecin-induced cytotoxicity. AG14361 did not affect the cellular activity of topo I as determined by measurement of cleavable complexes and topo I relaxation activity, showing that sensitization was not due to topo I activation. In contrast, repair of DNA following camptothecin removal, normally very rapid, was significantly retarded by AG14361, resulting in a 62% inhibition of repair 10 minutes after camptothecin removal. This led to a 20% increase in the net accumulation of camptothecin-induced DNA strand break levels in cells coexposed to AG14361 for 16 hours. We investigated the DNA repair mechanism involved using a panel of DNA repair-deficient Chinese hamster ovary cells. AG14361 significantly potentiated camptothecin-mediated cytotoxicity in all cells, except the base excision repair-deficient EM9 cells. Therefore, the most likely mechanism for the potentiation of topo I poison-mediated cytotoxicity by AG14361 is via PARP-1-dependent base excision repair.", "author" : [ { "dropping-particle" : "", "family" : "Smith", "given" : "Lisa M", "non-dropping-particle" : "", "parse-names" : false, "suffix" : "" }, { "dropping-particle" : "", "family" : "Willmore", "given" : "Elaine", "non-dropping-particle" : "", "parse-names" : false, "suffix" : "" }, { "dropping-particle" : "", "family" : "Austin", "given" : "Caroline a", "non-dropping-particle" : "", "parse-names" : false, "suffix" : "" }, { "dropping-particle" : "", "family" : "Curtin", "given" : "Nicola J", "non-dropping-particle" : "", "parse-names" : false, "suffix" : "" } ], "container-title" : "Clinical Cancer Research", "id" : "ITEM-1", "issue" : "23", "issued" : { "date-parts" : [ [ "2005", "12", "1" ] ] }, "page" : "8449-57", "title" : "The novel poly(ADP-Ribose) polymerase inhibitor, AG14361, sensitizes cells to topoisomerase I poisons by increasing the persistence of DNA strand breaks.", "type" : "article-journal", "volume" : "11" }, "uris" : [ "http://www.mendeley.com/documents/?uuid=885ef8ba-5831-49e8-9103-d14d9c8c946d" ] }, { "id" : "ITEM-2", "itemData" : { "author" : [ { "dropping-particle" : "", "family" : "Park", "given" : "SY", "non-dropping-particle" : "", "parse-names" : false, "suffix" : "" }, { "dropping-particle" : "", "family" : "Lam", "given" : "Wing", "non-dropping-particle" : "", "parse-names" : false, "suffix" : "" }, { "dropping-particle" : "", "family" : "Cheng", "given" : "Yung-chi", "non-dropping-particle" : "", "parse-names" : false, "suffix" : "" } ], "container-title" : "Cancer Research", "id" : "ITEM-2", "issue" : "2", "issued" : { "date-parts" : [ [ "2002" ] ] }, "page" : "459-465", "title" : "X-ray repair cross-complementing gene I protein plays an important role in camptothecin resistance", "type" : "article-journal", "volume" : "62" }, "uris" : [ "http://www.mendeley.com/documents/?uuid=fa2a310a-5f25-493d-839b-48ad3d76f236" ] } ], "mendeley" : { "formattedCitation" : "(Smith et al. 2005; Park et al. 2002)", "plainTextFormattedCitation" : "(Smith et al. 2005; Park et al. 2002)", "previouslyFormattedCitation" : "(Smith et al. 2005; Park et al. 2002)" }, "properties" : { "noteIndex" : 0 }, "schema" : "https://github.com/citation-style-language/schema/raw/master/csl-citation.json" }</w:instrText>
      </w:r>
      <w:r w:rsidR="00F20EC0" w:rsidRPr="00DF0680">
        <w:rPr>
          <w:rFonts w:cs="Times New Roman"/>
          <w:color w:val="auto"/>
        </w:rPr>
        <w:fldChar w:fldCharType="separate"/>
      </w:r>
      <w:r w:rsidRPr="00DF0680">
        <w:rPr>
          <w:rFonts w:cs="Times New Roman"/>
          <w:color w:val="auto"/>
        </w:rPr>
        <w:t>(Smith et al. 2005; Park et al. 2002)</w:t>
      </w:r>
      <w:r w:rsidR="00F20EC0" w:rsidRPr="00DF0680">
        <w:rPr>
          <w:rFonts w:cs="Times New Roman"/>
          <w:color w:val="auto"/>
        </w:rPr>
        <w:fldChar w:fldCharType="end"/>
      </w:r>
      <w:r w:rsidRPr="00DF0680">
        <w:rPr>
          <w:rFonts w:cs="Times New Roman"/>
          <w:color w:val="auto"/>
        </w:rPr>
        <w:t>.</w:t>
      </w:r>
    </w:p>
    <w:p w:rsidR="00FE53C9" w:rsidRPr="00DF0680" w:rsidRDefault="00FE53C9" w:rsidP="00083C18">
      <w:pPr>
        <w:divId w:val="617952010"/>
        <w:rPr>
          <w:rFonts w:cs="Times New Roman"/>
        </w:rPr>
      </w:pPr>
      <w:r w:rsidRPr="00DF0680">
        <w:rPr>
          <w:rFonts w:cs="Times New Roman"/>
        </w:rPr>
        <w:t>RECQL5 has been implicated in cross-link repair</w:t>
      </w:r>
      <w:r w:rsidR="00083C18" w:rsidRPr="00DF0680">
        <w:rPr>
          <w:rFonts w:cs="Times New Roman"/>
        </w:rPr>
        <w:t xml:space="preserve"> as it is recruited to cross-links formed by laser-induced trioxalen and ultraviolet radiation through its KIX domain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"Ramamoorthy", "given" : "M", "non-dropping-particle" : "", "parse-names" : false, "suffix" : "" }, { "dropping-particle" : "", "family" : "May", "given" : "A", "non-dropping-particle" : "", "parse-names" : false, "suffix" : "" }, { "dropping-particle" : "", "family" : "Tadokoro", "given" : "T", "non-dropping-particle" : "", "parse-names" : false, "suffix" : "" } ], "container-title" : "Carcinogenesis", "id" : "ITEM-1", "issue" : "10", "issued" : { "date-parts" : [ [ "2013" ] ] }, "page" : "2218-30", "title" : "The RecQ helicase RECQL5 participates in psoralen induced interstrand cross-link repair", "type" : "article-journal", "volume" : "34" }, "uris" : [ "http://www.mendeley.com/documents/?uuid=2dfa4b55-333a-49c7-80f3-68d770f619a6" ] } ], "mendeley" : { "formattedCitation" : "(Ramamoorthy et al. 2013)", "plainTextFormattedCitation" : "(Ramamoorthy et al. 2013)", "previouslyFormattedCitation" : "(Ramamoorthy et al. 2013)"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(Ramamoorthy et al. 2013)</w:t>
      </w:r>
      <w:r w:rsidR="00F20EC0" w:rsidRPr="00DF0680">
        <w:rPr>
          <w:rFonts w:cs="Times New Roman"/>
        </w:rPr>
        <w:fldChar w:fldCharType="end"/>
      </w:r>
      <w:r w:rsidR="00083C18" w:rsidRPr="00DF0680">
        <w:rPr>
          <w:rFonts w:cs="Times New Roman"/>
        </w:rPr>
        <w:t xml:space="preserve">. RECQL5 knock-out cells are also more sensitive to cisplatin and MMC, with a higher number of aberrant chromosomes than wild-type </w:t>
      </w:r>
      <w:r w:rsidR="00F20EC0" w:rsidRPr="00DF0680">
        <w:rPr>
          <w:rFonts w:cs="Times New Roman"/>
        </w:rPr>
        <w:fldChar w:fldCharType="begin" w:fldLock="1"/>
      </w:r>
      <w:r w:rsidR="00332613" w:rsidRPr="00DF0680">
        <w:rPr>
          <w:rFonts w:cs="Times New Roman"/>
        </w:rPr>
        <w:instrText>ADDIN CSL_CITATION { "citationItems" : [ { "id" : "ITEM-1", "itemData" : { "DOI" : "10.1016/j.bbamcr.2014.01.005", "ISSN" : "0006-3002", "PMID" : "24418621", "abstract" : "RecQ family DNA helicases function in the maintenance of genome stability. Mice deficient in RecQL5, one of five RecQ helicases, show a cancer predisposition phenotype, suggesting that RecQL5 plays a tumor suppressor role. RecQL5 interacts with Rad51, a key factor in homologous recombination (HR), and displaces Rad51 from Rad51-single stranded DNA (ssDNA) filaments in vitro. However, the precise roles of RecQL5 in the cell remain elusive. Here, we present evidence suggesting that RecQL5 is involved in DNA interstrand crosslink (ICL) repair. Chicken DT40 RECQL5 gene knockout (KO) cells showed sensitivity to ICL-inducing agents such as cisplatin (CDDP) and mitomycin C (MMC) and a higher number of chromosome aberrations in the presence of MMC than wild-type cells. The phenotypes of RECQL5 KO cells resembled those of Fanconi anemia gene KO cells. Genetic analysis using corresponding gene knockout cells showed that RecQL5 is involved in the FANCD1 (BRCA2)-dependent ICL repair pathway in which Rad51-ssDNA filament formation is promoted by BRCA2. The disappearance but not appearance of Rad51-foci was delayed in RECQL5 KO cells after MMC treatment. Deletion of Rad54, which processes the Rad51-ssDNA filament in HR, in RECQL5 KO cells increased sensitivity to CDDP and further delayed the disappearance of Rad51-foci, suggesting that RecQL5 and Rad54 have different effects on the Rad51-ssDNA filament. Furthermore, the frequency and variation of CDDP-induced gene conversion at the immunoglobulin locus were increased in RECQL5 KO cells. These results suggest that RecQL5 plays a role in regulating the incidence and quality of ICL-induced recombination.", "author" : [ { "dropping-particle" : "", "family" : "Hosono", "given" : "Yoshifumi", "non-dropping-particle" : "", "parse-names" : false, "suffix" : "" }, { "dropping-particle" : "", "family" : "Abe", "given" : "Takuya", "non-dropping-particle" : "", "parse-names" : false, "suffix" : "" }, { "dropping-particle" : "", "family" : "Ishiai", "given" : "Masamichi", "non-dropping-particle" : "", "parse-names" : false, "suffix" : "" }, { "dropping-particle" : "", "family" : "Islam", "given" : "M Nurul", "non-dropping-particle" : "", "parse-names" : false, "suffix" : "" }, { "dropping-particle" : "", "family" : "Arakawa", "given" : "Hiroshi", "non-dropping-particle" : "", "parse-names" : false, "suffix" : "" }, { "dropping-particle" : "", "family" : "Wang", "given" : "Weidong", "non-dropping-particle" : "", "parse-names" : false, "suffix" : "" }, { "dropping-particle" : "", "family" : "Takeda", "given" : "Shunichi", "non-dropping-particle" : "", "parse-names" : false, "suffix" : "" }, { "dropping-particle" : "", "family" : "Ishii", "given" : "Yutaka", "non-dropping-particle" : "", "parse-names" : false, "suffix" : "" }, { "dropping-particle" : "", "family" : "Takata", "given" : "Minoru", "non-dropping-particle" : "", "parse-names" : false, "suffix" : "" }, { "dropping-particle" : "", "family" : "Seki", "given" : "Masayuki", "non-dropping-particle" : "", "parse-names" : false, "suffix" : "" }, { "dropping-particle" : "", "family" : "Enomoto", "given" : "Takemi", "non-dropping-particle" : "", "parse-names" : false, "suffix" : "" } ], "container-title" : "Biochimica ee Biophysica Acta", "id" : "ITEM-1", "issue" : "5", "issued" : { "date-parts" : [ [ "2014", "5" ] ] }, "page" : "1002-12", "publisher" : "Elsevier B.V.", "title" : "Tumor suppressor RecQL5 controls recombination induced by DNA crosslinking agents.", "type" : "article-journal", "volume" : "1843" }, "uris" : [ "http://www.mendeley.com/documents/?uuid=84b0a93a-cb61-43cb-b1d8-5b4cb9044372" ] } ], "mendeley" : { "formattedCitation" : "(Hosono et al. 2014)", "plainTextFormattedCitation" : "(Hosono et al. 2014)", "previouslyFormattedCitation" : "(Hosono et al. 2014)"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(Hosono et al. 2014)</w:t>
      </w:r>
      <w:r w:rsidR="00F20EC0" w:rsidRPr="00DF0680">
        <w:rPr>
          <w:rFonts w:cs="Times New Roman"/>
        </w:rPr>
        <w:fldChar w:fldCharType="end"/>
      </w:r>
      <w:r w:rsidR="005922AD" w:rsidRPr="00DF0680">
        <w:rPr>
          <w:rFonts w:cs="Times New Roman"/>
        </w:rPr>
        <w:t>. It</w:t>
      </w:r>
      <w:r w:rsidR="00083C18" w:rsidRPr="00DF0680">
        <w:rPr>
          <w:rFonts w:cs="Times New Roman"/>
        </w:rPr>
        <w:t>s involvement in cross-link repair is thought to be in the same pathway as FAND1/BRCA2 but different to RAD54</w:t>
      </w:r>
      <w:r w:rsidR="0051767F" w:rsidRPr="00DF0680">
        <w:rPr>
          <w:rFonts w:cs="Times New Roman"/>
        </w:rPr>
        <w:t xml:space="preserve"> as depletion of RAD54 further increased sensitivity to MMC in RECQL5 depleted cells</w:t>
      </w:r>
      <w:r w:rsidR="00083C18"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"10.1016/j.bbamcr.2014.01.005", "ISSN" : "0006-3002", "PMID" : "24418621", "abstract" : "RecQ family DNA helicases function in the maintenance of genome stability. Mice deficient in RecQL5, one of five RecQ helicases, show a cancer predisposition phenotype, suggesting that RecQL5 plays a tumor suppressor role. RecQL5 interacts with Rad51, a key factor in homologous recombination (HR), and displaces Rad51 from Rad51-single stranded DNA (ssDNA) filaments in vitro. However, the precise roles of RecQL5 in the cell remain elusive. Here, we present evidence suggesting that RecQL5 is involved in DNA interstrand crosslink (ICL) repair. Chicken DT40 RECQL5 gene knockout (KO) cells showed sensitivity to ICL-inducing agents such as cisplatin (CDDP) and mitomycin C (MMC) and a higher number of chromosome aberrations in the presence of MMC than wild-type cells. The phenotypes of RECQL5 KO cells resembled those of Fanconi anemia gene KO cells. Genetic analysis using corresponding gene knockout cells showed that RecQL5 is involved in the FANCD1 (BRCA2)-dependent ICL repair pathway in which Rad51-ssDNA filament formation is promoted by BRCA2. The disappearance but not appearance of Rad51-foci was delayed in RECQL5 KO cells after MMC treatment. Deletion of Rad54, which processes the Rad51-ssDNA filament in HR, in RECQL5 KO cells increased sensitivity to CDDP and further delayed the disappearance of Rad51-foci, suggesting that RecQL5 and Rad54 have different effects on the Rad51-ssDNA filament. Furthermore, the frequency and variation of CDDP-induced gene conversion at the immunoglobulin locus were increased in RECQL5 KO cells. These results suggest that RecQL5 plays a role in regulating the incidence and quality of ICL-induced recombination.", "author" : [ { "dropping-particle" : "", "family" : "Hosono", "given" : "Yoshifumi", "non-dropping-particle" : "", "parse-names" : false, "suffix" : "" }, { "dropping-particle" : "", "family" : "Abe", "given" : "Takuya", "non-dropping-particle" : "", "parse-names" : false, "suffix" : "" }, { "dropping-particle" : "", "family" : "Ishiai", "given" : "Masamichi", "non-dropping-particle" : "", "parse-names" : false, "suffix" : "" }, { "dropping-particle" : "", "family" : "Islam", "given" : "M Nurul", "non-dropping-particle" : "", "parse-names" : false, "suffix" : "" }, { "dropping-particle" : "", "family" : "Arakawa", "given" : "Hiroshi", "non-dropping-particle" : "", "parse-names" : false, "suffix" : "" }, { "dropping-particle" : "", "family" : "Wang", "given" : "Weidong", "non-dropping-particle" : "", "parse-names" : false, "suffix" : "" }, { "dropping-particle" : "", "family" : "Takeda", "given" : "Shunichi", "non-dropping-particle" : "", "parse-names" : false, "suffix" : "" }, { "dropping-particle" : "", "family" : "Ishii", "given" : "Yutaka", "non-dropping-particle" : "", "parse-names" : false, "suffix" : "" }, { "dropping-particle" : "", "family" : "Takata", "given" : "Minoru", "non-dropping-particle" : "", "parse-names" : false, "suffix" : "" }, { "dropping-particle" : "", "family" : "Seki", "given" : "Masayuki", "non-dropping-particle" : "", "parse-names" : false, "suffix" : "" }, { "dropping-particle" : "", "family" : "Enomoto", "given" : "Takemi", "non-dropping-particle" : "", "parse-names" : false, "suffix" : "" } ], "container-title" : "Biochimica ee Biophysica Acta", "id" : "ITEM-1", "issue" : "5", "issued" : { "date-parts" : [ [ "2014", "5" ] ] }, "page" : "1002-12", "publisher" : "Elsevier B.V.", "title" : "Tumor suppressor RecQL5 controls recombination induced by DNA crosslinking agents.", "type" : "article-journal", "volume" : "1843" }, "uris" : [ "http://www.mendeley.com/documents/?uuid=84b0a93a-cb61-43cb-b1d8-5b4cb9044372" ] } ], "mendeley" : { "formattedCitation" : "(Hosono et al. 2014)", "plainTextFormattedCitation" : "(Hosono et al. 2014)", "previouslyFormattedCitation" : "(Hosono et al. 2014)"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(Hosono et al. 2014)</w:t>
      </w:r>
      <w:r w:rsidR="00F20EC0" w:rsidRPr="00DF0680">
        <w:rPr>
          <w:rFonts w:cs="Times New Roman"/>
        </w:rPr>
        <w:fldChar w:fldCharType="end"/>
      </w:r>
      <w:r w:rsidR="00083C18" w:rsidRPr="00DF0680">
        <w:rPr>
          <w:rFonts w:cs="Times New Roman"/>
        </w:rPr>
        <w:t>.</w:t>
      </w:r>
    </w:p>
    <w:p w:rsidR="00865FFB" w:rsidRPr="00DF0680" w:rsidRDefault="00A12A89" w:rsidP="00D25B88">
      <w:pPr>
        <w:rPr>
          <w:rFonts w:cs="Times New Roman"/>
        </w:rPr>
      </w:pPr>
      <w:r w:rsidRPr="00DF0680">
        <w:rPr>
          <w:rFonts w:cs="Times New Roman"/>
        </w:rPr>
        <w:t xml:space="preserve">As mentioned earlier, transcription-replication collisions are a form of replication stress. RECQL5 may have a role in repairing these collisions, as DNA damage induced by </w:t>
      </w:r>
      <w:r w:rsidRPr="00DF0680">
        <w:rPr>
          <w:rFonts w:cs="Times New Roman"/>
        </w:rPr>
        <w:lastRenderedPageBreak/>
        <w:t xml:space="preserve">RECQL5 depletion is rescued by inhibiting transcription elongation </w:t>
      </w:r>
      <w:r w:rsidR="00F20EC0" w:rsidRPr="00DF0680">
        <w:rPr>
          <w:rFonts w:cs="Times New Roman"/>
        </w:rPr>
        <w:fldChar w:fldCharType="begin" w:fldLock="1"/>
      </w:r>
      <w:r w:rsidR="00332613" w:rsidRPr="00DF0680">
        <w:rPr>
          <w:rFonts w:cs="Times New Roman"/>
        </w:rPr>
        <w:instrText>ADDIN CSL_CITATION { "citationItems" : [ { "id" : "ITEM-1", "itemData" : { "DOI" : "10.1128/MCB.01137-10", "ISSN" : "1098-5549", "PMID" : "21402780", "abstract" : "The conserved RECQ5 DNA helicase is a tumor suppressor in mammalian cells. Defects in RECQ5 lead to the accumulation of spontaneous DNA double-stranded breaks (DSBs) during replication, despite the fact that these cells are proficient in DSB repair by homologous recombination (HR). The reason for this is unknown. Here, we demonstrate that these DSBs are linked to RNA polymerase II (RNAPII)-dependent transcription. In human RECQ5-depleted cells, active RNAPII accumulates on chromatin, and DNA breaks are associated with an RNAPII-dependent transcribed locus. Hence, transcription inhibition eliminates both active RNAPII and spontaneous DSB formation. In addition, the regulatory effect of RECQ5 on transcription and its interaction with RNAPII are enhanced in S-phase cells, supporting a role for RECQ5 in preventing transcription-associated DSBs during replication. Finally, we show that the SET2-RPB1 interaction (SRI) domain of human RECQ5 is important for suppressing spontaneous DSBs and the p53-dependent transcription stress response caused by the stalling of active RNAPII on DNA. Thus, our studies provide novel insights into a mechanism by which RECQ5 regulates the transcription machinery via its dynamic interaction with RNAPII, thereby preventing genome instability.", "author" : [ { "dropping-particle" : "", "family" : "Li", "given" : "Min", "non-dropping-particle" : "", "parse-names" : false, "suffix" : "" }, { "dropping-particle" : "", "family" : "Xu", "given" : "Xiaohua", "non-dropping-particle" : "", "parse-names" : false, "suffix" : "" }, { "dropping-particle" : "", "family" : "Liu", "given" : "Yilun", "non-dropping-particle" : "", "parse-names" : false, "suffix" : "" } ], "container-title" : "Molecular and Cellular Biology", "id" : "ITEM-1", "issue" : "10", "issued" : { "date-parts" : [ [ "2011", "5" ] ] }, "page" : "2090-9", "title" : "The SET2-RPB1 interaction domain of human RECQ5 is important for transcription-associated genome stability.", "type" : "article-journal", "volume" : "31" }, "uris" : [ "http://www.mendeley.com/documents/?uuid=d85024d5-b596-4ac4-bbf7-6e648a3c5bef" ] } ], "mendeley" : { "formattedCitation" : "(Li et al. 2011)", "plainTextFormattedCitation" : "(Li et al. 2011)", "previouslyFormattedCitation" : "(Li et al. 2011)"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(Li et al. 2011)</w:t>
      </w:r>
      <w:r w:rsidR="00F20EC0" w:rsidRPr="00DF0680">
        <w:rPr>
          <w:rFonts w:cs="Times New Roman"/>
        </w:rPr>
        <w:fldChar w:fldCharType="end"/>
      </w:r>
      <w:r w:rsidRPr="00DF0680">
        <w:rPr>
          <w:rFonts w:cs="Times New Roman"/>
        </w:rPr>
        <w:t xml:space="preserve">. </w:t>
      </w:r>
      <w:r w:rsidR="00A33519" w:rsidRPr="00DF0680">
        <w:rPr>
          <w:rFonts w:cs="Times New Roman"/>
        </w:rPr>
        <w:t xml:space="preserve">RECQL5 </w:t>
      </w:r>
      <w:r w:rsidR="001B6C44" w:rsidRPr="00DF0680">
        <w:rPr>
          <w:rFonts w:cs="Times New Roman"/>
        </w:rPr>
        <w:t xml:space="preserve">is the only helicase from the RecQ family that </w:t>
      </w:r>
      <w:r w:rsidR="00A33519" w:rsidRPr="00DF0680">
        <w:rPr>
          <w:rFonts w:cs="Times New Roman"/>
        </w:rPr>
        <w:t>contains functional domains to bind with RNA Pol II</w:t>
      </w:r>
      <w:r w:rsidR="00351740" w:rsidRPr="00DF0680">
        <w:rPr>
          <w:rFonts w:cs="Times New Roman"/>
        </w:rPr>
        <w:t xml:space="preserve"> </w:t>
      </w:r>
      <w:r w:rsidR="00F20EC0" w:rsidRPr="00DF0680">
        <w:rPr>
          <w:rFonts w:cs="Times New Roman"/>
        </w:rPr>
        <w:fldChar w:fldCharType="begin" w:fldLock="1"/>
      </w:r>
      <w:r w:rsidR="001112F6" w:rsidRPr="00DF0680">
        <w:rPr>
          <w:rFonts w:cs="Times New Roman"/>
        </w:rPr>
        <w:instrText>ADDIN CSL_CITATION { "citationItems" : [ { "id" : "ITEM-1", "itemData" : { "DOI" : "10.1073/pnas.0804424105", "ISSN" : "1091-6490", "PMID" : "18562274", "abstract" : "Although the active forms of factors involved in DNA-related processes such as DNA replication, repair, and transcription are associated with chromatin, proteins are rarely purified from this source. Here, we describe a protocol for the isolation of chromatin-associated factors and use it to identify proteins interacting with human RNA polymerase II (RNAPII). Our data establish RECQ5 helicase as a bona fide RNAPII-associated protein. The RECQ5-RNAPII interaction is direct and is mediated by the RPB1 subunit of RNAPII, and RECQ5 appears to be the only member of the human RECQ family of helicases that associates with RNAPII. These data suggest an unexpected role for RECQ5 helicase at the interface of transcription and genomic stability.", "author" : [ { "dropping-particle" : "", "family" : "Ayg\u00fcn", "given" : "Ozan", "non-dropping-particle" : "", "parse-names" : false, "suffix" : "" }, { "dropping-particle" : "", "family" : "Svejstrup", "given" : "Jesper", "non-dropping-particle" : "", "parse-names" : false, "suffix" : "" }, { "dropping-particle" : "", "family" : "Liu", "given" : "Yilun", "non-dropping-particle" : "", "parse-names" : false, "suffix" : "" } ], "container-title" : "Proceedings of the National Academy of Sciences", "id" : "ITEM-1", "issue" : "25", "issued" : { "date-parts" : [ [ "2008", "6", "24" ] ] }, "page" : "8580-4", "title" : "A RECQ5-RNA polymerase II association identified by targeted proteomic analysis of human chromatin.", "type" : "article-journal", "volume" : "105" }, "uris" : [ "http://www.mendeley.com/documents/?uuid=9b2350a4-753b-4c52-8b72-641f5c2a4488" ] } ], "mendeley" : { "formattedCitation" : "(Ayg\u00fcn et al. 2008)", "plainTextFormattedCitation" : "(Ayg\u00fcn et al. 2008)", "previouslyFormattedCitation" : "(Ayg\u00fcn et al. 2008)"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(Aygün et al. 2008)</w:t>
      </w:r>
      <w:r w:rsidR="00F20EC0" w:rsidRPr="00DF0680">
        <w:rPr>
          <w:rFonts w:cs="Times New Roman"/>
        </w:rPr>
        <w:fldChar w:fldCharType="end"/>
      </w:r>
      <w:r w:rsidR="00A33519" w:rsidRPr="00DF0680">
        <w:rPr>
          <w:rFonts w:cs="Times New Roman"/>
        </w:rPr>
        <w:t xml:space="preserve">. </w:t>
      </w:r>
      <w:r w:rsidR="00351740" w:rsidRPr="00DF0680">
        <w:rPr>
          <w:rFonts w:cs="Times New Roman"/>
        </w:rPr>
        <w:t>This interaction allows RECQL5 to inhibit both init</w:t>
      </w:r>
      <w:r w:rsidRPr="00DF0680">
        <w:rPr>
          <w:rFonts w:cs="Times New Roman"/>
        </w:rPr>
        <w:t>i</w:t>
      </w:r>
      <w:r w:rsidR="00351740" w:rsidRPr="00DF0680">
        <w:rPr>
          <w:rFonts w:cs="Times New Roman"/>
        </w:rPr>
        <w:t>ation and elongation of RNA</w:t>
      </w:r>
      <w:r w:rsidR="00577EA5" w:rsidRPr="00DF0680">
        <w:rPr>
          <w:rFonts w:cs="Times New Roman"/>
        </w:rPr>
        <w:t xml:space="preserve"> </w:t>
      </w:r>
      <w:r w:rsidR="00351740" w:rsidRPr="00DF0680">
        <w:rPr>
          <w:rFonts w:cs="Times New Roman"/>
        </w:rPr>
        <w:t>Pol</w:t>
      </w:r>
      <w:r w:rsidR="00577EA5" w:rsidRPr="00DF0680">
        <w:rPr>
          <w:rFonts w:cs="Times New Roman"/>
        </w:rPr>
        <w:t xml:space="preserve"> </w:t>
      </w:r>
      <w:r w:rsidR="00351740" w:rsidRPr="00DF0680">
        <w:rPr>
          <w:rFonts w:cs="Times New Roman"/>
        </w:rPr>
        <w:t xml:space="preserve">II in a helicase independent manner </w:t>
      </w:r>
      <w:r w:rsidR="00F20EC0" w:rsidRPr="00DF0680">
        <w:rPr>
          <w:rFonts w:cs="Times New Roman"/>
        </w:rPr>
        <w:fldChar w:fldCharType="begin" w:fldLock="1"/>
      </w:r>
      <w:r w:rsidR="00332613" w:rsidRPr="00DF0680">
        <w:rPr>
          <w:rFonts w:cs="Times New Roman"/>
        </w:rPr>
        <w:instrText>ADDIN CSL_CITATION { "citationItems" : [ { "id" : "ITEM-1", "itemData" : { "DOI" : "10.1074/jbc.M109.015750", "ISBN" : "4420726938", "ISSN" : "0021-9258", "PMID" : "19570979", "abstract" : "DNA helicases of the RECQ family are important for maintaining genome integrity, from bacteria to humans. Although progress has been made in understanding the biochemical role of some human RECQ helicases, that of RECQL5 remains elusive. We recently reported that RECQL5 interacts with RNA polymerase II (RNAPII), pointing to a role for the protein in transcription. Here, we show that RECQL5 inhibits both initiation and elongation in transcription assays reconstituted with highly purified general transcription factors and RNAPII. Such inhibition is not observed with the related, much more active RECQL1 helicase or with a version of RECQL5 that has normal helicase activity but is impaired in its ability to interact with RNAPII. Indeed, RECQL5 helicase activity is not required for inhibition. We discuss our findings in light of the fact that RECQ5(-/-) mice have elevated levels of DNA recombination and a higher incidence of cancer.", "author" : [ { "dropping-particle" : "", "family" : "Ayg\u00fcn", "given" : "Ozan", "non-dropping-particle" : "", "parse-names" : false, "suffix" : "" }, { "dropping-particle" : "", "family" : "Xu", "given" : "Xiaohua", "non-dropping-particle" : "", "parse-names" : false, "suffix" : "" }, { "dropping-particle" : "", "family" : "Liu", "given" : "Yilun", "non-dropping-particle" : "", "parse-names" : false, "suffix" : "" }, { "dropping-particle" : "", "family" : "Takahashi", "given" : "Hidehisa", "non-dropping-particle" : "", "parse-names" : false, "suffix" : "" }, { "dropping-particle" : "", "family" : "Kong", "given" : "Stephanie E", "non-dropping-particle" : "", "parse-names" : false, "suffix" : "" }, { "dropping-particle" : "", "family" : "Conaway", "given" : "Ronald C", "non-dropping-particle" : "", "parse-names" : false, "suffix" : "" }, { "dropping-particle" : "", "family" : "Conaway", "given" : "Joan W", "non-dropping-particle" : "", "parse-names" : false, "suffix" : "" }, { "dropping-particle" : "", "family" : "Svejstrup", "given" : "Jesper Q", "non-dropping-particle" : "", "parse-names" : false, "suffix" : "" } ], "container-title" : "The Journal of Biological Chemistry", "id" : "ITEM-1", "issue" : "35", "issued" : { "date-parts" : [ [ "2009", "8", "28" ] ] }, "page" : "23197-203", "title" : "Direct inhibition of RNA polymerase II transcription by RECQL5.", "type" : "article-journal", "volume" : "284" }, "uris" : [ "http://www.mendeley.com/documents/?uuid=0cbdd15c-30e6-4120-a668-e55d5db9f8fb" ] } ], "mendeley" : { "formattedCitation" : "(Ayg\u00fcn et al. 2009)", "plainTextFormattedCitation" : "(Ayg\u00fcn et al. 2009)", "previouslyFormattedCitation" : "(Ayg\u00fcn et al. 2009)"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(Aygün et al. 2009)</w:t>
      </w:r>
      <w:r w:rsidR="00F20EC0" w:rsidRPr="00DF0680">
        <w:rPr>
          <w:rFonts w:cs="Times New Roman"/>
        </w:rPr>
        <w:fldChar w:fldCharType="end"/>
      </w:r>
      <w:r w:rsidR="00351740" w:rsidRPr="00DF0680">
        <w:rPr>
          <w:rFonts w:cs="Times New Roman"/>
        </w:rPr>
        <w:t>. The domains found to be responsi</w:t>
      </w:r>
      <w:r w:rsidR="00182B5C" w:rsidRPr="00DF0680">
        <w:rPr>
          <w:rFonts w:cs="Times New Roman"/>
        </w:rPr>
        <w:t>ble for this RNA Pol</w:t>
      </w:r>
      <w:r w:rsidR="00577EA5" w:rsidRPr="00DF0680">
        <w:rPr>
          <w:rFonts w:cs="Times New Roman"/>
        </w:rPr>
        <w:t xml:space="preserve"> </w:t>
      </w:r>
      <w:r w:rsidR="00182B5C" w:rsidRPr="00DF0680">
        <w:rPr>
          <w:rFonts w:cs="Times New Roman"/>
        </w:rPr>
        <w:t>II binding a</w:t>
      </w:r>
      <w:r w:rsidR="00351740" w:rsidRPr="00DF0680">
        <w:rPr>
          <w:rFonts w:cs="Times New Roman"/>
        </w:rPr>
        <w:t>re KIX and SRI domains, which can bind both init</w:t>
      </w:r>
      <w:r w:rsidRPr="00DF0680">
        <w:rPr>
          <w:rFonts w:cs="Times New Roman"/>
        </w:rPr>
        <w:t>i</w:t>
      </w:r>
      <w:r w:rsidR="00351740" w:rsidRPr="00DF0680">
        <w:rPr>
          <w:rFonts w:cs="Times New Roman"/>
        </w:rPr>
        <w:t>ation</w:t>
      </w:r>
      <w:r w:rsidR="00577EA5" w:rsidRPr="00DF0680">
        <w:rPr>
          <w:rFonts w:cs="Times New Roman"/>
        </w:rPr>
        <w:t xml:space="preserve"> and elongation forms of RNA Pol </w:t>
      </w:r>
      <w:r w:rsidR="00351740" w:rsidRPr="00DF0680">
        <w:rPr>
          <w:rFonts w:cs="Times New Roman"/>
        </w:rPr>
        <w:t xml:space="preserve">II or just the elongation form respectively </w:t>
      </w:r>
      <w:r w:rsidR="00F20EC0" w:rsidRPr="00DF0680">
        <w:rPr>
          <w:rFonts w:cs="Times New Roman"/>
        </w:rPr>
        <w:fldChar w:fldCharType="begin" w:fldLock="1"/>
      </w:r>
      <w:r w:rsidR="00332613" w:rsidRPr="00DF0680">
        <w:rPr>
          <w:rFonts w:cs="Times New Roman"/>
        </w:rPr>
        <w:instrText>ADDIN CSL_CITATION { "citationItems" : [ { "id" : "ITEM-1", "itemData" : { "DOI" : "10.1128/MCB.01583-09", "ISSN" : "1098-5549", "PMID" : "20231364", "abstract" : "The RecQL5 helicase is essential for maintaining genome stability and reducing cancer risk. To elucidate its mechanism of action, we purified a RecQL5-associated complex and identified its major component as RNA polymerase II (Pol II). Bioinformatics and structural modeling-guided mutagenesis revealed two conserved regions in RecQL5 as KIX and SRI domains, already known in transcriptional regulators for Pol II. The RecQL5-KIX domain binds both initiation (Pol IIa) and elongation (Pol IIo) forms of the polymerase, whereas the RecQL5-SRI domain interacts only with the elongation form. Fully functional RecQL5 requires both helicase activity and associations with the initiation polymerase, because mutants lacking either activity are partially defective in the suppression of sister chromatid exchange and resistance to camptothecin-induced DNA damage, and mutants lacking both activities are completely defective. We propose that RecQL5 promotes genome stabilization through two parallel mechanisms: by participation in homologous recombination-dependent DNA repair as a RecQ helicase and by regulating the initiation of Pol II to reduce transcription-associated replication impairment and recombination.", "author" : [ { "dropping-particle" : "", "family" : "Islam", "given" : "M Nurul", "non-dropping-particle" : "", "parse-names" : false, "suffix" : "" }, { "dropping-particle" : "", "family" : "Fox", "given" : "David", "non-dropping-particle" : "", "parse-names" : false, "suffix" : "" }, { "dropping-particle" : "", "family" : "Guo", "given" : "Rong", "non-dropping-particle" : "", "parse-names" : false, "suffix" : "" }, { "dropping-particle" : "", "family" : "Enomoto", "given" : "Takemi", "non-dropping-particle" : "", "parse-names" : false, "suffix" : "" }, { "dropping-particle" : "", "family" : "Wang", "given" : "Weidong", "non-dropping-particle" : "", "parse-names" : false, "suffix" : "" } ], "container-title" : "Molecular and Cellular Biology", "id" : "ITEM-1", "issue" : "10", "issued" : { "date-parts" : [ [ "2010", "5" ] ] }, "note" : "From Duplicate 2 ( ", "page" : "2460-72", "title" : "RecQL5 promotes genome stabilization through two parallel mechanisms--interacting with RNA polymerase II and acting as a helicase.", "type" : "article-journal", "volume" : "30" }, "uris" : [ "http://www.mendeley.com/documents/?uuid=1f20b96b-2b4e-477b-b382-d7890c861cb3" ] } ], "mendeley" : { "formattedCitation" : "(Islam et al. 2010)", "plainTextFormattedCitation" : "(Islam et al. 2010)", "previouslyFormattedCitation" : "(Islam et al. 2010)"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(Islam et al. 2010)</w:t>
      </w:r>
      <w:r w:rsidR="00F20EC0" w:rsidRPr="00DF0680">
        <w:rPr>
          <w:rFonts w:cs="Times New Roman"/>
        </w:rPr>
        <w:fldChar w:fldCharType="end"/>
      </w:r>
      <w:r w:rsidR="00351740" w:rsidRPr="00DF0680">
        <w:rPr>
          <w:rFonts w:cs="Times New Roman"/>
        </w:rPr>
        <w:t xml:space="preserve">. </w:t>
      </w:r>
      <w:r w:rsidR="0076127A" w:rsidRPr="00DF0680">
        <w:rPr>
          <w:rFonts w:cs="Times New Roman"/>
        </w:rPr>
        <w:t>The SRI domain binds to the C-terminal repeat domain (CTD) of RPB1 from RNA</w:t>
      </w:r>
      <w:r w:rsidR="00577EA5" w:rsidRPr="00DF0680">
        <w:rPr>
          <w:rFonts w:cs="Times New Roman"/>
        </w:rPr>
        <w:t xml:space="preserve"> </w:t>
      </w:r>
      <w:r w:rsidR="0076127A" w:rsidRPr="00DF0680">
        <w:rPr>
          <w:rFonts w:cs="Times New Roman"/>
        </w:rPr>
        <w:t>Pol</w:t>
      </w:r>
      <w:r w:rsidR="00577EA5" w:rsidRPr="00DF0680">
        <w:rPr>
          <w:rFonts w:cs="Times New Roman"/>
        </w:rPr>
        <w:t xml:space="preserve"> </w:t>
      </w:r>
      <w:r w:rsidR="0076127A" w:rsidRPr="00DF0680">
        <w:rPr>
          <w:rFonts w:cs="Times New Roman"/>
        </w:rPr>
        <w:t xml:space="preserve">II when it gets phosphorylated during transcription elongation </w:t>
      </w:r>
      <w:r w:rsidR="00F20EC0" w:rsidRPr="00DF0680">
        <w:rPr>
          <w:rFonts w:cs="Times New Roman"/>
        </w:rPr>
        <w:fldChar w:fldCharType="begin" w:fldLock="1"/>
      </w:r>
      <w:r w:rsidR="00332613" w:rsidRPr="00DF0680">
        <w:rPr>
          <w:rFonts w:cs="Times New Roman"/>
        </w:rPr>
        <w:instrText>ADDIN CSL_CITATION { "citationItems" : [ { "id" : "ITEM-1", "itemData" : { "DOI" : "10.1093/nar/gkq697", "ISSN" : "1362-4962", "PMID" : "20705653", "abstract" : "It is known that transcription can induce DNA recombination, thus compromising genomic stability. RECQ5 DNA helicase promotes genomic stability by regulating homologous recombination. Recent studies have shown that RECQ5 forms a stable complex with RNA polymerase II (RNAPII) in human cells, but the cellular role of this association is not understood. Here, we provide evidence that RECQ5 specifically binds to the Ser2,5-phosphorylated C-terminal repeat domain (CTD) of the largest subunit of RNAPII, RPB1, by means of a Set2-Rpb1-interacting (SRI) motif located at the C-terminus of RECQ5. We also show that RECQ5 associates with RNAPII-transcribed genes in a manner dependent on the SRI motif. Notably, RECQ5 density on transcribed genes correlates with the density of Ser2-CTD phosphorylation, which is associated with the productive elongation phase of transcription. Furthermore, we show that RECQ5 negatively affects cell viability upon inhibition of spliceosome assembly, which can lead to the formation of mutagenic R-loop structures. These data indicate that RECQ5 binds to the elongating RNAPII complex and support the idea that RECQ5 plays a role in the maintenance of genomic stability during transcription.", "author" : [ { "dropping-particle" : "", "family" : "Kanagaraj", "given" : "Radhakrishnan", "non-dropping-particle" : "", "parse-names" : false, "suffix" : "" }, { "dropping-particle" : "", "family" : "Huehn", "given" : "Daniela", "non-dropping-particle" : "", "parse-names" : false, "suffix" : "" }, { "dropping-particle" : "", "family" : "MacKellar", "given" : "April", "non-dropping-particle" : "", "parse-names" : false, "suffix" : "" }, { "dropping-particle" : "", "family" : "Menigatti", "given" : "Mirco", "non-dropping-particle" : "", "parse-names" : false, "suffix" : "" }, { "dropping-particle" : "", "family" : "Zheng", "given" : "Lu", "non-dropping-particle" : "", "parse-names" : false, "suffix" : "" }, { "dropping-particle" : "", "family" : "Urban", "given" : "Vaclav", "non-dropping-particle" : "", "parse-names" : false, "suffix" : "" }, { "dropping-particle" : "", "family" : "Shevelev", "given" : "Igor", "non-dropping-particle" : "", "parse-names" : false, "suffix" : "" }, { "dropping-particle" : "", "family" : "Greenleaf", "given" : "Arno L", "non-dropping-particle" : "", "parse-names" : false, "suffix" : "" }, { "dropping-particle" : "", "family" : "Janscak", "given" : "Pavel", "non-dropping-particle" : "", "parse-names" : false, "suffix" : "" } ], "container-title" : "Nucleic Acids Research", "id" : "ITEM-1", "issue" : "22", "issued" : { "date-parts" : [ [ "2010", "12" ] ] }, "page" : "8131-40", "title" : "RECQ5 helicase associates with the C-terminal repeat domain of RNA polymerase II during productive elongation phase of transcription.", "type" : "article-journal", "volume" : "38" }, "uris" : [ "http://www.mendeley.com/documents/?uuid=522c9559-c382-45eb-b974-fd10624080ef" ] } ], "mendeley" : { "formattedCitation" : "(Kanagaraj et al. 2010)", "plainTextFormattedCitation" : "(Kanagaraj et al. 2010)", "previouslyFormattedCitation" : "(Kanagaraj et al. 2010)"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(Kanagaraj et al. 2010)</w:t>
      </w:r>
      <w:r w:rsidR="00F20EC0" w:rsidRPr="00DF0680">
        <w:rPr>
          <w:rFonts w:cs="Times New Roman"/>
        </w:rPr>
        <w:fldChar w:fldCharType="end"/>
      </w:r>
      <w:r w:rsidR="0076127A" w:rsidRPr="00DF0680">
        <w:rPr>
          <w:rFonts w:cs="Times New Roman"/>
        </w:rPr>
        <w:t xml:space="preserve">.  The KIX domain is responsible for resistance to camptothecin and suppression of SCEs in BLM -/- cells </w:t>
      </w:r>
      <w:r w:rsidR="00F20EC0" w:rsidRPr="00DF0680">
        <w:rPr>
          <w:rFonts w:cs="Times New Roman"/>
        </w:rPr>
        <w:fldChar w:fldCharType="begin" w:fldLock="1"/>
      </w:r>
      <w:r w:rsidR="00332613" w:rsidRPr="00DF0680">
        <w:rPr>
          <w:rFonts w:cs="Times New Roman"/>
        </w:rPr>
        <w:instrText>ADDIN CSL_CITATION { "citationItems" : [ { "id" : "ITEM-1", "itemData" : { "DOI" : "10.1128/MCB.01583-09", "ISSN" : "1098-5549", "PMID" : "20231364", "abstract" : "The RecQL5 helicase is essential for maintaining genome stability and reducing cancer risk. To elucidate its mechanism of action, we purified a RecQL5-associated complex and identified its major component as RNA polymerase II (Pol II). Bioinformatics and structural modeling-guided mutagenesis revealed two conserved regions in RecQL5 as KIX and SRI domains, already known in transcriptional regulators for Pol II. The RecQL5-KIX domain binds both initiation (Pol IIa) and elongation (Pol IIo) forms of the polymerase, whereas the RecQL5-SRI domain interacts only with the elongation form. Fully functional RecQL5 requires both helicase activity and associations with the initiation polymerase, because mutants lacking either activity are partially defective in the suppression of sister chromatid exchange and resistance to camptothecin-induced DNA damage, and mutants lacking both activities are completely defective. We propose that RecQL5 promotes genome stabilization through two parallel mechanisms: by participation in homologous recombination-dependent DNA repair as a RecQ helicase and by regulating the initiation of Pol II to reduce transcription-associated replication impairment and recombination.", "author" : [ { "dropping-particle" : "", "family" : "Islam", "given" : "M Nurul", "non-dropping-particle" : "", "parse-names" : false, "suffix" : "" }, { "dropping-particle" : "", "family" : "Fox", "given" : "David", "non-dropping-particle" : "", "parse-names" : false, "suffix" : "" }, { "dropping-particle" : "", "family" : "Guo", "given" : "Rong", "non-dropping-particle" : "", "parse-names" : false, "suffix" : "" }, { "dropping-particle" : "", "family" : "Enomoto", "given" : "Takemi", "non-dropping-particle" : "", "parse-names" : false, "suffix" : "" }, { "dropping-particle" : "", "family" : "Wang", "given" : "Weidong", "non-dropping-particle" : "", "parse-names" : false, "suffix" : "" } ], "container-title" : "Molecular and Cellular Biology", "id" : "ITEM-1", "issue" : "10", "issued" : { "date-parts" : [ [ "2010", "5" ] ] }, "note" : "From Duplicate 2 ( ", "page" : "2460-72", "title" : "RecQL5 promotes genome stabilization through two parallel mechanisms--interacting with RNA polymerase II and acting as a helicase.", "type" : "article-journal", "volume" : "30" }, "uris" : [ "http://www.mendeley.com/documents/?uuid=1f20b96b-2b4e-477b-b382-d7890c861cb3" ] } ], "mendeley" : { "formattedCitation" : "(Islam et al. 2010)", "plainTextFormattedCitation" : "(Islam et al. 2010)", "previouslyFormattedCitation" : "(Islam et al. 2010)"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(Islam et al. 2010)</w:t>
      </w:r>
      <w:r w:rsidR="00F20EC0" w:rsidRPr="00DF0680">
        <w:rPr>
          <w:rFonts w:cs="Times New Roman"/>
        </w:rPr>
        <w:fldChar w:fldCharType="end"/>
      </w:r>
      <w:r w:rsidR="00CE7066" w:rsidRPr="00DF0680">
        <w:rPr>
          <w:rFonts w:cs="Times New Roman"/>
        </w:rPr>
        <w:t xml:space="preserve"> and it is thought to compete against the transcription elongation factor TFIIS for binding to RNA</w:t>
      </w:r>
      <w:r w:rsidR="00577EA5" w:rsidRPr="00DF0680">
        <w:rPr>
          <w:rFonts w:cs="Times New Roman"/>
        </w:rPr>
        <w:t xml:space="preserve"> </w:t>
      </w:r>
      <w:r w:rsidR="00CE7066" w:rsidRPr="00DF0680">
        <w:rPr>
          <w:rFonts w:cs="Times New Roman"/>
        </w:rPr>
        <w:t>Pol</w:t>
      </w:r>
      <w:r w:rsidR="00577EA5" w:rsidRPr="00DF0680">
        <w:rPr>
          <w:rFonts w:cs="Times New Roman"/>
        </w:rPr>
        <w:t xml:space="preserve"> </w:t>
      </w:r>
      <w:r w:rsidR="00CE7066" w:rsidRPr="00DF0680">
        <w:rPr>
          <w:rFonts w:cs="Times New Roman"/>
        </w:rPr>
        <w:t xml:space="preserve">II </w:t>
      </w:r>
      <w:r w:rsidR="00F20EC0" w:rsidRPr="00DF0680">
        <w:rPr>
          <w:rFonts w:cs="Times New Roman"/>
        </w:rPr>
        <w:fldChar w:fldCharType="begin" w:fldLock="1"/>
      </w:r>
      <w:r w:rsidR="00332613" w:rsidRPr="00DF0680">
        <w:rPr>
          <w:rFonts w:cs="Times New Roman"/>
        </w:rPr>
        <w:instrText>ADDIN CSL_CITATION { "citationItems" : [ { "id" : "ITEM-1", "itemData" : { "DOI" : "10.1038/nsmb.2596", "ISSN" : "1545-9993", "author" : [ { "dropping-particle" : "", "family" : "Kassube", "given" : "Susanne a", "non-dropping-particle" : "", "parse-names" : false, "suffix" : "" }, { "dropping-particle" : "", "family" : "Jinek", "given" : "Martin", "non-dropping-particle" : "", "parse-names" : false, "suffix" : "" }, { "dropping-particle" : "", "family" : "Fang", "given" : "Jie", "non-dropping-particle" : "", "parse-names" : false, "suffix" : "" }, { "dropping-particle" : "", "family" : "Tsutakawa", "given" : "Susan", "non-dropping-particle" : "", "parse-names" : false, "suffix" : "" }, { "dropping-particle" : "", "family" : "Nogales", "given" : "Eva", "non-dropping-particle" : "", "parse-names" : false, "suffix" : "" } ], "container-title" : "Nature Structural &amp; Molecular Biology", "id" : "ITEM-1", "issue" : "7", "issued" : { "date-parts" : [ [ "2013", "6", "9" ] ] }, "page" : "892-9", "publisher" : "Nature Publishing Group", "title" : "Structural mimicry in transcription regulation of human RNA polymerase II by the DNA helicase RECQL5", "type" : "article-journal", "volume" : "20" }, "uris" : [ "http://www.mendeley.com/documents/?uuid=44c75ea1-376f-4961-afa6-5fe2b00f94f0" ] } ], "mendeley" : { "formattedCitation" : "(Kassube et al. 2013)", "plainTextFormattedCitation" : "(Kassube et al. 2013)", "previouslyFormattedCitation" : "(Kassube et al. 2013)"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(Kassube et al. 2013)</w:t>
      </w:r>
      <w:r w:rsidR="00F20EC0" w:rsidRPr="00DF0680">
        <w:rPr>
          <w:rFonts w:cs="Times New Roman"/>
        </w:rPr>
        <w:fldChar w:fldCharType="end"/>
      </w:r>
      <w:r w:rsidR="0076127A" w:rsidRPr="00DF0680">
        <w:rPr>
          <w:rFonts w:cs="Times New Roman"/>
        </w:rPr>
        <w:t>.</w:t>
      </w:r>
      <w:r w:rsidR="00CE7066" w:rsidRPr="00DF0680">
        <w:rPr>
          <w:rFonts w:cs="Times New Roman"/>
        </w:rPr>
        <w:t xml:space="preserve"> </w:t>
      </w:r>
      <w:r w:rsidR="00D25B88" w:rsidRPr="00DF0680">
        <w:rPr>
          <w:rFonts w:cs="Times New Roman"/>
        </w:rPr>
        <w:t xml:space="preserve">Recent work has shown that </w:t>
      </w:r>
      <w:r w:rsidR="00532E88" w:rsidRPr="00DF0680">
        <w:rPr>
          <w:rFonts w:cs="Times New Roman"/>
        </w:rPr>
        <w:t xml:space="preserve">RECQL5 </w:t>
      </w:r>
      <w:r w:rsidRPr="00DF0680">
        <w:rPr>
          <w:rFonts w:cs="Times New Roman"/>
        </w:rPr>
        <w:t>depletion</w:t>
      </w:r>
      <w:r w:rsidR="00532E88" w:rsidRPr="00DF0680">
        <w:rPr>
          <w:rFonts w:cs="Times New Roman"/>
        </w:rPr>
        <w:t xml:space="preserve"> can increase</w:t>
      </w:r>
      <w:r w:rsidR="00D25B88" w:rsidRPr="00DF0680">
        <w:rPr>
          <w:rFonts w:cs="Times New Roman"/>
        </w:rPr>
        <w:t xml:space="preserve"> RNA</w:t>
      </w:r>
      <w:r w:rsidR="00577EA5" w:rsidRPr="00DF0680">
        <w:rPr>
          <w:rFonts w:cs="Times New Roman"/>
        </w:rPr>
        <w:t xml:space="preserve"> </w:t>
      </w:r>
      <w:r w:rsidR="00D25B88" w:rsidRPr="00DF0680">
        <w:rPr>
          <w:rFonts w:cs="Times New Roman"/>
        </w:rPr>
        <w:t>Pol</w:t>
      </w:r>
      <w:r w:rsidR="00577EA5" w:rsidRPr="00DF0680">
        <w:rPr>
          <w:rFonts w:cs="Times New Roman"/>
        </w:rPr>
        <w:t xml:space="preserve"> </w:t>
      </w:r>
      <w:r w:rsidR="00D25B88" w:rsidRPr="00DF0680">
        <w:rPr>
          <w:rFonts w:cs="Times New Roman"/>
        </w:rPr>
        <w:t xml:space="preserve">II transcription speed whereas over-expressing it slows transcription down </w:t>
      </w:r>
      <w:r w:rsidR="00F20EC0" w:rsidRPr="00DF0680">
        <w:rPr>
          <w:rFonts w:cs="Times New Roman"/>
        </w:rPr>
        <w:fldChar w:fldCharType="begin" w:fldLock="1"/>
      </w:r>
      <w:r w:rsidR="00DA6E78" w:rsidRPr="00DF0680">
        <w:rPr>
          <w:rFonts w:cs="Times New Roman"/>
        </w:rPr>
        <w:instrText>ADDIN CSL_CITATION { "citationItems" : [ { "id" : "ITEM-1", "itemData" : { "DOI" : "10.1016/j.cell.2014.03.048", "ISSN" : "1097-4172", "PMID" : "24836610", "abstract" : "RECQL5 is the sole member of the RECQ family of helicases associated with RNA polymerase II (RNAPII). We now show that RECQL5 is a general elongation factor that is important for preserving genome stability during transcription. Depletion or overexpression of RECQL5 results in corresponding shifts in the genome-wide RNAPII density profile. Elongation is particularly affected, with RECQL5 depletion causing a striking increase in the average rate, concurrent with increased stalling, pausing, arrest, and/or backtracking (transcription stress). RECQL5 therefore controls the movement of RNAPII across genes. Loss of RECQL5 also results in the loss or gain of genomic regions, with the breakpoints of lost regions located in genes and common fragile sites. The chromosomal breakpoints overlap with areas of elevated transcription stress, suggesting that RECQL5 suppresses such stress and its detrimental effects, and thereby prevents genome instability in the transcribed region of genes.", "author" : [ { "dropping-particle" : "", "family" : "Saponaro", "given" : "Marco", "non-dropping-particle" : "", "parse-names" : false, "suffix" : "" }, { "dropping-particle" : "", "family" : "Kantidakis", "given" : "Theodoros", "non-dropping-particle" : "", "parse-names" : false, "suffix" : "" }, { "dropping-particle" : "", "family" : "Mitter", "given" : "Richard", "non-dropping-particle" : "", "parse-names" : false, "suffix" : "" }, { "dropping-particle" : "", "family" : "Kelly", "given" : "Gavin P", "non-dropping-particle" : "", "parse-names" : false, "suffix" : "" }, { "dropping-particle" : "", "family" : "Heron", "given" : "Mark", "non-dropping-particle" : "", "parse-names" : false, "suffix" : "" }, { "dropping-particle" : "", "family" : "Williams", "given" : "Hannah", "non-dropping-particle" : "", "parse-names" : false, "suffix" : "" }, { "dropping-particle" : "", "family" : "S\u00f6ding", "given" : "Johannes", "non-dropping-particle" : "", "parse-names" : false, "suffix" : "" }, { "dropping-particle" : "", "family" : "Stewart", "given" : "Aengus", "non-dropping-particle" : "", "parse-names" : false, "suffix" : "" }, { "dropping-particle" : "", "family" : "Svejstrup", "given" : "Jesper Q", "non-dropping-particle" : "", "parse-names" : false, "suffix" : "" } ], "container-title" : "Cell", "id" : "ITEM-1", "issue" : "5", "issued" : { "date-parts" : [ [ "2014", "5", "14" ] ] }, "page" : "1037-1049", "title" : "RECQL5 Controls Transcript Elongation and Suppresses Genome Instability Associated with Transcription Stress.", "type" : "article-journal", "volume" : "157" }, "uris" : [ "http://www.mendeley.com/documents/?uuid=ae7d68fc-366a-46fc-ba2b-41a985d31baf" ] } ], "mendeley" : { "formattedCitation" : "(Saponaro et al. 2014)", "plainTextFormattedCitation" : "(Saponaro et al. 2014)", "previouslyFormattedCitation" : "(Saponaro et al. 2014)"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(Saponaro et al. 2014)</w:t>
      </w:r>
      <w:r w:rsidR="00F20EC0" w:rsidRPr="00DF0680">
        <w:rPr>
          <w:rFonts w:cs="Times New Roman"/>
        </w:rPr>
        <w:fldChar w:fldCharType="end"/>
      </w:r>
      <w:r w:rsidR="00D25B88" w:rsidRPr="00DF0680">
        <w:rPr>
          <w:rFonts w:cs="Times New Roman"/>
        </w:rPr>
        <w:t>. The same paper showed two different experiments sharing common lost and gained chromosomal rearrangements after depleting the cell of RECQL5. Rearrangements were significantly associated with common fragile sites (CFCs) and genes (22%</w:t>
      </w:r>
      <w:r w:rsidR="00532E88" w:rsidRPr="00DF0680">
        <w:rPr>
          <w:rFonts w:cs="Times New Roman"/>
        </w:rPr>
        <w:t xml:space="preserve"> and 87% respectively). T</w:t>
      </w:r>
      <w:r w:rsidR="00D25B88" w:rsidRPr="00DF0680">
        <w:rPr>
          <w:rFonts w:cs="Times New Roman"/>
        </w:rPr>
        <w:t xml:space="preserve">he wild-type cells did not share any rearrangements, or show any association with CFCs or genes </w:t>
      </w:r>
      <w:r w:rsidR="00F20EC0" w:rsidRPr="00DF0680">
        <w:rPr>
          <w:rFonts w:cs="Times New Roman"/>
        </w:rPr>
        <w:fldChar w:fldCharType="begin" w:fldLock="1"/>
      </w:r>
      <w:r w:rsidR="00DA6E78" w:rsidRPr="00DF0680">
        <w:rPr>
          <w:rFonts w:cs="Times New Roman"/>
        </w:rPr>
        <w:instrText>ADDIN CSL_CITATION { "citationItems" : [ { "id" : "ITEM-1", "itemData" : { "DOI" : "10.1016/j.cell.2014.03.048", "ISSN" : "1097-4172", "PMID" : "24836610", "abstract" : "RECQL5 is the sole member of the RECQ family of helicases associated with RNA polymerase II (RNAPII). We now show that RECQL5 is a general elongation factor that is important for preserving genome stability during transcription. Depletion or overexpression of RECQL5 results in corresponding shifts in the genome-wide RNAPII density profile. Elongation is particularly affected, with RECQL5 depletion causing a striking increase in the average rate, concurrent with increased stalling, pausing, arrest, and/or backtracking (transcription stress). RECQL5 therefore controls the movement of RNAPII across genes. Loss of RECQL5 also results in the loss or gain of genomic regions, with the breakpoints of lost regions located in genes and common fragile sites. The chromosomal breakpoints overlap with areas of elevated transcription stress, suggesting that RECQL5 suppresses such stress and its detrimental effects, and thereby prevents genome instability in the transcribed region of genes.", "author" : [ { "dropping-particle" : "", "family" : "Saponaro", "given" : "Marco", "non-dropping-particle" : "", "parse-names" : false, "suffix" : "" }, { "dropping-particle" : "", "family" : "Kantidakis", "given" : "Theodoros", "non-dropping-particle" : "", "parse-names" : false, "suffix" : "" }, { "dropping-particle" : "", "family" : "Mitter", "given" : "Richard", "non-dropping-particle" : "", "parse-names" : false, "suffix" : "" }, { "dropping-particle" : "", "family" : "Kelly", "given" : "Gavin P", "non-dropping-particle" : "", "parse-names" : false, "suffix" : "" }, { "dropping-particle" : "", "family" : "Heron", "given" : "Mark", "non-dropping-particle" : "", "parse-names" : false, "suffix" : "" }, { "dropping-particle" : "", "family" : "Williams", "given" : "Hannah", "non-dropping-particle" : "", "parse-names" : false, "suffix" : "" }, { "dropping-particle" : "", "family" : "S\u00f6ding", "given" : "Johannes", "non-dropping-particle" : "", "parse-names" : false, "suffix" : "" }, { "dropping-particle" : "", "family" : "Stewart", "given" : "Aengus", "non-dropping-particle" : "", "parse-names" : false, "suffix" : "" }, { "dropping-particle" : "", "family" : "Svejstrup", "given" : "Jesper Q", "non-dropping-particle" : "", "parse-names" : false, "suffix" : "" } ], "container-title" : "Cell", "id" : "ITEM-1", "issue" : "5", "issued" : { "date-parts" : [ [ "2014", "5", "14" ] ] }, "page" : "1037-1049", "title" : "RECQL5 Controls Transcript Elongation and Suppresses Genome Instability Associated with Transcription Stress.", "type" : "article-journal", "volume" : "157" }, "uris" : [ "http://www.mendeley.com/documents/?uuid=ae7d68fc-366a-46fc-ba2b-41a985d31baf" ] } ], "mendeley" : { "formattedCitation" : "(Saponaro et al. 2014)", "plainTextFormattedCitation" : "(Saponaro et al. 2014)", "previouslyFormattedCitation" : "(Saponaro et al. 2014)"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(Saponaro et al. 2014)</w:t>
      </w:r>
      <w:r w:rsidR="00F20EC0" w:rsidRPr="00DF0680">
        <w:rPr>
          <w:rFonts w:cs="Times New Roman"/>
        </w:rPr>
        <w:fldChar w:fldCharType="end"/>
      </w:r>
      <w:r w:rsidR="00D25B88" w:rsidRPr="00DF0680">
        <w:rPr>
          <w:rFonts w:cs="Times New Roman"/>
        </w:rPr>
        <w:t>.</w:t>
      </w:r>
      <w:r w:rsidR="00E459D0" w:rsidRPr="00DF0680">
        <w:rPr>
          <w:rFonts w:cs="Times New Roman"/>
        </w:rPr>
        <w:t xml:space="preserve"> Taken together, this data suggests that RECQL5 plays an important role in maintaining genome stability under t</w:t>
      </w:r>
      <w:r w:rsidR="00577EA5" w:rsidRPr="00DF0680">
        <w:rPr>
          <w:rFonts w:cs="Times New Roman"/>
        </w:rPr>
        <w:t>ranscription-associated stress.</w:t>
      </w:r>
    </w:p>
    <w:p w:rsidR="00865FFB" w:rsidRPr="00DF0680" w:rsidRDefault="00865FFB">
      <w:pPr>
        <w:spacing w:line="276" w:lineRule="auto"/>
        <w:jc w:val="left"/>
        <w:rPr>
          <w:rFonts w:cs="Times New Roman"/>
        </w:rPr>
      </w:pPr>
      <w:r w:rsidRPr="00DF0680">
        <w:rPr>
          <w:rFonts w:cs="Times New Roman"/>
        </w:rPr>
        <w:br w:type="page"/>
      </w:r>
    </w:p>
    <w:p w:rsidR="00D25B88" w:rsidRPr="00DF0680" w:rsidRDefault="00865FFB" w:rsidP="00865FFB">
      <w:pPr>
        <w:pStyle w:val="Heading2"/>
      </w:pPr>
      <w:bookmarkStart w:id="121" w:name="_Toc417204110"/>
      <w:bookmarkStart w:id="122" w:name="_Toc417204712"/>
      <w:bookmarkStart w:id="123" w:name="_Toc417204772"/>
      <w:bookmarkStart w:id="124" w:name="_Toc417674347"/>
      <w:r w:rsidRPr="00DF0680">
        <w:lastRenderedPageBreak/>
        <w:t>Aims</w:t>
      </w:r>
      <w:bookmarkEnd w:id="121"/>
      <w:bookmarkEnd w:id="122"/>
      <w:bookmarkEnd w:id="123"/>
      <w:bookmarkEnd w:id="124"/>
    </w:p>
    <w:p w:rsidR="00173346" w:rsidRPr="00DF0680" w:rsidRDefault="006832EF" w:rsidP="00A025CF">
      <w:pPr>
        <w:rPr>
          <w:rFonts w:cs="Times New Roman"/>
        </w:rPr>
      </w:pPr>
      <w:r w:rsidRPr="00DF0680">
        <w:rPr>
          <w:rFonts w:cs="Times New Roman"/>
        </w:rPr>
        <w:t xml:space="preserve">It is not yet clear what role RECQL5 plays in protecting the cell from replication stress. And although work has been done showing RECQL5 is down-regulated at an mRNA and protein level in colorectal cancer cells </w:t>
      </w:r>
      <w:r w:rsidR="00F20EC0" w:rsidRPr="00DF0680">
        <w:rPr>
          <w:rFonts w:cs="Times New Roman"/>
        </w:rPr>
        <w:fldChar w:fldCharType="begin" w:fldLock="1"/>
      </w:r>
      <w:r w:rsidR="00332613" w:rsidRPr="00DF0680">
        <w:rPr>
          <w:rFonts w:cs="Times New Roman"/>
        </w:rPr>
        <w:instrText>ADDIN CSL_CITATION { "citationItems" : [ { "id" : "ITEM-1", "itemData" : { "DOI" : "10.1593/tlo.13238", "author" : [ { "dropping-particle" : "", "family" : "Lao", "given" : "VV", "non-dropping-particle" : "", "parse-names" : false, "suffix" : "" } ], "container-title" : "Translational Oncology", "id" : "ITEM-1", "issue" : "4", "issued" : { "date-parts" : [ [ "2013" ] ] }, "page" : "458-469", "title" : "Altered RecQ Helicase Expression in Sporadic Primary Colorectal Cancers", "type" : "article-journal", "volume" : "6" }, "uris" : [ "http://www.mendeley.com/documents/?uuid=b44e8ddf-fde4-4929-870e-9b2e33fe92b7" ] } ], "mendeley" : { "formattedCitation" : "(Lao 2013)", "plainTextFormattedCitation" : "(Lao 2013)", "previouslyFormattedCitation" : "(Lao 2013)" }, "properties" : { "noteIndex" : 0 }, "schema" : "https://github.com/citation-style-language/schema/raw/master/csl-citation.json" }</w:instrText>
      </w:r>
      <w:r w:rsidR="00F20EC0" w:rsidRPr="00DF0680">
        <w:rPr>
          <w:rFonts w:cs="Times New Roman"/>
        </w:rPr>
        <w:fldChar w:fldCharType="separate"/>
      </w:r>
      <w:r w:rsidR="007E40B7" w:rsidRPr="00DF0680">
        <w:rPr>
          <w:rFonts w:cs="Times New Roman"/>
        </w:rPr>
        <w:t>(Lao 2013)</w:t>
      </w:r>
      <w:r w:rsidR="00F20EC0" w:rsidRPr="00DF0680">
        <w:rPr>
          <w:rFonts w:cs="Times New Roman"/>
        </w:rPr>
        <w:fldChar w:fldCharType="end"/>
      </w:r>
      <w:r w:rsidRPr="00DF0680">
        <w:rPr>
          <w:rFonts w:cs="Times New Roman"/>
        </w:rPr>
        <w:t xml:space="preserve">, we do not yet know if this is representative of other cancers. </w:t>
      </w:r>
      <w:r w:rsidR="00C14F3C" w:rsidRPr="00DF0680">
        <w:rPr>
          <w:rFonts w:cs="Times New Roman"/>
        </w:rPr>
        <w:t>The hypotheses set out for this work were that RECQL5 expression is altered in bladder cancer, RECQL5 levels influence response to replication stress and that RECQL5 is a potential therapeutic target. The aims were to investigate RECQL5 expression in bladder cancer, to decrease and increase RECQL5 protein level to test sensitivity to chemotherapeutics and to investigate the function of RECQL5 during replication stress.</w:t>
      </w:r>
    </w:p>
    <w:p w:rsidR="003F1B1F" w:rsidRPr="00DF0680" w:rsidRDefault="0009193F" w:rsidP="00EB1D60">
      <w:pPr>
        <w:rPr>
          <w:rFonts w:cs="Times New Roman"/>
          <w:color w:val="auto"/>
        </w:rPr>
      </w:pPr>
      <w:r w:rsidRPr="00DF0680">
        <w:rPr>
          <w:rFonts w:cs="Times New Roman"/>
          <w:color w:val="auto"/>
        </w:rPr>
        <w:t>In this thesis, I have shown, for the first time, u</w:t>
      </w:r>
      <w:r w:rsidR="006832EF" w:rsidRPr="00DF0680">
        <w:rPr>
          <w:rFonts w:cs="Times New Roman"/>
          <w:color w:val="auto"/>
        </w:rPr>
        <w:t xml:space="preserve">sing </w:t>
      </w:r>
      <w:r w:rsidR="00A121E7" w:rsidRPr="00DF0680">
        <w:rPr>
          <w:rFonts w:cs="Times New Roman"/>
          <w:color w:val="auto"/>
        </w:rPr>
        <w:t xml:space="preserve">western blotting, immunohistochemistry </w:t>
      </w:r>
      <w:r w:rsidRPr="00DF0680">
        <w:rPr>
          <w:rFonts w:cs="Times New Roman"/>
          <w:color w:val="auto"/>
        </w:rPr>
        <w:t>and qRT-PCR, that</w:t>
      </w:r>
      <w:r w:rsidR="00A121E7" w:rsidRPr="00DF0680">
        <w:rPr>
          <w:rFonts w:cs="Times New Roman"/>
          <w:color w:val="auto"/>
        </w:rPr>
        <w:t xml:space="preserve"> </w:t>
      </w:r>
      <w:r w:rsidR="00BA2132" w:rsidRPr="00DF0680">
        <w:rPr>
          <w:rFonts w:cs="Times New Roman"/>
          <w:color w:val="auto"/>
        </w:rPr>
        <w:t xml:space="preserve">RECQL5 </w:t>
      </w:r>
      <w:r w:rsidR="00A121E7" w:rsidRPr="00DF0680">
        <w:rPr>
          <w:rFonts w:cs="Times New Roman"/>
          <w:color w:val="auto"/>
        </w:rPr>
        <w:t>mRNA and protein levels</w:t>
      </w:r>
      <w:r w:rsidRPr="00DF0680">
        <w:rPr>
          <w:rFonts w:cs="Times New Roman"/>
          <w:color w:val="auto"/>
        </w:rPr>
        <w:t xml:space="preserve"> are significantly different in </w:t>
      </w:r>
      <w:r w:rsidR="00BA2132" w:rsidRPr="00DF0680">
        <w:rPr>
          <w:rFonts w:cs="Times New Roman"/>
          <w:color w:val="auto"/>
        </w:rPr>
        <w:t>bladder cancer</w:t>
      </w:r>
      <w:r w:rsidRPr="00DF0680">
        <w:rPr>
          <w:rFonts w:cs="Times New Roman"/>
          <w:color w:val="auto"/>
        </w:rPr>
        <w:t xml:space="preserve"> when compared to normal bladder</w:t>
      </w:r>
      <w:r w:rsidR="00A121E7" w:rsidRPr="00DF0680">
        <w:rPr>
          <w:rFonts w:cs="Times New Roman"/>
          <w:color w:val="auto"/>
        </w:rPr>
        <w:t xml:space="preserve">, and have investigated how </w:t>
      </w:r>
      <w:r w:rsidRPr="00DF0680">
        <w:rPr>
          <w:rFonts w:cs="Times New Roman"/>
          <w:color w:val="auto"/>
        </w:rPr>
        <w:t>RECQL5 expression is regulated in bladder cells</w:t>
      </w:r>
      <w:r w:rsidR="00A121E7" w:rsidRPr="00DF0680">
        <w:rPr>
          <w:rFonts w:cs="Times New Roman"/>
          <w:color w:val="auto"/>
        </w:rPr>
        <w:t xml:space="preserve">. </w:t>
      </w:r>
      <w:r w:rsidRPr="00DF0680">
        <w:rPr>
          <w:rFonts w:cs="Times New Roman"/>
          <w:color w:val="auto"/>
        </w:rPr>
        <w:t xml:space="preserve">Using DNA fibre analysis and </w:t>
      </w:r>
      <w:r w:rsidR="00E52DD8" w:rsidRPr="00DF0680">
        <w:rPr>
          <w:rFonts w:cs="Times New Roman"/>
          <w:color w:val="auto"/>
        </w:rPr>
        <w:t>immunofluorescence</w:t>
      </w:r>
      <w:r w:rsidRPr="00DF0680">
        <w:rPr>
          <w:rFonts w:cs="Times New Roman"/>
          <w:color w:val="auto"/>
        </w:rPr>
        <w:t xml:space="preserve">, my work has contributed to the understanding of RECQL5’s role at the replication fork at times of stress induced by camptothecin, hydroxyurea, and 5,6-Dichloro-1-β-D-ribofuranosylbenzimidazole (DRB). </w:t>
      </w:r>
      <w:r w:rsidR="00BA2132" w:rsidRPr="00DF0680">
        <w:rPr>
          <w:rFonts w:cs="Times New Roman"/>
          <w:color w:val="auto"/>
        </w:rPr>
        <w:t xml:space="preserve">I have assessed RECQL5’s potential as a therapeutic target, </w:t>
      </w:r>
      <w:r w:rsidR="00A121E7" w:rsidRPr="00DF0680">
        <w:rPr>
          <w:rFonts w:cs="Times New Roman"/>
          <w:color w:val="auto"/>
        </w:rPr>
        <w:t>by using RNAi and expression vect</w:t>
      </w:r>
      <w:r w:rsidR="00BA2132" w:rsidRPr="00DF0680">
        <w:rPr>
          <w:rFonts w:cs="Times New Roman"/>
          <w:color w:val="auto"/>
        </w:rPr>
        <w:t>ors to</w:t>
      </w:r>
      <w:r w:rsidR="00A121E7" w:rsidRPr="00DF0680">
        <w:rPr>
          <w:rFonts w:cs="Times New Roman"/>
          <w:color w:val="auto"/>
        </w:rPr>
        <w:t xml:space="preserve"> </w:t>
      </w:r>
      <w:r w:rsidR="00BA2132" w:rsidRPr="00DF0680">
        <w:rPr>
          <w:rFonts w:cs="Times New Roman"/>
          <w:color w:val="auto"/>
        </w:rPr>
        <w:t>alter</w:t>
      </w:r>
      <w:r w:rsidR="00A121E7" w:rsidRPr="00DF0680">
        <w:rPr>
          <w:rFonts w:cs="Times New Roman"/>
          <w:color w:val="auto"/>
        </w:rPr>
        <w:t xml:space="preserve"> the leve</w:t>
      </w:r>
      <w:r w:rsidR="00BA2132" w:rsidRPr="00DF0680">
        <w:rPr>
          <w:rFonts w:cs="Times New Roman"/>
          <w:color w:val="auto"/>
        </w:rPr>
        <w:t>ls of RECQL5 in cells and testing</w:t>
      </w:r>
      <w:r w:rsidR="00A121E7" w:rsidRPr="00DF0680">
        <w:rPr>
          <w:rFonts w:cs="Times New Roman"/>
          <w:color w:val="auto"/>
        </w:rPr>
        <w:t xml:space="preserve"> the sensitivity to replication </w:t>
      </w:r>
      <w:r w:rsidR="00BA2132" w:rsidRPr="00DF0680">
        <w:rPr>
          <w:rFonts w:cs="Times New Roman"/>
          <w:color w:val="auto"/>
        </w:rPr>
        <w:t>stresses.</w:t>
      </w:r>
      <w:r w:rsidRPr="00DF0680">
        <w:rPr>
          <w:rFonts w:cs="Times New Roman"/>
          <w:color w:val="auto"/>
        </w:rPr>
        <w:t xml:space="preserve"> Finally, the relationship between RECQL5 and MRE11 has been investigated, using expression data from normal and cancerous bladder cells and tissues, toxicity assays, a</w:t>
      </w:r>
      <w:r w:rsidR="00577EA5" w:rsidRPr="00DF0680">
        <w:rPr>
          <w:rFonts w:cs="Times New Roman"/>
          <w:color w:val="auto"/>
        </w:rPr>
        <w:t>nd immunoprecipitation assays.</w:t>
      </w:r>
    </w:p>
    <w:p w:rsidR="003F1B1F" w:rsidRPr="00DF0680" w:rsidRDefault="003F1B1F" w:rsidP="00EB1D60">
      <w:pPr>
        <w:rPr>
          <w:rFonts w:cs="Times New Roman"/>
          <w:color w:val="auto"/>
        </w:rPr>
        <w:sectPr w:rsidR="003F1B1F" w:rsidRPr="00DF0680" w:rsidSect="00AD3855">
          <w:headerReference w:type="default" r:id="rId22"/>
          <w:pgSz w:w="11906" w:h="16838"/>
          <w:pgMar w:top="1440" w:right="1134" w:bottom="1440" w:left="2268" w:header="709" w:footer="709" w:gutter="0"/>
          <w:pgNumType w:start="1"/>
          <w:cols w:space="708"/>
          <w:docGrid w:linePitch="360"/>
        </w:sectPr>
      </w:pPr>
    </w:p>
    <w:p w:rsidR="003F1B1F" w:rsidRPr="00DF0680" w:rsidRDefault="003F1B1F" w:rsidP="00E664FC">
      <w:pPr>
        <w:pStyle w:val="Heading1"/>
      </w:pPr>
      <w:bookmarkStart w:id="125" w:name="_Toc409168199"/>
      <w:bookmarkStart w:id="126" w:name="_Toc409172246"/>
      <w:bookmarkStart w:id="127" w:name="_Toc410203495"/>
      <w:bookmarkStart w:id="128" w:name="_Toc417204111"/>
      <w:bookmarkStart w:id="129" w:name="_Toc417204421"/>
      <w:bookmarkStart w:id="130" w:name="_Toc417204713"/>
      <w:bookmarkStart w:id="131" w:name="_Toc417204773"/>
      <w:bookmarkStart w:id="132" w:name="_Toc417674552"/>
      <w:bookmarkStart w:id="133" w:name="_Toc234582245"/>
      <w:bookmarkStart w:id="134" w:name="_Toc331086195"/>
      <w:bookmarkStart w:id="135" w:name="Materials"/>
      <w:bookmarkEnd w:id="9"/>
      <w:r w:rsidRPr="00DF0680">
        <w:lastRenderedPageBreak/>
        <w:t>– Materials and Methods</w:t>
      </w:r>
      <w:bookmarkEnd w:id="125"/>
      <w:bookmarkEnd w:id="126"/>
      <w:bookmarkEnd w:id="127"/>
      <w:bookmarkEnd w:id="128"/>
      <w:bookmarkEnd w:id="129"/>
      <w:bookmarkEnd w:id="130"/>
      <w:bookmarkEnd w:id="131"/>
      <w:bookmarkEnd w:id="132"/>
    </w:p>
    <w:p w:rsidR="00CE6110" w:rsidRPr="00DF0680" w:rsidRDefault="00F20EC0">
      <w:pPr>
        <w:pStyle w:val="TOC1"/>
        <w:rPr>
          <w:rFonts w:asciiTheme="minorHAnsi" w:eastAsiaTheme="minorEastAsia" w:hAnsiTheme="minorHAnsi" w:cstheme="minorBidi"/>
          <w:b w:val="0"/>
          <w:noProof w:val="0"/>
          <w:color w:val="auto"/>
          <w:sz w:val="22"/>
        </w:rPr>
      </w:pPr>
      <w:r w:rsidRPr="00DF0680">
        <w:rPr>
          <w:noProof w:val="0"/>
        </w:rPr>
        <w:fldChar w:fldCharType="begin"/>
      </w:r>
      <w:r w:rsidR="00A430D9" w:rsidRPr="00DF0680">
        <w:rPr>
          <w:noProof w:val="0"/>
        </w:rPr>
        <w:instrText xml:space="preserve"> TOC \b Materials \* MERGEFORMAT </w:instrText>
      </w:r>
      <w:r w:rsidRPr="00DF0680">
        <w:rPr>
          <w:noProof w:val="0"/>
        </w:rPr>
        <w:fldChar w:fldCharType="separate"/>
      </w:r>
    </w:p>
    <w:p w:rsidR="00CE6110" w:rsidRPr="00DF0680" w:rsidRDefault="00CE6110">
      <w:pPr>
        <w:pStyle w:val="TOC2"/>
        <w:rPr>
          <w:rFonts w:asciiTheme="minorHAnsi" w:eastAsiaTheme="minorEastAsia" w:hAnsiTheme="minorHAnsi" w:cstheme="minorBidi"/>
          <w:noProof w:val="0"/>
          <w:color w:val="auto"/>
          <w:sz w:val="22"/>
        </w:rPr>
      </w:pPr>
      <w:r w:rsidRPr="00DF0680">
        <w:rPr>
          <w:noProof w:val="0"/>
        </w:rPr>
        <w:t>2.1</w:t>
      </w:r>
      <w:r w:rsidRPr="00DF0680">
        <w:rPr>
          <w:rFonts w:asciiTheme="minorHAnsi" w:eastAsiaTheme="minorEastAsia" w:hAnsiTheme="minorHAnsi" w:cstheme="minorBidi"/>
          <w:noProof w:val="0"/>
          <w:color w:val="auto"/>
          <w:sz w:val="22"/>
        </w:rPr>
        <w:tab/>
      </w:r>
      <w:r w:rsidRPr="00DF0680">
        <w:rPr>
          <w:noProof w:val="0"/>
        </w:rPr>
        <w:t>Materials</w:t>
      </w:r>
      <w:r w:rsidRPr="00DF0680">
        <w:rPr>
          <w:noProof w:val="0"/>
        </w:rPr>
        <w:tab/>
      </w:r>
      <w:r w:rsidR="00F20EC0" w:rsidRPr="00DF0680">
        <w:rPr>
          <w:noProof w:val="0"/>
        </w:rPr>
        <w:fldChar w:fldCharType="begin"/>
      </w:r>
      <w:r w:rsidRPr="00DF0680">
        <w:rPr>
          <w:noProof w:val="0"/>
        </w:rPr>
        <w:instrText xml:space="preserve"> PAGEREF _Toc417674553 \h </w:instrText>
      </w:r>
      <w:r w:rsidR="00F20EC0" w:rsidRPr="00DF0680">
        <w:rPr>
          <w:noProof w:val="0"/>
        </w:rPr>
      </w:r>
      <w:r w:rsidR="00F20EC0" w:rsidRPr="00DF0680">
        <w:rPr>
          <w:noProof w:val="0"/>
        </w:rPr>
        <w:fldChar w:fldCharType="separate"/>
      </w:r>
      <w:r w:rsidR="009801AF" w:rsidRPr="00DF0680">
        <w:rPr>
          <w:noProof w:val="0"/>
        </w:rPr>
        <w:t>61</w:t>
      </w:r>
      <w:r w:rsidR="00F20EC0" w:rsidRPr="00DF0680">
        <w:rPr>
          <w:noProof w:val="0"/>
        </w:rPr>
        <w:fldChar w:fldCharType="end"/>
      </w:r>
    </w:p>
    <w:p w:rsidR="00CE6110" w:rsidRPr="00DF0680" w:rsidRDefault="00CE6110">
      <w:pPr>
        <w:pStyle w:val="TOC3"/>
        <w:rPr>
          <w:rFonts w:asciiTheme="minorHAnsi" w:eastAsiaTheme="minorEastAsia" w:hAnsiTheme="minorHAnsi" w:cstheme="minorBidi"/>
          <w:color w:val="auto"/>
          <w:sz w:val="22"/>
        </w:rPr>
      </w:pPr>
      <w:r w:rsidRPr="00DF0680">
        <w:t>2.1.1</w:t>
      </w:r>
      <w:r w:rsidRPr="00DF0680">
        <w:rPr>
          <w:rFonts w:asciiTheme="minorHAnsi" w:eastAsiaTheme="minorEastAsia" w:hAnsiTheme="minorHAnsi" w:cstheme="minorBidi"/>
          <w:color w:val="auto"/>
          <w:sz w:val="22"/>
        </w:rPr>
        <w:tab/>
      </w:r>
      <w:r w:rsidRPr="00DF0680">
        <w:t>General lab equipment</w:t>
      </w:r>
      <w:r w:rsidRPr="00DF0680">
        <w:tab/>
      </w:r>
      <w:r w:rsidR="00F20EC0" w:rsidRPr="00DF0680">
        <w:fldChar w:fldCharType="begin"/>
      </w:r>
      <w:r w:rsidRPr="00DF0680">
        <w:instrText xml:space="preserve"> PAGEREF _Toc417674554 \h </w:instrText>
      </w:r>
      <w:r w:rsidR="00F20EC0" w:rsidRPr="00DF0680">
        <w:fldChar w:fldCharType="separate"/>
      </w:r>
      <w:r w:rsidR="009801AF" w:rsidRPr="00DF0680">
        <w:t>61</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2.1.1.1</w:t>
      </w:r>
      <w:r w:rsidRPr="00DF0680">
        <w:rPr>
          <w:rFonts w:asciiTheme="minorHAnsi" w:eastAsiaTheme="minorEastAsia" w:hAnsiTheme="minorHAnsi" w:cstheme="minorBidi"/>
          <w:color w:val="auto"/>
          <w:sz w:val="22"/>
        </w:rPr>
        <w:tab/>
      </w:r>
      <w:r w:rsidRPr="00DF0680">
        <w:t>Lab equipment</w:t>
      </w:r>
      <w:r w:rsidRPr="00DF0680">
        <w:tab/>
      </w:r>
      <w:r w:rsidR="00F20EC0" w:rsidRPr="00DF0680">
        <w:fldChar w:fldCharType="begin"/>
      </w:r>
      <w:r w:rsidRPr="00DF0680">
        <w:instrText xml:space="preserve"> PAGEREF _Toc417674555 \h </w:instrText>
      </w:r>
      <w:r w:rsidR="00F20EC0" w:rsidRPr="00DF0680">
        <w:fldChar w:fldCharType="separate"/>
      </w:r>
      <w:r w:rsidR="009801AF" w:rsidRPr="00DF0680">
        <w:t>61</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2.1.1.2</w:t>
      </w:r>
      <w:r w:rsidRPr="00DF0680">
        <w:rPr>
          <w:rFonts w:asciiTheme="minorHAnsi" w:eastAsiaTheme="minorEastAsia" w:hAnsiTheme="minorHAnsi" w:cstheme="minorBidi"/>
          <w:color w:val="auto"/>
          <w:sz w:val="22"/>
        </w:rPr>
        <w:tab/>
      </w:r>
      <w:r w:rsidRPr="00DF0680">
        <w:t>Glassware, plastics and disposables</w:t>
      </w:r>
      <w:r w:rsidRPr="00DF0680">
        <w:tab/>
      </w:r>
      <w:r w:rsidR="00F20EC0" w:rsidRPr="00DF0680">
        <w:fldChar w:fldCharType="begin"/>
      </w:r>
      <w:r w:rsidRPr="00DF0680">
        <w:instrText xml:space="preserve"> PAGEREF _Toc417674556 \h </w:instrText>
      </w:r>
      <w:r w:rsidR="00F20EC0" w:rsidRPr="00DF0680">
        <w:fldChar w:fldCharType="separate"/>
      </w:r>
      <w:r w:rsidR="009801AF" w:rsidRPr="00DF0680">
        <w:t>62</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2.1.1.3</w:t>
      </w:r>
      <w:r w:rsidRPr="00DF0680">
        <w:rPr>
          <w:rFonts w:asciiTheme="minorHAnsi" w:eastAsiaTheme="minorEastAsia" w:hAnsiTheme="minorHAnsi" w:cstheme="minorBidi"/>
          <w:color w:val="auto"/>
          <w:sz w:val="22"/>
        </w:rPr>
        <w:tab/>
      </w:r>
      <w:r w:rsidRPr="00DF0680">
        <w:t>Purified water</w:t>
      </w:r>
      <w:r w:rsidRPr="00DF0680">
        <w:tab/>
      </w:r>
      <w:r w:rsidR="00F20EC0" w:rsidRPr="00DF0680">
        <w:fldChar w:fldCharType="begin"/>
      </w:r>
      <w:r w:rsidRPr="00DF0680">
        <w:instrText xml:space="preserve"> PAGEREF _Toc417674557 \h </w:instrText>
      </w:r>
      <w:r w:rsidR="00F20EC0" w:rsidRPr="00DF0680">
        <w:fldChar w:fldCharType="separate"/>
      </w:r>
      <w:r w:rsidR="009801AF" w:rsidRPr="00DF0680">
        <w:t>63</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2.1.1.4</w:t>
      </w:r>
      <w:r w:rsidRPr="00DF0680">
        <w:rPr>
          <w:rFonts w:asciiTheme="minorHAnsi" w:eastAsiaTheme="minorEastAsia" w:hAnsiTheme="minorHAnsi" w:cstheme="minorBidi"/>
          <w:color w:val="auto"/>
          <w:sz w:val="22"/>
        </w:rPr>
        <w:tab/>
      </w:r>
      <w:r w:rsidRPr="00DF0680">
        <w:t>Sterilisation</w:t>
      </w:r>
      <w:r w:rsidRPr="00DF0680">
        <w:tab/>
      </w:r>
      <w:r w:rsidR="00F20EC0" w:rsidRPr="00DF0680">
        <w:fldChar w:fldCharType="begin"/>
      </w:r>
      <w:r w:rsidRPr="00DF0680">
        <w:instrText xml:space="preserve"> PAGEREF _Toc417674558 \h </w:instrText>
      </w:r>
      <w:r w:rsidR="00F20EC0" w:rsidRPr="00DF0680">
        <w:fldChar w:fldCharType="separate"/>
      </w:r>
      <w:r w:rsidR="009801AF" w:rsidRPr="00DF0680">
        <w:t>63</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2.1.2</w:t>
      </w:r>
      <w:r w:rsidRPr="00DF0680">
        <w:rPr>
          <w:rFonts w:asciiTheme="minorHAnsi" w:eastAsiaTheme="minorEastAsia" w:hAnsiTheme="minorHAnsi" w:cstheme="minorBidi"/>
          <w:color w:val="auto"/>
          <w:sz w:val="22"/>
        </w:rPr>
        <w:tab/>
      </w:r>
      <w:r w:rsidRPr="00DF0680">
        <w:t>Chemicals</w:t>
      </w:r>
      <w:r w:rsidRPr="00DF0680">
        <w:tab/>
      </w:r>
      <w:r w:rsidR="00F20EC0" w:rsidRPr="00DF0680">
        <w:fldChar w:fldCharType="begin"/>
      </w:r>
      <w:r w:rsidRPr="00DF0680">
        <w:instrText xml:space="preserve"> PAGEREF _Toc417674559 \h </w:instrText>
      </w:r>
      <w:r w:rsidR="00F20EC0" w:rsidRPr="00DF0680">
        <w:fldChar w:fldCharType="separate"/>
      </w:r>
      <w:r w:rsidR="009801AF" w:rsidRPr="00DF0680">
        <w:t>64</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2.1.2.1</w:t>
      </w:r>
      <w:r w:rsidRPr="00DF0680">
        <w:rPr>
          <w:rFonts w:asciiTheme="minorHAnsi" w:eastAsiaTheme="minorEastAsia" w:hAnsiTheme="minorHAnsi" w:cstheme="minorBidi"/>
          <w:color w:val="auto"/>
          <w:sz w:val="22"/>
        </w:rPr>
        <w:tab/>
      </w:r>
      <w:r w:rsidRPr="00DF0680">
        <w:t>Cytotoxic agents</w:t>
      </w:r>
      <w:r w:rsidRPr="00DF0680">
        <w:tab/>
      </w:r>
      <w:r w:rsidR="00F20EC0" w:rsidRPr="00DF0680">
        <w:fldChar w:fldCharType="begin"/>
      </w:r>
      <w:r w:rsidRPr="00DF0680">
        <w:instrText xml:space="preserve"> PAGEREF _Toc417674560 \h </w:instrText>
      </w:r>
      <w:r w:rsidR="00F20EC0" w:rsidRPr="00DF0680">
        <w:fldChar w:fldCharType="separate"/>
      </w:r>
      <w:r w:rsidR="009801AF" w:rsidRPr="00DF0680">
        <w:t>65</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2.1.3</w:t>
      </w:r>
      <w:r w:rsidRPr="00DF0680">
        <w:rPr>
          <w:rFonts w:asciiTheme="minorHAnsi" w:eastAsiaTheme="minorEastAsia" w:hAnsiTheme="minorHAnsi" w:cstheme="minorBidi"/>
          <w:color w:val="auto"/>
          <w:sz w:val="22"/>
        </w:rPr>
        <w:tab/>
      </w:r>
      <w:r w:rsidRPr="00DF0680">
        <w:t>Antibodies</w:t>
      </w:r>
      <w:r w:rsidRPr="00DF0680">
        <w:tab/>
      </w:r>
      <w:r w:rsidR="00F20EC0" w:rsidRPr="00DF0680">
        <w:fldChar w:fldCharType="begin"/>
      </w:r>
      <w:r w:rsidRPr="00DF0680">
        <w:instrText xml:space="preserve"> PAGEREF _Toc417674561 \h </w:instrText>
      </w:r>
      <w:r w:rsidR="00F20EC0" w:rsidRPr="00DF0680">
        <w:fldChar w:fldCharType="separate"/>
      </w:r>
      <w:r w:rsidR="009801AF" w:rsidRPr="00DF0680">
        <w:t>66</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2.1.4</w:t>
      </w:r>
      <w:r w:rsidRPr="00DF0680">
        <w:rPr>
          <w:rFonts w:asciiTheme="minorHAnsi" w:eastAsiaTheme="minorEastAsia" w:hAnsiTheme="minorHAnsi" w:cstheme="minorBidi"/>
          <w:color w:val="auto"/>
          <w:sz w:val="22"/>
        </w:rPr>
        <w:tab/>
      </w:r>
      <w:r w:rsidRPr="00DF0680">
        <w:t>Cell lines</w:t>
      </w:r>
      <w:r w:rsidRPr="00DF0680">
        <w:tab/>
      </w:r>
      <w:r w:rsidR="00F20EC0" w:rsidRPr="00DF0680">
        <w:fldChar w:fldCharType="begin"/>
      </w:r>
      <w:r w:rsidRPr="00DF0680">
        <w:instrText xml:space="preserve"> PAGEREF _Toc417674562 \h </w:instrText>
      </w:r>
      <w:r w:rsidR="00F20EC0" w:rsidRPr="00DF0680">
        <w:fldChar w:fldCharType="separate"/>
      </w:r>
      <w:r w:rsidR="009801AF" w:rsidRPr="00DF0680">
        <w:t>67</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2.1.5</w:t>
      </w:r>
      <w:r w:rsidRPr="00DF0680">
        <w:rPr>
          <w:rFonts w:asciiTheme="minorHAnsi" w:eastAsiaTheme="minorEastAsia" w:hAnsiTheme="minorHAnsi" w:cstheme="minorBidi"/>
          <w:color w:val="auto"/>
          <w:sz w:val="22"/>
        </w:rPr>
        <w:tab/>
      </w:r>
      <w:r w:rsidRPr="00DF0680">
        <w:t>Tissue culture reagents</w:t>
      </w:r>
      <w:r w:rsidRPr="00DF0680">
        <w:tab/>
      </w:r>
      <w:r w:rsidR="00F20EC0" w:rsidRPr="00DF0680">
        <w:fldChar w:fldCharType="begin"/>
      </w:r>
      <w:r w:rsidRPr="00DF0680">
        <w:instrText xml:space="preserve"> PAGEREF _Toc417674563 \h </w:instrText>
      </w:r>
      <w:r w:rsidR="00F20EC0" w:rsidRPr="00DF0680">
        <w:fldChar w:fldCharType="separate"/>
      </w:r>
      <w:r w:rsidR="009801AF" w:rsidRPr="00DF0680">
        <w:t>67</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2.1.5.1</w:t>
      </w:r>
      <w:r w:rsidRPr="00DF0680">
        <w:rPr>
          <w:rFonts w:asciiTheme="minorHAnsi" w:eastAsiaTheme="minorEastAsia" w:hAnsiTheme="minorHAnsi" w:cstheme="minorBidi"/>
          <w:color w:val="auto"/>
          <w:sz w:val="22"/>
        </w:rPr>
        <w:tab/>
      </w:r>
      <w:r w:rsidRPr="00DF0680">
        <w:t>Foetal calf serum</w:t>
      </w:r>
      <w:r w:rsidRPr="00DF0680">
        <w:tab/>
      </w:r>
      <w:r w:rsidR="00F20EC0" w:rsidRPr="00DF0680">
        <w:fldChar w:fldCharType="begin"/>
      </w:r>
      <w:r w:rsidRPr="00DF0680">
        <w:instrText xml:space="preserve"> PAGEREF _Toc417674564 \h </w:instrText>
      </w:r>
      <w:r w:rsidR="00F20EC0" w:rsidRPr="00DF0680">
        <w:fldChar w:fldCharType="separate"/>
      </w:r>
      <w:r w:rsidR="009801AF" w:rsidRPr="00DF0680">
        <w:t>67</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2.1.5.2</w:t>
      </w:r>
      <w:r w:rsidRPr="00DF0680">
        <w:rPr>
          <w:rFonts w:asciiTheme="minorHAnsi" w:eastAsiaTheme="minorEastAsia" w:hAnsiTheme="minorHAnsi" w:cstheme="minorBidi"/>
          <w:color w:val="auto"/>
          <w:sz w:val="22"/>
        </w:rPr>
        <w:tab/>
      </w:r>
      <w:r w:rsidRPr="00DF0680">
        <w:t>Presept</w:t>
      </w:r>
      <w:r w:rsidRPr="00DF0680">
        <w:tab/>
      </w:r>
      <w:r w:rsidR="00F20EC0" w:rsidRPr="00DF0680">
        <w:fldChar w:fldCharType="begin"/>
      </w:r>
      <w:r w:rsidRPr="00DF0680">
        <w:instrText xml:space="preserve"> PAGEREF _Toc417674565 \h </w:instrText>
      </w:r>
      <w:r w:rsidR="00F20EC0" w:rsidRPr="00DF0680">
        <w:fldChar w:fldCharType="separate"/>
      </w:r>
      <w:r w:rsidR="009801AF" w:rsidRPr="00DF0680">
        <w:t>67</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2.1.5.3</w:t>
      </w:r>
      <w:r w:rsidRPr="00DF0680">
        <w:rPr>
          <w:rFonts w:asciiTheme="minorHAnsi" w:eastAsiaTheme="minorEastAsia" w:hAnsiTheme="minorHAnsi" w:cstheme="minorBidi"/>
          <w:color w:val="auto"/>
          <w:sz w:val="22"/>
        </w:rPr>
        <w:tab/>
      </w:r>
      <w:r w:rsidRPr="00DF0680">
        <w:t>Tissue culture medium</w:t>
      </w:r>
      <w:r w:rsidRPr="00DF0680">
        <w:tab/>
      </w:r>
      <w:r w:rsidR="00F20EC0" w:rsidRPr="00DF0680">
        <w:fldChar w:fldCharType="begin"/>
      </w:r>
      <w:r w:rsidRPr="00DF0680">
        <w:instrText xml:space="preserve"> PAGEREF _Toc417674566 \h </w:instrText>
      </w:r>
      <w:r w:rsidR="00F20EC0" w:rsidRPr="00DF0680">
        <w:fldChar w:fldCharType="separate"/>
      </w:r>
      <w:r w:rsidR="009801AF" w:rsidRPr="00DF0680">
        <w:t>67</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2.1.5.4</w:t>
      </w:r>
      <w:r w:rsidRPr="00DF0680">
        <w:rPr>
          <w:rFonts w:asciiTheme="minorHAnsi" w:eastAsiaTheme="minorEastAsia" w:hAnsiTheme="minorHAnsi" w:cstheme="minorBidi"/>
          <w:color w:val="auto"/>
          <w:sz w:val="22"/>
        </w:rPr>
        <w:tab/>
      </w:r>
      <w:r w:rsidRPr="00DF0680">
        <w:t>Trypsin and versene/EDTA</w:t>
      </w:r>
      <w:r w:rsidRPr="00DF0680">
        <w:tab/>
      </w:r>
      <w:r w:rsidR="00F20EC0" w:rsidRPr="00DF0680">
        <w:fldChar w:fldCharType="begin"/>
      </w:r>
      <w:r w:rsidRPr="00DF0680">
        <w:instrText xml:space="preserve"> PAGEREF _Toc417674567 \h </w:instrText>
      </w:r>
      <w:r w:rsidR="00F20EC0" w:rsidRPr="00DF0680">
        <w:fldChar w:fldCharType="separate"/>
      </w:r>
      <w:r w:rsidR="009801AF" w:rsidRPr="00DF0680">
        <w:t>68</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2.1.5.5</w:t>
      </w:r>
      <w:r w:rsidRPr="00DF0680">
        <w:rPr>
          <w:rFonts w:asciiTheme="minorHAnsi" w:eastAsiaTheme="minorEastAsia" w:hAnsiTheme="minorHAnsi" w:cstheme="minorBidi"/>
          <w:color w:val="auto"/>
          <w:sz w:val="22"/>
        </w:rPr>
        <w:tab/>
      </w:r>
      <w:r w:rsidRPr="00DF0680">
        <w:t>Trypsin inhibitor</w:t>
      </w:r>
      <w:r w:rsidRPr="00DF0680">
        <w:tab/>
      </w:r>
      <w:r w:rsidR="00F20EC0" w:rsidRPr="00DF0680">
        <w:fldChar w:fldCharType="begin"/>
      </w:r>
      <w:r w:rsidRPr="00DF0680">
        <w:instrText xml:space="preserve"> PAGEREF _Toc417674568 \h </w:instrText>
      </w:r>
      <w:r w:rsidR="00F20EC0" w:rsidRPr="00DF0680">
        <w:fldChar w:fldCharType="separate"/>
      </w:r>
      <w:r w:rsidR="009801AF" w:rsidRPr="00DF0680">
        <w:t>68</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2.1.5.6</w:t>
      </w:r>
      <w:r w:rsidRPr="00DF0680">
        <w:rPr>
          <w:rFonts w:asciiTheme="minorHAnsi" w:eastAsiaTheme="minorEastAsia" w:hAnsiTheme="minorHAnsi" w:cstheme="minorBidi"/>
          <w:color w:val="auto"/>
          <w:sz w:val="22"/>
        </w:rPr>
        <w:tab/>
      </w:r>
      <w:r w:rsidRPr="00DF0680">
        <w:t>1x phosphate buffered saline (PBS)</w:t>
      </w:r>
      <w:r w:rsidRPr="00DF0680">
        <w:tab/>
      </w:r>
      <w:r w:rsidR="00F20EC0" w:rsidRPr="00DF0680">
        <w:fldChar w:fldCharType="begin"/>
      </w:r>
      <w:r w:rsidRPr="00DF0680">
        <w:instrText xml:space="preserve"> PAGEREF _Toc417674569 \h </w:instrText>
      </w:r>
      <w:r w:rsidR="00F20EC0" w:rsidRPr="00DF0680">
        <w:fldChar w:fldCharType="separate"/>
      </w:r>
      <w:r w:rsidR="009801AF" w:rsidRPr="00DF0680">
        <w:t>68</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2.1.5.7</w:t>
      </w:r>
      <w:r w:rsidRPr="00DF0680">
        <w:rPr>
          <w:rFonts w:asciiTheme="minorHAnsi" w:eastAsiaTheme="minorEastAsia" w:hAnsiTheme="minorHAnsi" w:cstheme="minorBidi"/>
          <w:color w:val="auto"/>
          <w:sz w:val="22"/>
        </w:rPr>
        <w:tab/>
      </w:r>
      <w:r w:rsidRPr="00DF0680">
        <w:t>Tris-buffered saline (TBS)</w:t>
      </w:r>
      <w:r w:rsidRPr="00DF0680">
        <w:tab/>
      </w:r>
      <w:r w:rsidR="00F20EC0" w:rsidRPr="00DF0680">
        <w:fldChar w:fldCharType="begin"/>
      </w:r>
      <w:r w:rsidRPr="00DF0680">
        <w:instrText xml:space="preserve"> PAGEREF _Toc417674570 \h </w:instrText>
      </w:r>
      <w:r w:rsidR="00F20EC0" w:rsidRPr="00DF0680">
        <w:fldChar w:fldCharType="separate"/>
      </w:r>
      <w:r w:rsidR="009801AF" w:rsidRPr="00DF0680">
        <w:t>68</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2.1.5.8</w:t>
      </w:r>
      <w:r w:rsidRPr="00DF0680">
        <w:rPr>
          <w:rFonts w:asciiTheme="minorHAnsi" w:eastAsiaTheme="minorEastAsia" w:hAnsiTheme="minorHAnsi" w:cstheme="minorBidi"/>
          <w:color w:val="auto"/>
          <w:sz w:val="22"/>
        </w:rPr>
        <w:tab/>
      </w:r>
      <w:r w:rsidRPr="00DF0680">
        <w:t>1 M Tris pH 6.8, 7.4 and 8</w:t>
      </w:r>
      <w:r w:rsidRPr="00DF0680">
        <w:tab/>
      </w:r>
      <w:r w:rsidR="00F20EC0" w:rsidRPr="00DF0680">
        <w:fldChar w:fldCharType="begin"/>
      </w:r>
      <w:r w:rsidRPr="00DF0680">
        <w:instrText xml:space="preserve"> PAGEREF _Toc417674571 \h </w:instrText>
      </w:r>
      <w:r w:rsidR="00F20EC0" w:rsidRPr="00DF0680">
        <w:fldChar w:fldCharType="separate"/>
      </w:r>
      <w:r w:rsidR="009801AF" w:rsidRPr="00DF0680">
        <w:t>68</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2.1.5.9</w:t>
      </w:r>
      <w:r w:rsidRPr="00DF0680">
        <w:rPr>
          <w:rFonts w:asciiTheme="minorHAnsi" w:eastAsiaTheme="minorEastAsia" w:hAnsiTheme="minorHAnsi" w:cstheme="minorBidi"/>
          <w:color w:val="auto"/>
          <w:sz w:val="22"/>
        </w:rPr>
        <w:tab/>
      </w:r>
      <w:r w:rsidRPr="00DF0680">
        <w:t>1.5 M Tris pH 8.8</w:t>
      </w:r>
      <w:r w:rsidRPr="00DF0680">
        <w:tab/>
      </w:r>
      <w:r w:rsidR="00F20EC0" w:rsidRPr="00DF0680">
        <w:fldChar w:fldCharType="begin"/>
      </w:r>
      <w:r w:rsidRPr="00DF0680">
        <w:instrText xml:space="preserve"> PAGEREF _Toc417674572 \h </w:instrText>
      </w:r>
      <w:r w:rsidR="00F20EC0" w:rsidRPr="00DF0680">
        <w:fldChar w:fldCharType="separate"/>
      </w:r>
      <w:r w:rsidR="009801AF" w:rsidRPr="00DF0680">
        <w:t>68</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2.1.5.10</w:t>
      </w:r>
      <w:r w:rsidRPr="00DF0680">
        <w:rPr>
          <w:rFonts w:asciiTheme="minorHAnsi" w:eastAsiaTheme="minorEastAsia" w:hAnsiTheme="minorHAnsi" w:cstheme="minorBidi"/>
          <w:color w:val="auto"/>
          <w:sz w:val="22"/>
        </w:rPr>
        <w:tab/>
      </w:r>
      <w:r w:rsidRPr="00DF0680">
        <w:t>Ethidium bromide</w:t>
      </w:r>
      <w:r w:rsidRPr="00DF0680">
        <w:tab/>
      </w:r>
      <w:r w:rsidR="00F20EC0" w:rsidRPr="00DF0680">
        <w:fldChar w:fldCharType="begin"/>
      </w:r>
      <w:r w:rsidRPr="00DF0680">
        <w:instrText xml:space="preserve"> PAGEREF _Toc417674573 \h </w:instrText>
      </w:r>
      <w:r w:rsidR="00F20EC0" w:rsidRPr="00DF0680">
        <w:fldChar w:fldCharType="separate"/>
      </w:r>
      <w:r w:rsidR="009801AF" w:rsidRPr="00DF0680">
        <w:t>68</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2.1.5.11</w:t>
      </w:r>
      <w:r w:rsidRPr="00DF0680">
        <w:rPr>
          <w:rFonts w:asciiTheme="minorHAnsi" w:eastAsiaTheme="minorEastAsia" w:hAnsiTheme="minorHAnsi" w:cstheme="minorBidi"/>
          <w:color w:val="auto"/>
          <w:sz w:val="22"/>
        </w:rPr>
        <w:tab/>
      </w:r>
      <w:r w:rsidRPr="00DF0680">
        <w:t>0.5 M EDTA</w:t>
      </w:r>
      <w:r w:rsidRPr="00DF0680">
        <w:tab/>
      </w:r>
      <w:r w:rsidR="00F20EC0" w:rsidRPr="00DF0680">
        <w:fldChar w:fldCharType="begin"/>
      </w:r>
      <w:r w:rsidRPr="00DF0680">
        <w:instrText xml:space="preserve"> PAGEREF _Toc417674574 \h </w:instrText>
      </w:r>
      <w:r w:rsidR="00F20EC0" w:rsidRPr="00DF0680">
        <w:fldChar w:fldCharType="separate"/>
      </w:r>
      <w:r w:rsidR="009801AF" w:rsidRPr="00DF0680">
        <w:t>69</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2.1.6</w:t>
      </w:r>
      <w:r w:rsidRPr="00DF0680">
        <w:rPr>
          <w:rFonts w:asciiTheme="minorHAnsi" w:eastAsiaTheme="minorEastAsia" w:hAnsiTheme="minorHAnsi" w:cstheme="minorBidi"/>
          <w:color w:val="auto"/>
          <w:sz w:val="22"/>
        </w:rPr>
        <w:tab/>
      </w:r>
      <w:r w:rsidRPr="00DF0680">
        <w:t>Plasmids</w:t>
      </w:r>
      <w:r w:rsidRPr="00DF0680">
        <w:tab/>
      </w:r>
      <w:r w:rsidR="00F20EC0" w:rsidRPr="00DF0680">
        <w:fldChar w:fldCharType="begin"/>
      </w:r>
      <w:r w:rsidRPr="00DF0680">
        <w:instrText xml:space="preserve"> PAGEREF _Toc417674575 \h </w:instrText>
      </w:r>
      <w:r w:rsidR="00F20EC0" w:rsidRPr="00DF0680">
        <w:fldChar w:fldCharType="separate"/>
      </w:r>
      <w:r w:rsidR="009801AF" w:rsidRPr="00DF0680">
        <w:t>69</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2.1.7</w:t>
      </w:r>
      <w:r w:rsidRPr="00DF0680">
        <w:rPr>
          <w:rFonts w:asciiTheme="minorHAnsi" w:eastAsiaTheme="minorEastAsia" w:hAnsiTheme="minorHAnsi" w:cstheme="minorBidi"/>
          <w:color w:val="auto"/>
          <w:sz w:val="22"/>
        </w:rPr>
        <w:tab/>
      </w:r>
      <w:r w:rsidRPr="00DF0680">
        <w:t>RNAi</w:t>
      </w:r>
      <w:r w:rsidRPr="00DF0680">
        <w:tab/>
      </w:r>
      <w:r w:rsidR="00F20EC0" w:rsidRPr="00DF0680">
        <w:fldChar w:fldCharType="begin"/>
      </w:r>
      <w:r w:rsidRPr="00DF0680">
        <w:instrText xml:space="preserve"> PAGEREF _Toc417674576 \h </w:instrText>
      </w:r>
      <w:r w:rsidR="00F20EC0" w:rsidRPr="00DF0680">
        <w:fldChar w:fldCharType="separate"/>
      </w:r>
      <w:r w:rsidR="009801AF" w:rsidRPr="00DF0680">
        <w:t>69</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2.1.8</w:t>
      </w:r>
      <w:r w:rsidRPr="00DF0680">
        <w:rPr>
          <w:rFonts w:asciiTheme="minorHAnsi" w:eastAsiaTheme="minorEastAsia" w:hAnsiTheme="minorHAnsi" w:cstheme="minorBidi"/>
          <w:color w:val="auto"/>
          <w:sz w:val="22"/>
        </w:rPr>
        <w:tab/>
      </w:r>
      <w:r w:rsidRPr="00DF0680">
        <w:t>Primers and probes</w:t>
      </w:r>
      <w:r w:rsidRPr="00DF0680">
        <w:tab/>
      </w:r>
      <w:r w:rsidR="00F20EC0" w:rsidRPr="00DF0680">
        <w:fldChar w:fldCharType="begin"/>
      </w:r>
      <w:r w:rsidRPr="00DF0680">
        <w:instrText xml:space="preserve"> PAGEREF _Toc417674577 \h </w:instrText>
      </w:r>
      <w:r w:rsidR="00F20EC0" w:rsidRPr="00DF0680">
        <w:fldChar w:fldCharType="separate"/>
      </w:r>
      <w:r w:rsidR="009801AF" w:rsidRPr="00DF0680">
        <w:t>70</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lastRenderedPageBreak/>
        <w:t>2.1.8.1</w:t>
      </w:r>
      <w:r w:rsidRPr="00DF0680">
        <w:rPr>
          <w:rFonts w:asciiTheme="minorHAnsi" w:eastAsiaTheme="minorEastAsia" w:hAnsiTheme="minorHAnsi" w:cstheme="minorBidi"/>
          <w:color w:val="auto"/>
          <w:sz w:val="22"/>
        </w:rPr>
        <w:tab/>
      </w:r>
      <w:r w:rsidRPr="00DF0680">
        <w:rPr>
          <w:shd w:val="clear" w:color="auto" w:fill="FFFFFF"/>
        </w:rPr>
        <w:t>TaqMan® Gene Expression Assays (Life Technologies)</w:t>
      </w:r>
      <w:r w:rsidRPr="00DF0680">
        <w:tab/>
      </w:r>
      <w:r w:rsidR="00F20EC0" w:rsidRPr="00DF0680">
        <w:fldChar w:fldCharType="begin"/>
      </w:r>
      <w:r w:rsidRPr="00DF0680">
        <w:instrText xml:space="preserve"> PAGEREF _Toc417674578 \h </w:instrText>
      </w:r>
      <w:r w:rsidR="00F20EC0" w:rsidRPr="00DF0680">
        <w:fldChar w:fldCharType="separate"/>
      </w:r>
      <w:r w:rsidR="009801AF" w:rsidRPr="00DF0680">
        <w:t>70</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2.1.8.2</w:t>
      </w:r>
      <w:r w:rsidRPr="00DF0680">
        <w:rPr>
          <w:rFonts w:asciiTheme="minorHAnsi" w:eastAsiaTheme="minorEastAsia" w:hAnsiTheme="minorHAnsi" w:cstheme="minorBidi"/>
          <w:color w:val="auto"/>
          <w:sz w:val="22"/>
        </w:rPr>
        <w:tab/>
      </w:r>
      <w:r w:rsidRPr="00DF0680">
        <w:t>RECQL5 3’UTR cloning and sequencing</w:t>
      </w:r>
      <w:r w:rsidRPr="00DF0680">
        <w:tab/>
      </w:r>
      <w:r w:rsidR="00F20EC0" w:rsidRPr="00DF0680">
        <w:fldChar w:fldCharType="begin"/>
      </w:r>
      <w:r w:rsidRPr="00DF0680">
        <w:instrText xml:space="preserve"> PAGEREF _Toc417674579 \h </w:instrText>
      </w:r>
      <w:r w:rsidR="00F20EC0" w:rsidRPr="00DF0680">
        <w:fldChar w:fldCharType="separate"/>
      </w:r>
      <w:r w:rsidR="009801AF" w:rsidRPr="00DF0680">
        <w:t>70</w:t>
      </w:r>
      <w:r w:rsidR="00F20EC0" w:rsidRPr="00DF0680">
        <w:fldChar w:fldCharType="end"/>
      </w:r>
    </w:p>
    <w:p w:rsidR="00CE6110" w:rsidRPr="00DF0680" w:rsidRDefault="00CE6110">
      <w:pPr>
        <w:pStyle w:val="TOC2"/>
        <w:rPr>
          <w:rFonts w:asciiTheme="minorHAnsi" w:eastAsiaTheme="minorEastAsia" w:hAnsiTheme="minorHAnsi" w:cstheme="minorBidi"/>
          <w:noProof w:val="0"/>
          <w:color w:val="auto"/>
          <w:sz w:val="22"/>
        </w:rPr>
      </w:pPr>
      <w:r w:rsidRPr="00DF0680">
        <w:rPr>
          <w:noProof w:val="0"/>
        </w:rPr>
        <w:t>2.2</w:t>
      </w:r>
      <w:r w:rsidRPr="00DF0680">
        <w:rPr>
          <w:rFonts w:asciiTheme="minorHAnsi" w:eastAsiaTheme="minorEastAsia" w:hAnsiTheme="minorHAnsi" w:cstheme="minorBidi"/>
          <w:noProof w:val="0"/>
          <w:color w:val="auto"/>
          <w:sz w:val="22"/>
        </w:rPr>
        <w:tab/>
      </w:r>
      <w:r w:rsidRPr="00DF0680">
        <w:rPr>
          <w:noProof w:val="0"/>
        </w:rPr>
        <w:t>Methods</w:t>
      </w:r>
      <w:r w:rsidRPr="00DF0680">
        <w:rPr>
          <w:noProof w:val="0"/>
        </w:rPr>
        <w:tab/>
      </w:r>
      <w:r w:rsidR="00F20EC0" w:rsidRPr="00DF0680">
        <w:rPr>
          <w:noProof w:val="0"/>
        </w:rPr>
        <w:fldChar w:fldCharType="begin"/>
      </w:r>
      <w:r w:rsidRPr="00DF0680">
        <w:rPr>
          <w:noProof w:val="0"/>
        </w:rPr>
        <w:instrText xml:space="preserve"> PAGEREF _Toc417674580 \h </w:instrText>
      </w:r>
      <w:r w:rsidR="00F20EC0" w:rsidRPr="00DF0680">
        <w:rPr>
          <w:noProof w:val="0"/>
        </w:rPr>
      </w:r>
      <w:r w:rsidR="00F20EC0" w:rsidRPr="00DF0680">
        <w:rPr>
          <w:noProof w:val="0"/>
        </w:rPr>
        <w:fldChar w:fldCharType="separate"/>
      </w:r>
      <w:r w:rsidR="009801AF" w:rsidRPr="00DF0680">
        <w:rPr>
          <w:noProof w:val="0"/>
        </w:rPr>
        <w:t>71</w:t>
      </w:r>
      <w:r w:rsidR="00F20EC0" w:rsidRPr="00DF0680">
        <w:rPr>
          <w:noProof w:val="0"/>
        </w:rPr>
        <w:fldChar w:fldCharType="end"/>
      </w:r>
    </w:p>
    <w:p w:rsidR="00CE6110" w:rsidRPr="00DF0680" w:rsidRDefault="00CE6110">
      <w:pPr>
        <w:pStyle w:val="TOC3"/>
        <w:rPr>
          <w:rFonts w:asciiTheme="minorHAnsi" w:eastAsiaTheme="minorEastAsia" w:hAnsiTheme="minorHAnsi" w:cstheme="minorBidi"/>
          <w:color w:val="auto"/>
          <w:sz w:val="22"/>
        </w:rPr>
      </w:pPr>
      <w:r w:rsidRPr="00DF0680">
        <w:t>2.2.1</w:t>
      </w:r>
      <w:r w:rsidRPr="00DF0680">
        <w:rPr>
          <w:rFonts w:asciiTheme="minorHAnsi" w:eastAsiaTheme="minorEastAsia" w:hAnsiTheme="minorHAnsi" w:cstheme="minorBidi"/>
          <w:color w:val="auto"/>
          <w:sz w:val="22"/>
        </w:rPr>
        <w:tab/>
      </w:r>
      <w:r w:rsidRPr="00DF0680">
        <w:t>Bacterial cell culture</w:t>
      </w:r>
      <w:r w:rsidRPr="00DF0680">
        <w:tab/>
      </w:r>
      <w:r w:rsidR="00F20EC0" w:rsidRPr="00DF0680">
        <w:fldChar w:fldCharType="begin"/>
      </w:r>
      <w:r w:rsidRPr="00DF0680">
        <w:instrText xml:space="preserve"> PAGEREF _Toc417674581 \h </w:instrText>
      </w:r>
      <w:r w:rsidR="00F20EC0" w:rsidRPr="00DF0680">
        <w:fldChar w:fldCharType="separate"/>
      </w:r>
      <w:r w:rsidR="009801AF" w:rsidRPr="00DF0680">
        <w:t>71</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2.2.1.1</w:t>
      </w:r>
      <w:r w:rsidRPr="00DF0680">
        <w:rPr>
          <w:rFonts w:asciiTheme="minorHAnsi" w:eastAsiaTheme="minorEastAsia" w:hAnsiTheme="minorHAnsi" w:cstheme="minorBidi"/>
          <w:color w:val="auto"/>
          <w:sz w:val="22"/>
        </w:rPr>
        <w:tab/>
      </w:r>
      <w:r w:rsidRPr="00DF0680">
        <w:t>SOB media and SOB agar</w:t>
      </w:r>
      <w:r w:rsidRPr="00DF0680">
        <w:tab/>
      </w:r>
      <w:r w:rsidR="00F20EC0" w:rsidRPr="00DF0680">
        <w:fldChar w:fldCharType="begin"/>
      </w:r>
      <w:r w:rsidRPr="00DF0680">
        <w:instrText xml:space="preserve"> PAGEREF _Toc417674582 \h </w:instrText>
      </w:r>
      <w:r w:rsidR="00F20EC0" w:rsidRPr="00DF0680">
        <w:fldChar w:fldCharType="separate"/>
      </w:r>
      <w:r w:rsidR="009801AF" w:rsidRPr="00DF0680">
        <w:t>71</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2.2.1.2</w:t>
      </w:r>
      <w:r w:rsidRPr="00DF0680">
        <w:rPr>
          <w:rFonts w:asciiTheme="minorHAnsi" w:eastAsiaTheme="minorEastAsia" w:hAnsiTheme="minorHAnsi" w:cstheme="minorBidi"/>
          <w:color w:val="auto"/>
          <w:sz w:val="22"/>
        </w:rPr>
        <w:tab/>
      </w:r>
      <w:r w:rsidRPr="00DF0680">
        <w:t>Making agar plates</w:t>
      </w:r>
      <w:r w:rsidRPr="00DF0680">
        <w:tab/>
      </w:r>
      <w:r w:rsidR="00F20EC0" w:rsidRPr="00DF0680">
        <w:fldChar w:fldCharType="begin"/>
      </w:r>
      <w:r w:rsidRPr="00DF0680">
        <w:instrText xml:space="preserve"> PAGEREF _Toc417674583 \h </w:instrText>
      </w:r>
      <w:r w:rsidR="00F20EC0" w:rsidRPr="00DF0680">
        <w:fldChar w:fldCharType="separate"/>
      </w:r>
      <w:r w:rsidR="009801AF" w:rsidRPr="00DF0680">
        <w:t>71</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2.2.1.3</w:t>
      </w:r>
      <w:r w:rsidRPr="00DF0680">
        <w:rPr>
          <w:rFonts w:asciiTheme="minorHAnsi" w:eastAsiaTheme="minorEastAsia" w:hAnsiTheme="minorHAnsi" w:cstheme="minorBidi"/>
          <w:color w:val="auto"/>
          <w:sz w:val="22"/>
        </w:rPr>
        <w:tab/>
      </w:r>
      <w:r w:rsidRPr="00DF0680">
        <w:t>Transformation</w:t>
      </w:r>
      <w:r w:rsidRPr="00DF0680">
        <w:tab/>
      </w:r>
      <w:r w:rsidR="00F20EC0" w:rsidRPr="00DF0680">
        <w:fldChar w:fldCharType="begin"/>
      </w:r>
      <w:r w:rsidRPr="00DF0680">
        <w:instrText xml:space="preserve"> PAGEREF _Toc417674584 \h </w:instrText>
      </w:r>
      <w:r w:rsidR="00F20EC0" w:rsidRPr="00DF0680">
        <w:fldChar w:fldCharType="separate"/>
      </w:r>
      <w:r w:rsidR="009801AF" w:rsidRPr="00DF0680">
        <w:t>71</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2.2.1.4</w:t>
      </w:r>
      <w:r w:rsidRPr="00DF0680">
        <w:rPr>
          <w:rFonts w:asciiTheme="minorHAnsi" w:eastAsiaTheme="minorEastAsia" w:hAnsiTheme="minorHAnsi" w:cstheme="minorBidi"/>
          <w:color w:val="auto"/>
          <w:sz w:val="22"/>
        </w:rPr>
        <w:tab/>
      </w:r>
      <w:r w:rsidRPr="00DF0680">
        <w:t>Bacterial culture</w:t>
      </w:r>
      <w:r w:rsidRPr="00DF0680">
        <w:tab/>
      </w:r>
      <w:r w:rsidR="00F20EC0" w:rsidRPr="00DF0680">
        <w:fldChar w:fldCharType="begin"/>
      </w:r>
      <w:r w:rsidRPr="00DF0680">
        <w:instrText xml:space="preserve"> PAGEREF _Toc417674585 \h </w:instrText>
      </w:r>
      <w:r w:rsidR="00F20EC0" w:rsidRPr="00DF0680">
        <w:fldChar w:fldCharType="separate"/>
      </w:r>
      <w:r w:rsidR="009801AF" w:rsidRPr="00DF0680">
        <w:t>71</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2.2.2</w:t>
      </w:r>
      <w:r w:rsidRPr="00DF0680">
        <w:rPr>
          <w:rFonts w:asciiTheme="minorHAnsi" w:eastAsiaTheme="minorEastAsia" w:hAnsiTheme="minorHAnsi" w:cstheme="minorBidi"/>
          <w:color w:val="auto"/>
          <w:sz w:val="22"/>
        </w:rPr>
        <w:tab/>
      </w:r>
      <w:r w:rsidRPr="00DF0680">
        <w:t>RNA studies</w:t>
      </w:r>
      <w:r w:rsidRPr="00DF0680">
        <w:tab/>
      </w:r>
      <w:r w:rsidR="00F20EC0" w:rsidRPr="00DF0680">
        <w:fldChar w:fldCharType="begin"/>
      </w:r>
      <w:r w:rsidRPr="00DF0680">
        <w:instrText xml:space="preserve"> PAGEREF _Toc417674586 \h </w:instrText>
      </w:r>
      <w:r w:rsidR="00F20EC0" w:rsidRPr="00DF0680">
        <w:fldChar w:fldCharType="separate"/>
      </w:r>
      <w:r w:rsidR="009801AF" w:rsidRPr="00DF0680">
        <w:t>72</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2.2.2.1</w:t>
      </w:r>
      <w:r w:rsidRPr="00DF0680">
        <w:rPr>
          <w:rFonts w:asciiTheme="minorHAnsi" w:eastAsiaTheme="minorEastAsia" w:hAnsiTheme="minorHAnsi" w:cstheme="minorBidi"/>
          <w:color w:val="auto"/>
          <w:sz w:val="22"/>
        </w:rPr>
        <w:tab/>
      </w:r>
      <w:r w:rsidRPr="00DF0680">
        <w:t>RNA extraction</w:t>
      </w:r>
      <w:r w:rsidRPr="00DF0680">
        <w:tab/>
      </w:r>
      <w:r w:rsidR="00F20EC0" w:rsidRPr="00DF0680">
        <w:fldChar w:fldCharType="begin"/>
      </w:r>
      <w:r w:rsidRPr="00DF0680">
        <w:instrText xml:space="preserve"> PAGEREF _Toc417674587 \h </w:instrText>
      </w:r>
      <w:r w:rsidR="00F20EC0" w:rsidRPr="00DF0680">
        <w:fldChar w:fldCharType="separate"/>
      </w:r>
      <w:r w:rsidR="009801AF" w:rsidRPr="00DF0680">
        <w:t>72</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2.2.2.2</w:t>
      </w:r>
      <w:r w:rsidRPr="00DF0680">
        <w:rPr>
          <w:rFonts w:asciiTheme="minorHAnsi" w:eastAsiaTheme="minorEastAsia" w:hAnsiTheme="minorHAnsi" w:cstheme="minorBidi"/>
          <w:color w:val="auto"/>
          <w:sz w:val="22"/>
        </w:rPr>
        <w:tab/>
      </w:r>
      <w:r w:rsidRPr="00DF0680">
        <w:t>Reverse transcription</w:t>
      </w:r>
      <w:r w:rsidRPr="00DF0680">
        <w:tab/>
      </w:r>
      <w:r w:rsidR="00F20EC0" w:rsidRPr="00DF0680">
        <w:fldChar w:fldCharType="begin"/>
      </w:r>
      <w:r w:rsidRPr="00DF0680">
        <w:instrText xml:space="preserve"> PAGEREF _Toc417674588 \h </w:instrText>
      </w:r>
      <w:r w:rsidR="00F20EC0" w:rsidRPr="00DF0680">
        <w:fldChar w:fldCharType="separate"/>
      </w:r>
      <w:r w:rsidR="009801AF" w:rsidRPr="00DF0680">
        <w:t>72</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2.2.2.3</w:t>
      </w:r>
      <w:r w:rsidRPr="00DF0680">
        <w:rPr>
          <w:rFonts w:asciiTheme="minorHAnsi" w:eastAsiaTheme="minorEastAsia" w:hAnsiTheme="minorHAnsi" w:cstheme="minorBidi"/>
          <w:color w:val="auto"/>
          <w:sz w:val="22"/>
        </w:rPr>
        <w:tab/>
      </w:r>
      <w:r w:rsidRPr="00DF0680">
        <w:t>qRT-PCR</w:t>
      </w:r>
      <w:r w:rsidRPr="00DF0680">
        <w:tab/>
      </w:r>
      <w:r w:rsidR="00F20EC0" w:rsidRPr="00DF0680">
        <w:fldChar w:fldCharType="begin"/>
      </w:r>
      <w:r w:rsidRPr="00DF0680">
        <w:instrText xml:space="preserve"> PAGEREF _Toc417674589 \h </w:instrText>
      </w:r>
      <w:r w:rsidR="00F20EC0" w:rsidRPr="00DF0680">
        <w:fldChar w:fldCharType="separate"/>
      </w:r>
      <w:r w:rsidR="009801AF" w:rsidRPr="00DF0680">
        <w:t>72</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2.2.3</w:t>
      </w:r>
      <w:r w:rsidRPr="00DF0680">
        <w:rPr>
          <w:rFonts w:asciiTheme="minorHAnsi" w:eastAsiaTheme="minorEastAsia" w:hAnsiTheme="minorHAnsi" w:cstheme="minorBidi"/>
          <w:color w:val="auto"/>
          <w:sz w:val="22"/>
        </w:rPr>
        <w:tab/>
      </w:r>
      <w:r w:rsidRPr="00DF0680">
        <w:t>DNA studies</w:t>
      </w:r>
      <w:r w:rsidRPr="00DF0680">
        <w:tab/>
      </w:r>
      <w:r w:rsidR="00F20EC0" w:rsidRPr="00DF0680">
        <w:fldChar w:fldCharType="begin"/>
      </w:r>
      <w:r w:rsidRPr="00DF0680">
        <w:instrText xml:space="preserve"> PAGEREF _Toc417674590 \h </w:instrText>
      </w:r>
      <w:r w:rsidR="00F20EC0" w:rsidRPr="00DF0680">
        <w:fldChar w:fldCharType="separate"/>
      </w:r>
      <w:r w:rsidR="009801AF" w:rsidRPr="00DF0680">
        <w:t>73</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2.2.3.1</w:t>
      </w:r>
      <w:r w:rsidRPr="00DF0680">
        <w:rPr>
          <w:rFonts w:asciiTheme="minorHAnsi" w:eastAsiaTheme="minorEastAsia" w:hAnsiTheme="minorHAnsi" w:cstheme="minorBidi"/>
          <w:color w:val="auto"/>
          <w:sz w:val="22"/>
        </w:rPr>
        <w:tab/>
      </w:r>
      <w:r w:rsidRPr="00DF0680">
        <w:rPr>
          <w:shd w:val="clear" w:color="auto" w:fill="FFFFFF"/>
        </w:rPr>
        <w:t>Polymerase chain reaction</w:t>
      </w:r>
      <w:r w:rsidRPr="00DF0680">
        <w:tab/>
      </w:r>
      <w:r w:rsidR="00F20EC0" w:rsidRPr="00DF0680">
        <w:fldChar w:fldCharType="begin"/>
      </w:r>
      <w:r w:rsidRPr="00DF0680">
        <w:instrText xml:space="preserve"> PAGEREF _Toc417674591 \h </w:instrText>
      </w:r>
      <w:r w:rsidR="00F20EC0" w:rsidRPr="00DF0680">
        <w:fldChar w:fldCharType="separate"/>
      </w:r>
      <w:r w:rsidR="009801AF" w:rsidRPr="00DF0680">
        <w:t>73</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2.2.3.2</w:t>
      </w:r>
      <w:r w:rsidRPr="00DF0680">
        <w:rPr>
          <w:rFonts w:asciiTheme="minorHAnsi" w:eastAsiaTheme="minorEastAsia" w:hAnsiTheme="minorHAnsi" w:cstheme="minorBidi"/>
          <w:color w:val="auto"/>
          <w:sz w:val="22"/>
        </w:rPr>
        <w:tab/>
      </w:r>
      <w:r w:rsidRPr="00DF0680">
        <w:t>Digestion</w:t>
      </w:r>
      <w:r w:rsidRPr="00DF0680">
        <w:tab/>
      </w:r>
      <w:r w:rsidR="00F20EC0" w:rsidRPr="00DF0680">
        <w:fldChar w:fldCharType="begin"/>
      </w:r>
      <w:r w:rsidRPr="00DF0680">
        <w:instrText xml:space="preserve"> PAGEREF _Toc417674592 \h </w:instrText>
      </w:r>
      <w:r w:rsidR="00F20EC0" w:rsidRPr="00DF0680">
        <w:fldChar w:fldCharType="separate"/>
      </w:r>
      <w:r w:rsidR="009801AF" w:rsidRPr="00DF0680">
        <w:t>73</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2.2.3.3</w:t>
      </w:r>
      <w:r w:rsidRPr="00DF0680">
        <w:rPr>
          <w:rFonts w:asciiTheme="minorHAnsi" w:eastAsiaTheme="minorEastAsia" w:hAnsiTheme="minorHAnsi" w:cstheme="minorBidi"/>
          <w:color w:val="auto"/>
          <w:sz w:val="22"/>
        </w:rPr>
        <w:tab/>
      </w:r>
      <w:r w:rsidRPr="00DF0680">
        <w:t>Ligation</w:t>
      </w:r>
      <w:r w:rsidRPr="00DF0680">
        <w:tab/>
      </w:r>
      <w:r w:rsidR="00F20EC0" w:rsidRPr="00DF0680">
        <w:fldChar w:fldCharType="begin"/>
      </w:r>
      <w:r w:rsidRPr="00DF0680">
        <w:instrText xml:space="preserve"> PAGEREF _Toc417674593 \h </w:instrText>
      </w:r>
      <w:r w:rsidR="00F20EC0" w:rsidRPr="00DF0680">
        <w:fldChar w:fldCharType="separate"/>
      </w:r>
      <w:r w:rsidR="009801AF" w:rsidRPr="00DF0680">
        <w:t>73</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2.2.3.4</w:t>
      </w:r>
      <w:r w:rsidRPr="00DF0680">
        <w:rPr>
          <w:rFonts w:asciiTheme="minorHAnsi" w:eastAsiaTheme="minorEastAsia" w:hAnsiTheme="minorHAnsi" w:cstheme="minorBidi"/>
          <w:color w:val="auto"/>
          <w:sz w:val="22"/>
        </w:rPr>
        <w:tab/>
      </w:r>
      <w:r w:rsidRPr="00DF0680">
        <w:t>Plasmid extraction</w:t>
      </w:r>
      <w:r w:rsidRPr="00DF0680">
        <w:tab/>
      </w:r>
      <w:r w:rsidR="00F20EC0" w:rsidRPr="00DF0680">
        <w:fldChar w:fldCharType="begin"/>
      </w:r>
      <w:r w:rsidRPr="00DF0680">
        <w:instrText xml:space="preserve"> PAGEREF _Toc417674594 \h </w:instrText>
      </w:r>
      <w:r w:rsidR="00F20EC0" w:rsidRPr="00DF0680">
        <w:fldChar w:fldCharType="separate"/>
      </w:r>
      <w:r w:rsidR="009801AF" w:rsidRPr="00DF0680">
        <w:t>73</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2.2.3.5</w:t>
      </w:r>
      <w:r w:rsidRPr="00DF0680">
        <w:rPr>
          <w:rFonts w:asciiTheme="minorHAnsi" w:eastAsiaTheme="minorEastAsia" w:hAnsiTheme="minorHAnsi" w:cstheme="minorBidi"/>
          <w:color w:val="auto"/>
          <w:sz w:val="22"/>
        </w:rPr>
        <w:tab/>
      </w:r>
      <w:r w:rsidRPr="00DF0680">
        <w:rPr>
          <w:shd w:val="clear" w:color="auto" w:fill="FFFFFF"/>
        </w:rPr>
        <w:t>Agarose gel electrophoresis</w:t>
      </w:r>
      <w:r w:rsidRPr="00DF0680">
        <w:tab/>
      </w:r>
      <w:r w:rsidR="00F20EC0" w:rsidRPr="00DF0680">
        <w:fldChar w:fldCharType="begin"/>
      </w:r>
      <w:r w:rsidRPr="00DF0680">
        <w:instrText xml:space="preserve"> PAGEREF _Toc417674595 \h </w:instrText>
      </w:r>
      <w:r w:rsidR="00F20EC0" w:rsidRPr="00DF0680">
        <w:fldChar w:fldCharType="separate"/>
      </w:r>
      <w:r w:rsidR="009801AF" w:rsidRPr="00DF0680">
        <w:t>73</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2.2.3.6</w:t>
      </w:r>
      <w:r w:rsidRPr="00DF0680">
        <w:rPr>
          <w:rFonts w:asciiTheme="minorHAnsi" w:eastAsiaTheme="minorEastAsia" w:hAnsiTheme="minorHAnsi" w:cstheme="minorBidi"/>
          <w:color w:val="auto"/>
          <w:sz w:val="22"/>
        </w:rPr>
        <w:tab/>
      </w:r>
      <w:r w:rsidRPr="00DF0680">
        <w:t>Sequencing</w:t>
      </w:r>
      <w:r w:rsidRPr="00DF0680">
        <w:tab/>
      </w:r>
      <w:r w:rsidR="00F20EC0" w:rsidRPr="00DF0680">
        <w:fldChar w:fldCharType="begin"/>
      </w:r>
      <w:r w:rsidRPr="00DF0680">
        <w:instrText xml:space="preserve"> PAGEREF _Toc417674596 \h </w:instrText>
      </w:r>
      <w:r w:rsidR="00F20EC0" w:rsidRPr="00DF0680">
        <w:fldChar w:fldCharType="separate"/>
      </w:r>
      <w:r w:rsidR="009801AF" w:rsidRPr="00DF0680">
        <w:t>74</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2.2.4</w:t>
      </w:r>
      <w:r w:rsidRPr="00DF0680">
        <w:rPr>
          <w:rFonts w:asciiTheme="minorHAnsi" w:eastAsiaTheme="minorEastAsia" w:hAnsiTheme="minorHAnsi" w:cstheme="minorBidi"/>
          <w:color w:val="auto"/>
          <w:sz w:val="22"/>
        </w:rPr>
        <w:tab/>
      </w:r>
      <w:r w:rsidRPr="00DF0680">
        <w:t>Mammalian tissue culture</w:t>
      </w:r>
      <w:r w:rsidRPr="00DF0680">
        <w:tab/>
      </w:r>
      <w:r w:rsidR="00F20EC0" w:rsidRPr="00DF0680">
        <w:fldChar w:fldCharType="begin"/>
      </w:r>
      <w:r w:rsidRPr="00DF0680">
        <w:instrText xml:space="preserve"> PAGEREF _Toc417674597 \h </w:instrText>
      </w:r>
      <w:r w:rsidR="00F20EC0" w:rsidRPr="00DF0680">
        <w:fldChar w:fldCharType="separate"/>
      </w:r>
      <w:r w:rsidR="009801AF" w:rsidRPr="00DF0680">
        <w:t>74</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2.2.4.1</w:t>
      </w:r>
      <w:r w:rsidRPr="00DF0680">
        <w:rPr>
          <w:rFonts w:asciiTheme="minorHAnsi" w:eastAsiaTheme="minorEastAsia" w:hAnsiTheme="minorHAnsi" w:cstheme="minorBidi"/>
          <w:color w:val="auto"/>
          <w:sz w:val="22"/>
        </w:rPr>
        <w:tab/>
      </w:r>
      <w:r w:rsidRPr="00DF0680">
        <w:t>Passaging cells</w:t>
      </w:r>
      <w:r w:rsidRPr="00DF0680">
        <w:tab/>
      </w:r>
      <w:r w:rsidR="00F20EC0" w:rsidRPr="00DF0680">
        <w:fldChar w:fldCharType="begin"/>
      </w:r>
      <w:r w:rsidRPr="00DF0680">
        <w:instrText xml:space="preserve"> PAGEREF _Toc417674598 \h </w:instrText>
      </w:r>
      <w:r w:rsidR="00F20EC0" w:rsidRPr="00DF0680">
        <w:fldChar w:fldCharType="separate"/>
      </w:r>
      <w:r w:rsidR="009801AF" w:rsidRPr="00DF0680">
        <w:t>74</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2.2.4.2</w:t>
      </w:r>
      <w:r w:rsidRPr="00DF0680">
        <w:rPr>
          <w:rFonts w:asciiTheme="minorHAnsi" w:eastAsiaTheme="minorEastAsia" w:hAnsiTheme="minorHAnsi" w:cstheme="minorBidi"/>
          <w:color w:val="auto"/>
          <w:sz w:val="22"/>
        </w:rPr>
        <w:tab/>
      </w:r>
      <w:r w:rsidRPr="00DF0680">
        <w:t>Cryopreservation</w:t>
      </w:r>
      <w:r w:rsidRPr="00DF0680">
        <w:tab/>
      </w:r>
      <w:r w:rsidR="00F20EC0" w:rsidRPr="00DF0680">
        <w:fldChar w:fldCharType="begin"/>
      </w:r>
      <w:r w:rsidRPr="00DF0680">
        <w:instrText xml:space="preserve"> PAGEREF _Toc417674599 \h </w:instrText>
      </w:r>
      <w:r w:rsidR="00F20EC0" w:rsidRPr="00DF0680">
        <w:fldChar w:fldCharType="separate"/>
      </w:r>
      <w:r w:rsidR="009801AF" w:rsidRPr="00DF0680">
        <w:t>74</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2.2.4.3</w:t>
      </w:r>
      <w:r w:rsidRPr="00DF0680">
        <w:rPr>
          <w:rFonts w:asciiTheme="minorHAnsi" w:eastAsiaTheme="minorEastAsia" w:hAnsiTheme="minorHAnsi" w:cstheme="minorBidi"/>
          <w:color w:val="auto"/>
          <w:sz w:val="22"/>
        </w:rPr>
        <w:tab/>
      </w:r>
      <w:r w:rsidRPr="00DF0680">
        <w:t>Thawing cells</w:t>
      </w:r>
      <w:r w:rsidRPr="00DF0680">
        <w:tab/>
      </w:r>
      <w:r w:rsidR="00F20EC0" w:rsidRPr="00DF0680">
        <w:fldChar w:fldCharType="begin"/>
      </w:r>
      <w:r w:rsidRPr="00DF0680">
        <w:instrText xml:space="preserve"> PAGEREF _Toc417674600 \h </w:instrText>
      </w:r>
      <w:r w:rsidR="00F20EC0" w:rsidRPr="00DF0680">
        <w:fldChar w:fldCharType="separate"/>
      </w:r>
      <w:r w:rsidR="009801AF" w:rsidRPr="00DF0680">
        <w:t>74</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2.2.4.4</w:t>
      </w:r>
      <w:r w:rsidRPr="00DF0680">
        <w:rPr>
          <w:rFonts w:asciiTheme="minorHAnsi" w:eastAsiaTheme="minorEastAsia" w:hAnsiTheme="minorHAnsi" w:cstheme="minorBidi"/>
          <w:color w:val="auto"/>
          <w:sz w:val="22"/>
        </w:rPr>
        <w:tab/>
      </w:r>
      <w:r w:rsidRPr="00DF0680">
        <w:t>siRNA transfection</w:t>
      </w:r>
      <w:r w:rsidRPr="00DF0680">
        <w:tab/>
      </w:r>
      <w:r w:rsidR="00F20EC0" w:rsidRPr="00DF0680">
        <w:fldChar w:fldCharType="begin"/>
      </w:r>
      <w:r w:rsidRPr="00DF0680">
        <w:instrText xml:space="preserve"> PAGEREF _Toc417674601 \h </w:instrText>
      </w:r>
      <w:r w:rsidR="00F20EC0" w:rsidRPr="00DF0680">
        <w:fldChar w:fldCharType="separate"/>
      </w:r>
      <w:r w:rsidR="009801AF" w:rsidRPr="00DF0680">
        <w:t>75</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2.2.4.5</w:t>
      </w:r>
      <w:r w:rsidRPr="00DF0680">
        <w:rPr>
          <w:rFonts w:asciiTheme="minorHAnsi" w:eastAsiaTheme="minorEastAsia" w:hAnsiTheme="minorHAnsi" w:cstheme="minorBidi"/>
          <w:color w:val="auto"/>
          <w:sz w:val="22"/>
        </w:rPr>
        <w:tab/>
      </w:r>
      <w:r w:rsidRPr="00DF0680">
        <w:t>DNA transfection</w:t>
      </w:r>
      <w:r w:rsidRPr="00DF0680">
        <w:tab/>
      </w:r>
      <w:r w:rsidR="00F20EC0" w:rsidRPr="00DF0680">
        <w:fldChar w:fldCharType="begin"/>
      </w:r>
      <w:r w:rsidRPr="00DF0680">
        <w:instrText xml:space="preserve"> PAGEREF _Toc417674604 \h </w:instrText>
      </w:r>
      <w:r w:rsidR="00F20EC0" w:rsidRPr="00DF0680">
        <w:fldChar w:fldCharType="separate"/>
      </w:r>
      <w:r w:rsidR="009801AF" w:rsidRPr="00DF0680">
        <w:t>76</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2.2.4.6</w:t>
      </w:r>
      <w:r w:rsidRPr="00DF0680">
        <w:rPr>
          <w:rFonts w:asciiTheme="minorHAnsi" w:eastAsiaTheme="minorEastAsia" w:hAnsiTheme="minorHAnsi" w:cstheme="minorBidi"/>
          <w:color w:val="auto"/>
          <w:sz w:val="22"/>
        </w:rPr>
        <w:tab/>
      </w:r>
      <w:r w:rsidRPr="00DF0680">
        <w:t>MTT toxicity assay</w:t>
      </w:r>
      <w:r w:rsidRPr="00DF0680">
        <w:tab/>
      </w:r>
      <w:r w:rsidR="00F20EC0" w:rsidRPr="00DF0680">
        <w:fldChar w:fldCharType="begin"/>
      </w:r>
      <w:r w:rsidRPr="00DF0680">
        <w:instrText xml:space="preserve"> PAGEREF _Toc417674605 \h </w:instrText>
      </w:r>
      <w:r w:rsidR="00F20EC0" w:rsidRPr="00DF0680">
        <w:fldChar w:fldCharType="separate"/>
      </w:r>
      <w:r w:rsidR="009801AF" w:rsidRPr="00DF0680">
        <w:t>76</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2.2.4.7</w:t>
      </w:r>
      <w:r w:rsidRPr="00DF0680">
        <w:rPr>
          <w:rFonts w:asciiTheme="minorHAnsi" w:eastAsiaTheme="minorEastAsia" w:hAnsiTheme="minorHAnsi" w:cstheme="minorBidi"/>
          <w:color w:val="auto"/>
          <w:sz w:val="22"/>
        </w:rPr>
        <w:tab/>
      </w:r>
      <w:r w:rsidRPr="00DF0680">
        <w:t>Clonogenic cell survival assay</w:t>
      </w:r>
      <w:r w:rsidRPr="00DF0680">
        <w:tab/>
      </w:r>
      <w:r w:rsidR="00F20EC0" w:rsidRPr="00DF0680">
        <w:fldChar w:fldCharType="begin"/>
      </w:r>
      <w:r w:rsidRPr="00DF0680">
        <w:instrText xml:space="preserve"> PAGEREF _Toc417674606 \h </w:instrText>
      </w:r>
      <w:r w:rsidR="00F20EC0" w:rsidRPr="00DF0680">
        <w:fldChar w:fldCharType="separate"/>
      </w:r>
      <w:r w:rsidR="009801AF" w:rsidRPr="00DF0680">
        <w:t>76</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lastRenderedPageBreak/>
        <w:t>2.2.5</w:t>
      </w:r>
      <w:r w:rsidRPr="00DF0680">
        <w:rPr>
          <w:rFonts w:asciiTheme="minorHAnsi" w:eastAsiaTheme="minorEastAsia" w:hAnsiTheme="minorHAnsi" w:cstheme="minorBidi"/>
          <w:color w:val="auto"/>
          <w:sz w:val="22"/>
        </w:rPr>
        <w:tab/>
      </w:r>
      <w:r w:rsidRPr="00DF0680">
        <w:t>Protein studies</w:t>
      </w:r>
      <w:r w:rsidRPr="00DF0680">
        <w:tab/>
      </w:r>
      <w:r w:rsidR="00F20EC0" w:rsidRPr="00DF0680">
        <w:fldChar w:fldCharType="begin"/>
      </w:r>
      <w:r w:rsidRPr="00DF0680">
        <w:instrText xml:space="preserve"> PAGEREF _Toc417674607 \h </w:instrText>
      </w:r>
      <w:r w:rsidR="00F20EC0" w:rsidRPr="00DF0680">
        <w:fldChar w:fldCharType="separate"/>
      </w:r>
      <w:r w:rsidR="009801AF" w:rsidRPr="00DF0680">
        <w:t>77</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2.2.5.1</w:t>
      </w:r>
      <w:r w:rsidRPr="00DF0680">
        <w:rPr>
          <w:rFonts w:asciiTheme="minorHAnsi" w:eastAsiaTheme="minorEastAsia" w:hAnsiTheme="minorHAnsi" w:cstheme="minorBidi"/>
          <w:color w:val="auto"/>
          <w:sz w:val="22"/>
        </w:rPr>
        <w:tab/>
      </w:r>
      <w:r w:rsidRPr="00DF0680">
        <w:t>Cycloheximide protein stability assay</w:t>
      </w:r>
      <w:r w:rsidRPr="00DF0680">
        <w:tab/>
      </w:r>
      <w:r w:rsidR="00F20EC0" w:rsidRPr="00DF0680">
        <w:fldChar w:fldCharType="begin"/>
      </w:r>
      <w:r w:rsidRPr="00DF0680">
        <w:instrText xml:space="preserve"> PAGEREF _Toc417674608 \h </w:instrText>
      </w:r>
      <w:r w:rsidR="00F20EC0" w:rsidRPr="00DF0680">
        <w:fldChar w:fldCharType="separate"/>
      </w:r>
      <w:r w:rsidR="009801AF" w:rsidRPr="00DF0680">
        <w:t>77</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2.2.5.2</w:t>
      </w:r>
      <w:r w:rsidRPr="00DF0680">
        <w:rPr>
          <w:rFonts w:asciiTheme="minorHAnsi" w:eastAsiaTheme="minorEastAsia" w:hAnsiTheme="minorHAnsi" w:cstheme="minorBidi"/>
          <w:color w:val="auto"/>
          <w:sz w:val="22"/>
        </w:rPr>
        <w:tab/>
      </w:r>
      <w:r w:rsidRPr="00DF0680">
        <w:t>Cell lysates for western blotting</w:t>
      </w:r>
      <w:r w:rsidRPr="00DF0680">
        <w:tab/>
      </w:r>
      <w:r w:rsidR="00F20EC0" w:rsidRPr="00DF0680">
        <w:fldChar w:fldCharType="begin"/>
      </w:r>
      <w:r w:rsidRPr="00DF0680">
        <w:instrText xml:space="preserve"> PAGEREF _Toc417674609 \h </w:instrText>
      </w:r>
      <w:r w:rsidR="00F20EC0" w:rsidRPr="00DF0680">
        <w:fldChar w:fldCharType="separate"/>
      </w:r>
      <w:r w:rsidR="009801AF" w:rsidRPr="00DF0680">
        <w:t>77</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2.2.5.3</w:t>
      </w:r>
      <w:r w:rsidRPr="00DF0680">
        <w:rPr>
          <w:rFonts w:asciiTheme="minorHAnsi" w:eastAsiaTheme="minorEastAsia" w:hAnsiTheme="minorHAnsi" w:cstheme="minorBidi"/>
          <w:color w:val="auto"/>
          <w:sz w:val="22"/>
        </w:rPr>
        <w:tab/>
      </w:r>
      <w:r w:rsidRPr="00DF0680">
        <w:t>Protein quantification</w:t>
      </w:r>
      <w:r w:rsidRPr="00DF0680">
        <w:tab/>
      </w:r>
      <w:r w:rsidR="00F20EC0" w:rsidRPr="00DF0680">
        <w:fldChar w:fldCharType="begin"/>
      </w:r>
      <w:r w:rsidRPr="00DF0680">
        <w:instrText xml:space="preserve"> PAGEREF _Toc417674610 \h </w:instrText>
      </w:r>
      <w:r w:rsidR="00F20EC0" w:rsidRPr="00DF0680">
        <w:fldChar w:fldCharType="separate"/>
      </w:r>
      <w:r w:rsidR="009801AF" w:rsidRPr="00DF0680">
        <w:t>77</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2.2.5.4</w:t>
      </w:r>
      <w:r w:rsidRPr="00DF0680">
        <w:rPr>
          <w:rFonts w:asciiTheme="minorHAnsi" w:eastAsiaTheme="minorEastAsia" w:hAnsiTheme="minorHAnsi" w:cstheme="minorBidi"/>
          <w:color w:val="auto"/>
          <w:sz w:val="22"/>
        </w:rPr>
        <w:tab/>
      </w:r>
      <w:r w:rsidRPr="00DF0680">
        <w:t>SDS-PAGE Western blot</w:t>
      </w:r>
      <w:r w:rsidRPr="00DF0680">
        <w:tab/>
      </w:r>
      <w:r w:rsidR="00F20EC0" w:rsidRPr="00DF0680">
        <w:fldChar w:fldCharType="begin"/>
      </w:r>
      <w:r w:rsidRPr="00DF0680">
        <w:instrText xml:space="preserve"> PAGEREF _Toc417674611 \h </w:instrText>
      </w:r>
      <w:r w:rsidR="00F20EC0" w:rsidRPr="00DF0680">
        <w:fldChar w:fldCharType="separate"/>
      </w:r>
      <w:r w:rsidR="009801AF" w:rsidRPr="00DF0680">
        <w:t>78</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2.2.5.5</w:t>
      </w:r>
      <w:r w:rsidRPr="00DF0680">
        <w:rPr>
          <w:rFonts w:asciiTheme="minorHAnsi" w:eastAsiaTheme="minorEastAsia" w:hAnsiTheme="minorHAnsi" w:cstheme="minorBidi"/>
          <w:color w:val="auto"/>
          <w:sz w:val="22"/>
        </w:rPr>
        <w:tab/>
      </w:r>
      <w:r w:rsidRPr="00DF0680">
        <w:t>Immunohistochemistry</w:t>
      </w:r>
      <w:r w:rsidRPr="00DF0680">
        <w:tab/>
      </w:r>
      <w:r w:rsidR="00F20EC0" w:rsidRPr="00DF0680">
        <w:fldChar w:fldCharType="begin"/>
      </w:r>
      <w:r w:rsidRPr="00DF0680">
        <w:instrText xml:space="preserve"> PAGEREF _Toc417674618 \h </w:instrText>
      </w:r>
      <w:r w:rsidR="00F20EC0" w:rsidRPr="00DF0680">
        <w:fldChar w:fldCharType="separate"/>
      </w:r>
      <w:r w:rsidR="009801AF" w:rsidRPr="00DF0680">
        <w:t>79</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2.2.5.6</w:t>
      </w:r>
      <w:r w:rsidRPr="00DF0680">
        <w:rPr>
          <w:rFonts w:asciiTheme="minorHAnsi" w:eastAsiaTheme="minorEastAsia" w:hAnsiTheme="minorHAnsi" w:cstheme="minorBidi"/>
          <w:color w:val="auto"/>
          <w:sz w:val="22"/>
        </w:rPr>
        <w:tab/>
      </w:r>
      <w:r w:rsidRPr="00DF0680">
        <w:t>Dual luciferase reporter assay</w:t>
      </w:r>
      <w:r w:rsidRPr="00DF0680">
        <w:tab/>
      </w:r>
      <w:r w:rsidR="00F20EC0" w:rsidRPr="00DF0680">
        <w:fldChar w:fldCharType="begin"/>
      </w:r>
      <w:r w:rsidRPr="00DF0680">
        <w:instrText xml:space="preserve"> PAGEREF _Toc417674631 \h </w:instrText>
      </w:r>
      <w:r w:rsidR="00F20EC0" w:rsidRPr="00DF0680">
        <w:fldChar w:fldCharType="separate"/>
      </w:r>
      <w:r w:rsidR="009801AF" w:rsidRPr="00DF0680">
        <w:t>81</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2.2.5.7</w:t>
      </w:r>
      <w:r w:rsidRPr="00DF0680">
        <w:rPr>
          <w:rFonts w:asciiTheme="minorHAnsi" w:eastAsiaTheme="minorEastAsia" w:hAnsiTheme="minorHAnsi" w:cstheme="minorBidi"/>
          <w:color w:val="auto"/>
          <w:sz w:val="22"/>
        </w:rPr>
        <w:tab/>
      </w:r>
      <w:r w:rsidRPr="00DF0680">
        <w:t>Immunofluorescence</w:t>
      </w:r>
      <w:r w:rsidRPr="00DF0680">
        <w:tab/>
      </w:r>
      <w:r w:rsidR="00F20EC0" w:rsidRPr="00DF0680">
        <w:fldChar w:fldCharType="begin"/>
      </w:r>
      <w:r w:rsidRPr="00DF0680">
        <w:instrText xml:space="preserve"> PAGEREF _Toc417674636 \h </w:instrText>
      </w:r>
      <w:r w:rsidR="00F20EC0" w:rsidRPr="00DF0680">
        <w:fldChar w:fldCharType="separate"/>
      </w:r>
      <w:r w:rsidR="009801AF" w:rsidRPr="00DF0680">
        <w:t>82</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2.2.5.8</w:t>
      </w:r>
      <w:r w:rsidRPr="00DF0680">
        <w:rPr>
          <w:rFonts w:asciiTheme="minorHAnsi" w:eastAsiaTheme="minorEastAsia" w:hAnsiTheme="minorHAnsi" w:cstheme="minorBidi"/>
          <w:color w:val="auto"/>
          <w:sz w:val="22"/>
        </w:rPr>
        <w:tab/>
      </w:r>
      <w:r w:rsidRPr="00DF0680">
        <w:t>Immunoprecipitation</w:t>
      </w:r>
      <w:r w:rsidRPr="00DF0680">
        <w:tab/>
      </w:r>
      <w:r w:rsidR="00F20EC0" w:rsidRPr="00DF0680">
        <w:fldChar w:fldCharType="begin"/>
      </w:r>
      <w:r w:rsidRPr="00DF0680">
        <w:instrText xml:space="preserve"> PAGEREF _Toc417674637 \h </w:instrText>
      </w:r>
      <w:r w:rsidR="00F20EC0" w:rsidRPr="00DF0680">
        <w:fldChar w:fldCharType="separate"/>
      </w:r>
      <w:r w:rsidR="009801AF" w:rsidRPr="00DF0680">
        <w:t>83</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2.2.5.9</w:t>
      </w:r>
      <w:r w:rsidRPr="00DF0680">
        <w:rPr>
          <w:rFonts w:asciiTheme="minorHAnsi" w:eastAsiaTheme="minorEastAsia" w:hAnsiTheme="minorHAnsi" w:cstheme="minorBidi"/>
          <w:color w:val="auto"/>
          <w:sz w:val="22"/>
        </w:rPr>
        <w:tab/>
      </w:r>
      <w:r w:rsidRPr="00DF0680">
        <w:t>FLAG immunoprecipitation</w:t>
      </w:r>
      <w:r w:rsidRPr="00DF0680">
        <w:tab/>
      </w:r>
      <w:r w:rsidR="00F20EC0" w:rsidRPr="00DF0680">
        <w:fldChar w:fldCharType="begin"/>
      </w:r>
      <w:r w:rsidRPr="00DF0680">
        <w:instrText xml:space="preserve"> PAGEREF _Toc417674638 \h </w:instrText>
      </w:r>
      <w:r w:rsidR="00F20EC0" w:rsidRPr="00DF0680">
        <w:fldChar w:fldCharType="separate"/>
      </w:r>
      <w:r w:rsidR="009801AF" w:rsidRPr="00DF0680">
        <w:t>83</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2.2.6</w:t>
      </w:r>
      <w:r w:rsidRPr="00DF0680">
        <w:rPr>
          <w:rFonts w:asciiTheme="minorHAnsi" w:eastAsiaTheme="minorEastAsia" w:hAnsiTheme="minorHAnsi" w:cstheme="minorBidi"/>
          <w:color w:val="auto"/>
          <w:sz w:val="22"/>
        </w:rPr>
        <w:tab/>
      </w:r>
      <w:r w:rsidRPr="00DF0680">
        <w:t>DNA fibre analysis</w:t>
      </w:r>
      <w:r w:rsidRPr="00DF0680">
        <w:tab/>
      </w:r>
      <w:r w:rsidR="00F20EC0" w:rsidRPr="00DF0680">
        <w:fldChar w:fldCharType="begin"/>
      </w:r>
      <w:r w:rsidRPr="00DF0680">
        <w:instrText xml:space="preserve"> PAGEREF _Toc417674639 \h </w:instrText>
      </w:r>
      <w:r w:rsidR="00F20EC0" w:rsidRPr="00DF0680">
        <w:fldChar w:fldCharType="separate"/>
      </w:r>
      <w:r w:rsidR="009801AF" w:rsidRPr="00DF0680">
        <w:t>84</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2.2.6.1</w:t>
      </w:r>
      <w:r w:rsidRPr="00DF0680">
        <w:rPr>
          <w:rFonts w:asciiTheme="minorHAnsi" w:eastAsiaTheme="minorEastAsia" w:hAnsiTheme="minorHAnsi" w:cstheme="minorBidi"/>
          <w:color w:val="auto"/>
          <w:sz w:val="22"/>
        </w:rPr>
        <w:tab/>
      </w:r>
      <w:r w:rsidRPr="00DF0680">
        <w:t>Labelling</w:t>
      </w:r>
      <w:r w:rsidRPr="00DF0680">
        <w:tab/>
      </w:r>
      <w:r w:rsidR="00F20EC0" w:rsidRPr="00DF0680">
        <w:fldChar w:fldCharType="begin"/>
      </w:r>
      <w:r w:rsidRPr="00DF0680">
        <w:instrText xml:space="preserve"> PAGEREF _Toc417674640 \h </w:instrText>
      </w:r>
      <w:r w:rsidR="00F20EC0" w:rsidRPr="00DF0680">
        <w:fldChar w:fldCharType="separate"/>
      </w:r>
      <w:r w:rsidR="009801AF" w:rsidRPr="00DF0680">
        <w:t>84</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2.2.6.2</w:t>
      </w:r>
      <w:r w:rsidRPr="00DF0680">
        <w:rPr>
          <w:rFonts w:asciiTheme="minorHAnsi" w:eastAsiaTheme="minorEastAsia" w:hAnsiTheme="minorHAnsi" w:cstheme="minorBidi"/>
          <w:color w:val="auto"/>
          <w:sz w:val="22"/>
        </w:rPr>
        <w:tab/>
      </w:r>
      <w:r w:rsidRPr="00DF0680">
        <w:t>Spreading</w:t>
      </w:r>
      <w:r w:rsidRPr="00DF0680">
        <w:tab/>
      </w:r>
      <w:r w:rsidR="00F20EC0" w:rsidRPr="00DF0680">
        <w:fldChar w:fldCharType="begin"/>
      </w:r>
      <w:r w:rsidRPr="00DF0680">
        <w:instrText xml:space="preserve"> PAGEREF _Toc417674641 \h </w:instrText>
      </w:r>
      <w:r w:rsidR="00F20EC0" w:rsidRPr="00DF0680">
        <w:fldChar w:fldCharType="separate"/>
      </w:r>
      <w:r w:rsidR="009801AF" w:rsidRPr="00DF0680">
        <w:t>84</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2.2.6.3</w:t>
      </w:r>
      <w:r w:rsidRPr="00DF0680">
        <w:rPr>
          <w:rFonts w:asciiTheme="minorHAnsi" w:eastAsiaTheme="minorEastAsia" w:hAnsiTheme="minorHAnsi" w:cstheme="minorBidi"/>
          <w:color w:val="auto"/>
          <w:sz w:val="22"/>
        </w:rPr>
        <w:tab/>
      </w:r>
      <w:r w:rsidRPr="00DF0680">
        <w:t>Immunostaining</w:t>
      </w:r>
      <w:r w:rsidRPr="00DF0680">
        <w:tab/>
      </w:r>
      <w:r w:rsidR="00F20EC0" w:rsidRPr="00DF0680">
        <w:fldChar w:fldCharType="begin"/>
      </w:r>
      <w:r w:rsidRPr="00DF0680">
        <w:instrText xml:space="preserve"> PAGEREF _Toc417674642 \h </w:instrText>
      </w:r>
      <w:r w:rsidR="00F20EC0" w:rsidRPr="00DF0680">
        <w:fldChar w:fldCharType="separate"/>
      </w:r>
      <w:r w:rsidR="009801AF" w:rsidRPr="00DF0680">
        <w:t>84</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2.2.6.4</w:t>
      </w:r>
      <w:r w:rsidRPr="00DF0680">
        <w:rPr>
          <w:rFonts w:asciiTheme="minorHAnsi" w:eastAsiaTheme="minorEastAsia" w:hAnsiTheme="minorHAnsi" w:cstheme="minorBidi"/>
          <w:color w:val="auto"/>
          <w:sz w:val="22"/>
        </w:rPr>
        <w:tab/>
      </w:r>
      <w:r w:rsidRPr="00DF0680">
        <w:t>Microscopy</w:t>
      </w:r>
      <w:r w:rsidRPr="00DF0680">
        <w:tab/>
      </w:r>
      <w:r w:rsidR="00F20EC0" w:rsidRPr="00DF0680">
        <w:fldChar w:fldCharType="begin"/>
      </w:r>
      <w:r w:rsidRPr="00DF0680">
        <w:instrText xml:space="preserve"> PAGEREF _Toc417674643 \h </w:instrText>
      </w:r>
      <w:r w:rsidR="00F20EC0" w:rsidRPr="00DF0680">
        <w:fldChar w:fldCharType="separate"/>
      </w:r>
      <w:r w:rsidR="009801AF" w:rsidRPr="00DF0680">
        <w:t>85</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2.2.6.5</w:t>
      </w:r>
      <w:r w:rsidRPr="00DF0680">
        <w:rPr>
          <w:rFonts w:asciiTheme="minorHAnsi" w:eastAsiaTheme="minorEastAsia" w:hAnsiTheme="minorHAnsi" w:cstheme="minorBidi"/>
          <w:color w:val="auto"/>
          <w:sz w:val="22"/>
        </w:rPr>
        <w:tab/>
      </w:r>
      <w:r w:rsidRPr="00DF0680">
        <w:t>Analysis</w:t>
      </w:r>
      <w:r w:rsidRPr="00DF0680">
        <w:tab/>
      </w:r>
      <w:r w:rsidR="00F20EC0" w:rsidRPr="00DF0680">
        <w:fldChar w:fldCharType="begin"/>
      </w:r>
      <w:r w:rsidRPr="00DF0680">
        <w:instrText xml:space="preserve"> PAGEREF _Toc417674644 \h </w:instrText>
      </w:r>
      <w:r w:rsidR="00F20EC0" w:rsidRPr="00DF0680">
        <w:fldChar w:fldCharType="separate"/>
      </w:r>
      <w:r w:rsidR="009801AF" w:rsidRPr="00DF0680">
        <w:t>85</w:t>
      </w:r>
      <w:r w:rsidR="00F20EC0" w:rsidRPr="00DF0680">
        <w:fldChar w:fldCharType="end"/>
      </w:r>
    </w:p>
    <w:p w:rsidR="00CE6110" w:rsidRPr="00DF0680" w:rsidRDefault="00CE6110">
      <w:pPr>
        <w:pStyle w:val="TOC3"/>
        <w:rPr>
          <w:rFonts w:asciiTheme="minorHAnsi" w:eastAsiaTheme="minorEastAsia" w:hAnsiTheme="minorHAnsi" w:cstheme="minorBidi"/>
          <w:color w:val="auto"/>
          <w:sz w:val="22"/>
        </w:rPr>
      </w:pPr>
      <w:r w:rsidRPr="00DF0680">
        <w:t>2.2.7</w:t>
      </w:r>
      <w:r w:rsidRPr="00DF0680">
        <w:rPr>
          <w:rFonts w:asciiTheme="minorHAnsi" w:eastAsiaTheme="minorEastAsia" w:hAnsiTheme="minorHAnsi" w:cstheme="minorBidi"/>
          <w:color w:val="auto"/>
          <w:sz w:val="22"/>
        </w:rPr>
        <w:tab/>
      </w:r>
      <w:r w:rsidRPr="00DF0680">
        <w:rPr>
          <w:shd w:val="clear" w:color="auto" w:fill="FFFFFF"/>
        </w:rPr>
        <w:t>Fluorescence-activated cell sorting (FACS)</w:t>
      </w:r>
      <w:r w:rsidRPr="00DF0680">
        <w:tab/>
      </w:r>
      <w:r w:rsidR="00F20EC0" w:rsidRPr="00DF0680">
        <w:fldChar w:fldCharType="begin"/>
      </w:r>
      <w:r w:rsidRPr="00DF0680">
        <w:instrText xml:space="preserve"> PAGEREF _Toc417674645 \h </w:instrText>
      </w:r>
      <w:r w:rsidR="00F20EC0" w:rsidRPr="00DF0680">
        <w:fldChar w:fldCharType="separate"/>
      </w:r>
      <w:r w:rsidR="009801AF" w:rsidRPr="00DF0680">
        <w:t>85</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2.2.7.1</w:t>
      </w:r>
      <w:r w:rsidRPr="00DF0680">
        <w:rPr>
          <w:rFonts w:asciiTheme="minorHAnsi" w:eastAsiaTheme="minorEastAsia" w:hAnsiTheme="minorHAnsi" w:cstheme="minorBidi"/>
          <w:color w:val="auto"/>
          <w:sz w:val="22"/>
        </w:rPr>
        <w:tab/>
      </w:r>
      <w:r w:rsidRPr="00DF0680">
        <w:t>Propidium iodide (PI) staining</w:t>
      </w:r>
      <w:r w:rsidRPr="00DF0680">
        <w:tab/>
      </w:r>
      <w:r w:rsidR="00F20EC0" w:rsidRPr="00DF0680">
        <w:fldChar w:fldCharType="begin"/>
      </w:r>
      <w:r w:rsidRPr="00DF0680">
        <w:instrText xml:space="preserve"> PAGEREF _Toc417674646 \h </w:instrText>
      </w:r>
      <w:r w:rsidR="00F20EC0" w:rsidRPr="00DF0680">
        <w:fldChar w:fldCharType="separate"/>
      </w:r>
      <w:r w:rsidR="009801AF" w:rsidRPr="00DF0680">
        <w:t>86</w:t>
      </w:r>
      <w:r w:rsidR="00F20EC0" w:rsidRPr="00DF0680">
        <w:fldChar w:fldCharType="end"/>
      </w:r>
    </w:p>
    <w:p w:rsidR="00CE6110" w:rsidRPr="00DF0680" w:rsidRDefault="00CE6110">
      <w:pPr>
        <w:pStyle w:val="TOC4"/>
        <w:rPr>
          <w:rFonts w:asciiTheme="minorHAnsi" w:eastAsiaTheme="minorEastAsia" w:hAnsiTheme="minorHAnsi" w:cstheme="minorBidi"/>
          <w:color w:val="auto"/>
          <w:sz w:val="22"/>
        </w:rPr>
      </w:pPr>
      <w:r w:rsidRPr="00DF0680">
        <w:t>2.2.7.2</w:t>
      </w:r>
      <w:r w:rsidRPr="00DF0680">
        <w:rPr>
          <w:rFonts w:asciiTheme="minorHAnsi" w:eastAsiaTheme="minorEastAsia" w:hAnsiTheme="minorHAnsi" w:cstheme="minorBidi"/>
          <w:color w:val="auto"/>
          <w:sz w:val="22"/>
        </w:rPr>
        <w:tab/>
      </w:r>
      <w:r w:rsidRPr="00DF0680">
        <w:rPr>
          <w:shd w:val="clear" w:color="auto" w:fill="FFFFFF"/>
        </w:rPr>
        <w:t>Bromodeoxyuridine (BrdU) staining</w:t>
      </w:r>
      <w:r w:rsidRPr="00DF0680">
        <w:tab/>
      </w:r>
      <w:r w:rsidR="00F20EC0" w:rsidRPr="00DF0680">
        <w:fldChar w:fldCharType="begin"/>
      </w:r>
      <w:r w:rsidRPr="00DF0680">
        <w:instrText xml:space="preserve"> PAGEREF _Toc417674647 \h </w:instrText>
      </w:r>
      <w:r w:rsidR="00F20EC0" w:rsidRPr="00DF0680">
        <w:fldChar w:fldCharType="separate"/>
      </w:r>
      <w:r w:rsidR="009801AF" w:rsidRPr="00DF0680">
        <w:t>86</w:t>
      </w:r>
      <w:r w:rsidR="00F20EC0" w:rsidRPr="00DF0680">
        <w:fldChar w:fldCharType="end"/>
      </w:r>
    </w:p>
    <w:p w:rsidR="00CE6110" w:rsidRPr="00DF0680" w:rsidRDefault="00CE6110">
      <w:pPr>
        <w:pStyle w:val="TOC2"/>
        <w:rPr>
          <w:rFonts w:asciiTheme="minorHAnsi" w:eastAsiaTheme="minorEastAsia" w:hAnsiTheme="minorHAnsi" w:cstheme="minorBidi"/>
          <w:noProof w:val="0"/>
          <w:color w:val="auto"/>
          <w:sz w:val="22"/>
        </w:rPr>
      </w:pPr>
      <w:r w:rsidRPr="00DF0680">
        <w:rPr>
          <w:noProof w:val="0"/>
        </w:rPr>
        <w:t>2.3</w:t>
      </w:r>
      <w:r w:rsidRPr="00DF0680">
        <w:rPr>
          <w:rFonts w:asciiTheme="minorHAnsi" w:eastAsiaTheme="minorEastAsia" w:hAnsiTheme="minorHAnsi" w:cstheme="minorBidi"/>
          <w:noProof w:val="0"/>
          <w:color w:val="auto"/>
          <w:sz w:val="22"/>
        </w:rPr>
        <w:tab/>
      </w:r>
      <w:r w:rsidRPr="00DF0680">
        <w:rPr>
          <w:noProof w:val="0"/>
        </w:rPr>
        <w:t>Statistics</w:t>
      </w:r>
      <w:r w:rsidRPr="00DF0680">
        <w:rPr>
          <w:noProof w:val="0"/>
        </w:rPr>
        <w:tab/>
      </w:r>
      <w:r w:rsidR="00F20EC0" w:rsidRPr="00DF0680">
        <w:rPr>
          <w:noProof w:val="0"/>
        </w:rPr>
        <w:fldChar w:fldCharType="begin"/>
      </w:r>
      <w:r w:rsidRPr="00DF0680">
        <w:rPr>
          <w:noProof w:val="0"/>
        </w:rPr>
        <w:instrText xml:space="preserve"> PAGEREF _Toc417674648 \h </w:instrText>
      </w:r>
      <w:r w:rsidR="00F20EC0" w:rsidRPr="00DF0680">
        <w:rPr>
          <w:noProof w:val="0"/>
        </w:rPr>
      </w:r>
      <w:r w:rsidR="00F20EC0" w:rsidRPr="00DF0680">
        <w:rPr>
          <w:noProof w:val="0"/>
        </w:rPr>
        <w:fldChar w:fldCharType="separate"/>
      </w:r>
      <w:r w:rsidR="009801AF" w:rsidRPr="00DF0680">
        <w:rPr>
          <w:noProof w:val="0"/>
        </w:rPr>
        <w:t>88</w:t>
      </w:r>
      <w:r w:rsidR="00F20EC0" w:rsidRPr="00DF0680">
        <w:rPr>
          <w:noProof w:val="0"/>
        </w:rPr>
        <w:fldChar w:fldCharType="end"/>
      </w:r>
    </w:p>
    <w:p w:rsidR="004A782F" w:rsidRPr="00DF0680" w:rsidRDefault="00F20EC0">
      <w:pPr>
        <w:spacing w:line="276" w:lineRule="auto"/>
        <w:jc w:val="left"/>
        <w:rPr>
          <w:rFonts w:cs="Times New Roman"/>
          <w:b/>
          <w:bCs/>
          <w:kern w:val="36"/>
          <w:sz w:val="32"/>
          <w:szCs w:val="48"/>
        </w:rPr>
      </w:pPr>
      <w:r w:rsidRPr="00DF0680">
        <w:fldChar w:fldCharType="end"/>
      </w:r>
      <w:r w:rsidR="004A782F" w:rsidRPr="00DF0680">
        <w:br w:type="page"/>
      </w:r>
    </w:p>
    <w:p w:rsidR="003F1B1F" w:rsidRPr="00DF0680" w:rsidRDefault="003F1B1F" w:rsidP="00E664FC">
      <w:pPr>
        <w:pStyle w:val="Heading2"/>
      </w:pPr>
      <w:bookmarkStart w:id="136" w:name="_Toc417204112"/>
      <w:bookmarkStart w:id="137" w:name="_Toc417204422"/>
      <w:bookmarkStart w:id="138" w:name="_Toc417204714"/>
      <w:bookmarkStart w:id="139" w:name="_Toc417204774"/>
      <w:bookmarkStart w:id="140" w:name="_Toc417674553"/>
      <w:r w:rsidRPr="00DF0680">
        <w:lastRenderedPageBreak/>
        <w:t>Materials</w:t>
      </w:r>
      <w:bookmarkEnd w:id="133"/>
      <w:bookmarkEnd w:id="136"/>
      <w:bookmarkEnd w:id="137"/>
      <w:bookmarkEnd w:id="138"/>
      <w:bookmarkEnd w:id="139"/>
      <w:bookmarkEnd w:id="140"/>
    </w:p>
    <w:p w:rsidR="003F1B1F" w:rsidRPr="00DF0680" w:rsidRDefault="003F1B1F" w:rsidP="00E664FC">
      <w:pPr>
        <w:pStyle w:val="Heading3"/>
      </w:pPr>
      <w:bookmarkStart w:id="141" w:name="_Toc210453443"/>
      <w:bookmarkStart w:id="142" w:name="_Toc234469091"/>
      <w:bookmarkStart w:id="143" w:name="_Toc234577899"/>
      <w:bookmarkStart w:id="144" w:name="_Toc234580384"/>
      <w:bookmarkStart w:id="145" w:name="_Toc234580490"/>
      <w:bookmarkStart w:id="146" w:name="_Toc234582246"/>
      <w:bookmarkStart w:id="147" w:name="_Toc417204113"/>
      <w:bookmarkStart w:id="148" w:name="_Toc417204423"/>
      <w:bookmarkStart w:id="149" w:name="_Toc417674554"/>
      <w:r w:rsidRPr="00DF0680">
        <w:t>General lab equipment</w:t>
      </w:r>
      <w:bookmarkEnd w:id="141"/>
      <w:bookmarkEnd w:id="142"/>
      <w:bookmarkEnd w:id="143"/>
      <w:bookmarkEnd w:id="144"/>
      <w:bookmarkEnd w:id="145"/>
      <w:bookmarkEnd w:id="146"/>
      <w:bookmarkEnd w:id="147"/>
      <w:bookmarkEnd w:id="148"/>
      <w:bookmarkEnd w:id="149"/>
    </w:p>
    <w:p w:rsidR="003F1B1F" w:rsidRPr="00DF0680" w:rsidRDefault="003F1B1F" w:rsidP="00E664FC">
      <w:pPr>
        <w:pStyle w:val="Heading4"/>
      </w:pPr>
      <w:bookmarkStart w:id="150" w:name="_Toc234469092"/>
      <w:bookmarkStart w:id="151" w:name="_Toc234580385"/>
      <w:bookmarkStart w:id="152" w:name="_Toc234580491"/>
      <w:bookmarkStart w:id="153" w:name="_Toc234582247"/>
      <w:bookmarkStart w:id="154" w:name="_Toc417204114"/>
      <w:bookmarkStart w:id="155" w:name="_Toc417204424"/>
      <w:bookmarkStart w:id="156" w:name="_Toc417674555"/>
      <w:r w:rsidRPr="00DF0680">
        <w:t>Lab equipment</w:t>
      </w:r>
      <w:bookmarkEnd w:id="150"/>
      <w:bookmarkEnd w:id="151"/>
      <w:bookmarkEnd w:id="152"/>
      <w:bookmarkEnd w:id="153"/>
      <w:bookmarkEnd w:id="154"/>
      <w:bookmarkEnd w:id="155"/>
      <w:bookmarkEnd w:id="156"/>
    </w:p>
    <w:tbl>
      <w:tblPr>
        <w:tblStyle w:val="TableGrid"/>
        <w:tblW w:w="0" w:type="auto"/>
        <w:tblLook w:val="01E0"/>
      </w:tblPr>
      <w:tblGrid>
        <w:gridCol w:w="5323"/>
        <w:gridCol w:w="3149"/>
      </w:tblGrid>
      <w:tr w:rsidR="003F1B1F" w:rsidRPr="00DF0680" w:rsidTr="003F1B1F">
        <w:trPr>
          <w:trHeight w:val="284"/>
        </w:trPr>
        <w:tc>
          <w:tcPr>
            <w:tcW w:w="5323" w:type="dxa"/>
            <w:shd w:val="clear" w:color="auto" w:fill="D9D9D9" w:themeFill="background1" w:themeFillShade="D9"/>
          </w:tcPr>
          <w:p w:rsidR="003F1B1F" w:rsidRPr="00DF0680" w:rsidRDefault="003F1B1F" w:rsidP="003F1B1F">
            <w:pPr>
              <w:rPr>
                <w:rFonts w:cs="Times New Roman"/>
              </w:rPr>
            </w:pPr>
            <w:r w:rsidRPr="00DF0680">
              <w:rPr>
                <w:rFonts w:cs="Times New Roman"/>
              </w:rPr>
              <w:t>Item</w:t>
            </w:r>
          </w:p>
        </w:tc>
        <w:tc>
          <w:tcPr>
            <w:tcW w:w="3149" w:type="dxa"/>
            <w:shd w:val="clear" w:color="auto" w:fill="D9D9D9" w:themeFill="background1" w:themeFillShade="D9"/>
          </w:tcPr>
          <w:p w:rsidR="003F1B1F" w:rsidRPr="00DF0680" w:rsidRDefault="003F1B1F" w:rsidP="003F1B1F">
            <w:pPr>
              <w:rPr>
                <w:rFonts w:cs="Times New Roman"/>
              </w:rPr>
            </w:pPr>
            <w:r w:rsidRPr="00DF0680">
              <w:rPr>
                <w:rFonts w:cs="Times New Roman"/>
              </w:rPr>
              <w:t>Company</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Agarose gel electrophoresis system</w:t>
            </w:r>
          </w:p>
        </w:tc>
        <w:tc>
          <w:tcPr>
            <w:tcW w:w="3149" w:type="dxa"/>
          </w:tcPr>
          <w:p w:rsidR="003F1B1F" w:rsidRPr="00DF0680" w:rsidRDefault="003F1B1F" w:rsidP="003F1B1F">
            <w:pPr>
              <w:rPr>
                <w:rFonts w:cs="Times New Roman"/>
              </w:rPr>
            </w:pPr>
            <w:r w:rsidRPr="00DF0680">
              <w:rPr>
                <w:rFonts w:cs="Times New Roman"/>
              </w:rPr>
              <w:t>Geneflow</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Balance</w:t>
            </w:r>
          </w:p>
        </w:tc>
        <w:tc>
          <w:tcPr>
            <w:tcW w:w="3149" w:type="dxa"/>
          </w:tcPr>
          <w:p w:rsidR="003F1B1F" w:rsidRPr="00DF0680" w:rsidRDefault="007A1441" w:rsidP="003F1B1F">
            <w:pPr>
              <w:rPr>
                <w:rFonts w:cs="Times New Roman"/>
              </w:rPr>
            </w:pPr>
            <w:r w:rsidRPr="00DF0680">
              <w:rPr>
                <w:rFonts w:cs="Times New Roman"/>
              </w:rPr>
              <w:t>Metler</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Benchtop centrifuge – accuSpin Micro</w:t>
            </w:r>
          </w:p>
        </w:tc>
        <w:tc>
          <w:tcPr>
            <w:tcW w:w="3149" w:type="dxa"/>
          </w:tcPr>
          <w:p w:rsidR="003F1B1F" w:rsidRPr="00DF0680" w:rsidRDefault="003F1B1F" w:rsidP="003F1B1F">
            <w:pPr>
              <w:rPr>
                <w:rFonts w:cs="Times New Roman"/>
              </w:rPr>
            </w:pPr>
            <w:r w:rsidRPr="00DF0680">
              <w:rPr>
                <w:rFonts w:cs="Times New Roman"/>
              </w:rPr>
              <w:t>Fisher Scientific</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Biological safety cabinet</w:t>
            </w:r>
          </w:p>
        </w:tc>
        <w:tc>
          <w:tcPr>
            <w:tcW w:w="3149" w:type="dxa"/>
          </w:tcPr>
          <w:p w:rsidR="003F1B1F" w:rsidRPr="00DF0680" w:rsidRDefault="003F1B1F" w:rsidP="003F1B1F">
            <w:pPr>
              <w:rPr>
                <w:rFonts w:cs="Times New Roman"/>
              </w:rPr>
            </w:pPr>
            <w:r w:rsidRPr="00DF0680">
              <w:rPr>
                <w:rFonts w:cs="Times New Roman"/>
              </w:rPr>
              <w:t>Gelman Sciences</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Colony counter</w:t>
            </w:r>
          </w:p>
        </w:tc>
        <w:tc>
          <w:tcPr>
            <w:tcW w:w="3149" w:type="dxa"/>
          </w:tcPr>
          <w:p w:rsidR="003F1B1F" w:rsidRPr="00DF0680" w:rsidRDefault="003F1B1F" w:rsidP="003F1B1F">
            <w:pPr>
              <w:rPr>
                <w:rFonts w:cs="Times New Roman"/>
              </w:rPr>
            </w:pPr>
            <w:r w:rsidRPr="00DF0680">
              <w:rPr>
                <w:rFonts w:cs="Times New Roman"/>
              </w:rPr>
              <w:t>Stuart Scientific</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Electrophoretic transfer cell</w:t>
            </w:r>
          </w:p>
        </w:tc>
        <w:tc>
          <w:tcPr>
            <w:tcW w:w="3149" w:type="dxa"/>
          </w:tcPr>
          <w:p w:rsidR="003F1B1F" w:rsidRPr="00DF0680" w:rsidRDefault="003F1B1F" w:rsidP="003F1B1F">
            <w:pPr>
              <w:rPr>
                <w:rFonts w:cs="Times New Roman"/>
              </w:rPr>
            </w:pPr>
            <w:r w:rsidRPr="00DF0680">
              <w:rPr>
                <w:rFonts w:cs="Times New Roman"/>
              </w:rPr>
              <w:t>Bio-Rad</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FACScalibur</w:t>
            </w:r>
          </w:p>
        </w:tc>
        <w:tc>
          <w:tcPr>
            <w:tcW w:w="3149" w:type="dxa"/>
          </w:tcPr>
          <w:p w:rsidR="003F1B1F" w:rsidRPr="00DF0680" w:rsidRDefault="003F1B1F" w:rsidP="003F1B1F">
            <w:pPr>
              <w:rPr>
                <w:rFonts w:cs="Times New Roman"/>
              </w:rPr>
            </w:pPr>
            <w:r w:rsidRPr="00DF0680">
              <w:rPr>
                <w:rFonts w:cs="Times New Roman"/>
              </w:rPr>
              <w:t>Becton Dickinson</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Film processor</w:t>
            </w:r>
          </w:p>
        </w:tc>
        <w:tc>
          <w:tcPr>
            <w:tcW w:w="3149" w:type="dxa"/>
          </w:tcPr>
          <w:p w:rsidR="003F1B1F" w:rsidRPr="00DF0680" w:rsidRDefault="003F1B1F" w:rsidP="003F1B1F">
            <w:pPr>
              <w:rPr>
                <w:rFonts w:cs="Times New Roman"/>
              </w:rPr>
            </w:pPr>
            <w:r w:rsidRPr="00DF0680">
              <w:rPr>
                <w:rFonts w:cs="Times New Roman"/>
              </w:rPr>
              <w:t>Konica</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Haemocytometer</w:t>
            </w:r>
          </w:p>
        </w:tc>
        <w:tc>
          <w:tcPr>
            <w:tcW w:w="3149" w:type="dxa"/>
          </w:tcPr>
          <w:p w:rsidR="003F1B1F" w:rsidRPr="00DF0680" w:rsidRDefault="003F1B1F" w:rsidP="003F1B1F">
            <w:pPr>
              <w:rPr>
                <w:rFonts w:cs="Times New Roman"/>
              </w:rPr>
            </w:pPr>
            <w:r w:rsidRPr="00DF0680">
              <w:rPr>
                <w:rFonts w:cs="Times New Roman"/>
              </w:rPr>
              <w:t>Hawksley</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Heat block</w:t>
            </w:r>
          </w:p>
        </w:tc>
        <w:tc>
          <w:tcPr>
            <w:tcW w:w="3149" w:type="dxa"/>
          </w:tcPr>
          <w:p w:rsidR="003F1B1F" w:rsidRPr="00DF0680" w:rsidRDefault="003F1B1F" w:rsidP="003F1B1F">
            <w:pPr>
              <w:rPr>
                <w:rFonts w:cs="Times New Roman"/>
              </w:rPr>
            </w:pPr>
            <w:r w:rsidRPr="00DF0680">
              <w:rPr>
                <w:rFonts w:cs="Times New Roman"/>
              </w:rPr>
              <w:t>Grant Instruments</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Heofer SE250 mighty small II system</w:t>
            </w:r>
          </w:p>
        </w:tc>
        <w:tc>
          <w:tcPr>
            <w:tcW w:w="3149" w:type="dxa"/>
          </w:tcPr>
          <w:p w:rsidR="003F1B1F" w:rsidRPr="00DF0680" w:rsidRDefault="003F1B1F" w:rsidP="003F1B1F">
            <w:pPr>
              <w:rPr>
                <w:rFonts w:cs="Times New Roman"/>
              </w:rPr>
            </w:pPr>
            <w:r w:rsidRPr="00DF0680">
              <w:rPr>
                <w:rFonts w:cs="Times New Roman"/>
              </w:rPr>
              <w:t>Amersham Biosciences</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Hoefer SE250 miniVE vertical electrophoresis unit</w:t>
            </w:r>
          </w:p>
        </w:tc>
        <w:tc>
          <w:tcPr>
            <w:tcW w:w="3149" w:type="dxa"/>
          </w:tcPr>
          <w:p w:rsidR="003F1B1F" w:rsidRPr="00DF0680" w:rsidRDefault="003F1B1F" w:rsidP="003F1B1F">
            <w:pPr>
              <w:rPr>
                <w:rFonts w:cs="Times New Roman"/>
              </w:rPr>
            </w:pPr>
            <w:r w:rsidRPr="00DF0680">
              <w:rPr>
                <w:rFonts w:cs="Times New Roman"/>
              </w:rPr>
              <w:t>Amersham Biosciences</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Incubator – bacterial culture</w:t>
            </w:r>
          </w:p>
        </w:tc>
        <w:tc>
          <w:tcPr>
            <w:tcW w:w="3149" w:type="dxa"/>
          </w:tcPr>
          <w:p w:rsidR="003F1B1F" w:rsidRPr="00DF0680" w:rsidRDefault="003F1B1F" w:rsidP="003F1B1F">
            <w:pPr>
              <w:rPr>
                <w:rFonts w:cs="Times New Roman"/>
              </w:rPr>
            </w:pPr>
            <w:r w:rsidRPr="00DF0680">
              <w:rPr>
                <w:rFonts w:cs="Times New Roman"/>
              </w:rPr>
              <w:t>Labnet</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Incubator – shaking</w:t>
            </w:r>
          </w:p>
        </w:tc>
        <w:tc>
          <w:tcPr>
            <w:tcW w:w="3149" w:type="dxa"/>
          </w:tcPr>
          <w:p w:rsidR="003F1B1F" w:rsidRPr="00DF0680" w:rsidRDefault="003F1B1F" w:rsidP="003F1B1F">
            <w:pPr>
              <w:rPr>
                <w:rFonts w:cs="Times New Roman"/>
              </w:rPr>
            </w:pPr>
            <w:r w:rsidRPr="00DF0680">
              <w:rPr>
                <w:rFonts w:cs="Times New Roman"/>
              </w:rPr>
              <w:t>Labnet</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Incubator – tissue culture</w:t>
            </w:r>
          </w:p>
        </w:tc>
        <w:tc>
          <w:tcPr>
            <w:tcW w:w="3149" w:type="dxa"/>
          </w:tcPr>
          <w:p w:rsidR="003F1B1F" w:rsidRPr="00DF0680" w:rsidRDefault="003F1B1F" w:rsidP="003F1B1F">
            <w:pPr>
              <w:rPr>
                <w:rFonts w:cs="Times New Roman"/>
              </w:rPr>
            </w:pPr>
            <w:r w:rsidRPr="00DF0680">
              <w:rPr>
                <w:rFonts w:cs="Times New Roman"/>
              </w:rPr>
              <w:t>Sanyo</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Light microscope</w:t>
            </w:r>
          </w:p>
        </w:tc>
        <w:tc>
          <w:tcPr>
            <w:tcW w:w="3149" w:type="dxa"/>
          </w:tcPr>
          <w:p w:rsidR="003F1B1F" w:rsidRPr="00DF0680" w:rsidRDefault="003F1B1F" w:rsidP="003F1B1F">
            <w:pPr>
              <w:rPr>
                <w:rFonts w:cs="Times New Roman"/>
              </w:rPr>
            </w:pPr>
            <w:r w:rsidRPr="00DF0680">
              <w:rPr>
                <w:rFonts w:cs="Times New Roman"/>
              </w:rPr>
              <w:t>Optika</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Microbiological safety cabinet</w:t>
            </w:r>
          </w:p>
        </w:tc>
        <w:tc>
          <w:tcPr>
            <w:tcW w:w="3149" w:type="dxa"/>
          </w:tcPr>
          <w:p w:rsidR="003F1B1F" w:rsidRPr="00DF0680" w:rsidRDefault="003F1B1F" w:rsidP="003F1B1F">
            <w:pPr>
              <w:rPr>
                <w:rFonts w:cs="Times New Roman"/>
              </w:rPr>
            </w:pPr>
            <w:r w:rsidRPr="00DF0680">
              <w:rPr>
                <w:rFonts w:cs="Times New Roman"/>
              </w:rPr>
              <w:t>Walker</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Mid bench centrifuge – Heraeus MegaFuge 16</w:t>
            </w:r>
          </w:p>
        </w:tc>
        <w:tc>
          <w:tcPr>
            <w:tcW w:w="3149" w:type="dxa"/>
          </w:tcPr>
          <w:p w:rsidR="003F1B1F" w:rsidRPr="00DF0680" w:rsidRDefault="003F1B1F" w:rsidP="003F1B1F">
            <w:pPr>
              <w:rPr>
                <w:rFonts w:cs="Times New Roman"/>
              </w:rPr>
            </w:pPr>
            <w:r w:rsidRPr="00DF0680">
              <w:rPr>
                <w:rFonts w:cs="Times New Roman"/>
              </w:rPr>
              <w:t>Thermo Scientific</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pH meter</w:t>
            </w:r>
          </w:p>
        </w:tc>
        <w:tc>
          <w:tcPr>
            <w:tcW w:w="3149" w:type="dxa"/>
          </w:tcPr>
          <w:p w:rsidR="003F1B1F" w:rsidRPr="00DF0680" w:rsidRDefault="003F1B1F" w:rsidP="003F1B1F">
            <w:pPr>
              <w:rPr>
                <w:rFonts w:cs="Times New Roman"/>
              </w:rPr>
            </w:pPr>
            <w:r w:rsidRPr="00DF0680">
              <w:rPr>
                <w:rFonts w:cs="Times New Roman"/>
              </w:rPr>
              <w:t>Jenway</w:t>
            </w:r>
          </w:p>
        </w:tc>
      </w:tr>
      <w:tr w:rsidR="003F1B1F" w:rsidRPr="00DF0680" w:rsidTr="003F1B1F">
        <w:trPr>
          <w:trHeight w:val="284"/>
        </w:trPr>
        <w:tc>
          <w:tcPr>
            <w:tcW w:w="5323" w:type="dxa"/>
          </w:tcPr>
          <w:p w:rsidR="003F1B1F" w:rsidRPr="00DF0680" w:rsidRDefault="00DF0680" w:rsidP="003F1B1F">
            <w:pPr>
              <w:rPr>
                <w:rFonts w:cs="Times New Roman"/>
              </w:rPr>
            </w:pPr>
            <w:r w:rsidRPr="00DF0680">
              <w:rPr>
                <w:rFonts w:cs="Times New Roman"/>
              </w:rPr>
              <w:t>Pipette</w:t>
            </w:r>
            <w:r w:rsidR="003F1B1F" w:rsidRPr="00DF0680">
              <w:rPr>
                <w:rFonts w:cs="Times New Roman"/>
              </w:rPr>
              <w:t xml:space="preserve"> aid</w:t>
            </w:r>
          </w:p>
        </w:tc>
        <w:tc>
          <w:tcPr>
            <w:tcW w:w="3149" w:type="dxa"/>
          </w:tcPr>
          <w:p w:rsidR="003F1B1F" w:rsidRPr="00DF0680" w:rsidRDefault="003F1B1F" w:rsidP="003F1B1F">
            <w:pPr>
              <w:rPr>
                <w:rFonts w:cs="Times New Roman"/>
              </w:rPr>
            </w:pPr>
            <w:r w:rsidRPr="00DF0680">
              <w:rPr>
                <w:rFonts w:cs="Times New Roman"/>
              </w:rPr>
              <w:t>Drummond</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Pipettes</w:t>
            </w:r>
          </w:p>
        </w:tc>
        <w:tc>
          <w:tcPr>
            <w:tcW w:w="3149" w:type="dxa"/>
          </w:tcPr>
          <w:p w:rsidR="003F1B1F" w:rsidRPr="00DF0680" w:rsidRDefault="003F1B1F" w:rsidP="003F1B1F">
            <w:pPr>
              <w:rPr>
                <w:rFonts w:cs="Times New Roman"/>
              </w:rPr>
            </w:pPr>
            <w:r w:rsidRPr="00DF0680">
              <w:rPr>
                <w:rFonts w:cs="Times New Roman"/>
              </w:rPr>
              <w:t>Gilson</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Plate reader</w:t>
            </w:r>
          </w:p>
        </w:tc>
        <w:tc>
          <w:tcPr>
            <w:tcW w:w="3149" w:type="dxa"/>
          </w:tcPr>
          <w:p w:rsidR="003F1B1F" w:rsidRPr="00DF0680" w:rsidRDefault="003F1B1F" w:rsidP="003F1B1F">
            <w:pPr>
              <w:rPr>
                <w:rFonts w:cs="Times New Roman"/>
              </w:rPr>
            </w:pPr>
            <w:r w:rsidRPr="00DF0680">
              <w:rPr>
                <w:rFonts w:cs="Times New Roman"/>
              </w:rPr>
              <w:t>Thermo Scientific</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Power pack</w:t>
            </w:r>
          </w:p>
        </w:tc>
        <w:tc>
          <w:tcPr>
            <w:tcW w:w="3149" w:type="dxa"/>
          </w:tcPr>
          <w:p w:rsidR="003F1B1F" w:rsidRPr="00DF0680" w:rsidRDefault="003F1B1F" w:rsidP="003F1B1F">
            <w:pPr>
              <w:rPr>
                <w:rFonts w:cs="Times New Roman"/>
              </w:rPr>
            </w:pPr>
            <w:r w:rsidRPr="00DF0680">
              <w:rPr>
                <w:rFonts w:cs="Times New Roman"/>
              </w:rPr>
              <w:t>Bio-Rad</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Shaking platform</w:t>
            </w:r>
          </w:p>
        </w:tc>
        <w:tc>
          <w:tcPr>
            <w:tcW w:w="3149" w:type="dxa"/>
          </w:tcPr>
          <w:p w:rsidR="003F1B1F" w:rsidRPr="00DF0680" w:rsidRDefault="003F1B1F" w:rsidP="003F1B1F">
            <w:pPr>
              <w:rPr>
                <w:rFonts w:cs="Times New Roman"/>
              </w:rPr>
            </w:pPr>
            <w:r w:rsidRPr="00DF0680">
              <w:rPr>
                <w:rFonts w:cs="Times New Roman"/>
              </w:rPr>
              <w:t xml:space="preserve">Stovall Life Science </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Thermal cycler</w:t>
            </w:r>
          </w:p>
        </w:tc>
        <w:tc>
          <w:tcPr>
            <w:tcW w:w="3149" w:type="dxa"/>
          </w:tcPr>
          <w:p w:rsidR="003F1B1F" w:rsidRPr="00DF0680" w:rsidRDefault="003F1B1F" w:rsidP="003F1B1F">
            <w:pPr>
              <w:rPr>
                <w:rFonts w:cs="Times New Roman"/>
              </w:rPr>
            </w:pPr>
            <w:r w:rsidRPr="00DF0680">
              <w:rPr>
                <w:rFonts w:cs="Times New Roman"/>
              </w:rPr>
              <w:t>Applied Biosystems</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Vortex</w:t>
            </w:r>
          </w:p>
        </w:tc>
        <w:tc>
          <w:tcPr>
            <w:tcW w:w="3149" w:type="dxa"/>
          </w:tcPr>
          <w:p w:rsidR="003F1B1F" w:rsidRPr="00DF0680" w:rsidRDefault="003F1B1F" w:rsidP="003F1B1F">
            <w:pPr>
              <w:rPr>
                <w:rFonts w:cs="Times New Roman"/>
              </w:rPr>
            </w:pPr>
            <w:r w:rsidRPr="00DF0680">
              <w:rPr>
                <w:rFonts w:cs="Times New Roman"/>
              </w:rPr>
              <w:t>Fisons Scientific Equipment</w:t>
            </w:r>
          </w:p>
        </w:tc>
      </w:tr>
      <w:tr w:rsidR="003F1B1F" w:rsidRPr="00DF0680" w:rsidTr="003F1B1F">
        <w:trPr>
          <w:trHeight w:val="284"/>
        </w:trPr>
        <w:tc>
          <w:tcPr>
            <w:tcW w:w="5323" w:type="dxa"/>
          </w:tcPr>
          <w:p w:rsidR="003F1B1F" w:rsidRPr="00DF0680" w:rsidRDefault="003F1B1F" w:rsidP="003F1B1F">
            <w:pPr>
              <w:rPr>
                <w:rFonts w:cs="Times New Roman"/>
              </w:rPr>
            </w:pPr>
            <w:r w:rsidRPr="00DF0680">
              <w:rPr>
                <w:rFonts w:cs="Times New Roman"/>
              </w:rPr>
              <w:t>Water baths</w:t>
            </w:r>
          </w:p>
        </w:tc>
        <w:tc>
          <w:tcPr>
            <w:tcW w:w="3149" w:type="dxa"/>
          </w:tcPr>
          <w:p w:rsidR="003F1B1F" w:rsidRPr="00DF0680" w:rsidRDefault="003F1B1F" w:rsidP="003F1B1F">
            <w:pPr>
              <w:rPr>
                <w:rFonts w:cs="Times New Roman"/>
              </w:rPr>
            </w:pPr>
            <w:r w:rsidRPr="00DF0680">
              <w:rPr>
                <w:rFonts w:cs="Times New Roman"/>
              </w:rPr>
              <w:t>Grant Instruments</w:t>
            </w:r>
          </w:p>
        </w:tc>
      </w:tr>
    </w:tbl>
    <w:p w:rsidR="003F1B1F" w:rsidRPr="00DF0680" w:rsidRDefault="003F1B1F" w:rsidP="003F1B1F">
      <w:pPr>
        <w:rPr>
          <w:rFonts w:cs="Times New Roman"/>
        </w:rPr>
      </w:pPr>
      <w:bookmarkStart w:id="157" w:name="_Toc234469093"/>
      <w:bookmarkStart w:id="158" w:name="_Toc234580386"/>
      <w:bookmarkStart w:id="159" w:name="_Toc234580492"/>
      <w:bookmarkStart w:id="160" w:name="_Toc234582248"/>
    </w:p>
    <w:p w:rsidR="00E52A8D" w:rsidRPr="00DF0680" w:rsidRDefault="00E52A8D" w:rsidP="003F1B1F">
      <w:pPr>
        <w:rPr>
          <w:rFonts w:cs="Times New Roman"/>
        </w:rPr>
      </w:pPr>
    </w:p>
    <w:p w:rsidR="003F1B1F" w:rsidRPr="00DF0680" w:rsidRDefault="003F1B1F" w:rsidP="00E664FC">
      <w:pPr>
        <w:pStyle w:val="Heading4"/>
      </w:pPr>
      <w:bookmarkStart w:id="161" w:name="_Toc417204115"/>
      <w:bookmarkStart w:id="162" w:name="_Toc417204425"/>
      <w:bookmarkStart w:id="163" w:name="_Toc417674556"/>
      <w:r w:rsidRPr="00DF0680">
        <w:lastRenderedPageBreak/>
        <w:t>Glassware, plastics and disposables</w:t>
      </w:r>
      <w:bookmarkEnd w:id="157"/>
      <w:bookmarkEnd w:id="158"/>
      <w:bookmarkEnd w:id="159"/>
      <w:bookmarkEnd w:id="160"/>
      <w:bookmarkEnd w:id="161"/>
      <w:bookmarkEnd w:id="162"/>
      <w:bookmarkEnd w:id="163"/>
    </w:p>
    <w:tbl>
      <w:tblPr>
        <w:tblStyle w:val="TableGrid"/>
        <w:tblW w:w="0" w:type="auto"/>
        <w:tblLook w:val="01E0"/>
      </w:tblPr>
      <w:tblGrid>
        <w:gridCol w:w="4746"/>
        <w:gridCol w:w="3813"/>
      </w:tblGrid>
      <w:tr w:rsidR="003F1B1F" w:rsidRPr="00DF0680" w:rsidTr="003F1B1F">
        <w:trPr>
          <w:trHeight w:val="284"/>
        </w:trPr>
        <w:tc>
          <w:tcPr>
            <w:tcW w:w="4746" w:type="dxa"/>
            <w:shd w:val="clear" w:color="auto" w:fill="D9D9D9" w:themeFill="background1" w:themeFillShade="D9"/>
          </w:tcPr>
          <w:p w:rsidR="003F1B1F" w:rsidRPr="00DF0680" w:rsidRDefault="003F1B1F" w:rsidP="003F1B1F">
            <w:pPr>
              <w:rPr>
                <w:rFonts w:cs="Times New Roman"/>
              </w:rPr>
            </w:pPr>
            <w:r w:rsidRPr="00DF0680">
              <w:rPr>
                <w:rFonts w:cs="Times New Roman"/>
              </w:rPr>
              <w:t>Item</w:t>
            </w:r>
          </w:p>
        </w:tc>
        <w:tc>
          <w:tcPr>
            <w:tcW w:w="3813" w:type="dxa"/>
            <w:shd w:val="clear" w:color="auto" w:fill="D9D9D9" w:themeFill="background1" w:themeFillShade="D9"/>
          </w:tcPr>
          <w:p w:rsidR="003F1B1F" w:rsidRPr="00DF0680" w:rsidRDefault="003F1B1F" w:rsidP="003F1B1F">
            <w:pPr>
              <w:rPr>
                <w:rFonts w:cs="Times New Roman"/>
              </w:rPr>
            </w:pPr>
            <w:r w:rsidRPr="00DF0680">
              <w:rPr>
                <w:rFonts w:cs="Times New Roman"/>
              </w:rPr>
              <w:t>Company</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0.22 μm Millex GP filter unit</w:t>
            </w:r>
          </w:p>
        </w:tc>
        <w:tc>
          <w:tcPr>
            <w:tcW w:w="3813" w:type="dxa"/>
          </w:tcPr>
          <w:p w:rsidR="003F1B1F" w:rsidRPr="00DF0680" w:rsidRDefault="003F1B1F" w:rsidP="003F1B1F">
            <w:pPr>
              <w:rPr>
                <w:rFonts w:cs="Times New Roman"/>
              </w:rPr>
            </w:pPr>
            <w:r w:rsidRPr="00DF0680">
              <w:rPr>
                <w:rFonts w:cs="Times New Roman"/>
              </w:rPr>
              <w:t>Millipore</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Bacterial culture dish</w:t>
            </w:r>
          </w:p>
        </w:tc>
        <w:tc>
          <w:tcPr>
            <w:tcW w:w="3813" w:type="dxa"/>
          </w:tcPr>
          <w:p w:rsidR="003F1B1F" w:rsidRPr="00DF0680" w:rsidRDefault="003F1B1F" w:rsidP="003F1B1F">
            <w:pPr>
              <w:rPr>
                <w:rFonts w:cs="Times New Roman"/>
              </w:rPr>
            </w:pPr>
            <w:r w:rsidRPr="00DF0680">
              <w:rPr>
                <w:rFonts w:cs="Times New Roman"/>
              </w:rPr>
              <w:t>Thermo Scientific</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Cell scraper</w:t>
            </w:r>
          </w:p>
        </w:tc>
        <w:tc>
          <w:tcPr>
            <w:tcW w:w="3813" w:type="dxa"/>
          </w:tcPr>
          <w:p w:rsidR="003F1B1F" w:rsidRPr="00DF0680" w:rsidRDefault="003F1B1F" w:rsidP="003F1B1F">
            <w:pPr>
              <w:rPr>
                <w:rFonts w:cs="Times New Roman"/>
              </w:rPr>
            </w:pPr>
            <w:r w:rsidRPr="00DF0680">
              <w:rPr>
                <w:rFonts w:cs="Times New Roman"/>
              </w:rPr>
              <w:t>Sarstedt</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Centrifuge tubes – 15 ml</w:t>
            </w:r>
          </w:p>
        </w:tc>
        <w:tc>
          <w:tcPr>
            <w:tcW w:w="3813" w:type="dxa"/>
          </w:tcPr>
          <w:p w:rsidR="003F1B1F" w:rsidRPr="00DF0680" w:rsidRDefault="003F1B1F" w:rsidP="003F1B1F">
            <w:pPr>
              <w:rPr>
                <w:rFonts w:cs="Times New Roman"/>
              </w:rPr>
            </w:pPr>
            <w:r w:rsidRPr="00DF0680">
              <w:rPr>
                <w:rFonts w:cs="Times New Roman"/>
              </w:rPr>
              <w:t>Corning</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Centrifuge tubes – 50 ml</w:t>
            </w:r>
          </w:p>
        </w:tc>
        <w:tc>
          <w:tcPr>
            <w:tcW w:w="3813" w:type="dxa"/>
          </w:tcPr>
          <w:p w:rsidR="003F1B1F" w:rsidRPr="00DF0680" w:rsidRDefault="003F1B1F" w:rsidP="003F1B1F">
            <w:pPr>
              <w:rPr>
                <w:rFonts w:cs="Times New Roman"/>
              </w:rPr>
            </w:pPr>
            <w:r w:rsidRPr="00DF0680">
              <w:rPr>
                <w:rFonts w:cs="Times New Roman"/>
              </w:rPr>
              <w:t>Fisherbrand</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Coverglass – 22 x 22 mm</w:t>
            </w:r>
          </w:p>
        </w:tc>
        <w:tc>
          <w:tcPr>
            <w:tcW w:w="3813" w:type="dxa"/>
          </w:tcPr>
          <w:p w:rsidR="003F1B1F" w:rsidRPr="00DF0680" w:rsidRDefault="003F1B1F" w:rsidP="003F1B1F">
            <w:pPr>
              <w:rPr>
                <w:rFonts w:cs="Times New Roman"/>
              </w:rPr>
            </w:pPr>
            <w:r w:rsidRPr="00DF0680">
              <w:rPr>
                <w:rFonts w:cs="Times New Roman"/>
              </w:rPr>
              <w:t>Menzel-Gläzer</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Coverglass – 22 x 50 mm</w:t>
            </w:r>
          </w:p>
        </w:tc>
        <w:tc>
          <w:tcPr>
            <w:tcW w:w="3813" w:type="dxa"/>
          </w:tcPr>
          <w:p w:rsidR="003F1B1F" w:rsidRPr="00DF0680" w:rsidRDefault="003F1B1F" w:rsidP="003F1B1F">
            <w:pPr>
              <w:rPr>
                <w:rFonts w:cs="Times New Roman"/>
              </w:rPr>
            </w:pPr>
            <w:r w:rsidRPr="00DF0680">
              <w:rPr>
                <w:rFonts w:cs="Times New Roman"/>
              </w:rPr>
              <w:t>Menzel-Gläzer</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Cryovials</w:t>
            </w:r>
          </w:p>
        </w:tc>
        <w:tc>
          <w:tcPr>
            <w:tcW w:w="3813" w:type="dxa"/>
          </w:tcPr>
          <w:p w:rsidR="003F1B1F" w:rsidRPr="00DF0680" w:rsidRDefault="003F1B1F" w:rsidP="003F1B1F">
            <w:pPr>
              <w:rPr>
                <w:rFonts w:cs="Times New Roman"/>
              </w:rPr>
            </w:pPr>
            <w:r w:rsidRPr="00DF0680">
              <w:rPr>
                <w:rFonts w:cs="Times New Roman"/>
              </w:rPr>
              <w:t>Nalgene</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Culture plates - 6 well</w:t>
            </w:r>
          </w:p>
        </w:tc>
        <w:tc>
          <w:tcPr>
            <w:tcW w:w="3813" w:type="dxa"/>
          </w:tcPr>
          <w:p w:rsidR="003F1B1F" w:rsidRPr="00DF0680" w:rsidRDefault="003F1B1F" w:rsidP="003F1B1F">
            <w:pPr>
              <w:rPr>
                <w:rFonts w:cs="Times New Roman"/>
              </w:rPr>
            </w:pPr>
            <w:r w:rsidRPr="00DF0680">
              <w:rPr>
                <w:rFonts w:cs="Times New Roman"/>
              </w:rPr>
              <w:t xml:space="preserve">Cellstar </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Culture plates - 96 well</w:t>
            </w:r>
          </w:p>
        </w:tc>
        <w:tc>
          <w:tcPr>
            <w:tcW w:w="3813" w:type="dxa"/>
          </w:tcPr>
          <w:p w:rsidR="003F1B1F" w:rsidRPr="00DF0680" w:rsidRDefault="003F1B1F" w:rsidP="003F1B1F">
            <w:pPr>
              <w:rPr>
                <w:rFonts w:cs="Times New Roman"/>
              </w:rPr>
            </w:pPr>
            <w:r w:rsidRPr="00DF0680">
              <w:rPr>
                <w:rFonts w:cs="Times New Roman"/>
              </w:rPr>
              <w:t>Corning</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 xml:space="preserve">Eppendorfs – 0.2 ml, 0.5 ml and 2 ml </w:t>
            </w:r>
          </w:p>
        </w:tc>
        <w:tc>
          <w:tcPr>
            <w:tcW w:w="3813" w:type="dxa"/>
          </w:tcPr>
          <w:p w:rsidR="003F1B1F" w:rsidRPr="00DF0680" w:rsidRDefault="003F1B1F" w:rsidP="003F1B1F">
            <w:pPr>
              <w:rPr>
                <w:rFonts w:cs="Times New Roman"/>
              </w:rPr>
            </w:pPr>
            <w:r w:rsidRPr="00DF0680">
              <w:rPr>
                <w:rFonts w:cs="Times New Roman"/>
              </w:rPr>
              <w:t>Sarstedt</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Eppendorfs – 1.5ml</w:t>
            </w:r>
          </w:p>
        </w:tc>
        <w:tc>
          <w:tcPr>
            <w:tcW w:w="3813" w:type="dxa"/>
          </w:tcPr>
          <w:p w:rsidR="003F1B1F" w:rsidRPr="00DF0680" w:rsidRDefault="003F1B1F" w:rsidP="003F1B1F">
            <w:pPr>
              <w:rPr>
                <w:rFonts w:cs="Times New Roman"/>
              </w:rPr>
            </w:pPr>
            <w:r w:rsidRPr="00DF0680">
              <w:rPr>
                <w:rFonts w:cs="Times New Roman"/>
              </w:rPr>
              <w:t>Greiner bio-one</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Glass bottles</w:t>
            </w:r>
          </w:p>
        </w:tc>
        <w:tc>
          <w:tcPr>
            <w:tcW w:w="3813" w:type="dxa"/>
          </w:tcPr>
          <w:p w:rsidR="003F1B1F" w:rsidRPr="00DF0680" w:rsidRDefault="003F1B1F" w:rsidP="003F1B1F">
            <w:pPr>
              <w:rPr>
                <w:rFonts w:cs="Times New Roman"/>
              </w:rPr>
            </w:pPr>
            <w:r w:rsidRPr="00DF0680">
              <w:rPr>
                <w:rFonts w:cs="Times New Roman"/>
              </w:rPr>
              <w:t xml:space="preserve">Fisher Scientific </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Microlance needles</w:t>
            </w:r>
          </w:p>
        </w:tc>
        <w:tc>
          <w:tcPr>
            <w:tcW w:w="3813" w:type="dxa"/>
          </w:tcPr>
          <w:p w:rsidR="003F1B1F" w:rsidRPr="00DF0680" w:rsidRDefault="003F1B1F" w:rsidP="003F1B1F">
            <w:pPr>
              <w:rPr>
                <w:rFonts w:cs="Times New Roman"/>
              </w:rPr>
            </w:pPr>
            <w:r w:rsidRPr="00DF0680">
              <w:rPr>
                <w:rFonts w:cs="Times New Roman"/>
              </w:rPr>
              <w:t>Becton Dickinson</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Microscope slides</w:t>
            </w:r>
          </w:p>
        </w:tc>
        <w:tc>
          <w:tcPr>
            <w:tcW w:w="3813" w:type="dxa"/>
          </w:tcPr>
          <w:p w:rsidR="003F1B1F" w:rsidRPr="00DF0680" w:rsidRDefault="003F1B1F" w:rsidP="003F1B1F">
            <w:pPr>
              <w:rPr>
                <w:rFonts w:cs="Times New Roman"/>
              </w:rPr>
            </w:pPr>
            <w:r w:rsidRPr="00DF0680">
              <w:rPr>
                <w:rFonts w:cs="Times New Roman"/>
              </w:rPr>
              <w:t>Thermo Scientific</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Non-sterile FACs tubes</w:t>
            </w:r>
          </w:p>
        </w:tc>
        <w:tc>
          <w:tcPr>
            <w:tcW w:w="3813" w:type="dxa"/>
          </w:tcPr>
          <w:p w:rsidR="003F1B1F" w:rsidRPr="00DF0680" w:rsidRDefault="003F1B1F" w:rsidP="003F1B1F">
            <w:pPr>
              <w:rPr>
                <w:rFonts w:cs="Times New Roman"/>
              </w:rPr>
            </w:pPr>
            <w:r w:rsidRPr="00DF0680">
              <w:rPr>
                <w:rFonts w:cs="Times New Roman"/>
              </w:rPr>
              <w:t>Elkay</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 xml:space="preserve">Plastic pipettes – 5 ml, 10 ml and 25 ml </w:t>
            </w:r>
          </w:p>
        </w:tc>
        <w:tc>
          <w:tcPr>
            <w:tcW w:w="3813" w:type="dxa"/>
          </w:tcPr>
          <w:p w:rsidR="003F1B1F" w:rsidRPr="00DF0680" w:rsidRDefault="003F1B1F" w:rsidP="003F1B1F">
            <w:pPr>
              <w:rPr>
                <w:rFonts w:cs="Times New Roman"/>
              </w:rPr>
            </w:pPr>
            <w:r w:rsidRPr="00DF0680">
              <w:rPr>
                <w:rFonts w:cs="Times New Roman"/>
              </w:rPr>
              <w:t>Costar</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Pyrex Glassware</w:t>
            </w:r>
          </w:p>
        </w:tc>
        <w:tc>
          <w:tcPr>
            <w:tcW w:w="3813" w:type="dxa"/>
          </w:tcPr>
          <w:p w:rsidR="003F1B1F" w:rsidRPr="00DF0680" w:rsidRDefault="003F1B1F" w:rsidP="003F1B1F">
            <w:pPr>
              <w:rPr>
                <w:rFonts w:cs="Times New Roman"/>
              </w:rPr>
            </w:pPr>
            <w:r w:rsidRPr="00DF0680">
              <w:rPr>
                <w:rFonts w:cs="Times New Roman"/>
              </w:rPr>
              <w:t>Fisher Scientific</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Gel loading tips</w:t>
            </w:r>
          </w:p>
        </w:tc>
        <w:tc>
          <w:tcPr>
            <w:tcW w:w="3813" w:type="dxa"/>
          </w:tcPr>
          <w:p w:rsidR="003F1B1F" w:rsidRPr="00DF0680" w:rsidRDefault="003F1B1F" w:rsidP="003F1B1F">
            <w:pPr>
              <w:rPr>
                <w:rFonts w:cs="Times New Roman"/>
              </w:rPr>
            </w:pPr>
            <w:r w:rsidRPr="00DF0680">
              <w:rPr>
                <w:rFonts w:cs="Times New Roman"/>
              </w:rPr>
              <w:t>Starlab</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Filter tips</w:t>
            </w:r>
          </w:p>
        </w:tc>
        <w:tc>
          <w:tcPr>
            <w:tcW w:w="3813" w:type="dxa"/>
          </w:tcPr>
          <w:p w:rsidR="003F1B1F" w:rsidRPr="00DF0680" w:rsidRDefault="003F1B1F" w:rsidP="003F1B1F">
            <w:pPr>
              <w:rPr>
                <w:rFonts w:cs="Times New Roman"/>
              </w:rPr>
            </w:pPr>
            <w:r w:rsidRPr="00DF0680">
              <w:rPr>
                <w:rFonts w:cs="Times New Roman"/>
              </w:rPr>
              <w:t>Starlab</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Refill tips</w:t>
            </w:r>
          </w:p>
        </w:tc>
        <w:tc>
          <w:tcPr>
            <w:tcW w:w="3813" w:type="dxa"/>
          </w:tcPr>
          <w:p w:rsidR="003F1B1F" w:rsidRPr="00DF0680" w:rsidRDefault="003F1B1F" w:rsidP="003F1B1F">
            <w:pPr>
              <w:rPr>
                <w:rFonts w:cs="Times New Roman"/>
              </w:rPr>
            </w:pPr>
            <w:r w:rsidRPr="00DF0680">
              <w:rPr>
                <w:rFonts w:cs="Times New Roman"/>
              </w:rPr>
              <w:t>Sarstedt</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Sterile syringes</w:t>
            </w:r>
          </w:p>
        </w:tc>
        <w:tc>
          <w:tcPr>
            <w:tcW w:w="3813" w:type="dxa"/>
          </w:tcPr>
          <w:p w:rsidR="003F1B1F" w:rsidRPr="00DF0680" w:rsidRDefault="003F1B1F" w:rsidP="003F1B1F">
            <w:pPr>
              <w:rPr>
                <w:rFonts w:cs="Times New Roman"/>
              </w:rPr>
            </w:pPr>
            <w:r w:rsidRPr="00DF0680">
              <w:rPr>
                <w:rFonts w:cs="Times New Roman"/>
              </w:rPr>
              <w:t>Becton Dickinson</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Tissue culture dish</w:t>
            </w:r>
          </w:p>
        </w:tc>
        <w:tc>
          <w:tcPr>
            <w:tcW w:w="3813" w:type="dxa"/>
          </w:tcPr>
          <w:p w:rsidR="003F1B1F" w:rsidRPr="00DF0680" w:rsidRDefault="003F1B1F" w:rsidP="003F1B1F">
            <w:pPr>
              <w:rPr>
                <w:rFonts w:cs="Times New Roman"/>
              </w:rPr>
            </w:pPr>
            <w:r w:rsidRPr="00DF0680">
              <w:rPr>
                <w:rFonts w:cs="Times New Roman"/>
              </w:rPr>
              <w:t>Cellstar</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 xml:space="preserve">Tissue culture flasks - T25 and T75 </w:t>
            </w:r>
          </w:p>
        </w:tc>
        <w:tc>
          <w:tcPr>
            <w:tcW w:w="3813" w:type="dxa"/>
          </w:tcPr>
          <w:p w:rsidR="003F1B1F" w:rsidRPr="00DF0680" w:rsidRDefault="003F1B1F" w:rsidP="003F1B1F">
            <w:pPr>
              <w:rPr>
                <w:rFonts w:cs="Times New Roman"/>
              </w:rPr>
            </w:pPr>
            <w:r w:rsidRPr="00DF0680">
              <w:rPr>
                <w:rFonts w:cs="Times New Roman"/>
              </w:rPr>
              <w:t>Fisher Scientific</w:t>
            </w:r>
          </w:p>
        </w:tc>
      </w:tr>
      <w:tr w:rsidR="003F1B1F" w:rsidRPr="00DF0680" w:rsidTr="003F1B1F">
        <w:trPr>
          <w:trHeight w:val="284"/>
        </w:trPr>
        <w:tc>
          <w:tcPr>
            <w:tcW w:w="4746" w:type="dxa"/>
          </w:tcPr>
          <w:p w:rsidR="003F1B1F" w:rsidRPr="00DF0680" w:rsidRDefault="003F1B1F" w:rsidP="003F1B1F">
            <w:pPr>
              <w:rPr>
                <w:rFonts w:cs="Times New Roman"/>
              </w:rPr>
            </w:pPr>
            <w:r w:rsidRPr="00DF0680">
              <w:rPr>
                <w:rFonts w:cs="Times New Roman"/>
              </w:rPr>
              <w:t>Universal vials</w:t>
            </w:r>
          </w:p>
        </w:tc>
        <w:tc>
          <w:tcPr>
            <w:tcW w:w="3813" w:type="dxa"/>
          </w:tcPr>
          <w:p w:rsidR="003F1B1F" w:rsidRPr="00DF0680" w:rsidRDefault="003F1B1F" w:rsidP="003F1B1F">
            <w:pPr>
              <w:rPr>
                <w:rFonts w:cs="Times New Roman"/>
              </w:rPr>
            </w:pPr>
            <w:r w:rsidRPr="00DF0680">
              <w:rPr>
                <w:rFonts w:cs="Times New Roman"/>
              </w:rPr>
              <w:t>Sarstedt</w:t>
            </w:r>
          </w:p>
        </w:tc>
      </w:tr>
    </w:tbl>
    <w:p w:rsidR="00A41A3E" w:rsidRPr="00DF0680" w:rsidRDefault="00A41A3E">
      <w:pPr>
        <w:spacing w:line="276" w:lineRule="auto"/>
        <w:jc w:val="left"/>
        <w:rPr>
          <w:rFonts w:cs="Times New Roman"/>
        </w:rPr>
      </w:pPr>
      <w:bookmarkStart w:id="164" w:name="_Toc234469094"/>
      <w:bookmarkStart w:id="165" w:name="_Toc234580387"/>
      <w:bookmarkStart w:id="166" w:name="_Toc234580493"/>
      <w:bookmarkStart w:id="167" w:name="_Toc234582249"/>
      <w:r w:rsidRPr="00DF0680">
        <w:rPr>
          <w:rFonts w:cs="Times New Roman"/>
        </w:rPr>
        <w:br w:type="page"/>
      </w:r>
    </w:p>
    <w:p w:rsidR="003F1B1F" w:rsidRPr="00DF0680" w:rsidRDefault="003F1B1F" w:rsidP="00E664FC">
      <w:pPr>
        <w:pStyle w:val="Heading4"/>
      </w:pPr>
      <w:bookmarkStart w:id="168" w:name="_Toc417204116"/>
      <w:bookmarkStart w:id="169" w:name="_Toc417204426"/>
      <w:bookmarkStart w:id="170" w:name="_Toc417674557"/>
      <w:r w:rsidRPr="00DF0680">
        <w:lastRenderedPageBreak/>
        <w:t xml:space="preserve">Purified </w:t>
      </w:r>
      <w:r w:rsidR="00CE6110" w:rsidRPr="00DF0680">
        <w:t>w</w:t>
      </w:r>
      <w:r w:rsidRPr="00DF0680">
        <w:t>ater</w:t>
      </w:r>
      <w:bookmarkEnd w:id="164"/>
      <w:bookmarkEnd w:id="165"/>
      <w:bookmarkEnd w:id="166"/>
      <w:bookmarkEnd w:id="167"/>
      <w:bookmarkEnd w:id="168"/>
      <w:bookmarkEnd w:id="169"/>
      <w:bookmarkEnd w:id="170"/>
    </w:p>
    <w:p w:rsidR="003F1B1F" w:rsidRPr="00DF0680" w:rsidRDefault="003F1B1F" w:rsidP="003F1B1F">
      <w:pPr>
        <w:rPr>
          <w:rFonts w:cs="Times New Roman"/>
        </w:rPr>
      </w:pPr>
      <w:r w:rsidRPr="00DF0680">
        <w:rPr>
          <w:rFonts w:cs="Times New Roman"/>
        </w:rPr>
        <w:t>Type 1 Ultra-pure deionised water (ddH</w:t>
      </w:r>
      <w:r w:rsidRPr="00DF0680">
        <w:rPr>
          <w:rFonts w:cs="Times New Roman"/>
        </w:rPr>
        <w:softHyphen/>
      </w:r>
      <w:r w:rsidRPr="00DF0680">
        <w:rPr>
          <w:rFonts w:cs="Times New Roman"/>
          <w:vertAlign w:val="subscript"/>
        </w:rPr>
        <w:t>2</w:t>
      </w:r>
      <w:r w:rsidRPr="00DF0680">
        <w:rPr>
          <w:rFonts w:cs="Times New Roman"/>
        </w:rPr>
        <w:t>O) was produced via a Triple Red System.</w:t>
      </w:r>
    </w:p>
    <w:p w:rsidR="003F1B1F" w:rsidRPr="00DF0680" w:rsidRDefault="003F1B1F" w:rsidP="00E664FC">
      <w:pPr>
        <w:pStyle w:val="Heading4"/>
      </w:pPr>
      <w:bookmarkStart w:id="171" w:name="_Toc234469095"/>
      <w:bookmarkStart w:id="172" w:name="_Toc234580388"/>
      <w:bookmarkStart w:id="173" w:name="_Toc234580494"/>
      <w:bookmarkStart w:id="174" w:name="_Toc234582250"/>
      <w:bookmarkStart w:id="175" w:name="_Toc417204117"/>
      <w:bookmarkStart w:id="176" w:name="_Toc417204427"/>
      <w:bookmarkStart w:id="177" w:name="_Toc417674558"/>
      <w:r w:rsidRPr="00DF0680">
        <w:t>Sterilisation</w:t>
      </w:r>
      <w:bookmarkEnd w:id="171"/>
      <w:bookmarkEnd w:id="172"/>
      <w:bookmarkEnd w:id="173"/>
      <w:bookmarkEnd w:id="174"/>
      <w:bookmarkEnd w:id="175"/>
      <w:bookmarkEnd w:id="176"/>
      <w:bookmarkEnd w:id="177"/>
    </w:p>
    <w:p w:rsidR="003F1B1F" w:rsidRPr="00DF0680" w:rsidRDefault="003F1B1F" w:rsidP="003F1B1F">
      <w:pPr>
        <w:rPr>
          <w:rFonts w:cs="Times New Roman"/>
        </w:rPr>
      </w:pPr>
      <w:r w:rsidRPr="00DF0680">
        <w:rPr>
          <w:rFonts w:cs="Times New Roman"/>
        </w:rPr>
        <w:t>Glassware was washed in RBS detergent and rinsed in cold water followed by dd</w:t>
      </w:r>
      <w:r w:rsidRPr="00DF0680">
        <w:rPr>
          <w:rFonts w:cs="Times New Roman"/>
        </w:rPr>
        <w:softHyphen/>
        <w:t>H</w:t>
      </w:r>
      <w:r w:rsidRPr="00DF0680">
        <w:rPr>
          <w:rFonts w:cs="Times New Roman"/>
          <w:vertAlign w:val="subscript"/>
        </w:rPr>
        <w:t>2</w:t>
      </w:r>
      <w:r w:rsidRPr="00DF0680">
        <w:rPr>
          <w:rFonts w:cs="Times New Roman"/>
        </w:rPr>
        <w:t xml:space="preserve">O before being dried in a hot air oven at 80 </w:t>
      </w:r>
      <w:r w:rsidRPr="00DF0680">
        <w:rPr>
          <w:rFonts w:cs="Times New Roman"/>
          <w:vertAlign w:val="superscript"/>
        </w:rPr>
        <w:t>o</w:t>
      </w:r>
      <w:r w:rsidRPr="00DF0680">
        <w:rPr>
          <w:rFonts w:cs="Times New Roman"/>
        </w:rPr>
        <w:t xml:space="preserve">C.  Glassware was then either hot air sterilised at 180 </w:t>
      </w:r>
      <w:r w:rsidRPr="00DF0680">
        <w:rPr>
          <w:rFonts w:cs="Times New Roman"/>
          <w:vertAlign w:val="superscript"/>
        </w:rPr>
        <w:t>o</w:t>
      </w:r>
      <w:r w:rsidRPr="00DF0680">
        <w:rPr>
          <w:rFonts w:cs="Times New Roman"/>
        </w:rPr>
        <w:t>C or sterilised by autoclav</w:t>
      </w:r>
      <w:r w:rsidR="007A1441" w:rsidRPr="00DF0680">
        <w:rPr>
          <w:rFonts w:cs="Times New Roman"/>
        </w:rPr>
        <w:t>ing in a MP24 Rodwell autoclave</w:t>
      </w:r>
      <w:r w:rsidRPr="00DF0680">
        <w:rPr>
          <w:rFonts w:cs="Times New Roman"/>
        </w:rPr>
        <w:t xml:space="preserve"> supplied by S</w:t>
      </w:r>
      <w:r w:rsidR="007A1441" w:rsidRPr="00DF0680">
        <w:rPr>
          <w:rFonts w:cs="Times New Roman"/>
        </w:rPr>
        <w:t xml:space="preserve">cientific </w:t>
      </w:r>
      <w:r w:rsidRPr="00DF0680">
        <w:rPr>
          <w:rFonts w:cs="Times New Roman"/>
        </w:rPr>
        <w:t>L</w:t>
      </w:r>
      <w:r w:rsidR="007A1441" w:rsidRPr="00DF0680">
        <w:rPr>
          <w:rFonts w:cs="Times New Roman"/>
        </w:rPr>
        <w:t xml:space="preserve">aboratory </w:t>
      </w:r>
      <w:r w:rsidRPr="00DF0680">
        <w:rPr>
          <w:rFonts w:cs="Times New Roman"/>
        </w:rPr>
        <w:t>S</w:t>
      </w:r>
      <w:r w:rsidR="007A1441" w:rsidRPr="00DF0680">
        <w:rPr>
          <w:rFonts w:cs="Times New Roman"/>
        </w:rPr>
        <w:t>upplies</w:t>
      </w:r>
      <w:r w:rsidRPr="00DF0680">
        <w:rPr>
          <w:rFonts w:cs="Times New Roman"/>
        </w:rPr>
        <w:t xml:space="preserve">. Solutions requiring sterilisation were also autoclaved.  Autoclaving was carried out at 15 p.s.i and 120 </w:t>
      </w:r>
      <w:r w:rsidRPr="00DF0680">
        <w:rPr>
          <w:rFonts w:cs="Times New Roman"/>
          <w:vertAlign w:val="superscript"/>
        </w:rPr>
        <w:t>o</w:t>
      </w:r>
      <w:r w:rsidRPr="00DF0680">
        <w:rPr>
          <w:rFonts w:cs="Times New Roman"/>
        </w:rPr>
        <w:t>C for 15 min.</w:t>
      </w:r>
    </w:p>
    <w:p w:rsidR="003F1B1F" w:rsidRPr="00DF0680" w:rsidRDefault="003F1B1F" w:rsidP="003F1B1F">
      <w:pPr>
        <w:rPr>
          <w:rFonts w:cs="Times New Roman"/>
        </w:rPr>
      </w:pPr>
      <w:bookmarkStart w:id="178" w:name="_Toc210453444"/>
      <w:r w:rsidRPr="00DF0680">
        <w:rPr>
          <w:rFonts w:cs="Times New Roman"/>
        </w:rPr>
        <w:t>Solutions to be used in tissue culture were filter sterilized using a syringe and a Millex GP filter unit (0.22 μm pore size).</w:t>
      </w:r>
    </w:p>
    <w:p w:rsidR="00A41A3E" w:rsidRPr="00DF0680" w:rsidRDefault="00A41A3E">
      <w:pPr>
        <w:spacing w:line="276" w:lineRule="auto"/>
        <w:jc w:val="left"/>
        <w:rPr>
          <w:rFonts w:cs="Times New Roman"/>
        </w:rPr>
      </w:pPr>
      <w:bookmarkStart w:id="179" w:name="_Toc234469096"/>
      <w:bookmarkStart w:id="180" w:name="_Toc234577900"/>
      <w:bookmarkStart w:id="181" w:name="_Toc234580389"/>
      <w:bookmarkStart w:id="182" w:name="_Toc234580495"/>
      <w:bookmarkStart w:id="183" w:name="_Toc234582251"/>
      <w:r w:rsidRPr="00DF0680">
        <w:rPr>
          <w:rFonts w:cs="Times New Roman"/>
        </w:rPr>
        <w:br w:type="page"/>
      </w:r>
    </w:p>
    <w:p w:rsidR="003F1B1F" w:rsidRPr="00DF0680" w:rsidRDefault="003F1B1F" w:rsidP="00E664FC">
      <w:pPr>
        <w:pStyle w:val="Heading3"/>
      </w:pPr>
      <w:bookmarkStart w:id="184" w:name="_Toc417204118"/>
      <w:bookmarkStart w:id="185" w:name="_Toc417204428"/>
      <w:bookmarkStart w:id="186" w:name="_Toc417674559"/>
      <w:r w:rsidRPr="00DF0680">
        <w:lastRenderedPageBreak/>
        <w:t>Chemicals</w:t>
      </w:r>
      <w:bookmarkEnd w:id="178"/>
      <w:bookmarkEnd w:id="179"/>
      <w:bookmarkEnd w:id="180"/>
      <w:bookmarkEnd w:id="181"/>
      <w:bookmarkEnd w:id="182"/>
      <w:bookmarkEnd w:id="183"/>
      <w:bookmarkEnd w:id="184"/>
      <w:bookmarkEnd w:id="185"/>
      <w:bookmarkEnd w:id="186"/>
    </w:p>
    <w:tbl>
      <w:tblPr>
        <w:tblStyle w:val="TableGrid"/>
        <w:tblW w:w="0" w:type="auto"/>
        <w:tblLook w:val="01E0"/>
      </w:tblPr>
      <w:tblGrid>
        <w:gridCol w:w="108"/>
        <w:gridCol w:w="4596"/>
        <w:gridCol w:w="108"/>
        <w:gridCol w:w="3710"/>
        <w:gridCol w:w="108"/>
      </w:tblGrid>
      <w:tr w:rsidR="003F1B1F" w:rsidRPr="00DF0680" w:rsidTr="003F1B1F">
        <w:trPr>
          <w:gridAfter w:val="1"/>
          <w:wAfter w:w="108" w:type="dxa"/>
          <w:trHeight w:val="284"/>
        </w:trPr>
        <w:tc>
          <w:tcPr>
            <w:tcW w:w="4704" w:type="dxa"/>
            <w:gridSpan w:val="2"/>
            <w:shd w:val="clear" w:color="auto" w:fill="D9D9D9" w:themeFill="background1" w:themeFillShade="D9"/>
          </w:tcPr>
          <w:p w:rsidR="003F1B1F" w:rsidRPr="00DF0680" w:rsidRDefault="003F1B1F" w:rsidP="003F1B1F">
            <w:pPr>
              <w:rPr>
                <w:rFonts w:cs="Times New Roman"/>
              </w:rPr>
            </w:pPr>
            <w:r w:rsidRPr="00DF0680">
              <w:rPr>
                <w:rFonts w:cs="Times New Roman"/>
              </w:rPr>
              <w:t>Item</w:t>
            </w:r>
          </w:p>
        </w:tc>
        <w:tc>
          <w:tcPr>
            <w:tcW w:w="3818" w:type="dxa"/>
            <w:gridSpan w:val="2"/>
            <w:shd w:val="clear" w:color="auto" w:fill="D9D9D9" w:themeFill="background1" w:themeFillShade="D9"/>
          </w:tcPr>
          <w:p w:rsidR="003F1B1F" w:rsidRPr="00DF0680" w:rsidRDefault="003F1B1F" w:rsidP="003F1B1F">
            <w:pPr>
              <w:rPr>
                <w:rFonts w:cs="Times New Roman"/>
              </w:rPr>
            </w:pPr>
            <w:r w:rsidRPr="00DF0680">
              <w:rPr>
                <w:rFonts w:cs="Times New Roman"/>
              </w:rPr>
              <w:t>Company</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Agar</w:t>
            </w:r>
          </w:p>
        </w:tc>
        <w:tc>
          <w:tcPr>
            <w:tcW w:w="3818" w:type="dxa"/>
            <w:gridSpan w:val="2"/>
          </w:tcPr>
          <w:p w:rsidR="003F1B1F" w:rsidRPr="00DF0680" w:rsidRDefault="003F1B1F" w:rsidP="003F1B1F">
            <w:pPr>
              <w:rPr>
                <w:rFonts w:cs="Times New Roman"/>
              </w:rPr>
            </w:pPr>
            <w:r w:rsidRPr="00DF0680">
              <w:rPr>
                <w:rFonts w:cs="Times New Roman"/>
              </w:rPr>
              <w:t xml:space="preserve">Fisher Scientific </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Ammonium per sulphate (APS)</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Bovine serum albumin (BSA)</w:t>
            </w:r>
          </w:p>
        </w:tc>
        <w:tc>
          <w:tcPr>
            <w:tcW w:w="3818" w:type="dxa"/>
            <w:gridSpan w:val="2"/>
          </w:tcPr>
          <w:p w:rsidR="003F1B1F" w:rsidRPr="00DF0680" w:rsidRDefault="003F1B1F" w:rsidP="003F1B1F">
            <w:pPr>
              <w:rPr>
                <w:rFonts w:cs="Times New Roman"/>
              </w:rPr>
            </w:pPr>
            <w:r w:rsidRPr="00DF0680">
              <w:rPr>
                <w:rFonts w:cs="Times New Roman"/>
              </w:rPr>
              <w:t>Sigma-Aldrich</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Bromodeoxyuridine (BrdU)</w:t>
            </w:r>
          </w:p>
        </w:tc>
        <w:tc>
          <w:tcPr>
            <w:tcW w:w="3818" w:type="dxa"/>
            <w:gridSpan w:val="2"/>
          </w:tcPr>
          <w:p w:rsidR="003F1B1F" w:rsidRPr="00DF0680" w:rsidRDefault="003F1B1F" w:rsidP="003F1B1F">
            <w:pPr>
              <w:rPr>
                <w:rFonts w:cs="Times New Roman"/>
              </w:rPr>
            </w:pPr>
            <w:r w:rsidRPr="00DF0680">
              <w:rPr>
                <w:rFonts w:cs="Times New Roman"/>
              </w:rPr>
              <w:t>Sigma-Aldrich</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 xml:space="preserve">Dimethyl </w:t>
            </w:r>
            <w:r w:rsidR="00DF0680" w:rsidRPr="00DF0680">
              <w:rPr>
                <w:rFonts w:cs="Times New Roman"/>
              </w:rPr>
              <w:t>sulphoxide</w:t>
            </w:r>
            <w:r w:rsidRPr="00DF0680">
              <w:rPr>
                <w:rFonts w:cs="Times New Roman"/>
              </w:rPr>
              <w:t xml:space="preserve"> (DMSO)</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Ethylenediaminetetraacetic acid (EDTA)</w:t>
            </w:r>
          </w:p>
        </w:tc>
        <w:tc>
          <w:tcPr>
            <w:tcW w:w="3818" w:type="dxa"/>
            <w:gridSpan w:val="2"/>
          </w:tcPr>
          <w:p w:rsidR="003F1B1F" w:rsidRPr="00DF0680" w:rsidRDefault="003F1B1F" w:rsidP="003F1B1F">
            <w:pPr>
              <w:rPr>
                <w:rFonts w:cs="Times New Roman"/>
              </w:rPr>
            </w:pPr>
            <w:r w:rsidRPr="00DF0680">
              <w:rPr>
                <w:rFonts w:cs="Times New Roman"/>
              </w:rPr>
              <w:t>Sigma</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 xml:space="preserve">Ethanol </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Ethidium Bromide</w:t>
            </w:r>
          </w:p>
        </w:tc>
        <w:tc>
          <w:tcPr>
            <w:tcW w:w="3818" w:type="dxa"/>
            <w:gridSpan w:val="2"/>
          </w:tcPr>
          <w:p w:rsidR="003F1B1F" w:rsidRPr="00DF0680" w:rsidRDefault="003F1B1F" w:rsidP="003F1B1F">
            <w:pPr>
              <w:rPr>
                <w:rFonts w:cs="Times New Roman"/>
              </w:rPr>
            </w:pPr>
            <w:r w:rsidRPr="00DF0680">
              <w:rPr>
                <w:rFonts w:cs="Times New Roman"/>
              </w:rPr>
              <w:t>Sigma-Aldrich</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Glacial acetic acid</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Glycerol</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Glycine</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4-(2-Hydroxyethyl)piperazine-1-ethanesulfonic acid (HEPES)</w:t>
            </w:r>
          </w:p>
        </w:tc>
        <w:tc>
          <w:tcPr>
            <w:tcW w:w="3818" w:type="dxa"/>
            <w:gridSpan w:val="2"/>
          </w:tcPr>
          <w:p w:rsidR="003F1B1F" w:rsidRPr="00DF0680" w:rsidRDefault="003F1B1F" w:rsidP="003F1B1F">
            <w:pPr>
              <w:rPr>
                <w:rFonts w:cs="Times New Roman"/>
              </w:rPr>
            </w:pPr>
            <w:r w:rsidRPr="00DF0680">
              <w:rPr>
                <w:rFonts w:cs="Times New Roman"/>
              </w:rPr>
              <w:t>Sigma-Aldrich</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Hydrochloric acid</w:t>
            </w:r>
          </w:p>
        </w:tc>
        <w:tc>
          <w:tcPr>
            <w:tcW w:w="3818" w:type="dxa"/>
            <w:gridSpan w:val="2"/>
          </w:tcPr>
          <w:p w:rsidR="003F1B1F" w:rsidRPr="00DF0680" w:rsidRDefault="003F1B1F" w:rsidP="003F1B1F">
            <w:pPr>
              <w:rPr>
                <w:rFonts w:cs="Times New Roman"/>
              </w:rPr>
            </w:pPr>
            <w:r w:rsidRPr="00DF0680">
              <w:rPr>
                <w:rFonts w:cs="Times New Roman"/>
              </w:rPr>
              <w:t>Sigma-Aldrich</w:t>
            </w:r>
          </w:p>
        </w:tc>
      </w:tr>
      <w:tr w:rsidR="003F1B1F" w:rsidRPr="00DF0680" w:rsidTr="003F1B1F">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Industrial methylated spirit (IMS)</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DF0680">
            <w:pPr>
              <w:rPr>
                <w:rFonts w:cs="Times New Roman"/>
              </w:rPr>
            </w:pPr>
            <w:r w:rsidRPr="00DF0680">
              <w:rPr>
                <w:rFonts w:cs="Times New Roman"/>
              </w:rPr>
              <w:br w:type="page"/>
              <w:t>Isoprop</w:t>
            </w:r>
            <w:r w:rsidR="00DF0680">
              <w:rPr>
                <w:rFonts w:cs="Times New Roman"/>
              </w:rPr>
              <w:t>a</w:t>
            </w:r>
            <w:r w:rsidRPr="00DF0680">
              <w:rPr>
                <w:rFonts w:cs="Times New Roman"/>
              </w:rPr>
              <w:t>n</w:t>
            </w:r>
            <w:r w:rsidR="00DF0680">
              <w:rPr>
                <w:rFonts w:cs="Times New Roman"/>
              </w:rPr>
              <w:t>o</w:t>
            </w:r>
            <w:r w:rsidRPr="00DF0680">
              <w:rPr>
                <w:rFonts w:cs="Times New Roman"/>
              </w:rPr>
              <w:t>l</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Magnesium chloride</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Magnesium sulphate</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Methanol</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Methylene Blue</w:t>
            </w:r>
          </w:p>
        </w:tc>
        <w:tc>
          <w:tcPr>
            <w:tcW w:w="3818" w:type="dxa"/>
            <w:gridSpan w:val="2"/>
          </w:tcPr>
          <w:p w:rsidR="003F1B1F" w:rsidRPr="00DF0680" w:rsidRDefault="003F1B1F" w:rsidP="003F1B1F">
            <w:pPr>
              <w:rPr>
                <w:rFonts w:cs="Times New Roman"/>
              </w:rPr>
            </w:pPr>
            <w:r w:rsidRPr="00DF0680">
              <w:rPr>
                <w:rFonts w:cs="Times New Roman"/>
              </w:rPr>
              <w:t>Sigma-Aldrich</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Paraformaldehyde in 4% solution (PFA)</w:t>
            </w:r>
          </w:p>
        </w:tc>
        <w:tc>
          <w:tcPr>
            <w:tcW w:w="3818" w:type="dxa"/>
            <w:gridSpan w:val="2"/>
          </w:tcPr>
          <w:p w:rsidR="003F1B1F" w:rsidRPr="00DF0680" w:rsidRDefault="003F1B1F" w:rsidP="003F1B1F">
            <w:pPr>
              <w:rPr>
                <w:rFonts w:cs="Times New Roman"/>
              </w:rPr>
            </w:pPr>
            <w:r w:rsidRPr="00DF0680">
              <w:rPr>
                <w:rFonts w:cs="Times New Roman"/>
              </w:rPr>
              <w:t>Santa Cruz</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Phenylmethanesulfonyl fluoride (PMSF)</w:t>
            </w:r>
          </w:p>
        </w:tc>
        <w:tc>
          <w:tcPr>
            <w:tcW w:w="3818" w:type="dxa"/>
            <w:gridSpan w:val="2"/>
          </w:tcPr>
          <w:p w:rsidR="003F1B1F" w:rsidRPr="00DF0680" w:rsidRDefault="003F1B1F" w:rsidP="003F1B1F">
            <w:pPr>
              <w:rPr>
                <w:rFonts w:cs="Times New Roman"/>
              </w:rPr>
            </w:pPr>
            <w:r w:rsidRPr="00DF0680">
              <w:rPr>
                <w:rFonts w:cs="Times New Roman"/>
              </w:rPr>
              <w:t>Sigma-Aldrich</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Potassium chloride</w:t>
            </w:r>
          </w:p>
        </w:tc>
        <w:tc>
          <w:tcPr>
            <w:tcW w:w="3818" w:type="dxa"/>
            <w:gridSpan w:val="2"/>
          </w:tcPr>
          <w:p w:rsidR="003F1B1F" w:rsidRPr="00DF0680" w:rsidRDefault="003F1B1F" w:rsidP="003F1B1F">
            <w:pPr>
              <w:rPr>
                <w:rFonts w:cs="Times New Roman"/>
              </w:rPr>
            </w:pPr>
            <w:r w:rsidRPr="00DF0680">
              <w:rPr>
                <w:rFonts w:cs="Times New Roman"/>
              </w:rPr>
              <w:t>BDH Laboratory Supplies</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Protease inhibitors</w:t>
            </w:r>
          </w:p>
        </w:tc>
        <w:tc>
          <w:tcPr>
            <w:tcW w:w="3818" w:type="dxa"/>
            <w:gridSpan w:val="2"/>
          </w:tcPr>
          <w:p w:rsidR="003F1B1F" w:rsidRPr="00DF0680" w:rsidRDefault="003F1B1F" w:rsidP="003F1B1F">
            <w:pPr>
              <w:rPr>
                <w:rFonts w:cs="Times New Roman"/>
              </w:rPr>
            </w:pPr>
            <w:r w:rsidRPr="00DF0680">
              <w:rPr>
                <w:rFonts w:cs="Times New Roman"/>
              </w:rPr>
              <w:t>Sigma-Aldrich</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 xml:space="preserve">Sodium dodecyl </w:t>
            </w:r>
            <w:r w:rsidR="00DF0680" w:rsidRPr="00DF0680">
              <w:rPr>
                <w:rFonts w:cs="Times New Roman"/>
              </w:rPr>
              <w:t>sulphate</w:t>
            </w:r>
            <w:r w:rsidRPr="00DF0680">
              <w:rPr>
                <w:rFonts w:cs="Times New Roman"/>
              </w:rPr>
              <w:t xml:space="preserve"> (SDS)</w:t>
            </w:r>
          </w:p>
        </w:tc>
        <w:tc>
          <w:tcPr>
            <w:tcW w:w="3818" w:type="dxa"/>
            <w:gridSpan w:val="2"/>
          </w:tcPr>
          <w:p w:rsidR="003F1B1F" w:rsidRPr="00DF0680" w:rsidRDefault="003F1B1F" w:rsidP="003F1B1F">
            <w:pPr>
              <w:rPr>
                <w:rFonts w:cs="Times New Roman"/>
              </w:rPr>
            </w:pPr>
            <w:r w:rsidRPr="00DF0680">
              <w:rPr>
                <w:rFonts w:cs="Times New Roman"/>
              </w:rPr>
              <w:t>Sigma-Aldrich</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SeaKem® LE Agarose</w:t>
            </w:r>
          </w:p>
        </w:tc>
        <w:tc>
          <w:tcPr>
            <w:tcW w:w="3818" w:type="dxa"/>
            <w:gridSpan w:val="2"/>
          </w:tcPr>
          <w:p w:rsidR="003F1B1F" w:rsidRPr="00DF0680" w:rsidRDefault="003F1B1F" w:rsidP="003F1B1F">
            <w:pPr>
              <w:rPr>
                <w:rFonts w:cs="Times New Roman"/>
              </w:rPr>
            </w:pPr>
            <w:r w:rsidRPr="00DF0680">
              <w:rPr>
                <w:rFonts w:cs="Times New Roman"/>
              </w:rPr>
              <w:t>Cambrex</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Sodium chloride</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Sodium hydroxide</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Tetramethylethylenediamine (TEMED)</w:t>
            </w:r>
          </w:p>
        </w:tc>
        <w:tc>
          <w:tcPr>
            <w:tcW w:w="3818" w:type="dxa"/>
            <w:gridSpan w:val="2"/>
          </w:tcPr>
          <w:p w:rsidR="003F1B1F" w:rsidRPr="00DF0680" w:rsidRDefault="003F1B1F" w:rsidP="003F1B1F">
            <w:pPr>
              <w:rPr>
                <w:rFonts w:cs="Times New Roman"/>
              </w:rPr>
            </w:pPr>
            <w:r w:rsidRPr="00DF0680">
              <w:rPr>
                <w:rFonts w:cs="Times New Roman"/>
              </w:rPr>
              <w:t>VWR</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Tris-base</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Triton X-100</w:t>
            </w:r>
          </w:p>
        </w:tc>
        <w:tc>
          <w:tcPr>
            <w:tcW w:w="3818" w:type="dxa"/>
            <w:gridSpan w:val="2"/>
          </w:tcPr>
          <w:p w:rsidR="003F1B1F" w:rsidRPr="00DF0680" w:rsidRDefault="003F1B1F" w:rsidP="003F1B1F">
            <w:pPr>
              <w:rPr>
                <w:rFonts w:cs="Times New Roman"/>
              </w:rPr>
            </w:pPr>
            <w:r w:rsidRPr="00DF0680">
              <w:rPr>
                <w:rFonts w:cs="Times New Roman"/>
              </w:rPr>
              <w:t>Sigma</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Tryptone</w:t>
            </w:r>
          </w:p>
        </w:tc>
        <w:tc>
          <w:tcPr>
            <w:tcW w:w="3818" w:type="dxa"/>
            <w:gridSpan w:val="2"/>
          </w:tcPr>
          <w:p w:rsidR="003F1B1F" w:rsidRPr="00DF0680" w:rsidRDefault="003F1B1F" w:rsidP="003F1B1F">
            <w:pPr>
              <w:rPr>
                <w:rFonts w:cs="Times New Roman"/>
              </w:rPr>
            </w:pPr>
            <w:r w:rsidRPr="00DF0680">
              <w:rPr>
                <w:rFonts w:cs="Times New Roman"/>
              </w:rPr>
              <w:t>Fisher Scientific</w:t>
            </w:r>
          </w:p>
        </w:tc>
      </w:tr>
      <w:tr w:rsidR="003F1B1F" w:rsidRPr="00DF0680" w:rsidTr="003F1B1F">
        <w:tblPrEx>
          <w:tblLook w:val="04A0"/>
        </w:tblPrEx>
        <w:trPr>
          <w:gridAfter w:val="1"/>
          <w:wAfter w:w="108" w:type="dxa"/>
          <w:trHeight w:val="284"/>
        </w:trPr>
        <w:tc>
          <w:tcPr>
            <w:tcW w:w="4704" w:type="dxa"/>
            <w:gridSpan w:val="2"/>
          </w:tcPr>
          <w:p w:rsidR="003F1B1F" w:rsidRPr="00DF0680" w:rsidRDefault="003F1B1F" w:rsidP="003F1B1F">
            <w:pPr>
              <w:rPr>
                <w:rFonts w:cs="Times New Roman"/>
              </w:rPr>
            </w:pPr>
            <w:r w:rsidRPr="00DF0680">
              <w:rPr>
                <w:rFonts w:cs="Times New Roman"/>
              </w:rPr>
              <w:t>Tween 20</w:t>
            </w:r>
          </w:p>
        </w:tc>
        <w:tc>
          <w:tcPr>
            <w:tcW w:w="3818" w:type="dxa"/>
            <w:gridSpan w:val="2"/>
          </w:tcPr>
          <w:p w:rsidR="003F1B1F" w:rsidRPr="00DF0680" w:rsidRDefault="003F1B1F" w:rsidP="003F1B1F">
            <w:pPr>
              <w:rPr>
                <w:rFonts w:cs="Times New Roman"/>
              </w:rPr>
            </w:pPr>
            <w:r w:rsidRPr="00DF0680">
              <w:rPr>
                <w:rFonts w:cs="Times New Roman"/>
              </w:rPr>
              <w:t>Acros Organics</w:t>
            </w:r>
          </w:p>
        </w:tc>
      </w:tr>
      <w:tr w:rsidR="003F1B1F" w:rsidRPr="00DF0680" w:rsidTr="003F1B1F">
        <w:tblPrEx>
          <w:tblLook w:val="04A0"/>
        </w:tblPrEx>
        <w:trPr>
          <w:gridBefore w:val="1"/>
          <w:wBefore w:w="108" w:type="dxa"/>
          <w:trHeight w:val="284"/>
        </w:trPr>
        <w:tc>
          <w:tcPr>
            <w:tcW w:w="4704" w:type="dxa"/>
            <w:gridSpan w:val="2"/>
            <w:shd w:val="clear" w:color="auto" w:fill="D9D9D9" w:themeFill="background1" w:themeFillShade="D9"/>
          </w:tcPr>
          <w:p w:rsidR="003F1B1F" w:rsidRPr="00DF0680" w:rsidRDefault="003F1B1F" w:rsidP="003F1B1F">
            <w:pPr>
              <w:rPr>
                <w:rFonts w:cs="Times New Roman"/>
              </w:rPr>
            </w:pPr>
            <w:r w:rsidRPr="00DF0680">
              <w:rPr>
                <w:rFonts w:cs="Times New Roman"/>
              </w:rPr>
              <w:lastRenderedPageBreak/>
              <w:t>Item</w:t>
            </w:r>
          </w:p>
        </w:tc>
        <w:tc>
          <w:tcPr>
            <w:tcW w:w="3818" w:type="dxa"/>
            <w:gridSpan w:val="2"/>
            <w:shd w:val="clear" w:color="auto" w:fill="D9D9D9" w:themeFill="background1" w:themeFillShade="D9"/>
          </w:tcPr>
          <w:p w:rsidR="003F1B1F" w:rsidRPr="00DF0680" w:rsidRDefault="003F1B1F" w:rsidP="003F1B1F">
            <w:pPr>
              <w:rPr>
                <w:rFonts w:cs="Times New Roman"/>
              </w:rPr>
            </w:pPr>
            <w:r w:rsidRPr="00DF0680">
              <w:rPr>
                <w:rFonts w:cs="Times New Roman"/>
              </w:rPr>
              <w:t>Company</w:t>
            </w:r>
          </w:p>
        </w:tc>
      </w:tr>
      <w:tr w:rsidR="003F1B1F" w:rsidRPr="00DF0680" w:rsidTr="003F1B1F">
        <w:tblPrEx>
          <w:tblLook w:val="04A0"/>
        </w:tblPrEx>
        <w:trPr>
          <w:gridBefore w:val="1"/>
          <w:wBefore w:w="108" w:type="dxa"/>
          <w:trHeight w:val="284"/>
        </w:trPr>
        <w:tc>
          <w:tcPr>
            <w:tcW w:w="4704" w:type="dxa"/>
            <w:gridSpan w:val="2"/>
          </w:tcPr>
          <w:p w:rsidR="003F1B1F" w:rsidRPr="00DF0680" w:rsidRDefault="003F1B1F" w:rsidP="003F1B1F">
            <w:pPr>
              <w:rPr>
                <w:rFonts w:cs="Times New Roman"/>
              </w:rPr>
            </w:pPr>
            <w:r w:rsidRPr="00DF0680">
              <w:rPr>
                <w:rFonts w:cs="Times New Roman"/>
              </w:rPr>
              <w:t>Ultra pure protogel acrylamide (30%)</w:t>
            </w:r>
          </w:p>
        </w:tc>
        <w:tc>
          <w:tcPr>
            <w:tcW w:w="3818" w:type="dxa"/>
            <w:gridSpan w:val="2"/>
          </w:tcPr>
          <w:p w:rsidR="003F1B1F" w:rsidRPr="00DF0680" w:rsidRDefault="003F1B1F" w:rsidP="003F1B1F">
            <w:pPr>
              <w:rPr>
                <w:rFonts w:cs="Times New Roman"/>
              </w:rPr>
            </w:pPr>
            <w:r w:rsidRPr="00DF0680">
              <w:rPr>
                <w:rFonts w:cs="Times New Roman"/>
              </w:rPr>
              <w:t>Geneflow</w:t>
            </w:r>
          </w:p>
        </w:tc>
      </w:tr>
      <w:tr w:rsidR="003F1B1F" w:rsidRPr="00DF0680" w:rsidTr="003F1B1F">
        <w:tblPrEx>
          <w:tblLook w:val="04A0"/>
        </w:tblPrEx>
        <w:trPr>
          <w:gridBefore w:val="1"/>
          <w:wBefore w:w="108" w:type="dxa"/>
          <w:trHeight w:val="284"/>
        </w:trPr>
        <w:tc>
          <w:tcPr>
            <w:tcW w:w="4704" w:type="dxa"/>
            <w:gridSpan w:val="2"/>
          </w:tcPr>
          <w:p w:rsidR="003F1B1F" w:rsidRPr="00DF0680" w:rsidRDefault="003F1B1F" w:rsidP="003F1B1F">
            <w:pPr>
              <w:rPr>
                <w:rFonts w:cs="Times New Roman"/>
              </w:rPr>
            </w:pPr>
            <w:r w:rsidRPr="00DF0680">
              <w:rPr>
                <w:rFonts w:cs="Times New Roman"/>
              </w:rPr>
              <w:t>Universal developer</w:t>
            </w:r>
          </w:p>
        </w:tc>
        <w:tc>
          <w:tcPr>
            <w:tcW w:w="3818" w:type="dxa"/>
            <w:gridSpan w:val="2"/>
          </w:tcPr>
          <w:p w:rsidR="003F1B1F" w:rsidRPr="00DF0680" w:rsidRDefault="003F1B1F" w:rsidP="003F1B1F">
            <w:pPr>
              <w:rPr>
                <w:rFonts w:cs="Times New Roman"/>
              </w:rPr>
            </w:pPr>
            <w:r w:rsidRPr="00DF0680">
              <w:rPr>
                <w:rFonts w:cs="Times New Roman"/>
              </w:rPr>
              <w:t>Champion Protochemistry</w:t>
            </w:r>
          </w:p>
        </w:tc>
      </w:tr>
      <w:tr w:rsidR="003F1B1F" w:rsidRPr="00DF0680" w:rsidTr="003F1B1F">
        <w:tblPrEx>
          <w:tblLook w:val="04A0"/>
        </w:tblPrEx>
        <w:trPr>
          <w:gridBefore w:val="1"/>
          <w:wBefore w:w="108" w:type="dxa"/>
          <w:trHeight w:val="284"/>
        </w:trPr>
        <w:tc>
          <w:tcPr>
            <w:tcW w:w="4704" w:type="dxa"/>
            <w:gridSpan w:val="2"/>
          </w:tcPr>
          <w:p w:rsidR="003F1B1F" w:rsidRPr="00DF0680" w:rsidRDefault="003F1B1F" w:rsidP="003F1B1F">
            <w:pPr>
              <w:rPr>
                <w:rFonts w:cs="Times New Roman"/>
              </w:rPr>
            </w:pPr>
            <w:r w:rsidRPr="00DF0680">
              <w:rPr>
                <w:rFonts w:cs="Times New Roman"/>
              </w:rPr>
              <w:t>Universal fixer</w:t>
            </w:r>
          </w:p>
        </w:tc>
        <w:tc>
          <w:tcPr>
            <w:tcW w:w="3818" w:type="dxa"/>
            <w:gridSpan w:val="2"/>
          </w:tcPr>
          <w:p w:rsidR="003F1B1F" w:rsidRPr="00DF0680" w:rsidRDefault="003F1B1F" w:rsidP="003F1B1F">
            <w:pPr>
              <w:rPr>
                <w:rFonts w:cs="Times New Roman"/>
              </w:rPr>
            </w:pPr>
            <w:r w:rsidRPr="00DF0680">
              <w:rPr>
                <w:rFonts w:cs="Times New Roman"/>
              </w:rPr>
              <w:t>Champion Protochemistry</w:t>
            </w:r>
          </w:p>
        </w:tc>
      </w:tr>
      <w:tr w:rsidR="003F1B1F" w:rsidRPr="00DF0680" w:rsidTr="003F1B1F">
        <w:tblPrEx>
          <w:tblLook w:val="04A0"/>
        </w:tblPrEx>
        <w:trPr>
          <w:gridBefore w:val="1"/>
          <w:wBefore w:w="108" w:type="dxa"/>
          <w:trHeight w:val="284"/>
        </w:trPr>
        <w:tc>
          <w:tcPr>
            <w:tcW w:w="4704" w:type="dxa"/>
            <w:gridSpan w:val="2"/>
          </w:tcPr>
          <w:p w:rsidR="003F1B1F" w:rsidRPr="00DF0680" w:rsidRDefault="003F1B1F" w:rsidP="003F1B1F">
            <w:pPr>
              <w:rPr>
                <w:rFonts w:cs="Times New Roman"/>
              </w:rPr>
            </w:pPr>
            <w:r w:rsidRPr="00DF0680">
              <w:rPr>
                <w:rFonts w:cs="Times New Roman"/>
              </w:rPr>
              <w:t>Yeast extract</w:t>
            </w:r>
          </w:p>
        </w:tc>
        <w:tc>
          <w:tcPr>
            <w:tcW w:w="3818" w:type="dxa"/>
            <w:gridSpan w:val="2"/>
          </w:tcPr>
          <w:p w:rsidR="003F1B1F" w:rsidRPr="00DF0680" w:rsidRDefault="003F1B1F" w:rsidP="003F1B1F">
            <w:pPr>
              <w:rPr>
                <w:rFonts w:cs="Times New Roman"/>
              </w:rPr>
            </w:pPr>
            <w:r w:rsidRPr="00DF0680">
              <w:rPr>
                <w:rFonts w:cs="Times New Roman"/>
              </w:rPr>
              <w:t>Oxoid</w:t>
            </w:r>
          </w:p>
        </w:tc>
      </w:tr>
      <w:tr w:rsidR="003F1B1F" w:rsidRPr="00DF0680" w:rsidTr="003F1B1F">
        <w:tblPrEx>
          <w:tblLook w:val="04A0"/>
        </w:tblPrEx>
        <w:trPr>
          <w:gridBefore w:val="1"/>
          <w:wBefore w:w="108" w:type="dxa"/>
          <w:trHeight w:val="284"/>
        </w:trPr>
        <w:tc>
          <w:tcPr>
            <w:tcW w:w="4704" w:type="dxa"/>
            <w:gridSpan w:val="2"/>
          </w:tcPr>
          <w:p w:rsidR="003F1B1F" w:rsidRPr="00DF0680" w:rsidRDefault="003F1B1F" w:rsidP="003F1B1F">
            <w:pPr>
              <w:rPr>
                <w:rFonts w:cs="Times New Roman"/>
              </w:rPr>
            </w:pPr>
            <w:r w:rsidRPr="00DF0680">
              <w:rPr>
                <w:rFonts w:cs="Times New Roman"/>
              </w:rPr>
              <w:t>β-mercaptoethanol</w:t>
            </w:r>
          </w:p>
        </w:tc>
        <w:tc>
          <w:tcPr>
            <w:tcW w:w="3818" w:type="dxa"/>
            <w:gridSpan w:val="2"/>
          </w:tcPr>
          <w:p w:rsidR="003F1B1F" w:rsidRPr="00DF0680" w:rsidRDefault="003F1B1F" w:rsidP="003F1B1F">
            <w:pPr>
              <w:rPr>
                <w:rFonts w:cs="Times New Roman"/>
              </w:rPr>
            </w:pPr>
            <w:r w:rsidRPr="00DF0680">
              <w:rPr>
                <w:rFonts w:cs="Times New Roman"/>
              </w:rPr>
              <w:t>Sigma-Aldrich</w:t>
            </w:r>
          </w:p>
        </w:tc>
      </w:tr>
    </w:tbl>
    <w:p w:rsidR="003F1B1F" w:rsidRPr="00DF0680" w:rsidRDefault="003F1B1F" w:rsidP="003F1B1F">
      <w:pPr>
        <w:rPr>
          <w:rFonts w:cs="Times New Roman"/>
        </w:rPr>
      </w:pPr>
    </w:p>
    <w:p w:rsidR="003F1B1F" w:rsidRPr="00DF0680" w:rsidRDefault="003F1B1F" w:rsidP="00E664FC">
      <w:pPr>
        <w:pStyle w:val="Heading4"/>
      </w:pPr>
      <w:bookmarkStart w:id="187" w:name="_Toc210453446"/>
      <w:bookmarkStart w:id="188" w:name="_Toc234469098"/>
      <w:bookmarkStart w:id="189" w:name="_Toc234577902"/>
      <w:bookmarkStart w:id="190" w:name="_Toc234580391"/>
      <w:bookmarkStart w:id="191" w:name="_Toc234580497"/>
      <w:bookmarkStart w:id="192" w:name="_Toc234582253"/>
      <w:bookmarkStart w:id="193" w:name="_Toc417204119"/>
      <w:bookmarkStart w:id="194" w:name="_Toc417204429"/>
      <w:bookmarkStart w:id="195" w:name="_Toc417674560"/>
      <w:r w:rsidRPr="00DF0680">
        <w:t>Cytotoxic agents</w:t>
      </w:r>
      <w:bookmarkEnd w:id="187"/>
      <w:bookmarkEnd w:id="188"/>
      <w:bookmarkEnd w:id="189"/>
      <w:bookmarkEnd w:id="190"/>
      <w:bookmarkEnd w:id="191"/>
      <w:bookmarkEnd w:id="192"/>
      <w:bookmarkEnd w:id="193"/>
      <w:bookmarkEnd w:id="194"/>
      <w:bookmarkEnd w:id="195"/>
    </w:p>
    <w:p w:rsidR="003F1B1F" w:rsidRPr="00DF0680" w:rsidRDefault="003F1B1F" w:rsidP="003F1B1F">
      <w:pPr>
        <w:rPr>
          <w:rFonts w:cs="Times New Roman"/>
        </w:rPr>
      </w:pPr>
      <w:r w:rsidRPr="00DF0680">
        <w:rPr>
          <w:rFonts w:cs="Times New Roman"/>
        </w:rPr>
        <w:t>All chemicals were obtained from Sigma-Aldrich at a purity suitable for molecular biology.</w:t>
      </w:r>
    </w:p>
    <w:tbl>
      <w:tblPr>
        <w:tblStyle w:val="TableGrid"/>
        <w:tblW w:w="8915" w:type="dxa"/>
        <w:jc w:val="center"/>
        <w:tblInd w:w="-121" w:type="dxa"/>
        <w:tblBorders>
          <w:insideH w:val="none" w:sz="0" w:space="0" w:color="auto"/>
          <w:insideV w:val="none" w:sz="0" w:space="0" w:color="auto"/>
        </w:tblBorders>
        <w:tblLayout w:type="fixed"/>
        <w:tblLook w:val="01E0"/>
      </w:tblPr>
      <w:tblGrid>
        <w:gridCol w:w="2858"/>
        <w:gridCol w:w="4138"/>
        <w:gridCol w:w="1919"/>
      </w:tblGrid>
      <w:tr w:rsidR="003F1B1F" w:rsidRPr="00DF0680" w:rsidTr="003F1B1F">
        <w:trPr>
          <w:trHeight w:val="759"/>
          <w:jc w:val="center"/>
        </w:trPr>
        <w:tc>
          <w:tcPr>
            <w:tcW w:w="2858" w:type="dxa"/>
            <w:tcBorders>
              <w:top w:val="single" w:sz="4" w:space="0" w:color="auto"/>
              <w:bottom w:val="single" w:sz="4" w:space="0" w:color="auto"/>
              <w:right w:val="single" w:sz="4" w:space="0" w:color="auto"/>
            </w:tcBorders>
            <w:shd w:val="clear" w:color="auto" w:fill="A6A6A6" w:themeFill="background1" w:themeFillShade="A6"/>
            <w:vAlign w:val="center"/>
          </w:tcPr>
          <w:p w:rsidR="003F1B1F" w:rsidRPr="00DF0680" w:rsidRDefault="003F1B1F" w:rsidP="003F1B1F">
            <w:pPr>
              <w:jc w:val="center"/>
              <w:rPr>
                <w:rFonts w:cs="Times New Roman"/>
              </w:rPr>
            </w:pPr>
            <w:r w:rsidRPr="00DF0680">
              <w:rPr>
                <w:rFonts w:cs="Times New Roman"/>
              </w:rPr>
              <w:t>Cytotoxic agent</w:t>
            </w:r>
          </w:p>
        </w:tc>
        <w:tc>
          <w:tcPr>
            <w:tcW w:w="4138"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3F1B1F" w:rsidRPr="00DF0680" w:rsidRDefault="003F1B1F" w:rsidP="003F1B1F">
            <w:pPr>
              <w:jc w:val="center"/>
              <w:rPr>
                <w:rFonts w:cs="Times New Roman"/>
              </w:rPr>
            </w:pPr>
            <w:r w:rsidRPr="00DF0680">
              <w:rPr>
                <w:rFonts w:cs="Times New Roman"/>
              </w:rPr>
              <w:t>Mechanism of action</w:t>
            </w:r>
          </w:p>
        </w:tc>
        <w:tc>
          <w:tcPr>
            <w:tcW w:w="1919" w:type="dxa"/>
            <w:tcBorders>
              <w:top w:val="single" w:sz="4" w:space="0" w:color="auto"/>
              <w:left w:val="single" w:sz="4" w:space="0" w:color="auto"/>
              <w:bottom w:val="single" w:sz="4" w:space="0" w:color="auto"/>
            </w:tcBorders>
            <w:shd w:val="clear" w:color="auto" w:fill="A6A6A6" w:themeFill="background1" w:themeFillShade="A6"/>
            <w:vAlign w:val="center"/>
          </w:tcPr>
          <w:p w:rsidR="003F1B1F" w:rsidRPr="00DF0680" w:rsidRDefault="003F1B1F" w:rsidP="003F1B1F">
            <w:pPr>
              <w:jc w:val="center"/>
              <w:rPr>
                <w:rFonts w:cs="Times New Roman"/>
              </w:rPr>
            </w:pPr>
            <w:r w:rsidRPr="00DF0680">
              <w:rPr>
                <w:rFonts w:cs="Times New Roman"/>
              </w:rPr>
              <w:t>Diluent</w:t>
            </w:r>
          </w:p>
        </w:tc>
      </w:tr>
      <w:tr w:rsidR="003F1B1F" w:rsidRPr="00DF0680" w:rsidTr="003F1B1F">
        <w:trPr>
          <w:trHeight w:val="759"/>
          <w:jc w:val="center"/>
        </w:trPr>
        <w:tc>
          <w:tcPr>
            <w:tcW w:w="2858" w:type="dxa"/>
            <w:tcBorders>
              <w:top w:val="single" w:sz="4" w:space="0" w:color="auto"/>
              <w:bottom w:val="single" w:sz="4" w:space="0" w:color="auto"/>
              <w:right w:val="single" w:sz="4" w:space="0" w:color="auto"/>
            </w:tcBorders>
            <w:shd w:val="clear" w:color="auto" w:fill="D9D9D9"/>
            <w:vAlign w:val="center"/>
          </w:tcPr>
          <w:p w:rsidR="003F1B1F" w:rsidRPr="00DF0680" w:rsidRDefault="003F1B1F" w:rsidP="003F1B1F">
            <w:pPr>
              <w:spacing w:line="240" w:lineRule="auto"/>
              <w:jc w:val="center"/>
              <w:rPr>
                <w:rFonts w:cs="Times New Roman"/>
              </w:rPr>
            </w:pPr>
            <w:r w:rsidRPr="00DF0680">
              <w:rPr>
                <w:rFonts w:cs="Times New Roman"/>
              </w:rPr>
              <w:t>Thymidine (dT)</w:t>
            </w:r>
          </w:p>
        </w:tc>
        <w:tc>
          <w:tcPr>
            <w:tcW w:w="4138" w:type="dxa"/>
            <w:tcBorders>
              <w:top w:val="single" w:sz="4" w:space="0" w:color="auto"/>
              <w:left w:val="single" w:sz="4" w:space="0" w:color="auto"/>
              <w:bottom w:val="single" w:sz="4" w:space="0" w:color="auto"/>
              <w:right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Suppresses synthesis of dCTP</w:t>
            </w:r>
          </w:p>
        </w:tc>
        <w:tc>
          <w:tcPr>
            <w:tcW w:w="1919" w:type="dxa"/>
            <w:tcBorders>
              <w:top w:val="single" w:sz="4" w:space="0" w:color="auto"/>
              <w:left w:val="single" w:sz="4" w:space="0" w:color="auto"/>
              <w:bottom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DMEM</w:t>
            </w:r>
          </w:p>
        </w:tc>
      </w:tr>
      <w:tr w:rsidR="003F1B1F" w:rsidRPr="00DF0680" w:rsidTr="003F1B1F">
        <w:trPr>
          <w:trHeight w:val="759"/>
          <w:jc w:val="center"/>
        </w:trPr>
        <w:tc>
          <w:tcPr>
            <w:tcW w:w="2858" w:type="dxa"/>
            <w:tcBorders>
              <w:top w:val="single" w:sz="4" w:space="0" w:color="auto"/>
              <w:bottom w:val="single" w:sz="4" w:space="0" w:color="auto"/>
              <w:right w:val="single" w:sz="4" w:space="0" w:color="auto"/>
            </w:tcBorders>
            <w:shd w:val="clear" w:color="auto" w:fill="D9D9D9"/>
            <w:vAlign w:val="center"/>
          </w:tcPr>
          <w:p w:rsidR="003F1B1F" w:rsidRPr="00DF0680" w:rsidRDefault="003F1B1F" w:rsidP="003F1B1F">
            <w:pPr>
              <w:spacing w:line="240" w:lineRule="auto"/>
              <w:jc w:val="center"/>
              <w:rPr>
                <w:rFonts w:cs="Times New Roman"/>
              </w:rPr>
            </w:pPr>
            <w:r w:rsidRPr="00DF0680">
              <w:rPr>
                <w:rFonts w:cs="Times New Roman"/>
              </w:rPr>
              <w:t>5-Bromo-2’-deoxyuridine (BrdU)</w:t>
            </w:r>
          </w:p>
        </w:tc>
        <w:tc>
          <w:tcPr>
            <w:tcW w:w="4138" w:type="dxa"/>
            <w:tcBorders>
              <w:top w:val="single" w:sz="4" w:space="0" w:color="auto"/>
              <w:left w:val="single" w:sz="4" w:space="0" w:color="auto"/>
              <w:bottom w:val="single" w:sz="4" w:space="0" w:color="auto"/>
              <w:right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 xml:space="preserve">Thymidine </w:t>
            </w:r>
            <w:r w:rsidR="00FE547D" w:rsidRPr="00DF0680">
              <w:rPr>
                <w:rFonts w:cs="Times New Roman"/>
              </w:rPr>
              <w:t>analogue</w:t>
            </w:r>
          </w:p>
        </w:tc>
        <w:tc>
          <w:tcPr>
            <w:tcW w:w="1919" w:type="dxa"/>
            <w:tcBorders>
              <w:top w:val="single" w:sz="4" w:space="0" w:color="auto"/>
              <w:left w:val="single" w:sz="4" w:space="0" w:color="auto"/>
              <w:bottom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PBS</w:t>
            </w:r>
          </w:p>
        </w:tc>
      </w:tr>
      <w:tr w:rsidR="003F1B1F" w:rsidRPr="00DF0680" w:rsidTr="003F1B1F">
        <w:trPr>
          <w:trHeight w:val="759"/>
          <w:jc w:val="center"/>
        </w:trPr>
        <w:tc>
          <w:tcPr>
            <w:tcW w:w="2858" w:type="dxa"/>
            <w:tcBorders>
              <w:top w:val="single" w:sz="4" w:space="0" w:color="auto"/>
              <w:bottom w:val="single" w:sz="4" w:space="0" w:color="auto"/>
              <w:right w:val="single" w:sz="4" w:space="0" w:color="auto"/>
            </w:tcBorders>
            <w:shd w:val="clear" w:color="auto" w:fill="D9D9D9"/>
            <w:vAlign w:val="center"/>
          </w:tcPr>
          <w:p w:rsidR="003F1B1F" w:rsidRPr="00DF0680" w:rsidRDefault="003F1B1F" w:rsidP="003F1B1F">
            <w:pPr>
              <w:spacing w:line="240" w:lineRule="auto"/>
              <w:jc w:val="center"/>
              <w:rPr>
                <w:rFonts w:cs="Times New Roman"/>
              </w:rPr>
            </w:pPr>
            <w:r w:rsidRPr="00DF0680">
              <w:rPr>
                <w:rFonts w:cs="Times New Roman"/>
              </w:rPr>
              <w:t>5-Chloro-2’-deoxyuridine (CldU)</w:t>
            </w:r>
          </w:p>
        </w:tc>
        <w:tc>
          <w:tcPr>
            <w:tcW w:w="4138" w:type="dxa"/>
            <w:tcBorders>
              <w:top w:val="single" w:sz="4" w:space="0" w:color="auto"/>
              <w:left w:val="single" w:sz="4" w:space="0" w:color="auto"/>
              <w:bottom w:val="single" w:sz="4" w:space="0" w:color="auto"/>
              <w:right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 xml:space="preserve">Thymidine </w:t>
            </w:r>
            <w:r w:rsidR="00FE547D" w:rsidRPr="00DF0680">
              <w:rPr>
                <w:rFonts w:cs="Times New Roman"/>
              </w:rPr>
              <w:t>analogue</w:t>
            </w:r>
          </w:p>
        </w:tc>
        <w:tc>
          <w:tcPr>
            <w:tcW w:w="1919" w:type="dxa"/>
            <w:tcBorders>
              <w:top w:val="single" w:sz="4" w:space="0" w:color="auto"/>
              <w:left w:val="single" w:sz="4" w:space="0" w:color="auto"/>
              <w:bottom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DMEM</w:t>
            </w:r>
          </w:p>
        </w:tc>
      </w:tr>
      <w:tr w:rsidR="003F1B1F" w:rsidRPr="00DF0680" w:rsidTr="003F1B1F">
        <w:trPr>
          <w:trHeight w:val="759"/>
          <w:jc w:val="center"/>
        </w:trPr>
        <w:tc>
          <w:tcPr>
            <w:tcW w:w="2858" w:type="dxa"/>
            <w:tcBorders>
              <w:top w:val="single" w:sz="4" w:space="0" w:color="auto"/>
              <w:bottom w:val="single" w:sz="4" w:space="0" w:color="auto"/>
              <w:right w:val="single" w:sz="4" w:space="0" w:color="auto"/>
            </w:tcBorders>
            <w:shd w:val="clear" w:color="auto" w:fill="D9D9D9"/>
            <w:vAlign w:val="center"/>
          </w:tcPr>
          <w:p w:rsidR="003F1B1F" w:rsidRPr="00DF0680" w:rsidRDefault="003F1B1F" w:rsidP="003F1B1F">
            <w:pPr>
              <w:spacing w:line="240" w:lineRule="auto"/>
              <w:jc w:val="center"/>
              <w:rPr>
                <w:rFonts w:cs="Times New Roman"/>
              </w:rPr>
            </w:pPr>
            <w:r w:rsidRPr="00DF0680">
              <w:rPr>
                <w:rFonts w:cs="Times New Roman"/>
              </w:rPr>
              <w:t xml:space="preserve">5-Iodo-2’-deoxyuridine </w:t>
            </w:r>
          </w:p>
          <w:p w:rsidR="003F1B1F" w:rsidRPr="00DF0680" w:rsidRDefault="003F1B1F" w:rsidP="003F1B1F">
            <w:pPr>
              <w:spacing w:line="240" w:lineRule="auto"/>
              <w:jc w:val="center"/>
              <w:rPr>
                <w:rFonts w:cs="Times New Roman"/>
              </w:rPr>
            </w:pPr>
            <w:r w:rsidRPr="00DF0680">
              <w:rPr>
                <w:rFonts w:cs="Times New Roman"/>
              </w:rPr>
              <w:t>(IdU)</w:t>
            </w:r>
          </w:p>
        </w:tc>
        <w:tc>
          <w:tcPr>
            <w:tcW w:w="4138" w:type="dxa"/>
            <w:tcBorders>
              <w:top w:val="single" w:sz="4" w:space="0" w:color="auto"/>
              <w:left w:val="single" w:sz="4" w:space="0" w:color="auto"/>
              <w:bottom w:val="single" w:sz="4" w:space="0" w:color="auto"/>
              <w:right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 xml:space="preserve">Thymidine </w:t>
            </w:r>
            <w:r w:rsidR="00FE547D" w:rsidRPr="00DF0680">
              <w:rPr>
                <w:rFonts w:cs="Times New Roman"/>
              </w:rPr>
              <w:t>analogue</w:t>
            </w:r>
          </w:p>
        </w:tc>
        <w:tc>
          <w:tcPr>
            <w:tcW w:w="1919" w:type="dxa"/>
            <w:tcBorders>
              <w:top w:val="single" w:sz="4" w:space="0" w:color="auto"/>
              <w:left w:val="single" w:sz="4" w:space="0" w:color="auto"/>
              <w:bottom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DMEM</w:t>
            </w:r>
          </w:p>
        </w:tc>
      </w:tr>
      <w:tr w:rsidR="003F1B1F" w:rsidRPr="00DF0680" w:rsidTr="003F1B1F">
        <w:trPr>
          <w:trHeight w:val="759"/>
          <w:jc w:val="center"/>
        </w:trPr>
        <w:tc>
          <w:tcPr>
            <w:tcW w:w="2858" w:type="dxa"/>
            <w:tcBorders>
              <w:top w:val="single" w:sz="4" w:space="0" w:color="auto"/>
              <w:bottom w:val="single" w:sz="4" w:space="0" w:color="auto"/>
              <w:right w:val="single" w:sz="4" w:space="0" w:color="auto"/>
            </w:tcBorders>
            <w:shd w:val="clear" w:color="auto" w:fill="D9D9D9"/>
            <w:vAlign w:val="center"/>
          </w:tcPr>
          <w:p w:rsidR="003F1B1F" w:rsidRPr="00DF0680" w:rsidRDefault="003F1B1F" w:rsidP="003F1B1F">
            <w:pPr>
              <w:spacing w:line="240" w:lineRule="auto"/>
              <w:jc w:val="center"/>
              <w:rPr>
                <w:rFonts w:cs="Times New Roman"/>
              </w:rPr>
            </w:pPr>
            <w:r w:rsidRPr="00DF0680">
              <w:rPr>
                <w:rFonts w:cs="Times New Roman"/>
              </w:rPr>
              <w:t>Hydroxyurea (HU)</w:t>
            </w:r>
          </w:p>
        </w:tc>
        <w:tc>
          <w:tcPr>
            <w:tcW w:w="4138" w:type="dxa"/>
            <w:tcBorders>
              <w:top w:val="single" w:sz="4" w:space="0" w:color="auto"/>
              <w:left w:val="single" w:sz="4" w:space="0" w:color="auto"/>
              <w:bottom w:val="single" w:sz="4" w:space="0" w:color="auto"/>
              <w:right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Inhibits ribonucleotide reductase</w:t>
            </w:r>
          </w:p>
        </w:tc>
        <w:tc>
          <w:tcPr>
            <w:tcW w:w="1919" w:type="dxa"/>
            <w:tcBorders>
              <w:top w:val="single" w:sz="4" w:space="0" w:color="auto"/>
              <w:left w:val="single" w:sz="4" w:space="0" w:color="auto"/>
              <w:bottom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DMEM</w:t>
            </w:r>
          </w:p>
        </w:tc>
      </w:tr>
      <w:tr w:rsidR="003F1B1F" w:rsidRPr="00DF0680" w:rsidTr="003F1B1F">
        <w:trPr>
          <w:trHeight w:val="759"/>
          <w:jc w:val="center"/>
        </w:trPr>
        <w:tc>
          <w:tcPr>
            <w:tcW w:w="2858" w:type="dxa"/>
            <w:tcBorders>
              <w:top w:val="single" w:sz="4" w:space="0" w:color="auto"/>
              <w:bottom w:val="single" w:sz="4" w:space="0" w:color="auto"/>
              <w:right w:val="single" w:sz="4" w:space="0" w:color="auto"/>
            </w:tcBorders>
            <w:shd w:val="clear" w:color="auto" w:fill="D9D9D9"/>
            <w:vAlign w:val="center"/>
          </w:tcPr>
          <w:p w:rsidR="003F1B1F" w:rsidRPr="00DF0680" w:rsidRDefault="003F1B1F" w:rsidP="003F1B1F">
            <w:pPr>
              <w:spacing w:line="240" w:lineRule="auto"/>
              <w:jc w:val="center"/>
              <w:rPr>
                <w:rFonts w:cs="Times New Roman"/>
              </w:rPr>
            </w:pPr>
            <w:r w:rsidRPr="00DF0680">
              <w:rPr>
                <w:rFonts w:cs="Times New Roman"/>
              </w:rPr>
              <w:t>Camptothecin (CPT)</w:t>
            </w:r>
          </w:p>
        </w:tc>
        <w:tc>
          <w:tcPr>
            <w:tcW w:w="4138" w:type="dxa"/>
            <w:tcBorders>
              <w:top w:val="single" w:sz="4" w:space="0" w:color="auto"/>
              <w:left w:val="single" w:sz="4" w:space="0" w:color="auto"/>
              <w:bottom w:val="single" w:sz="4" w:space="0" w:color="auto"/>
              <w:right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Stabilises topoisomerase I bound to DNA preventing DNA re-ligation</w:t>
            </w:r>
          </w:p>
        </w:tc>
        <w:tc>
          <w:tcPr>
            <w:tcW w:w="1919" w:type="dxa"/>
            <w:tcBorders>
              <w:top w:val="single" w:sz="4" w:space="0" w:color="auto"/>
              <w:left w:val="single" w:sz="4" w:space="0" w:color="auto"/>
              <w:bottom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DMSO</w:t>
            </w:r>
          </w:p>
        </w:tc>
      </w:tr>
      <w:tr w:rsidR="003F1B1F" w:rsidRPr="00DF0680" w:rsidTr="003F1B1F">
        <w:trPr>
          <w:trHeight w:val="759"/>
          <w:jc w:val="center"/>
        </w:trPr>
        <w:tc>
          <w:tcPr>
            <w:tcW w:w="2858" w:type="dxa"/>
            <w:tcBorders>
              <w:top w:val="single" w:sz="4" w:space="0" w:color="auto"/>
              <w:bottom w:val="single" w:sz="4" w:space="0" w:color="auto"/>
              <w:right w:val="single" w:sz="4" w:space="0" w:color="auto"/>
            </w:tcBorders>
            <w:shd w:val="clear" w:color="auto" w:fill="D9D9D9"/>
            <w:vAlign w:val="center"/>
          </w:tcPr>
          <w:p w:rsidR="003F1B1F" w:rsidRPr="00DF0680" w:rsidRDefault="003F1B1F" w:rsidP="003F1B1F">
            <w:pPr>
              <w:spacing w:line="240" w:lineRule="auto"/>
              <w:jc w:val="center"/>
              <w:rPr>
                <w:rFonts w:cs="Times New Roman"/>
              </w:rPr>
            </w:pPr>
            <w:r w:rsidRPr="00DF0680">
              <w:rPr>
                <w:rFonts w:cs="Times New Roman"/>
              </w:rPr>
              <w:t>Nocodazole (Noc)</w:t>
            </w:r>
          </w:p>
        </w:tc>
        <w:tc>
          <w:tcPr>
            <w:tcW w:w="4138" w:type="dxa"/>
            <w:tcBorders>
              <w:top w:val="single" w:sz="4" w:space="0" w:color="auto"/>
              <w:left w:val="single" w:sz="4" w:space="0" w:color="auto"/>
              <w:bottom w:val="single" w:sz="4" w:space="0" w:color="auto"/>
              <w:right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Microtubule depolymerising agent</w:t>
            </w:r>
          </w:p>
        </w:tc>
        <w:tc>
          <w:tcPr>
            <w:tcW w:w="1919" w:type="dxa"/>
            <w:tcBorders>
              <w:top w:val="single" w:sz="4" w:space="0" w:color="auto"/>
              <w:left w:val="single" w:sz="4" w:space="0" w:color="auto"/>
              <w:bottom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DMSO</w:t>
            </w:r>
          </w:p>
        </w:tc>
      </w:tr>
      <w:tr w:rsidR="003F1B1F" w:rsidRPr="00DF0680" w:rsidTr="003F1B1F">
        <w:trPr>
          <w:trHeight w:val="759"/>
          <w:jc w:val="center"/>
        </w:trPr>
        <w:tc>
          <w:tcPr>
            <w:tcW w:w="2858" w:type="dxa"/>
            <w:tcBorders>
              <w:top w:val="single" w:sz="4" w:space="0" w:color="auto"/>
              <w:bottom w:val="single" w:sz="4" w:space="0" w:color="auto"/>
              <w:right w:val="single" w:sz="4" w:space="0" w:color="auto"/>
            </w:tcBorders>
            <w:shd w:val="clear" w:color="auto" w:fill="D9D9D9"/>
            <w:vAlign w:val="center"/>
          </w:tcPr>
          <w:p w:rsidR="003F1B1F" w:rsidRPr="00DF0680" w:rsidRDefault="003F1B1F" w:rsidP="003F1B1F">
            <w:pPr>
              <w:spacing w:line="240" w:lineRule="auto"/>
              <w:jc w:val="center"/>
              <w:rPr>
                <w:rFonts w:cs="Times New Roman"/>
              </w:rPr>
            </w:pPr>
            <w:r w:rsidRPr="00DF0680">
              <w:rPr>
                <w:rFonts w:cs="Times New Roman"/>
              </w:rPr>
              <w:t>5,6-Dichloro-1-</w:t>
            </w:r>
            <w:r w:rsidRPr="00DF0680">
              <w:rPr>
                <w:rFonts w:cs="Times New Roman"/>
                <w:i/>
              </w:rPr>
              <w:t>beta</w:t>
            </w:r>
            <w:r w:rsidRPr="00DF0680">
              <w:rPr>
                <w:rFonts w:cs="Times New Roman"/>
              </w:rPr>
              <w:t>-D-rbofuranosylbenzimidazole (DRB)</w:t>
            </w:r>
          </w:p>
        </w:tc>
        <w:tc>
          <w:tcPr>
            <w:tcW w:w="4138" w:type="dxa"/>
            <w:tcBorders>
              <w:top w:val="single" w:sz="4" w:space="0" w:color="auto"/>
              <w:left w:val="single" w:sz="4" w:space="0" w:color="auto"/>
              <w:bottom w:val="single" w:sz="4" w:space="0" w:color="auto"/>
              <w:right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Inhibits transcription elongation by RNA polymerase II</w:t>
            </w:r>
          </w:p>
        </w:tc>
        <w:tc>
          <w:tcPr>
            <w:tcW w:w="1919" w:type="dxa"/>
            <w:tcBorders>
              <w:top w:val="single" w:sz="4" w:space="0" w:color="auto"/>
              <w:left w:val="single" w:sz="4" w:space="0" w:color="auto"/>
              <w:bottom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DMSO</w:t>
            </w:r>
          </w:p>
        </w:tc>
      </w:tr>
      <w:tr w:rsidR="003F1B1F" w:rsidRPr="00DF0680" w:rsidTr="003F1B1F">
        <w:trPr>
          <w:trHeight w:val="759"/>
          <w:jc w:val="center"/>
        </w:trPr>
        <w:tc>
          <w:tcPr>
            <w:tcW w:w="2858" w:type="dxa"/>
            <w:tcBorders>
              <w:top w:val="single" w:sz="4" w:space="0" w:color="auto"/>
              <w:bottom w:val="single" w:sz="4" w:space="0" w:color="auto"/>
              <w:right w:val="single" w:sz="4" w:space="0" w:color="auto"/>
            </w:tcBorders>
            <w:shd w:val="clear" w:color="auto" w:fill="D9D9D9"/>
            <w:vAlign w:val="center"/>
          </w:tcPr>
          <w:p w:rsidR="003F1B1F" w:rsidRPr="00DF0680" w:rsidRDefault="003F1B1F" w:rsidP="003F1B1F">
            <w:pPr>
              <w:spacing w:line="240" w:lineRule="auto"/>
              <w:jc w:val="center"/>
              <w:rPr>
                <w:rFonts w:cs="Times New Roman"/>
              </w:rPr>
            </w:pPr>
            <w:r w:rsidRPr="00DF0680">
              <w:rPr>
                <w:rFonts w:cs="Times New Roman"/>
              </w:rPr>
              <w:t>Cycloheximide</w:t>
            </w:r>
          </w:p>
        </w:tc>
        <w:tc>
          <w:tcPr>
            <w:tcW w:w="4138" w:type="dxa"/>
            <w:tcBorders>
              <w:top w:val="single" w:sz="4" w:space="0" w:color="auto"/>
              <w:left w:val="single" w:sz="4" w:space="0" w:color="auto"/>
              <w:bottom w:val="single" w:sz="4" w:space="0" w:color="auto"/>
              <w:right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Inhibits translation elongation by ribosomes</w:t>
            </w:r>
          </w:p>
        </w:tc>
        <w:tc>
          <w:tcPr>
            <w:tcW w:w="1919" w:type="dxa"/>
            <w:tcBorders>
              <w:top w:val="single" w:sz="4" w:space="0" w:color="auto"/>
              <w:left w:val="single" w:sz="4" w:space="0" w:color="auto"/>
              <w:bottom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DMSO</w:t>
            </w:r>
          </w:p>
        </w:tc>
      </w:tr>
      <w:tr w:rsidR="003F1B1F" w:rsidRPr="00DF0680" w:rsidTr="003F1B1F">
        <w:trPr>
          <w:trHeight w:val="759"/>
          <w:jc w:val="center"/>
        </w:trPr>
        <w:tc>
          <w:tcPr>
            <w:tcW w:w="2858" w:type="dxa"/>
            <w:tcBorders>
              <w:top w:val="single" w:sz="4" w:space="0" w:color="auto"/>
              <w:bottom w:val="single" w:sz="4" w:space="0" w:color="auto"/>
              <w:right w:val="single" w:sz="4" w:space="0" w:color="auto"/>
            </w:tcBorders>
            <w:shd w:val="clear" w:color="auto" w:fill="D9D9D9"/>
          </w:tcPr>
          <w:p w:rsidR="003F1B1F" w:rsidRPr="00DF0680" w:rsidRDefault="003F1B1F" w:rsidP="003F1B1F">
            <w:pPr>
              <w:spacing w:line="240" w:lineRule="auto"/>
              <w:jc w:val="center"/>
              <w:rPr>
                <w:rFonts w:cs="Times New Roman"/>
              </w:rPr>
            </w:pPr>
          </w:p>
          <w:p w:rsidR="003F1B1F" w:rsidRPr="00DF0680" w:rsidRDefault="003F1B1F" w:rsidP="003F1B1F">
            <w:pPr>
              <w:spacing w:line="240" w:lineRule="auto"/>
              <w:jc w:val="center"/>
              <w:rPr>
                <w:rFonts w:cs="Times New Roman"/>
              </w:rPr>
            </w:pPr>
            <w:r w:rsidRPr="00DF0680">
              <w:rPr>
                <w:rFonts w:cs="Times New Roman"/>
              </w:rPr>
              <w:t>5-Aza-2’-deoxycytidine</w:t>
            </w:r>
          </w:p>
        </w:tc>
        <w:tc>
          <w:tcPr>
            <w:tcW w:w="4138" w:type="dxa"/>
            <w:tcBorders>
              <w:top w:val="single" w:sz="4" w:space="0" w:color="auto"/>
              <w:left w:val="single" w:sz="4" w:space="0" w:color="auto"/>
              <w:bottom w:val="single" w:sz="4" w:space="0" w:color="auto"/>
              <w:right w:val="single" w:sz="4" w:space="0" w:color="auto"/>
            </w:tcBorders>
          </w:tcPr>
          <w:p w:rsidR="003F1B1F" w:rsidRPr="00DF0680" w:rsidRDefault="003F1B1F" w:rsidP="003F1B1F">
            <w:pPr>
              <w:spacing w:line="240" w:lineRule="auto"/>
              <w:jc w:val="center"/>
              <w:rPr>
                <w:rFonts w:cs="Times New Roman"/>
              </w:rPr>
            </w:pPr>
          </w:p>
          <w:p w:rsidR="003F1B1F" w:rsidRPr="00DF0680" w:rsidRDefault="003F1B1F" w:rsidP="003F1B1F">
            <w:pPr>
              <w:spacing w:line="240" w:lineRule="auto"/>
              <w:jc w:val="center"/>
              <w:rPr>
                <w:rFonts w:cs="Times New Roman"/>
              </w:rPr>
            </w:pPr>
            <w:r w:rsidRPr="00DF0680">
              <w:rPr>
                <w:rFonts w:cs="Times New Roman"/>
              </w:rPr>
              <w:t>Inhibits the methylation of DNA</w:t>
            </w:r>
          </w:p>
        </w:tc>
        <w:tc>
          <w:tcPr>
            <w:tcW w:w="1919" w:type="dxa"/>
            <w:tcBorders>
              <w:top w:val="single" w:sz="4" w:space="0" w:color="auto"/>
              <w:left w:val="single" w:sz="4" w:space="0" w:color="auto"/>
              <w:bottom w:val="single" w:sz="4" w:space="0" w:color="auto"/>
            </w:tcBorders>
            <w:vAlign w:val="center"/>
          </w:tcPr>
          <w:p w:rsidR="003F1B1F" w:rsidRPr="00DF0680" w:rsidRDefault="003F1B1F" w:rsidP="003F1B1F">
            <w:pPr>
              <w:spacing w:line="240" w:lineRule="auto"/>
              <w:jc w:val="center"/>
              <w:rPr>
                <w:rFonts w:cs="Times New Roman"/>
              </w:rPr>
            </w:pPr>
            <w:r w:rsidRPr="00DF0680">
              <w:rPr>
                <w:rFonts w:cs="Times New Roman"/>
              </w:rPr>
              <w:t>Acetic acid:water (1:1 v/v)</w:t>
            </w:r>
          </w:p>
        </w:tc>
      </w:tr>
    </w:tbl>
    <w:p w:rsidR="00A41A3E" w:rsidRPr="00DF0680" w:rsidRDefault="00A41A3E">
      <w:pPr>
        <w:spacing w:line="276" w:lineRule="auto"/>
        <w:jc w:val="left"/>
        <w:rPr>
          <w:rFonts w:cs="Times New Roman"/>
        </w:rPr>
      </w:pPr>
      <w:r w:rsidRPr="00DF0680">
        <w:rPr>
          <w:rFonts w:cs="Times New Roman"/>
        </w:rPr>
        <w:br w:type="page"/>
      </w:r>
    </w:p>
    <w:p w:rsidR="003F1B1F" w:rsidRPr="00DF0680" w:rsidRDefault="003F1B1F" w:rsidP="00E664FC">
      <w:pPr>
        <w:pStyle w:val="Heading3"/>
      </w:pPr>
      <w:bookmarkStart w:id="196" w:name="_Ref210453364"/>
      <w:bookmarkStart w:id="197" w:name="_Toc210453445"/>
      <w:bookmarkStart w:id="198" w:name="_Toc234469097"/>
      <w:bookmarkStart w:id="199" w:name="_Toc234577901"/>
      <w:bookmarkStart w:id="200" w:name="_Toc234580390"/>
      <w:bookmarkStart w:id="201" w:name="_Toc234580496"/>
      <w:bookmarkStart w:id="202" w:name="_Toc234582252"/>
      <w:bookmarkStart w:id="203" w:name="_Toc417204120"/>
      <w:bookmarkStart w:id="204" w:name="_Toc417204430"/>
      <w:bookmarkStart w:id="205" w:name="_Toc417674561"/>
      <w:r w:rsidRPr="00DF0680">
        <w:lastRenderedPageBreak/>
        <w:t>Antibodies</w:t>
      </w:r>
      <w:bookmarkEnd w:id="196"/>
      <w:bookmarkEnd w:id="197"/>
      <w:bookmarkEnd w:id="198"/>
      <w:bookmarkEnd w:id="199"/>
      <w:bookmarkEnd w:id="200"/>
      <w:bookmarkEnd w:id="201"/>
      <w:bookmarkEnd w:id="202"/>
      <w:bookmarkEnd w:id="203"/>
      <w:bookmarkEnd w:id="204"/>
      <w:bookmarkEnd w:id="205"/>
    </w:p>
    <w:tbl>
      <w:tblPr>
        <w:tblStyle w:val="TableGrid"/>
        <w:tblW w:w="9123" w:type="dxa"/>
        <w:jc w:val="center"/>
        <w:tblInd w:w="444" w:type="dxa"/>
        <w:tblLayout w:type="fixed"/>
        <w:tblLook w:val="01E0"/>
      </w:tblPr>
      <w:tblGrid>
        <w:gridCol w:w="1791"/>
        <w:gridCol w:w="992"/>
        <w:gridCol w:w="3455"/>
        <w:gridCol w:w="951"/>
        <w:gridCol w:w="1084"/>
        <w:gridCol w:w="850"/>
      </w:tblGrid>
      <w:tr w:rsidR="003F1B1F" w:rsidRPr="00DF0680" w:rsidTr="007A1441">
        <w:trPr>
          <w:jc w:val="center"/>
        </w:trPr>
        <w:tc>
          <w:tcPr>
            <w:tcW w:w="1791" w:type="dxa"/>
            <w:vMerge w:val="restart"/>
            <w:shd w:val="clear" w:color="auto" w:fill="A6A6A6" w:themeFill="background1" w:themeFillShade="A6"/>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w:t>
            </w:r>
            <w:r w:rsidRPr="00DF0680">
              <w:rPr>
                <w:rFonts w:ascii="Times New Roman" w:hAnsi="Times New Roman" w:cs="Times New Roman"/>
                <w:vertAlign w:val="superscript"/>
              </w:rPr>
              <w:t>o</w:t>
            </w:r>
            <w:r w:rsidRPr="00DF0680">
              <w:rPr>
                <w:rFonts w:ascii="Times New Roman" w:hAnsi="Times New Roman" w:cs="Times New Roman"/>
              </w:rPr>
              <w:t xml:space="preserve"> Antibody</w:t>
            </w:r>
          </w:p>
        </w:tc>
        <w:tc>
          <w:tcPr>
            <w:tcW w:w="992" w:type="dxa"/>
            <w:vMerge w:val="restart"/>
            <w:shd w:val="clear" w:color="auto" w:fill="A6A6A6" w:themeFill="background1" w:themeFillShade="A6"/>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Raised In</w:t>
            </w:r>
          </w:p>
        </w:tc>
        <w:tc>
          <w:tcPr>
            <w:tcW w:w="3455" w:type="dxa"/>
            <w:vMerge w:val="restart"/>
            <w:shd w:val="clear" w:color="auto" w:fill="A6A6A6" w:themeFill="background1" w:themeFillShade="A6"/>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Manufacturer</w:t>
            </w:r>
          </w:p>
        </w:tc>
        <w:tc>
          <w:tcPr>
            <w:tcW w:w="2885" w:type="dxa"/>
            <w:gridSpan w:val="3"/>
            <w:shd w:val="clear" w:color="auto" w:fill="A6A6A6" w:themeFill="background1" w:themeFillShade="A6"/>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Dilution Factor</w:t>
            </w:r>
          </w:p>
        </w:tc>
      </w:tr>
      <w:tr w:rsidR="003F1B1F" w:rsidRPr="00DF0680" w:rsidTr="007A1441">
        <w:trPr>
          <w:jc w:val="center"/>
        </w:trPr>
        <w:tc>
          <w:tcPr>
            <w:tcW w:w="1791" w:type="dxa"/>
            <w:vMerge/>
            <w:shd w:val="clear" w:color="auto" w:fill="A6A6A6" w:themeFill="background1" w:themeFillShade="A6"/>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992" w:type="dxa"/>
            <w:vMerge/>
            <w:shd w:val="clear" w:color="auto" w:fill="A6A6A6" w:themeFill="background1" w:themeFillShade="A6"/>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3455" w:type="dxa"/>
            <w:vMerge/>
            <w:shd w:val="clear" w:color="auto" w:fill="A6A6A6" w:themeFill="background1" w:themeFillShade="A6"/>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951" w:type="dxa"/>
            <w:shd w:val="clear" w:color="auto" w:fill="A6A6A6" w:themeFill="background1" w:themeFillShade="A6"/>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WB</w:t>
            </w:r>
          </w:p>
        </w:tc>
        <w:tc>
          <w:tcPr>
            <w:tcW w:w="1084" w:type="dxa"/>
            <w:shd w:val="clear" w:color="auto" w:fill="A6A6A6" w:themeFill="background1" w:themeFillShade="A6"/>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IF</w:t>
            </w:r>
          </w:p>
        </w:tc>
        <w:tc>
          <w:tcPr>
            <w:tcW w:w="850" w:type="dxa"/>
            <w:shd w:val="clear" w:color="auto" w:fill="A6A6A6" w:themeFill="background1" w:themeFillShade="A6"/>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IHC</w:t>
            </w:r>
          </w:p>
        </w:tc>
      </w:tr>
      <w:tr w:rsidR="003F1B1F" w:rsidRPr="00DF0680" w:rsidTr="007A1441">
        <w:trPr>
          <w:trHeight w:val="380"/>
          <w:jc w:val="center"/>
        </w:trPr>
        <w:tc>
          <w:tcPr>
            <w:tcW w:w="1791" w:type="dxa"/>
            <w:vMerge w:val="restart"/>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p>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BrdU</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Mouse</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Becton Dickinson (347580)</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1:1000</w:t>
            </w: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trHeight w:val="360"/>
          <w:jc w:val="center"/>
        </w:trPr>
        <w:tc>
          <w:tcPr>
            <w:tcW w:w="1791" w:type="dxa"/>
            <w:vMerge/>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Rat</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AbD Serotec (OBT0030G)</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1:750</w:t>
            </w: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trHeight w:val="360"/>
          <w:jc w:val="center"/>
        </w:trPr>
        <w:tc>
          <w:tcPr>
            <w:tcW w:w="1791" w:type="dxa"/>
            <w:vMerge/>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Mouse</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 xml:space="preserve">Dako (M0744) </w:t>
            </w:r>
            <w:r w:rsidRPr="00DF0680">
              <w:rPr>
                <w:rFonts w:ascii="Times New Roman" w:hAnsi="Times New Roman" w:cs="Times New Roman"/>
                <w:i/>
              </w:rPr>
              <w:t>(FACS)</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jc w:val="center"/>
        </w:trPr>
        <w:tc>
          <w:tcPr>
            <w:tcW w:w="1791" w:type="dxa"/>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β-ACTIN</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Rabbit</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Sigma-Aldrich (A2228)</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1:2000</w:t>
            </w: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jc w:val="center"/>
        </w:trPr>
        <w:tc>
          <w:tcPr>
            <w:tcW w:w="1791" w:type="dxa"/>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CHK1</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Sheep</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Upstate (06-965)</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1:2000</w:t>
            </w: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jc w:val="center"/>
        </w:trPr>
        <w:tc>
          <w:tcPr>
            <w:tcW w:w="1791" w:type="dxa"/>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FLAG HRP-linked</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Mouse</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Sigma-Aldrich (A8592)</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1:5000</w:t>
            </w: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jc w:val="center"/>
        </w:trPr>
        <w:tc>
          <w:tcPr>
            <w:tcW w:w="1791" w:type="dxa"/>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MRE11</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Rabbit</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Calbiochem (PC388)</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1:2000</w:t>
            </w: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jc w:val="center"/>
        </w:trPr>
        <w:tc>
          <w:tcPr>
            <w:tcW w:w="1791" w:type="dxa"/>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RAD51</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Rabbit</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Santa Cruz Biotechnology (SC8349)</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1:500</w:t>
            </w: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trHeight w:val="340"/>
          <w:jc w:val="center"/>
        </w:trPr>
        <w:tc>
          <w:tcPr>
            <w:tcW w:w="1791" w:type="dxa"/>
            <w:vMerge w:val="restart"/>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p>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RECQL5β</w:t>
            </w:r>
          </w:p>
        </w:tc>
        <w:tc>
          <w:tcPr>
            <w:tcW w:w="992" w:type="dxa"/>
            <w:vMerge w:val="restart"/>
            <w:vAlign w:val="center"/>
          </w:tcPr>
          <w:p w:rsidR="003F1B1F" w:rsidRPr="00DF0680" w:rsidRDefault="003F1B1F" w:rsidP="007A1441">
            <w:pPr>
              <w:pStyle w:val="NoSpacing"/>
              <w:spacing w:line="276" w:lineRule="auto"/>
              <w:jc w:val="center"/>
              <w:rPr>
                <w:rFonts w:ascii="Times New Roman" w:hAnsi="Times New Roman" w:cs="Times New Roman"/>
              </w:rPr>
            </w:pPr>
          </w:p>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Rabbit</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Abcam (AB91422)</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1:2000</w:t>
            </w: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trHeight w:val="400"/>
          <w:jc w:val="center"/>
        </w:trPr>
        <w:tc>
          <w:tcPr>
            <w:tcW w:w="1791" w:type="dxa"/>
            <w:vMerge/>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992" w:type="dxa"/>
            <w:vMerge/>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Sigma-Aldrich (</w:t>
            </w:r>
            <w:r w:rsidRPr="00DF0680">
              <w:rPr>
                <w:rFonts w:ascii="Times New Roman" w:hAnsi="Times New Roman" w:cs="Times New Roman"/>
                <w:bCs/>
                <w:shd w:val="clear" w:color="auto" w:fill="FFFFFF"/>
              </w:rPr>
              <w:t>HPA029971)</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1:150</w:t>
            </w:r>
          </w:p>
        </w:tc>
      </w:tr>
      <w:tr w:rsidR="003F1B1F" w:rsidRPr="00DF0680" w:rsidTr="007A1441">
        <w:trPr>
          <w:jc w:val="center"/>
        </w:trPr>
        <w:tc>
          <w:tcPr>
            <w:tcW w:w="1791" w:type="dxa"/>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RPA32/RPA2 (phospho T21)</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Rabbit</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Abcam (AB61065)</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1:250</w:t>
            </w: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jc w:val="center"/>
        </w:trPr>
        <w:tc>
          <w:tcPr>
            <w:tcW w:w="1791" w:type="dxa"/>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Ser 345 p-CHK1</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Rabbit</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Cell Signalling Technology (2348)</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1:1000</w:t>
            </w: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trHeight w:val="70"/>
          <w:jc w:val="center"/>
        </w:trPr>
        <w:tc>
          <w:tcPr>
            <w:tcW w:w="1791" w:type="dxa"/>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Ser 139 γ-H2AX</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Rabbit</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Cell Signalling Technology</w:t>
            </w:r>
          </w:p>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(05-636)</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1:1000</w:t>
            </w: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1:250</w:t>
            </w: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trHeight w:val="70"/>
          <w:jc w:val="center"/>
        </w:trPr>
        <w:tc>
          <w:tcPr>
            <w:tcW w:w="1791" w:type="dxa"/>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β-TUBULIN</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Mouse</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Sigma-Aldrich (T8328)</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1:1000</w:t>
            </w: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jc w:val="center"/>
        </w:trPr>
        <w:tc>
          <w:tcPr>
            <w:tcW w:w="1791" w:type="dxa"/>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c-myc</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Mouse</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Santa Cruz Biotechnology (SC47694)</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1:2000</w:t>
            </w: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jc w:val="center"/>
        </w:trPr>
        <w:tc>
          <w:tcPr>
            <w:tcW w:w="1791" w:type="dxa"/>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eIF2α</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Rabbit</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Cell Signalling Technology</w:t>
            </w:r>
          </w:p>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(9722)</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1:2000</w:t>
            </w: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jc w:val="center"/>
        </w:trPr>
        <w:tc>
          <w:tcPr>
            <w:tcW w:w="1791" w:type="dxa"/>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eIF2α-pS51</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Rabbit</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Cell Signalling Technology (9721)</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1:2000</w:t>
            </w: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r w:rsidR="003F1B1F" w:rsidRPr="00DF0680" w:rsidTr="007A1441">
        <w:trPr>
          <w:jc w:val="center"/>
        </w:trPr>
        <w:tc>
          <w:tcPr>
            <w:tcW w:w="1791" w:type="dxa"/>
            <w:shd w:val="clear" w:color="auto" w:fill="D9D9D9" w:themeFill="background1" w:themeFillShade="D9"/>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53BP1</w:t>
            </w:r>
          </w:p>
        </w:tc>
        <w:tc>
          <w:tcPr>
            <w:tcW w:w="992"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Rabbit</w:t>
            </w:r>
          </w:p>
        </w:tc>
        <w:tc>
          <w:tcPr>
            <w:tcW w:w="3455"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Abcam (AB36823)</w:t>
            </w:r>
          </w:p>
        </w:tc>
        <w:tc>
          <w:tcPr>
            <w:tcW w:w="951" w:type="dxa"/>
            <w:vAlign w:val="center"/>
          </w:tcPr>
          <w:p w:rsidR="003F1B1F" w:rsidRPr="00DF0680" w:rsidRDefault="003F1B1F" w:rsidP="007A1441">
            <w:pPr>
              <w:pStyle w:val="NoSpacing"/>
              <w:spacing w:line="276" w:lineRule="auto"/>
              <w:jc w:val="center"/>
              <w:rPr>
                <w:rFonts w:ascii="Times New Roman" w:hAnsi="Times New Roman" w:cs="Times New Roman"/>
              </w:rPr>
            </w:pPr>
          </w:p>
        </w:tc>
        <w:tc>
          <w:tcPr>
            <w:tcW w:w="1084" w:type="dxa"/>
            <w:vAlign w:val="center"/>
          </w:tcPr>
          <w:p w:rsidR="003F1B1F" w:rsidRPr="00DF0680" w:rsidRDefault="003F1B1F" w:rsidP="007A1441">
            <w:pPr>
              <w:pStyle w:val="NoSpacing"/>
              <w:spacing w:line="276" w:lineRule="auto"/>
              <w:jc w:val="center"/>
              <w:rPr>
                <w:rFonts w:ascii="Times New Roman" w:hAnsi="Times New Roman" w:cs="Times New Roman"/>
              </w:rPr>
            </w:pPr>
            <w:r w:rsidRPr="00DF0680">
              <w:rPr>
                <w:rFonts w:ascii="Times New Roman" w:hAnsi="Times New Roman" w:cs="Times New Roman"/>
              </w:rPr>
              <w:t>1:1000</w:t>
            </w:r>
          </w:p>
        </w:tc>
        <w:tc>
          <w:tcPr>
            <w:tcW w:w="850" w:type="dxa"/>
            <w:vAlign w:val="center"/>
          </w:tcPr>
          <w:p w:rsidR="003F1B1F" w:rsidRPr="00DF0680" w:rsidRDefault="003F1B1F" w:rsidP="007A1441">
            <w:pPr>
              <w:pStyle w:val="NoSpacing"/>
              <w:spacing w:line="276" w:lineRule="auto"/>
              <w:jc w:val="center"/>
              <w:rPr>
                <w:rFonts w:ascii="Times New Roman" w:hAnsi="Times New Roman" w:cs="Times New Roman"/>
              </w:rPr>
            </w:pPr>
          </w:p>
        </w:tc>
      </w:tr>
    </w:tbl>
    <w:p w:rsidR="003F1B1F" w:rsidRPr="00DF0680" w:rsidRDefault="003F1B1F" w:rsidP="00E52A8D">
      <w:pPr>
        <w:spacing w:after="0"/>
        <w:rPr>
          <w:rFonts w:cs="Times New Roman"/>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198"/>
        <w:gridCol w:w="3490"/>
        <w:gridCol w:w="1017"/>
        <w:gridCol w:w="1015"/>
      </w:tblGrid>
      <w:tr w:rsidR="003F1B1F" w:rsidRPr="00DF0680" w:rsidTr="00FE547D">
        <w:trPr>
          <w:jc w:val="center"/>
        </w:trPr>
        <w:tc>
          <w:tcPr>
            <w:tcW w:w="1834" w:type="pct"/>
            <w:vMerge w:val="restart"/>
            <w:tcBorders>
              <w:top w:val="single" w:sz="4" w:space="0" w:color="auto"/>
              <w:left w:val="single" w:sz="4" w:space="0" w:color="auto"/>
              <w:right w:val="single" w:sz="4" w:space="0" w:color="auto"/>
            </w:tcBorders>
            <w:shd w:val="clear" w:color="auto" w:fill="A6A6A6" w:themeFill="background1" w:themeFillShade="A6"/>
            <w:vAlign w:val="center"/>
          </w:tcPr>
          <w:p w:rsidR="003F1B1F" w:rsidRPr="00DF0680" w:rsidRDefault="003F1B1F" w:rsidP="007A1441">
            <w:pPr>
              <w:jc w:val="center"/>
              <w:rPr>
                <w:rFonts w:cs="Times New Roman"/>
              </w:rPr>
            </w:pPr>
            <w:r w:rsidRPr="00DF0680">
              <w:rPr>
                <w:rFonts w:cs="Times New Roman"/>
              </w:rPr>
              <w:t>2</w:t>
            </w:r>
            <w:r w:rsidRPr="00DF0680">
              <w:rPr>
                <w:rFonts w:cs="Times New Roman"/>
                <w:vertAlign w:val="superscript"/>
              </w:rPr>
              <w:t>o</w:t>
            </w:r>
            <w:r w:rsidRPr="00DF0680">
              <w:rPr>
                <w:rFonts w:cs="Times New Roman"/>
              </w:rPr>
              <w:t xml:space="preserve"> Antibody</w:t>
            </w:r>
          </w:p>
        </w:tc>
        <w:tc>
          <w:tcPr>
            <w:tcW w:w="2001" w:type="pct"/>
            <w:vMerge w:val="restart"/>
            <w:tcBorders>
              <w:top w:val="single" w:sz="4" w:space="0" w:color="auto"/>
              <w:left w:val="single" w:sz="4" w:space="0" w:color="auto"/>
              <w:right w:val="single" w:sz="4" w:space="0" w:color="auto"/>
            </w:tcBorders>
            <w:shd w:val="clear" w:color="auto" w:fill="A6A6A6" w:themeFill="background1" w:themeFillShade="A6"/>
            <w:vAlign w:val="center"/>
          </w:tcPr>
          <w:p w:rsidR="003F1B1F" w:rsidRPr="00DF0680" w:rsidRDefault="003F1B1F" w:rsidP="007A1441">
            <w:pPr>
              <w:jc w:val="center"/>
              <w:rPr>
                <w:rFonts w:cs="Times New Roman"/>
              </w:rPr>
            </w:pPr>
            <w:r w:rsidRPr="00DF0680">
              <w:rPr>
                <w:rFonts w:cs="Times New Roman"/>
              </w:rPr>
              <w:t>Manufacturer</w:t>
            </w:r>
          </w:p>
        </w:tc>
        <w:tc>
          <w:tcPr>
            <w:tcW w:w="1166" w:type="pct"/>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3F1B1F" w:rsidRPr="00DF0680" w:rsidRDefault="003F1B1F" w:rsidP="007A1441">
            <w:pPr>
              <w:jc w:val="center"/>
              <w:rPr>
                <w:rFonts w:cs="Times New Roman"/>
              </w:rPr>
            </w:pPr>
            <w:r w:rsidRPr="00DF0680">
              <w:rPr>
                <w:rFonts w:cs="Times New Roman"/>
              </w:rPr>
              <w:t>Dilution Factor</w:t>
            </w:r>
          </w:p>
        </w:tc>
      </w:tr>
      <w:tr w:rsidR="003F1B1F" w:rsidRPr="00DF0680" w:rsidTr="00FE547D">
        <w:trPr>
          <w:jc w:val="center"/>
        </w:trPr>
        <w:tc>
          <w:tcPr>
            <w:tcW w:w="1834" w:type="pct"/>
            <w:vMerge/>
            <w:tcBorders>
              <w:left w:val="single" w:sz="4" w:space="0" w:color="auto"/>
              <w:bottom w:val="single" w:sz="4" w:space="0" w:color="auto"/>
              <w:right w:val="single" w:sz="4" w:space="0" w:color="auto"/>
            </w:tcBorders>
            <w:shd w:val="clear" w:color="auto" w:fill="A6A6A6" w:themeFill="background1" w:themeFillShade="A6"/>
            <w:vAlign w:val="center"/>
          </w:tcPr>
          <w:p w:rsidR="003F1B1F" w:rsidRPr="00DF0680" w:rsidRDefault="003F1B1F" w:rsidP="007A1441">
            <w:pPr>
              <w:jc w:val="center"/>
              <w:rPr>
                <w:rFonts w:cs="Times New Roman"/>
              </w:rPr>
            </w:pPr>
          </w:p>
        </w:tc>
        <w:tc>
          <w:tcPr>
            <w:tcW w:w="2001" w:type="pct"/>
            <w:vMerge/>
            <w:tcBorders>
              <w:left w:val="single" w:sz="4" w:space="0" w:color="auto"/>
              <w:bottom w:val="single" w:sz="4" w:space="0" w:color="auto"/>
              <w:right w:val="single" w:sz="4" w:space="0" w:color="auto"/>
            </w:tcBorders>
            <w:shd w:val="clear" w:color="auto" w:fill="A6A6A6" w:themeFill="background1" w:themeFillShade="A6"/>
            <w:vAlign w:val="center"/>
          </w:tcPr>
          <w:p w:rsidR="003F1B1F" w:rsidRPr="00DF0680" w:rsidRDefault="003F1B1F" w:rsidP="007A1441">
            <w:pPr>
              <w:jc w:val="center"/>
              <w:rPr>
                <w:rFonts w:cs="Times New Roman"/>
              </w:rPr>
            </w:pPr>
          </w:p>
        </w:tc>
        <w:tc>
          <w:tcPr>
            <w:tcW w:w="583"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3F1B1F" w:rsidRPr="00DF0680" w:rsidRDefault="003F1B1F" w:rsidP="007A1441">
            <w:pPr>
              <w:jc w:val="center"/>
              <w:rPr>
                <w:rFonts w:cs="Times New Roman"/>
              </w:rPr>
            </w:pPr>
            <w:r w:rsidRPr="00DF0680">
              <w:rPr>
                <w:rFonts w:cs="Times New Roman"/>
              </w:rPr>
              <w:t>WB</w:t>
            </w:r>
          </w:p>
        </w:tc>
        <w:tc>
          <w:tcPr>
            <w:tcW w:w="583"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3F1B1F" w:rsidRPr="00DF0680" w:rsidRDefault="006B083B" w:rsidP="006B083B">
            <w:pPr>
              <w:jc w:val="center"/>
              <w:rPr>
                <w:rFonts w:cs="Times New Roman"/>
              </w:rPr>
            </w:pPr>
            <w:r w:rsidRPr="00DF0680">
              <w:rPr>
                <w:rFonts w:cs="Times New Roman"/>
              </w:rPr>
              <w:t>I</w:t>
            </w:r>
            <w:r w:rsidR="003F1B1F" w:rsidRPr="00DF0680">
              <w:rPr>
                <w:rFonts w:cs="Times New Roman"/>
              </w:rPr>
              <w:t>F</w:t>
            </w:r>
          </w:p>
        </w:tc>
      </w:tr>
      <w:tr w:rsidR="003F1B1F" w:rsidRPr="00DF0680" w:rsidTr="00FE547D">
        <w:trPr>
          <w:trHeight w:val="379"/>
          <w:jc w:val="center"/>
        </w:trPr>
        <w:tc>
          <w:tcPr>
            <w:tcW w:w="1834" w:type="pct"/>
            <w:tcBorders>
              <w:top w:val="single" w:sz="4" w:space="0" w:color="auto"/>
              <w:left w:val="single" w:sz="4" w:space="0" w:color="auto"/>
              <w:bottom w:val="single" w:sz="4" w:space="0" w:color="auto"/>
              <w:right w:val="single" w:sz="4" w:space="0" w:color="auto"/>
            </w:tcBorders>
            <w:shd w:val="clear" w:color="auto" w:fill="D9D9D9"/>
            <w:vAlign w:val="center"/>
          </w:tcPr>
          <w:p w:rsidR="003F1B1F" w:rsidRPr="00DF0680" w:rsidRDefault="003F1B1F" w:rsidP="007A1441">
            <w:pPr>
              <w:spacing w:line="276" w:lineRule="auto"/>
              <w:jc w:val="center"/>
              <w:rPr>
                <w:rFonts w:cs="Times New Roman"/>
              </w:rPr>
            </w:pPr>
            <w:r w:rsidRPr="00DF0680">
              <w:rPr>
                <w:rFonts w:cs="Times New Roman"/>
              </w:rPr>
              <w:t>AlexaFluor 488 anti-mouse</w:t>
            </w:r>
          </w:p>
        </w:tc>
        <w:tc>
          <w:tcPr>
            <w:tcW w:w="2001"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r w:rsidRPr="00DF0680">
              <w:rPr>
                <w:rFonts w:cs="Times New Roman"/>
              </w:rPr>
              <w:t>Life Technologies (A11017)</w:t>
            </w: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r w:rsidRPr="00DF0680">
              <w:rPr>
                <w:rFonts w:cs="Times New Roman"/>
              </w:rPr>
              <w:t>1:500</w:t>
            </w:r>
          </w:p>
        </w:tc>
      </w:tr>
      <w:tr w:rsidR="003F1B1F" w:rsidRPr="00DF0680" w:rsidTr="00FE547D">
        <w:trPr>
          <w:trHeight w:val="380"/>
          <w:jc w:val="center"/>
        </w:trPr>
        <w:tc>
          <w:tcPr>
            <w:tcW w:w="1834" w:type="pct"/>
            <w:tcBorders>
              <w:top w:val="single" w:sz="4" w:space="0" w:color="auto"/>
              <w:left w:val="single" w:sz="4" w:space="0" w:color="auto"/>
              <w:bottom w:val="single" w:sz="4" w:space="0" w:color="auto"/>
              <w:right w:val="single" w:sz="4" w:space="0" w:color="auto"/>
            </w:tcBorders>
            <w:shd w:val="clear" w:color="auto" w:fill="D9D9D9"/>
            <w:vAlign w:val="center"/>
          </w:tcPr>
          <w:p w:rsidR="003F1B1F" w:rsidRPr="00DF0680" w:rsidRDefault="003F1B1F" w:rsidP="007A1441">
            <w:pPr>
              <w:spacing w:line="276" w:lineRule="auto"/>
              <w:jc w:val="center"/>
              <w:rPr>
                <w:rFonts w:cs="Times New Roman"/>
              </w:rPr>
            </w:pPr>
            <w:r w:rsidRPr="00DF0680">
              <w:rPr>
                <w:rFonts w:cs="Times New Roman"/>
              </w:rPr>
              <w:t>AlexaFluor 555 anti-rat</w:t>
            </w:r>
          </w:p>
        </w:tc>
        <w:tc>
          <w:tcPr>
            <w:tcW w:w="2001"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r w:rsidRPr="00DF0680">
              <w:rPr>
                <w:rFonts w:cs="Times New Roman"/>
              </w:rPr>
              <w:t>Life Technologies (A21434)</w:t>
            </w: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r w:rsidRPr="00DF0680">
              <w:rPr>
                <w:rFonts w:cs="Times New Roman"/>
              </w:rPr>
              <w:t>1:500</w:t>
            </w:r>
          </w:p>
        </w:tc>
      </w:tr>
      <w:tr w:rsidR="003F1B1F" w:rsidRPr="00DF0680" w:rsidTr="00FE547D">
        <w:trPr>
          <w:trHeight w:val="379"/>
          <w:jc w:val="center"/>
        </w:trPr>
        <w:tc>
          <w:tcPr>
            <w:tcW w:w="1834" w:type="pct"/>
            <w:tcBorders>
              <w:top w:val="single" w:sz="4" w:space="0" w:color="auto"/>
              <w:left w:val="single" w:sz="4" w:space="0" w:color="auto"/>
              <w:bottom w:val="single" w:sz="4" w:space="0" w:color="auto"/>
              <w:right w:val="single" w:sz="4" w:space="0" w:color="auto"/>
            </w:tcBorders>
            <w:shd w:val="clear" w:color="auto" w:fill="D9D9D9"/>
            <w:vAlign w:val="center"/>
          </w:tcPr>
          <w:p w:rsidR="003F1B1F" w:rsidRPr="00DF0680" w:rsidRDefault="003F1B1F" w:rsidP="007A1441">
            <w:pPr>
              <w:spacing w:line="276" w:lineRule="auto"/>
              <w:jc w:val="center"/>
              <w:rPr>
                <w:rFonts w:cs="Times New Roman"/>
              </w:rPr>
            </w:pPr>
            <w:r w:rsidRPr="00DF0680">
              <w:rPr>
                <w:rFonts w:cs="Times New Roman"/>
              </w:rPr>
              <w:t>AlexaFluor 594 anti-rabbit</w:t>
            </w:r>
          </w:p>
        </w:tc>
        <w:tc>
          <w:tcPr>
            <w:tcW w:w="2001"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r w:rsidRPr="00DF0680">
              <w:rPr>
                <w:rFonts w:cs="Times New Roman"/>
              </w:rPr>
              <w:t>Life Technologies (A11012)</w:t>
            </w: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r w:rsidRPr="00DF0680">
              <w:rPr>
                <w:rFonts w:cs="Times New Roman"/>
              </w:rPr>
              <w:t>1:500</w:t>
            </w:r>
          </w:p>
        </w:tc>
      </w:tr>
      <w:tr w:rsidR="003F1B1F" w:rsidRPr="00DF0680" w:rsidTr="00FE547D">
        <w:trPr>
          <w:trHeight w:val="379"/>
          <w:jc w:val="center"/>
        </w:trPr>
        <w:tc>
          <w:tcPr>
            <w:tcW w:w="1834" w:type="pct"/>
            <w:tcBorders>
              <w:top w:val="single" w:sz="4" w:space="0" w:color="auto"/>
              <w:left w:val="single" w:sz="4" w:space="0" w:color="auto"/>
              <w:bottom w:val="single" w:sz="4" w:space="0" w:color="auto"/>
              <w:right w:val="single" w:sz="4" w:space="0" w:color="auto"/>
            </w:tcBorders>
            <w:shd w:val="clear" w:color="auto" w:fill="D9D9D9"/>
            <w:vAlign w:val="center"/>
          </w:tcPr>
          <w:p w:rsidR="003F1B1F" w:rsidRPr="00DF0680" w:rsidRDefault="003F1B1F" w:rsidP="007A1441">
            <w:pPr>
              <w:spacing w:line="276" w:lineRule="auto"/>
              <w:jc w:val="center"/>
              <w:rPr>
                <w:rFonts w:cs="Times New Roman"/>
              </w:rPr>
            </w:pPr>
            <w:r w:rsidRPr="00DF0680">
              <w:rPr>
                <w:rFonts w:cs="Times New Roman"/>
              </w:rPr>
              <w:t>Anti-mouse Immunoglobulins/FITC</w:t>
            </w:r>
          </w:p>
        </w:tc>
        <w:tc>
          <w:tcPr>
            <w:tcW w:w="2001"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r w:rsidRPr="00DF0680">
              <w:rPr>
                <w:rFonts w:cs="Times New Roman"/>
              </w:rPr>
              <w:t>Dako (F0313)</w:t>
            </w: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p>
        </w:tc>
      </w:tr>
      <w:tr w:rsidR="003F1B1F" w:rsidRPr="00DF0680" w:rsidTr="00FE547D">
        <w:trPr>
          <w:trHeight w:val="380"/>
          <w:jc w:val="center"/>
        </w:trPr>
        <w:tc>
          <w:tcPr>
            <w:tcW w:w="1834" w:type="pct"/>
            <w:tcBorders>
              <w:top w:val="single" w:sz="4" w:space="0" w:color="auto"/>
              <w:left w:val="single" w:sz="4" w:space="0" w:color="auto"/>
              <w:bottom w:val="single" w:sz="4" w:space="0" w:color="auto"/>
              <w:right w:val="single" w:sz="4" w:space="0" w:color="auto"/>
            </w:tcBorders>
            <w:shd w:val="clear" w:color="auto" w:fill="D9D9D9"/>
            <w:vAlign w:val="center"/>
          </w:tcPr>
          <w:p w:rsidR="003F1B1F" w:rsidRPr="00DF0680" w:rsidRDefault="003F1B1F" w:rsidP="007A1441">
            <w:pPr>
              <w:spacing w:line="276" w:lineRule="auto"/>
              <w:jc w:val="center"/>
              <w:rPr>
                <w:rFonts w:cs="Times New Roman"/>
              </w:rPr>
            </w:pPr>
            <w:r w:rsidRPr="00DF0680">
              <w:rPr>
                <w:rFonts w:cs="Times New Roman"/>
              </w:rPr>
              <w:t>Anti-mouse IgG, HRP-linked</w:t>
            </w:r>
          </w:p>
        </w:tc>
        <w:tc>
          <w:tcPr>
            <w:tcW w:w="2001"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r w:rsidRPr="00DF0680">
              <w:rPr>
                <w:rFonts w:cs="Times New Roman"/>
              </w:rPr>
              <w:t>Cell Signalling Technology (7076)</w:t>
            </w: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r w:rsidRPr="00DF0680">
              <w:rPr>
                <w:rFonts w:cs="Times New Roman"/>
              </w:rPr>
              <w:t>1:2000</w:t>
            </w: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p>
        </w:tc>
      </w:tr>
      <w:tr w:rsidR="003F1B1F" w:rsidRPr="00DF0680" w:rsidTr="00FE547D">
        <w:trPr>
          <w:trHeight w:val="379"/>
          <w:jc w:val="center"/>
        </w:trPr>
        <w:tc>
          <w:tcPr>
            <w:tcW w:w="1834" w:type="pct"/>
            <w:tcBorders>
              <w:top w:val="single" w:sz="4" w:space="0" w:color="auto"/>
              <w:left w:val="single" w:sz="4" w:space="0" w:color="auto"/>
              <w:bottom w:val="single" w:sz="4" w:space="0" w:color="auto"/>
              <w:right w:val="single" w:sz="4" w:space="0" w:color="auto"/>
            </w:tcBorders>
            <w:shd w:val="clear" w:color="auto" w:fill="D9D9D9"/>
            <w:vAlign w:val="center"/>
          </w:tcPr>
          <w:p w:rsidR="003F1B1F" w:rsidRPr="00DF0680" w:rsidRDefault="003F1B1F" w:rsidP="007A1441">
            <w:pPr>
              <w:spacing w:line="276" w:lineRule="auto"/>
              <w:jc w:val="center"/>
              <w:rPr>
                <w:rFonts w:cs="Times New Roman"/>
              </w:rPr>
            </w:pPr>
            <w:r w:rsidRPr="00DF0680">
              <w:rPr>
                <w:rFonts w:cs="Times New Roman"/>
              </w:rPr>
              <w:t>Anti-rabbit IgG, HRP-linked</w:t>
            </w:r>
          </w:p>
        </w:tc>
        <w:tc>
          <w:tcPr>
            <w:tcW w:w="2001"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r w:rsidRPr="00DF0680">
              <w:rPr>
                <w:rFonts w:cs="Times New Roman"/>
              </w:rPr>
              <w:t>Cell Signalling Technology (7074)</w:t>
            </w: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r w:rsidRPr="00DF0680">
              <w:rPr>
                <w:rFonts w:cs="Times New Roman"/>
              </w:rPr>
              <w:t>1:2000</w:t>
            </w: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p>
        </w:tc>
      </w:tr>
      <w:tr w:rsidR="003F1B1F" w:rsidRPr="00DF0680" w:rsidTr="00FE547D">
        <w:trPr>
          <w:trHeight w:val="380"/>
          <w:jc w:val="center"/>
        </w:trPr>
        <w:tc>
          <w:tcPr>
            <w:tcW w:w="1834" w:type="pct"/>
            <w:tcBorders>
              <w:top w:val="single" w:sz="4" w:space="0" w:color="auto"/>
              <w:left w:val="single" w:sz="4" w:space="0" w:color="auto"/>
              <w:bottom w:val="single" w:sz="4" w:space="0" w:color="auto"/>
              <w:right w:val="single" w:sz="4" w:space="0" w:color="auto"/>
            </w:tcBorders>
            <w:shd w:val="clear" w:color="auto" w:fill="D9D9D9"/>
            <w:vAlign w:val="center"/>
          </w:tcPr>
          <w:p w:rsidR="003F1B1F" w:rsidRPr="00DF0680" w:rsidRDefault="003F1B1F" w:rsidP="007A1441">
            <w:pPr>
              <w:spacing w:line="276" w:lineRule="auto"/>
              <w:jc w:val="center"/>
              <w:rPr>
                <w:rFonts w:cs="Times New Roman"/>
              </w:rPr>
            </w:pPr>
            <w:r w:rsidRPr="00DF0680">
              <w:rPr>
                <w:rFonts w:cs="Times New Roman"/>
              </w:rPr>
              <w:t>Anti-sheep IgG, HRP-linked</w:t>
            </w:r>
          </w:p>
        </w:tc>
        <w:tc>
          <w:tcPr>
            <w:tcW w:w="2001"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r w:rsidRPr="00DF0680">
              <w:rPr>
                <w:rFonts w:cs="Times New Roman"/>
              </w:rPr>
              <w:t>Invitrogen (81-860)</w:t>
            </w: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r w:rsidRPr="00DF0680">
              <w:rPr>
                <w:rFonts w:cs="Times New Roman"/>
              </w:rPr>
              <w:t>1:5000</w:t>
            </w:r>
          </w:p>
        </w:tc>
        <w:tc>
          <w:tcPr>
            <w:tcW w:w="583" w:type="pct"/>
            <w:tcBorders>
              <w:top w:val="single" w:sz="4" w:space="0" w:color="auto"/>
              <w:left w:val="single" w:sz="4" w:space="0" w:color="auto"/>
              <w:bottom w:val="single" w:sz="4" w:space="0" w:color="auto"/>
              <w:right w:val="single" w:sz="4" w:space="0" w:color="auto"/>
            </w:tcBorders>
            <w:vAlign w:val="center"/>
          </w:tcPr>
          <w:p w:rsidR="003F1B1F" w:rsidRPr="00DF0680" w:rsidRDefault="003F1B1F" w:rsidP="007A1441">
            <w:pPr>
              <w:spacing w:line="276" w:lineRule="auto"/>
              <w:jc w:val="center"/>
              <w:rPr>
                <w:rFonts w:cs="Times New Roman"/>
              </w:rPr>
            </w:pPr>
          </w:p>
        </w:tc>
      </w:tr>
    </w:tbl>
    <w:p w:rsidR="00A41A3E" w:rsidRPr="00DF0680" w:rsidRDefault="00A41A3E">
      <w:pPr>
        <w:spacing w:line="276" w:lineRule="auto"/>
        <w:jc w:val="left"/>
        <w:rPr>
          <w:rFonts w:cs="Times New Roman"/>
        </w:rPr>
      </w:pPr>
      <w:bookmarkStart w:id="206" w:name="_Toc210453447"/>
      <w:bookmarkStart w:id="207" w:name="_Toc234469099"/>
      <w:bookmarkStart w:id="208" w:name="_Toc234577903"/>
      <w:bookmarkStart w:id="209" w:name="_Toc234580392"/>
      <w:bookmarkStart w:id="210" w:name="_Toc234580498"/>
      <w:bookmarkStart w:id="211" w:name="_Toc234582254"/>
      <w:r w:rsidRPr="00DF0680">
        <w:rPr>
          <w:rFonts w:cs="Times New Roman"/>
        </w:rPr>
        <w:br w:type="page"/>
      </w:r>
    </w:p>
    <w:p w:rsidR="003F1B1F" w:rsidRPr="00DF0680" w:rsidRDefault="003F1B1F" w:rsidP="007A1441">
      <w:pPr>
        <w:pStyle w:val="Heading3"/>
      </w:pPr>
      <w:bookmarkStart w:id="212" w:name="_Toc417204121"/>
      <w:bookmarkStart w:id="213" w:name="_Toc417204431"/>
      <w:bookmarkStart w:id="214" w:name="_Toc417674562"/>
      <w:r w:rsidRPr="00DF0680">
        <w:lastRenderedPageBreak/>
        <w:t>Cell lines</w:t>
      </w:r>
      <w:bookmarkEnd w:id="206"/>
      <w:bookmarkEnd w:id="207"/>
      <w:bookmarkEnd w:id="208"/>
      <w:bookmarkEnd w:id="209"/>
      <w:bookmarkEnd w:id="210"/>
      <w:bookmarkEnd w:id="211"/>
      <w:bookmarkEnd w:id="212"/>
      <w:bookmarkEnd w:id="213"/>
      <w:bookmarkEnd w:id="214"/>
    </w:p>
    <w:tbl>
      <w:tblPr>
        <w:tblStyle w:val="TableGrid"/>
        <w:tblW w:w="8647" w:type="dxa"/>
        <w:tblInd w:w="108" w:type="dxa"/>
        <w:tblBorders>
          <w:insideH w:val="none" w:sz="0" w:space="0" w:color="auto"/>
          <w:insideV w:val="none" w:sz="0" w:space="0" w:color="auto"/>
        </w:tblBorders>
        <w:tblLayout w:type="fixed"/>
        <w:tblLook w:val="01E0"/>
      </w:tblPr>
      <w:tblGrid>
        <w:gridCol w:w="1701"/>
        <w:gridCol w:w="4678"/>
        <w:gridCol w:w="2268"/>
      </w:tblGrid>
      <w:tr w:rsidR="003F1B1F" w:rsidRPr="00DF0680" w:rsidTr="009245A1">
        <w:tc>
          <w:tcPr>
            <w:tcW w:w="1701" w:type="dxa"/>
            <w:tcBorders>
              <w:bottom w:val="single" w:sz="4" w:space="0" w:color="auto"/>
              <w:right w:val="single" w:sz="4" w:space="0" w:color="auto"/>
            </w:tcBorders>
            <w:shd w:val="clear" w:color="auto" w:fill="A6A6A6" w:themeFill="background1" w:themeFillShade="A6"/>
            <w:vAlign w:val="center"/>
          </w:tcPr>
          <w:p w:rsidR="003F1B1F" w:rsidRPr="00DF0680" w:rsidRDefault="003F1B1F" w:rsidP="00644626">
            <w:pPr>
              <w:jc w:val="center"/>
              <w:rPr>
                <w:rFonts w:cs="Times New Roman"/>
              </w:rPr>
            </w:pPr>
            <w:r w:rsidRPr="00DF0680">
              <w:rPr>
                <w:rFonts w:cs="Times New Roman"/>
              </w:rPr>
              <w:t>Cell Line</w:t>
            </w:r>
          </w:p>
        </w:tc>
        <w:tc>
          <w:tcPr>
            <w:tcW w:w="4678"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3F1B1F" w:rsidRPr="00DF0680" w:rsidRDefault="003F1B1F" w:rsidP="00644626">
            <w:pPr>
              <w:jc w:val="center"/>
              <w:rPr>
                <w:rFonts w:cs="Times New Roman"/>
              </w:rPr>
            </w:pPr>
            <w:r w:rsidRPr="00DF0680">
              <w:rPr>
                <w:rFonts w:cs="Times New Roman"/>
              </w:rPr>
              <w:t>Genotype</w:t>
            </w:r>
          </w:p>
        </w:tc>
        <w:tc>
          <w:tcPr>
            <w:tcW w:w="2268" w:type="dxa"/>
            <w:tcBorders>
              <w:left w:val="single" w:sz="4" w:space="0" w:color="auto"/>
              <w:bottom w:val="single" w:sz="4" w:space="0" w:color="auto"/>
            </w:tcBorders>
            <w:shd w:val="clear" w:color="auto" w:fill="A6A6A6" w:themeFill="background1" w:themeFillShade="A6"/>
            <w:vAlign w:val="center"/>
          </w:tcPr>
          <w:p w:rsidR="003F1B1F" w:rsidRPr="00DF0680" w:rsidRDefault="003F1B1F" w:rsidP="00644626">
            <w:pPr>
              <w:jc w:val="center"/>
              <w:rPr>
                <w:rFonts w:cs="Times New Roman"/>
              </w:rPr>
            </w:pPr>
            <w:r w:rsidRPr="00DF0680">
              <w:rPr>
                <w:rFonts w:cs="Times New Roman"/>
              </w:rPr>
              <w:t>Reference</w:t>
            </w:r>
          </w:p>
        </w:tc>
      </w:tr>
      <w:tr w:rsidR="003F1B1F" w:rsidRPr="00DF0680" w:rsidTr="009245A1">
        <w:trPr>
          <w:trHeight w:val="769"/>
        </w:trPr>
        <w:tc>
          <w:tcPr>
            <w:tcW w:w="1701" w:type="dxa"/>
            <w:tcBorders>
              <w:top w:val="single" w:sz="4" w:space="0" w:color="auto"/>
              <w:left w:val="single" w:sz="4" w:space="0" w:color="auto"/>
              <w:right w:val="single" w:sz="4" w:space="0" w:color="auto"/>
            </w:tcBorders>
            <w:shd w:val="clear" w:color="auto" w:fill="D9D9D9"/>
            <w:vAlign w:val="center"/>
          </w:tcPr>
          <w:p w:rsidR="003F1B1F" w:rsidRPr="00DF0680" w:rsidRDefault="003F1B1F" w:rsidP="00644626">
            <w:pPr>
              <w:spacing w:line="276" w:lineRule="auto"/>
              <w:jc w:val="center"/>
              <w:rPr>
                <w:rFonts w:cs="Times New Roman"/>
              </w:rPr>
            </w:pPr>
            <w:r w:rsidRPr="00DF0680">
              <w:rPr>
                <w:rFonts w:cs="Times New Roman"/>
              </w:rPr>
              <w:t>MRC5</w:t>
            </w:r>
            <w:r w:rsidR="009245A1" w:rsidRPr="00DF0680">
              <w:rPr>
                <w:rFonts w:cs="Times New Roman"/>
              </w:rPr>
              <w:t>V2</w:t>
            </w:r>
          </w:p>
        </w:tc>
        <w:tc>
          <w:tcPr>
            <w:tcW w:w="4678" w:type="dxa"/>
            <w:tcBorders>
              <w:top w:val="single" w:sz="4" w:space="0" w:color="auto"/>
              <w:left w:val="single" w:sz="4" w:space="0" w:color="auto"/>
              <w:right w:val="single" w:sz="4" w:space="0" w:color="auto"/>
            </w:tcBorders>
            <w:vAlign w:val="center"/>
          </w:tcPr>
          <w:p w:rsidR="003F1B1F" w:rsidRPr="00DF0680" w:rsidRDefault="003F1B1F" w:rsidP="00644626">
            <w:pPr>
              <w:spacing w:line="276" w:lineRule="auto"/>
              <w:jc w:val="center"/>
              <w:rPr>
                <w:rFonts w:cs="Times New Roman"/>
              </w:rPr>
            </w:pPr>
          </w:p>
          <w:p w:rsidR="003F1B1F" w:rsidRPr="00DF0680" w:rsidRDefault="009245A1" w:rsidP="00644626">
            <w:pPr>
              <w:spacing w:line="276" w:lineRule="auto"/>
              <w:jc w:val="center"/>
              <w:rPr>
                <w:rFonts w:cs="Times New Roman"/>
              </w:rPr>
            </w:pPr>
            <w:r w:rsidRPr="00DF0680">
              <w:rPr>
                <w:rFonts w:cs="Times New Roman"/>
              </w:rPr>
              <w:t>SV40 t</w:t>
            </w:r>
            <w:r w:rsidR="003F1B1F" w:rsidRPr="00DF0680">
              <w:rPr>
                <w:rFonts w:cs="Times New Roman"/>
              </w:rPr>
              <w:t>ransformed human lung fibroblast cell line</w:t>
            </w:r>
          </w:p>
          <w:p w:rsidR="003F1B1F" w:rsidRPr="00DF0680" w:rsidRDefault="003F1B1F" w:rsidP="00644626">
            <w:pPr>
              <w:spacing w:line="276" w:lineRule="auto"/>
              <w:jc w:val="center"/>
              <w:rPr>
                <w:rFonts w:cs="Times New Roman"/>
              </w:rPr>
            </w:pPr>
          </w:p>
        </w:tc>
        <w:tc>
          <w:tcPr>
            <w:tcW w:w="2268" w:type="dxa"/>
            <w:tcBorders>
              <w:top w:val="single" w:sz="4" w:space="0" w:color="auto"/>
              <w:left w:val="single" w:sz="4" w:space="0" w:color="auto"/>
              <w:right w:val="single" w:sz="4" w:space="0" w:color="auto"/>
            </w:tcBorders>
            <w:vAlign w:val="center"/>
          </w:tcPr>
          <w:p w:rsidR="003F1B1F" w:rsidRPr="00DF0680" w:rsidRDefault="00F20EC0" w:rsidP="00644626">
            <w:pPr>
              <w:spacing w:line="276" w:lineRule="auto"/>
              <w:jc w:val="center"/>
              <w:rPr>
                <w:rFonts w:cs="Times New Roman"/>
              </w:rPr>
            </w:pPr>
            <w:r w:rsidRPr="00DF0680">
              <w:rPr>
                <w:rFonts w:cs="Times New Roman"/>
              </w:rPr>
              <w:fldChar w:fldCharType="begin"/>
            </w:r>
            <w:r w:rsidR="003F1B1F" w:rsidRPr="00DF0680">
              <w:rPr>
                <w:rFonts w:cs="Times New Roman"/>
              </w:rPr>
              <w:instrText xml:space="preserve"> ADDIN EN.CITE &lt;EndNote&gt;&lt;Cite&gt;&lt;Author&gt;Jacobs&lt;/Author&gt;&lt;Year&gt;1970&lt;/Year&gt;&lt;RecNum&gt;84&lt;/RecNum&gt;&lt;record&gt;&lt;rec-number&gt;84&lt;/rec-number&gt;&lt;ref-type name="Journal Article"&gt;17&lt;/ref-type&gt;&lt;contributors&gt;&lt;authors&gt;&lt;author&gt;Jacobs, J. P&lt;/author&gt;&lt;author&gt;Jones, C. M&lt;/author&gt;&lt;author&gt;Baille, J. P&lt;/author&gt;&lt;/authors&gt;&lt;/contributors&gt;&lt;titles&gt;&lt;title&gt;Characteristics of a Human Diploid Cell Designated MRC-5&lt;/title&gt;&lt;secondary-title&gt;Nature&lt;/secondary-title&gt;&lt;/titles&gt;&lt;periodical&gt;&lt;full-title&gt;Nature&lt;/full-title&gt;&lt;/periodical&gt;&lt;pages&gt;168-70&lt;/pages&gt;&lt;volume&gt;227&lt;/volume&gt;&lt;number&gt;5254&lt;/number&gt;&lt;dates&gt;&lt;year&gt;1970&lt;/year&gt;&lt;/dates&gt;&lt;urls&gt;&lt;related-urls&gt;&lt;url&gt;http://www.nature.com/nature/journal/v227/n5254/pdf/227168a0.pdf&lt;/url&gt;&lt;/related-urls&gt;&lt;/urls&gt;&lt;/record&gt;&lt;/Cite&gt;&lt;/EndNote&gt;</w:instrText>
            </w:r>
            <w:r w:rsidRPr="00DF0680">
              <w:rPr>
                <w:rFonts w:cs="Times New Roman"/>
              </w:rPr>
              <w:fldChar w:fldCharType="separate"/>
            </w:r>
            <w:r w:rsidR="003F1B1F" w:rsidRPr="00DF0680">
              <w:rPr>
                <w:rFonts w:cs="Times New Roman"/>
              </w:rPr>
              <w:t>(Jacobs, 1970)</w:t>
            </w:r>
            <w:r w:rsidRPr="00DF0680">
              <w:rPr>
                <w:rFonts w:cs="Times New Roman"/>
              </w:rPr>
              <w:fldChar w:fldCharType="end"/>
            </w:r>
          </w:p>
        </w:tc>
      </w:tr>
      <w:tr w:rsidR="003F1B1F" w:rsidRPr="00DF0680" w:rsidTr="009245A1">
        <w:tc>
          <w:tcPr>
            <w:tcW w:w="1701" w:type="dxa"/>
            <w:tcBorders>
              <w:top w:val="nil"/>
              <w:left w:val="single" w:sz="4" w:space="0" w:color="auto"/>
              <w:bottom w:val="nil"/>
              <w:right w:val="single" w:sz="4" w:space="0" w:color="auto"/>
            </w:tcBorders>
            <w:shd w:val="clear" w:color="auto" w:fill="D9D9D9"/>
            <w:vAlign w:val="center"/>
          </w:tcPr>
          <w:p w:rsidR="003F1B1F" w:rsidRPr="00DF0680" w:rsidRDefault="00471D18" w:rsidP="00644626">
            <w:pPr>
              <w:spacing w:line="276" w:lineRule="auto"/>
              <w:jc w:val="center"/>
              <w:rPr>
                <w:rFonts w:cs="Times New Roman"/>
              </w:rPr>
            </w:pPr>
            <w:r w:rsidRPr="00DF0680">
              <w:rPr>
                <w:rFonts w:cs="Times New Roman"/>
              </w:rPr>
              <w:t>MRC5V2</w:t>
            </w:r>
            <w:r w:rsidR="003F1B1F" w:rsidRPr="00DF0680">
              <w:rPr>
                <w:rFonts w:cs="Times New Roman"/>
              </w:rPr>
              <w:t xml:space="preserve"> + Q5</w:t>
            </w:r>
          </w:p>
        </w:tc>
        <w:tc>
          <w:tcPr>
            <w:tcW w:w="4678" w:type="dxa"/>
            <w:tcBorders>
              <w:top w:val="nil"/>
              <w:left w:val="single" w:sz="4" w:space="0" w:color="auto"/>
              <w:bottom w:val="nil"/>
              <w:right w:val="single" w:sz="4" w:space="0" w:color="auto"/>
            </w:tcBorders>
            <w:vAlign w:val="center"/>
          </w:tcPr>
          <w:p w:rsidR="003F1B1F" w:rsidRPr="00DF0680" w:rsidRDefault="00471D18" w:rsidP="00644626">
            <w:pPr>
              <w:spacing w:line="276" w:lineRule="auto"/>
              <w:jc w:val="center"/>
              <w:rPr>
                <w:rFonts w:cs="Times New Roman"/>
              </w:rPr>
            </w:pPr>
            <w:r w:rsidRPr="00DF0680">
              <w:rPr>
                <w:rFonts w:cs="Times New Roman"/>
              </w:rPr>
              <w:t>MRC5V2</w:t>
            </w:r>
            <w:r w:rsidR="003F1B1F" w:rsidRPr="00DF0680">
              <w:rPr>
                <w:rFonts w:cs="Times New Roman"/>
              </w:rPr>
              <w:t xml:space="preserve"> stably transfected with plasmid expressing RECQL5β</w:t>
            </w:r>
          </w:p>
        </w:tc>
        <w:tc>
          <w:tcPr>
            <w:tcW w:w="2268" w:type="dxa"/>
            <w:tcBorders>
              <w:top w:val="nil"/>
              <w:left w:val="single" w:sz="4" w:space="0" w:color="auto"/>
              <w:bottom w:val="nil"/>
              <w:right w:val="single" w:sz="4" w:space="0" w:color="auto"/>
            </w:tcBorders>
            <w:vAlign w:val="center"/>
          </w:tcPr>
          <w:p w:rsidR="003F1B1F" w:rsidRPr="00DF0680" w:rsidRDefault="00F20EC0" w:rsidP="00644626">
            <w:pPr>
              <w:spacing w:line="276" w:lineRule="auto"/>
              <w:jc w:val="center"/>
              <w:rPr>
                <w:rFonts w:cs="Times New Roman"/>
              </w:rPr>
            </w:pPr>
            <w:r w:rsidRPr="00DF0680">
              <w:rPr>
                <w:rFonts w:cs="Times New Roman"/>
              </w:rPr>
              <w:fldChar w:fldCharType="begin" w:fldLock="1"/>
            </w:r>
            <w:r w:rsidR="00332613" w:rsidRPr="00DF0680">
              <w:rPr>
                <w:rFonts w:cs="Times New Roman"/>
              </w:rPr>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Pr="00DF0680">
              <w:rPr>
                <w:rFonts w:cs="Times New Roman"/>
              </w:rPr>
              <w:fldChar w:fldCharType="separate"/>
            </w:r>
            <w:r w:rsidR="003F1B1F" w:rsidRPr="00DF0680">
              <w:rPr>
                <w:rFonts w:cs="Times New Roman"/>
              </w:rPr>
              <w:t>(Blundred et al. 2010)</w:t>
            </w:r>
            <w:r w:rsidRPr="00DF0680">
              <w:rPr>
                <w:rFonts w:cs="Times New Roman"/>
              </w:rPr>
              <w:fldChar w:fldCharType="end"/>
            </w:r>
          </w:p>
        </w:tc>
      </w:tr>
      <w:tr w:rsidR="003F1B1F" w:rsidRPr="00DF0680" w:rsidTr="009245A1">
        <w:tc>
          <w:tcPr>
            <w:tcW w:w="1701" w:type="dxa"/>
            <w:tcBorders>
              <w:top w:val="nil"/>
              <w:left w:val="single" w:sz="4" w:space="0" w:color="auto"/>
              <w:bottom w:val="single" w:sz="4" w:space="0" w:color="auto"/>
              <w:right w:val="single" w:sz="4" w:space="0" w:color="auto"/>
            </w:tcBorders>
            <w:shd w:val="clear" w:color="auto" w:fill="D9D9D9"/>
            <w:vAlign w:val="center"/>
          </w:tcPr>
          <w:p w:rsidR="003F1B1F" w:rsidRPr="00DF0680" w:rsidRDefault="00471D18" w:rsidP="00644626">
            <w:pPr>
              <w:spacing w:line="276" w:lineRule="auto"/>
              <w:jc w:val="center"/>
              <w:rPr>
                <w:rFonts w:cs="Times New Roman"/>
              </w:rPr>
            </w:pPr>
            <w:r w:rsidRPr="00DF0680">
              <w:rPr>
                <w:rFonts w:cs="Times New Roman"/>
              </w:rPr>
              <w:t>MRC5V2</w:t>
            </w:r>
            <w:r w:rsidR="003F1B1F" w:rsidRPr="00DF0680">
              <w:rPr>
                <w:rFonts w:cs="Times New Roman"/>
              </w:rPr>
              <w:t xml:space="preserve"> + Q5KR</w:t>
            </w:r>
          </w:p>
        </w:tc>
        <w:tc>
          <w:tcPr>
            <w:tcW w:w="4678" w:type="dxa"/>
            <w:tcBorders>
              <w:top w:val="nil"/>
              <w:left w:val="single" w:sz="4" w:space="0" w:color="auto"/>
              <w:bottom w:val="single" w:sz="4" w:space="0" w:color="auto"/>
              <w:right w:val="single" w:sz="4" w:space="0" w:color="auto"/>
            </w:tcBorders>
            <w:vAlign w:val="center"/>
          </w:tcPr>
          <w:p w:rsidR="003F1B1F" w:rsidRPr="00DF0680" w:rsidRDefault="00471D18" w:rsidP="00644626">
            <w:pPr>
              <w:spacing w:line="276" w:lineRule="auto"/>
              <w:jc w:val="center"/>
              <w:rPr>
                <w:rFonts w:cs="Times New Roman"/>
              </w:rPr>
            </w:pPr>
            <w:r w:rsidRPr="00DF0680">
              <w:rPr>
                <w:rFonts w:cs="Times New Roman"/>
              </w:rPr>
              <w:t>MRC5V2</w:t>
            </w:r>
            <w:r w:rsidR="003F1B1F" w:rsidRPr="00DF0680">
              <w:rPr>
                <w:rFonts w:cs="Times New Roman"/>
              </w:rPr>
              <w:t xml:space="preserve"> stably transfected with plasmid expressing helicase dead RECQL5β</w:t>
            </w:r>
          </w:p>
        </w:tc>
        <w:tc>
          <w:tcPr>
            <w:tcW w:w="2268" w:type="dxa"/>
            <w:tcBorders>
              <w:top w:val="nil"/>
              <w:left w:val="single" w:sz="4" w:space="0" w:color="auto"/>
              <w:bottom w:val="single" w:sz="4" w:space="0" w:color="auto"/>
              <w:right w:val="single" w:sz="4" w:space="0" w:color="auto"/>
            </w:tcBorders>
            <w:vAlign w:val="center"/>
          </w:tcPr>
          <w:p w:rsidR="003F1B1F" w:rsidRPr="00DF0680" w:rsidRDefault="00F20EC0" w:rsidP="00644626">
            <w:pPr>
              <w:spacing w:line="276" w:lineRule="auto"/>
              <w:jc w:val="center"/>
              <w:rPr>
                <w:rFonts w:cs="Times New Roman"/>
              </w:rPr>
            </w:pPr>
            <w:r w:rsidRPr="00DF0680">
              <w:rPr>
                <w:rFonts w:cs="Times New Roman"/>
              </w:rPr>
              <w:fldChar w:fldCharType="begin" w:fldLock="1"/>
            </w:r>
            <w:r w:rsidR="00332613" w:rsidRPr="00DF0680">
              <w:rPr>
                <w:rFonts w:cs="Times New Roman"/>
              </w:rPr>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Pr="00DF0680">
              <w:rPr>
                <w:rFonts w:cs="Times New Roman"/>
              </w:rPr>
              <w:fldChar w:fldCharType="separate"/>
            </w:r>
            <w:r w:rsidR="003F1B1F" w:rsidRPr="00DF0680">
              <w:rPr>
                <w:rFonts w:cs="Times New Roman"/>
              </w:rPr>
              <w:t>(Blundred et al. 2010)</w:t>
            </w:r>
            <w:r w:rsidRPr="00DF0680">
              <w:rPr>
                <w:rFonts w:cs="Times New Roman"/>
              </w:rPr>
              <w:fldChar w:fldCharType="end"/>
            </w:r>
          </w:p>
        </w:tc>
      </w:tr>
      <w:tr w:rsidR="003F1B1F" w:rsidRPr="00DF0680" w:rsidTr="009245A1">
        <w:trPr>
          <w:trHeight w:val="438"/>
        </w:trPr>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rsidR="003F1B1F" w:rsidRPr="00DF0680" w:rsidRDefault="003F1B1F" w:rsidP="00644626">
            <w:pPr>
              <w:spacing w:line="276" w:lineRule="auto"/>
              <w:jc w:val="center"/>
              <w:rPr>
                <w:rFonts w:cs="Times New Roman"/>
              </w:rPr>
            </w:pPr>
            <w:r w:rsidRPr="00DF0680">
              <w:rPr>
                <w:rFonts w:cs="Times New Roman"/>
              </w:rPr>
              <w:t>EJ</w:t>
            </w:r>
          </w:p>
        </w:tc>
        <w:tc>
          <w:tcPr>
            <w:tcW w:w="4678" w:type="dxa"/>
            <w:tcBorders>
              <w:top w:val="single" w:sz="4" w:space="0" w:color="auto"/>
              <w:left w:val="single" w:sz="4" w:space="0" w:color="auto"/>
              <w:bottom w:val="single" w:sz="4" w:space="0" w:color="auto"/>
              <w:right w:val="single" w:sz="4" w:space="0" w:color="auto"/>
            </w:tcBorders>
            <w:vAlign w:val="center"/>
          </w:tcPr>
          <w:p w:rsidR="003F1B1F" w:rsidRPr="00DF0680" w:rsidRDefault="003F1B1F" w:rsidP="00644626">
            <w:pPr>
              <w:spacing w:line="276" w:lineRule="auto"/>
              <w:jc w:val="center"/>
              <w:rPr>
                <w:rFonts w:cs="Times New Roman"/>
              </w:rPr>
            </w:pPr>
            <w:r w:rsidRPr="00DF0680">
              <w:rPr>
                <w:rFonts w:cs="Times New Roman"/>
              </w:rPr>
              <w:t>Human epithelial bladder carcinoma</w:t>
            </w:r>
          </w:p>
        </w:tc>
        <w:tc>
          <w:tcPr>
            <w:tcW w:w="2268" w:type="dxa"/>
            <w:tcBorders>
              <w:top w:val="single" w:sz="4" w:space="0" w:color="auto"/>
              <w:left w:val="single" w:sz="4" w:space="0" w:color="auto"/>
              <w:bottom w:val="single" w:sz="4" w:space="0" w:color="auto"/>
              <w:right w:val="single" w:sz="4" w:space="0" w:color="auto"/>
            </w:tcBorders>
            <w:vAlign w:val="center"/>
          </w:tcPr>
          <w:p w:rsidR="003F1B1F" w:rsidRPr="00DF0680" w:rsidRDefault="00F20EC0" w:rsidP="00644626">
            <w:pPr>
              <w:spacing w:line="276" w:lineRule="auto"/>
              <w:jc w:val="center"/>
              <w:rPr>
                <w:rFonts w:cs="Times New Roman"/>
              </w:rPr>
            </w:pPr>
            <w:r w:rsidRPr="00DF0680">
              <w:rPr>
                <w:rFonts w:cs="Times New Roman"/>
              </w:rPr>
              <w:fldChar w:fldCharType="begin" w:fldLock="1"/>
            </w:r>
            <w:r w:rsidR="00332613" w:rsidRPr="00DF0680">
              <w:rPr>
                <w:rFonts w:cs="Times New Roman"/>
              </w:rPr>
              <w:instrText>ADDIN CSL_CITATION { "citationItems" : [ { "id" : "ITEM-1", "itemData" : { "DOI" : "10.1177/25.4.870558", "ISSN" : "0022-1554", "author" : [ { "dropping-particle" : "", "family" : "Benham", "given" : "F.", "non-dropping-particle" : "", "parse-names" : false, "suffix" : "" }, { "dropping-particle" : "", "family" : "Cottell", "given" : "D. C.", "non-dropping-particle" : "", "parse-names" : false, "suffix" : "" }, { "dropping-particle" : "", "family" : "Franks", "given" : "L. M.", "non-dropping-particle" : "", "parse-names" : false, "suffix" : "" }, { "dropping-particle" : "", "family" : "Wilson", "given" : "P. D.", "non-dropping-particle" : "", "parse-names" : false, "suffix" : "" } ], "container-title" : "Journal of Histochemistry &amp; Cytochemistry", "id" : "ITEM-1", "issue" : "4", "issued" : { "date-parts" : [ [ "1977", "4", "1" ] ] }, "page" : "266-274", "title" : "Alkaline phosphatase activity in human bladder tumor cell lines.", "type" : "article-journal", "volume" : "25" }, "uris" : [ "http://www.mendeley.com/documents/?uuid=c0650731-fbf8-45a1-8a94-617ec234c57b" ] } ], "mendeley" : { "formattedCitation" : "(Benham et al. 1977)", "plainTextFormattedCitation" : "(Benham et al. 1977)", "previouslyFormattedCitation" : "(Benham et al. 1977)" }, "properties" : { "noteIndex" : 0 }, "schema" : "https://github.com/citation-style-language/schema/raw/master/csl-citation.json" }</w:instrText>
            </w:r>
            <w:r w:rsidRPr="00DF0680">
              <w:rPr>
                <w:rFonts w:cs="Times New Roman"/>
              </w:rPr>
              <w:fldChar w:fldCharType="separate"/>
            </w:r>
            <w:r w:rsidR="003F1B1F" w:rsidRPr="00DF0680">
              <w:rPr>
                <w:rFonts w:cs="Times New Roman"/>
              </w:rPr>
              <w:t>(Benham et al. 1977)</w:t>
            </w:r>
            <w:r w:rsidRPr="00DF0680">
              <w:rPr>
                <w:rFonts w:cs="Times New Roman"/>
              </w:rPr>
              <w:fldChar w:fldCharType="end"/>
            </w:r>
          </w:p>
        </w:tc>
      </w:tr>
      <w:tr w:rsidR="003F1B1F" w:rsidRPr="00DF0680" w:rsidTr="009245A1">
        <w:trPr>
          <w:trHeight w:val="545"/>
        </w:trPr>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rsidR="003F1B1F" w:rsidRPr="00DF0680" w:rsidRDefault="003F1B1F" w:rsidP="00644626">
            <w:pPr>
              <w:spacing w:line="276" w:lineRule="auto"/>
              <w:jc w:val="center"/>
              <w:rPr>
                <w:rFonts w:cs="Times New Roman"/>
              </w:rPr>
            </w:pPr>
            <w:r w:rsidRPr="00DF0680">
              <w:rPr>
                <w:rFonts w:cs="Times New Roman"/>
              </w:rPr>
              <w:t>RT112</w:t>
            </w:r>
          </w:p>
        </w:tc>
        <w:tc>
          <w:tcPr>
            <w:tcW w:w="4678" w:type="dxa"/>
            <w:tcBorders>
              <w:top w:val="single" w:sz="4" w:space="0" w:color="auto"/>
              <w:left w:val="single" w:sz="4" w:space="0" w:color="auto"/>
              <w:bottom w:val="single" w:sz="4" w:space="0" w:color="auto"/>
              <w:right w:val="single" w:sz="4" w:space="0" w:color="auto"/>
            </w:tcBorders>
            <w:vAlign w:val="center"/>
          </w:tcPr>
          <w:p w:rsidR="003F1B1F" w:rsidRPr="00DF0680" w:rsidRDefault="003F1B1F" w:rsidP="00644626">
            <w:pPr>
              <w:spacing w:line="276" w:lineRule="auto"/>
              <w:jc w:val="center"/>
              <w:rPr>
                <w:rFonts w:cs="Times New Roman"/>
              </w:rPr>
            </w:pPr>
            <w:r w:rsidRPr="00DF0680">
              <w:rPr>
                <w:rFonts w:cs="Times New Roman"/>
              </w:rPr>
              <w:t>Human epithelial bladder carcinoma</w:t>
            </w:r>
          </w:p>
        </w:tc>
        <w:tc>
          <w:tcPr>
            <w:tcW w:w="2268" w:type="dxa"/>
            <w:tcBorders>
              <w:top w:val="single" w:sz="4" w:space="0" w:color="auto"/>
              <w:left w:val="single" w:sz="4" w:space="0" w:color="auto"/>
              <w:bottom w:val="single" w:sz="4" w:space="0" w:color="auto"/>
              <w:right w:val="single" w:sz="4" w:space="0" w:color="auto"/>
            </w:tcBorders>
            <w:vAlign w:val="center"/>
          </w:tcPr>
          <w:p w:rsidR="003F1B1F" w:rsidRPr="00DF0680" w:rsidRDefault="00F20EC0" w:rsidP="00644626">
            <w:pPr>
              <w:spacing w:line="276" w:lineRule="auto"/>
              <w:jc w:val="center"/>
              <w:rPr>
                <w:rFonts w:cs="Times New Roman"/>
              </w:rPr>
            </w:pPr>
            <w:r w:rsidRPr="00DF0680">
              <w:rPr>
                <w:rFonts w:cs="Times New Roman"/>
              </w:rPr>
              <w:fldChar w:fldCharType="begin" w:fldLock="1"/>
            </w:r>
            <w:r w:rsidR="00332613" w:rsidRPr="00DF0680">
              <w:rPr>
                <w:rFonts w:cs="Times New Roman"/>
              </w:rPr>
              <w:instrText>ADDIN CSL_CITATION { "citationItems" : [ { "id" : "ITEM-1", "itemData" : { "DOI" : "10.1177/25.4.870558", "ISSN" : "0022-1554", "author" : [ { "dropping-particle" : "", "family" : "Benham", "given" : "F.", "non-dropping-particle" : "", "parse-names" : false, "suffix" : "" }, { "dropping-particle" : "", "family" : "Cottell", "given" : "D. C.", "non-dropping-particle" : "", "parse-names" : false, "suffix" : "" }, { "dropping-particle" : "", "family" : "Franks", "given" : "L. M.", "non-dropping-particle" : "", "parse-names" : false, "suffix" : "" }, { "dropping-particle" : "", "family" : "Wilson", "given" : "P. D.", "non-dropping-particle" : "", "parse-names" : false, "suffix" : "" } ], "container-title" : "Journal of Histochemistry &amp; Cytochemistry", "id" : "ITEM-1", "issue" : "4", "issued" : { "date-parts" : [ [ "1977", "4", "1" ] ] }, "page" : "266-274", "title" : "Alkaline phosphatase activity in human bladder tumor cell lines.", "type" : "article-journal", "volume" : "25" }, "uris" : [ "http://www.mendeley.com/documents/?uuid=c0650731-fbf8-45a1-8a94-617ec234c57b" ] } ], "mendeley" : { "formattedCitation" : "(Benham et al. 1977)", "plainTextFormattedCitation" : "(Benham et al. 1977)", "previouslyFormattedCitation" : "(Benham et al. 1977)" }, "properties" : { "noteIndex" : 0 }, "schema" : "https://github.com/citation-style-language/schema/raw/master/csl-citation.json" }</w:instrText>
            </w:r>
            <w:r w:rsidRPr="00DF0680">
              <w:rPr>
                <w:rFonts w:cs="Times New Roman"/>
              </w:rPr>
              <w:fldChar w:fldCharType="separate"/>
            </w:r>
            <w:r w:rsidR="003F1B1F" w:rsidRPr="00DF0680">
              <w:rPr>
                <w:rFonts w:cs="Times New Roman"/>
              </w:rPr>
              <w:t>(Benham et al. 1977)</w:t>
            </w:r>
            <w:r w:rsidRPr="00DF0680">
              <w:rPr>
                <w:rFonts w:cs="Times New Roman"/>
              </w:rPr>
              <w:fldChar w:fldCharType="end"/>
            </w:r>
          </w:p>
        </w:tc>
      </w:tr>
      <w:tr w:rsidR="003F1B1F" w:rsidRPr="00DF0680" w:rsidTr="009245A1">
        <w:trPr>
          <w:trHeight w:val="425"/>
        </w:trPr>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rsidR="003F1B1F" w:rsidRPr="00DF0680" w:rsidRDefault="003F1B1F" w:rsidP="00644626">
            <w:pPr>
              <w:spacing w:line="276" w:lineRule="auto"/>
              <w:jc w:val="center"/>
              <w:rPr>
                <w:rFonts w:cs="Times New Roman"/>
              </w:rPr>
            </w:pPr>
            <w:r w:rsidRPr="00DF0680">
              <w:rPr>
                <w:rFonts w:cs="Times New Roman"/>
              </w:rPr>
              <w:t>RT4</w:t>
            </w:r>
          </w:p>
        </w:tc>
        <w:tc>
          <w:tcPr>
            <w:tcW w:w="4678" w:type="dxa"/>
            <w:tcBorders>
              <w:top w:val="single" w:sz="4" w:space="0" w:color="auto"/>
              <w:left w:val="single" w:sz="4" w:space="0" w:color="auto"/>
              <w:bottom w:val="single" w:sz="4" w:space="0" w:color="auto"/>
              <w:right w:val="single" w:sz="4" w:space="0" w:color="auto"/>
            </w:tcBorders>
            <w:vAlign w:val="center"/>
          </w:tcPr>
          <w:p w:rsidR="003F1B1F" w:rsidRPr="00DF0680" w:rsidRDefault="003F1B1F" w:rsidP="00644626">
            <w:pPr>
              <w:spacing w:line="276" w:lineRule="auto"/>
              <w:jc w:val="center"/>
              <w:rPr>
                <w:rFonts w:cs="Times New Roman"/>
              </w:rPr>
            </w:pPr>
            <w:r w:rsidRPr="00DF0680">
              <w:rPr>
                <w:rFonts w:cs="Times New Roman"/>
              </w:rPr>
              <w:t>Human epithelial bladder papilloma</w:t>
            </w:r>
          </w:p>
        </w:tc>
        <w:tc>
          <w:tcPr>
            <w:tcW w:w="2268" w:type="dxa"/>
            <w:tcBorders>
              <w:top w:val="single" w:sz="4" w:space="0" w:color="auto"/>
              <w:left w:val="single" w:sz="4" w:space="0" w:color="auto"/>
              <w:bottom w:val="single" w:sz="4" w:space="0" w:color="auto"/>
              <w:right w:val="single" w:sz="4" w:space="0" w:color="auto"/>
            </w:tcBorders>
            <w:vAlign w:val="center"/>
          </w:tcPr>
          <w:p w:rsidR="003F1B1F" w:rsidRPr="00DF0680" w:rsidRDefault="00F20EC0" w:rsidP="00644626">
            <w:pPr>
              <w:spacing w:line="276" w:lineRule="auto"/>
              <w:jc w:val="center"/>
              <w:rPr>
                <w:rFonts w:cs="Times New Roman"/>
              </w:rPr>
            </w:pPr>
            <w:r w:rsidRPr="00DF0680">
              <w:rPr>
                <w:rFonts w:cs="Times New Roman"/>
              </w:rPr>
              <w:fldChar w:fldCharType="begin" w:fldLock="1"/>
            </w:r>
            <w:r w:rsidR="00332613" w:rsidRPr="00DF0680">
              <w:rPr>
                <w:rFonts w:cs="Times New Roman"/>
              </w:rPr>
              <w:instrText>ADDIN CSL_CITATION { "citationItems" : [ { "id" : "ITEM-1", "itemData" : { "DOI" : "10.1038/bjc.1970.89", "ISBN" : "0007-0920 (Print)\\r0007-0920 (Linking)", "ISSN" : "0007-0920", "PMID" : "5503601", "abstract" : "Cell cultures were made from 18 human bladder tumours. Three cell lines were maintained for seven transfer generations, but all had a \"fibroblastic\" morphology and a normal diploid karyotype. A fourth line has been maintained for over 80 transfer generations. This was derived from a well differentiated papillary tumour of bladder. Morphologically the light and electron microscopic structure of the cells resembled that of bladder tumours. The cells formed tumour nodules, with a similar structure, when transplanted into hamster cheek pouches. There is a stem line chromosome number of 48. Karyotypes of 60% of the stem line cells had one extra chromosome in Group C and one in Group D.", "author" : [ { "dropping-particle" : "", "family" : "Rigby", "given" : "C C", "non-dropping-particle" : "", "parse-names" : false, "suffix" : "" }, { "dropping-particle" : "", "family" : "Franks", "given" : "L M", "non-dropping-particle" : "", "parse-names" : false, "suffix" : "" } ], "container-title" : "British Journal of Cancer", "id" : "ITEM-1", "issue" : "4", "issued" : { "date-parts" : [ [ "1970" ] ] }, "page" : "746-754", "title" : "A human tissue culture cell line from a transitional cell tumour of the urinary bladder: growth, chromosone pattern and ultrastructure.", "type" : "article-journal", "volume" : "24" }, "uris" : [ "http://www.mendeley.com/documents/?uuid=4ac0d005-12e1-4674-ab9a-6f1875b47b7b" ] } ], "mendeley" : { "formattedCitation" : "(Rigby &amp; Franks 1970)", "plainTextFormattedCitation" : "(Rigby &amp; Franks 1970)", "previouslyFormattedCitation" : "(Rigby &amp; Franks 1970)" }, "properties" : { "noteIndex" : 0 }, "schema" : "https://github.com/citation-style-language/schema/raw/master/csl-citation.json" }</w:instrText>
            </w:r>
            <w:r w:rsidRPr="00DF0680">
              <w:rPr>
                <w:rFonts w:cs="Times New Roman"/>
              </w:rPr>
              <w:fldChar w:fldCharType="separate"/>
            </w:r>
            <w:r w:rsidR="003F1B1F" w:rsidRPr="00DF0680">
              <w:rPr>
                <w:rFonts w:cs="Times New Roman"/>
              </w:rPr>
              <w:t>(Rigby &amp; Franks 1970)</w:t>
            </w:r>
            <w:r w:rsidRPr="00DF0680">
              <w:rPr>
                <w:rFonts w:cs="Times New Roman"/>
              </w:rPr>
              <w:fldChar w:fldCharType="end"/>
            </w:r>
          </w:p>
        </w:tc>
      </w:tr>
      <w:tr w:rsidR="003F1B1F" w:rsidRPr="00DF0680" w:rsidTr="009245A1">
        <w:trPr>
          <w:trHeight w:val="559"/>
        </w:trPr>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rsidR="003F1B1F" w:rsidRPr="00DF0680" w:rsidRDefault="003F1B1F" w:rsidP="00644626">
            <w:pPr>
              <w:spacing w:line="276" w:lineRule="auto"/>
              <w:jc w:val="center"/>
              <w:rPr>
                <w:rFonts w:cs="Times New Roman"/>
              </w:rPr>
            </w:pPr>
            <w:r w:rsidRPr="00DF0680">
              <w:rPr>
                <w:rFonts w:cs="Times New Roman"/>
              </w:rPr>
              <w:t>NHU hTERT</w:t>
            </w:r>
          </w:p>
        </w:tc>
        <w:tc>
          <w:tcPr>
            <w:tcW w:w="4678" w:type="dxa"/>
            <w:tcBorders>
              <w:top w:val="single" w:sz="4" w:space="0" w:color="auto"/>
              <w:left w:val="single" w:sz="4" w:space="0" w:color="auto"/>
              <w:bottom w:val="single" w:sz="4" w:space="0" w:color="auto"/>
              <w:right w:val="single" w:sz="4" w:space="0" w:color="auto"/>
            </w:tcBorders>
            <w:vAlign w:val="center"/>
          </w:tcPr>
          <w:p w:rsidR="003F1B1F" w:rsidRPr="00DF0680" w:rsidRDefault="003F1B1F" w:rsidP="00644626">
            <w:pPr>
              <w:spacing w:line="276" w:lineRule="auto"/>
              <w:jc w:val="center"/>
              <w:rPr>
                <w:rFonts w:cs="Times New Roman"/>
              </w:rPr>
            </w:pPr>
            <w:r w:rsidRPr="00DF0680">
              <w:rPr>
                <w:rFonts w:cs="Times New Roman"/>
              </w:rPr>
              <w:t>Immortalised normal human urothelium</w:t>
            </w:r>
          </w:p>
        </w:tc>
        <w:tc>
          <w:tcPr>
            <w:tcW w:w="2268" w:type="dxa"/>
            <w:tcBorders>
              <w:top w:val="single" w:sz="4" w:space="0" w:color="auto"/>
              <w:left w:val="single" w:sz="4" w:space="0" w:color="auto"/>
              <w:bottom w:val="single" w:sz="4" w:space="0" w:color="auto"/>
              <w:right w:val="single" w:sz="4" w:space="0" w:color="auto"/>
            </w:tcBorders>
            <w:vAlign w:val="center"/>
          </w:tcPr>
          <w:p w:rsidR="003F1B1F" w:rsidRPr="00DF0680" w:rsidRDefault="00F20EC0" w:rsidP="00644626">
            <w:pPr>
              <w:spacing w:line="276" w:lineRule="auto"/>
              <w:jc w:val="center"/>
              <w:rPr>
                <w:rFonts w:cs="Times New Roman"/>
              </w:rPr>
            </w:pPr>
            <w:r w:rsidRPr="00DF0680">
              <w:rPr>
                <w:rFonts w:cs="Times New Roman"/>
              </w:rPr>
              <w:fldChar w:fldCharType="begin" w:fldLock="1"/>
            </w:r>
            <w:r w:rsidR="003F1B1F" w:rsidRPr="00DF0680">
              <w:rPr>
                <w:rFonts w:cs="Times New Roman"/>
              </w:rPr>
              <w:instrText>ADDIN CSL_CITATION { "citationItems" : [ { "id" : "ITEM-1", "itemData" : { "DOI" : "10.1038/sj.onc.1209513", "ISSN" : "0950-9232", "PMID" : "16619045", "abstract" : "The CDKN2A locus is frequently inactivated in urothelial cell carcinoma (UCC), yet how this alteration contributes to bladder tumorigenesis is not known. Although most UCC express telomerase, inactivation of the p16/Rb pathway is generally required for in vitro immortalisation. This and the involvement of p16 in senescence of normal human urothelial cells (NHUC) suggest that CDKN2A deletion may aid bypass of senescence and allow immortalisation. CDKN2A encodes p16 and p14ARF and therefore inactivation of this locus can disrupt both the Rb and p53 tumour suppressor pathways. Retrovirus-mediated transduction was used to specifically modulate the p16/Rb and/or p53 tumour suppressor pathways in NHUC and to express human telomerase reverse transcriptase (hTERT). Expression of hTERT bypassed Rb and p53 pathway-dependent barriers to proliferation and immortalised NHUC. TERT-NHUC had normal karyotypes, were non-tumorigenic and unexpectedly retained CDKN2A. Thus, the phenotypic significance of inactivation of CDKN2A in UCC may not be solely related to bypass of senescence. Phenotypic assays in human urothelial cells have relied on cell strains derived from invasive tumours or NHUC immortalised by expression of SV40-large T. The production of genetically normal but immortal NHUC lines now provides a valuable platform for experiments to examine the timing and combination of events necessary for UCC tumorigenesis.", "author" : [ { "dropping-particle" : "", "family" : "Chapman", "given" : "E J", "non-dropping-particle" : "", "parse-names" : false, "suffix" : "" }, { "dropping-particle" : "", "family" : "Hurst", "given" : "C D", "non-dropping-particle" : "", "parse-names" : false, "suffix" : "" }, { "dropping-particle" : "", "family" : "Pitt", "given" : "E", "non-dropping-particle" : "", "parse-names" : false, "suffix" : "" }, { "dropping-particle" : "", "family" : "Chambers", "given" : "P", "non-dropping-particle" : "", "parse-names" : false, "suffix" : "" }, { "dropping-particle" : "", "family" : "Aveyard", "given" : "J S", "non-dropping-particle" : "", "parse-names" : false, "suffix" : "" }, { "dropping-particle" : "", "family" : "Knowles", "given" : "M a", "non-dropping-particle" : "", "parse-names" : false, "suffix" : "" } ], "container-title" : "Oncogene", "id" : "ITEM-1", "issue" : "36", "issued" : { "date-parts" : [ [ "2006", "8", "17" ] ] }, "page" : "5037-45", "title" : "Expression of hTERT immortalises normal human urothelial cells without inactivation of the p16/Rb pathway.", "type" : "article-journal", "volume" : "25" }, "uris" : [ "http://www.mendeley.com/documents/?uuid=b6db6390-a0cf-4020-8b9e-fbba80473950" ] } ], "mendeley" : { "formattedCitation" : "(Chapman et al. 2006)", "plainTextFormattedCitation" : "(Chapman et al. 2006)", "previouslyFormattedCitation" : "(Chapman et al. 2006)" }, "properties" : { "noteIndex" : 0 }, "schema" : "https://github.com/citation-style-language/schema/raw/master/csl-citation.json" }</w:instrText>
            </w:r>
            <w:r w:rsidRPr="00DF0680">
              <w:rPr>
                <w:rFonts w:cs="Times New Roman"/>
              </w:rPr>
              <w:fldChar w:fldCharType="separate"/>
            </w:r>
            <w:r w:rsidR="003F1B1F" w:rsidRPr="00DF0680">
              <w:rPr>
                <w:rFonts w:cs="Times New Roman"/>
              </w:rPr>
              <w:t>(Chapman et al. 2006)</w:t>
            </w:r>
            <w:r w:rsidRPr="00DF0680">
              <w:rPr>
                <w:rFonts w:cs="Times New Roman"/>
              </w:rPr>
              <w:fldChar w:fldCharType="end"/>
            </w:r>
          </w:p>
        </w:tc>
      </w:tr>
    </w:tbl>
    <w:p w:rsidR="003F1B1F" w:rsidRPr="00DF0680" w:rsidRDefault="003F1B1F" w:rsidP="003F1B1F">
      <w:pPr>
        <w:rPr>
          <w:rFonts w:cs="Times New Roman"/>
        </w:rPr>
      </w:pPr>
      <w:bookmarkStart w:id="215" w:name="_Toc210453448"/>
    </w:p>
    <w:p w:rsidR="003F1B1F" w:rsidRPr="00DF0680" w:rsidRDefault="003F1B1F" w:rsidP="00E664FC">
      <w:pPr>
        <w:pStyle w:val="Heading3"/>
      </w:pPr>
      <w:bookmarkStart w:id="216" w:name="_Toc234469100"/>
      <w:bookmarkStart w:id="217" w:name="_Toc234577904"/>
      <w:bookmarkStart w:id="218" w:name="_Toc234580393"/>
      <w:bookmarkStart w:id="219" w:name="_Toc234580499"/>
      <w:bookmarkStart w:id="220" w:name="_Toc234582255"/>
      <w:bookmarkStart w:id="221" w:name="_Toc417204122"/>
      <w:bookmarkStart w:id="222" w:name="_Toc417204432"/>
      <w:bookmarkStart w:id="223" w:name="_Toc417674563"/>
      <w:r w:rsidRPr="00DF0680">
        <w:t>Tissue culture reagents</w:t>
      </w:r>
      <w:bookmarkEnd w:id="215"/>
      <w:bookmarkEnd w:id="216"/>
      <w:bookmarkEnd w:id="217"/>
      <w:bookmarkEnd w:id="218"/>
      <w:bookmarkEnd w:id="219"/>
      <w:bookmarkEnd w:id="220"/>
      <w:bookmarkEnd w:id="221"/>
      <w:bookmarkEnd w:id="222"/>
      <w:bookmarkEnd w:id="223"/>
    </w:p>
    <w:p w:rsidR="003F1B1F" w:rsidRPr="00DF0680" w:rsidRDefault="003F1B1F" w:rsidP="00E664FC">
      <w:pPr>
        <w:pStyle w:val="Heading4"/>
      </w:pPr>
      <w:bookmarkStart w:id="224" w:name="_Toc234469101"/>
      <w:bookmarkStart w:id="225" w:name="_Toc234580394"/>
      <w:bookmarkStart w:id="226" w:name="_Toc234580500"/>
      <w:bookmarkStart w:id="227" w:name="_Toc234582256"/>
      <w:bookmarkStart w:id="228" w:name="_Toc417204123"/>
      <w:bookmarkStart w:id="229" w:name="_Toc417204433"/>
      <w:bookmarkStart w:id="230" w:name="_Toc417674564"/>
      <w:r w:rsidRPr="00DF0680">
        <w:t>Foetal calf serum</w:t>
      </w:r>
      <w:bookmarkEnd w:id="224"/>
      <w:bookmarkEnd w:id="225"/>
      <w:bookmarkEnd w:id="226"/>
      <w:bookmarkEnd w:id="227"/>
      <w:bookmarkEnd w:id="228"/>
      <w:bookmarkEnd w:id="229"/>
      <w:bookmarkEnd w:id="230"/>
    </w:p>
    <w:p w:rsidR="003F1B1F" w:rsidRPr="00DF0680" w:rsidRDefault="003F1B1F" w:rsidP="003F1B1F">
      <w:pPr>
        <w:rPr>
          <w:rFonts w:cs="Times New Roman"/>
        </w:rPr>
      </w:pPr>
      <w:r w:rsidRPr="00DF0680">
        <w:rPr>
          <w:rFonts w:cs="Times New Roman"/>
        </w:rPr>
        <w:t xml:space="preserve">Foetal calf serum (FCS) that was free of virus, endotoxin and mycoplasm contamination was supplied by Seralab.  This was filter sterilised prior to use and was stored at -20 </w:t>
      </w:r>
      <w:r w:rsidRPr="00DF0680">
        <w:rPr>
          <w:rFonts w:cs="Times New Roman"/>
          <w:vertAlign w:val="superscript"/>
        </w:rPr>
        <w:t>o</w:t>
      </w:r>
      <w:r w:rsidRPr="00DF0680">
        <w:rPr>
          <w:rFonts w:cs="Times New Roman"/>
        </w:rPr>
        <w:t>C.</w:t>
      </w:r>
    </w:p>
    <w:p w:rsidR="003F1B1F" w:rsidRPr="00DF0680" w:rsidRDefault="003F1B1F" w:rsidP="00E664FC">
      <w:pPr>
        <w:pStyle w:val="Heading4"/>
      </w:pPr>
      <w:bookmarkStart w:id="231" w:name="_Toc234469102"/>
      <w:bookmarkStart w:id="232" w:name="_Toc234580395"/>
      <w:bookmarkStart w:id="233" w:name="_Toc234580501"/>
      <w:bookmarkStart w:id="234" w:name="_Toc234582257"/>
      <w:bookmarkStart w:id="235" w:name="_Toc417204124"/>
      <w:bookmarkStart w:id="236" w:name="_Toc417204434"/>
      <w:bookmarkStart w:id="237" w:name="_Toc417674565"/>
      <w:r w:rsidRPr="00DF0680">
        <w:t>Presept</w:t>
      </w:r>
      <w:bookmarkEnd w:id="231"/>
      <w:bookmarkEnd w:id="232"/>
      <w:bookmarkEnd w:id="233"/>
      <w:bookmarkEnd w:id="234"/>
      <w:bookmarkEnd w:id="235"/>
      <w:bookmarkEnd w:id="236"/>
      <w:bookmarkEnd w:id="237"/>
    </w:p>
    <w:p w:rsidR="003F1B1F" w:rsidRPr="00DF0680" w:rsidRDefault="003F1B1F" w:rsidP="003F1B1F">
      <w:pPr>
        <w:rPr>
          <w:rFonts w:cs="Times New Roman"/>
        </w:rPr>
      </w:pPr>
      <w:r w:rsidRPr="00DF0680">
        <w:rPr>
          <w:rFonts w:cs="Times New Roman"/>
        </w:rPr>
        <w:t>Presept tablets were supplied by Johnson and Johnson Medical Ltd and a solution was prepared by dissolving 5 tablets in 2 L of tap water. This was stored at room temperature.</w:t>
      </w:r>
    </w:p>
    <w:p w:rsidR="003F1B1F" w:rsidRPr="00DF0680" w:rsidRDefault="003F1B1F" w:rsidP="00E664FC">
      <w:pPr>
        <w:pStyle w:val="Heading4"/>
      </w:pPr>
      <w:bookmarkStart w:id="238" w:name="_Toc234469103"/>
      <w:bookmarkStart w:id="239" w:name="_Toc234580396"/>
      <w:bookmarkStart w:id="240" w:name="_Toc234580502"/>
      <w:bookmarkStart w:id="241" w:name="_Toc234582258"/>
      <w:bookmarkStart w:id="242" w:name="_Toc417204125"/>
      <w:bookmarkStart w:id="243" w:name="_Toc417204435"/>
      <w:bookmarkStart w:id="244" w:name="_Toc417674566"/>
      <w:r w:rsidRPr="00DF0680">
        <w:t>Tissue culture medium</w:t>
      </w:r>
      <w:bookmarkEnd w:id="238"/>
      <w:bookmarkEnd w:id="239"/>
      <w:bookmarkEnd w:id="240"/>
      <w:bookmarkEnd w:id="241"/>
      <w:bookmarkEnd w:id="242"/>
      <w:bookmarkEnd w:id="243"/>
      <w:bookmarkEnd w:id="244"/>
    </w:p>
    <w:p w:rsidR="003F1B1F" w:rsidRPr="00DF0680" w:rsidRDefault="00644626" w:rsidP="003F1B1F">
      <w:pPr>
        <w:rPr>
          <w:rFonts w:cs="Times New Roman"/>
        </w:rPr>
      </w:pPr>
      <w:r w:rsidRPr="00DF0680">
        <w:rPr>
          <w:rFonts w:cs="Times New Roman"/>
        </w:rPr>
        <w:t>Dulbeccos M</w:t>
      </w:r>
      <w:r w:rsidR="003F1B1F" w:rsidRPr="00DF0680">
        <w:rPr>
          <w:rFonts w:cs="Times New Roman"/>
        </w:rPr>
        <w:t xml:space="preserve">odified </w:t>
      </w:r>
      <w:r w:rsidRPr="00DF0680">
        <w:rPr>
          <w:rFonts w:cs="Times New Roman"/>
        </w:rPr>
        <w:t>E</w:t>
      </w:r>
      <w:r w:rsidR="003F1B1F" w:rsidRPr="00DF0680">
        <w:rPr>
          <w:rFonts w:cs="Times New Roman"/>
        </w:rPr>
        <w:t>agle</w:t>
      </w:r>
      <w:r w:rsidRPr="00DF0680">
        <w:rPr>
          <w:rFonts w:cs="Times New Roman"/>
        </w:rPr>
        <w:t>’</w:t>
      </w:r>
      <w:r w:rsidR="003F1B1F" w:rsidRPr="00DF0680">
        <w:rPr>
          <w:rFonts w:cs="Times New Roman"/>
        </w:rPr>
        <w:t xml:space="preserve">s medium (DMEM) was supplied by Lonza containing 4.5 g/L glucose with L-glutamine and was stored at 4 </w:t>
      </w:r>
      <w:r w:rsidR="003F1B1F" w:rsidRPr="00DF0680">
        <w:rPr>
          <w:rFonts w:cs="Times New Roman"/>
          <w:vertAlign w:val="superscript"/>
        </w:rPr>
        <w:t>o</w:t>
      </w:r>
      <w:r w:rsidR="003F1B1F" w:rsidRPr="00DF0680">
        <w:rPr>
          <w:rFonts w:cs="Times New Roman"/>
        </w:rPr>
        <w:t>C.  It was supplemented with 1% non essential amino acids from BioWhittaker and 10% FCS.</w:t>
      </w:r>
    </w:p>
    <w:p w:rsidR="003F1B1F" w:rsidRPr="00DF0680" w:rsidRDefault="003F1B1F" w:rsidP="003F1B1F">
      <w:pPr>
        <w:rPr>
          <w:rFonts w:cs="Times New Roman"/>
        </w:rPr>
      </w:pPr>
      <w:r w:rsidRPr="00DF0680">
        <w:rPr>
          <w:rFonts w:cs="Times New Roman"/>
        </w:rPr>
        <w:t>Complete Keratinocyte Serum Free Media (KSFM) was made with Keratinocyte-Serum Free Medium (KSFM) with L-Glutamine supplemented with epidermal growth factor (EGF) (5 ng/ml) and bovine pituitary extract (BPE) (50 ng/ml) (Gibco) with 30 ng/ml of cholera toxin (Sigma-Aldrich)</w:t>
      </w:r>
      <w:r w:rsidR="009245A1" w:rsidRPr="00DF0680">
        <w:rPr>
          <w:rFonts w:cs="Times New Roman"/>
        </w:rPr>
        <w:t xml:space="preserve"> (this promotes cell growth by increasing intracellular cAMP levels)</w:t>
      </w:r>
      <w:r w:rsidRPr="00DF0680">
        <w:rPr>
          <w:rFonts w:cs="Times New Roman"/>
        </w:rPr>
        <w:t xml:space="preserve">. </w:t>
      </w:r>
    </w:p>
    <w:p w:rsidR="003F1B1F" w:rsidRPr="00DF0680" w:rsidRDefault="00CE6110" w:rsidP="00E664FC">
      <w:pPr>
        <w:pStyle w:val="Heading4"/>
      </w:pPr>
      <w:bookmarkStart w:id="245" w:name="_Toc234469104"/>
      <w:bookmarkStart w:id="246" w:name="_Toc234580397"/>
      <w:bookmarkStart w:id="247" w:name="_Toc234580503"/>
      <w:bookmarkStart w:id="248" w:name="_Toc234582259"/>
      <w:bookmarkStart w:id="249" w:name="_Toc417204126"/>
      <w:bookmarkStart w:id="250" w:name="_Toc417204436"/>
      <w:bookmarkStart w:id="251" w:name="_Toc417674567"/>
      <w:r w:rsidRPr="00DF0680">
        <w:lastRenderedPageBreak/>
        <w:t>Trypsin and v</w:t>
      </w:r>
      <w:r w:rsidR="003F1B1F" w:rsidRPr="00DF0680">
        <w:t>ersene/EDTA</w:t>
      </w:r>
      <w:bookmarkEnd w:id="245"/>
      <w:bookmarkEnd w:id="246"/>
      <w:bookmarkEnd w:id="247"/>
      <w:bookmarkEnd w:id="248"/>
      <w:bookmarkEnd w:id="249"/>
      <w:bookmarkEnd w:id="250"/>
      <w:bookmarkEnd w:id="251"/>
    </w:p>
    <w:p w:rsidR="003F1B1F" w:rsidRPr="00DF0680" w:rsidRDefault="003F1B1F" w:rsidP="003F1B1F">
      <w:pPr>
        <w:rPr>
          <w:rFonts w:cs="Times New Roman"/>
        </w:rPr>
      </w:pPr>
      <w:bookmarkStart w:id="252" w:name="_Toc210453449"/>
      <w:bookmarkStart w:id="253" w:name="_Toc234469105"/>
      <w:bookmarkStart w:id="254" w:name="_Toc234577905"/>
      <w:bookmarkStart w:id="255" w:name="_Toc234580398"/>
      <w:bookmarkStart w:id="256" w:name="_Toc234580504"/>
      <w:bookmarkStart w:id="257" w:name="_Toc234582260"/>
      <w:r w:rsidRPr="00DF0680">
        <w:rPr>
          <w:rFonts w:cs="Times New Roman"/>
        </w:rPr>
        <w:t>Trypsin EDTA with 200mg/L Versene (EDTA) and 170,000 U Trypsin/L was supplied by Lonza</w:t>
      </w:r>
      <w:bookmarkEnd w:id="252"/>
      <w:bookmarkEnd w:id="253"/>
      <w:bookmarkEnd w:id="254"/>
      <w:bookmarkEnd w:id="255"/>
      <w:bookmarkEnd w:id="256"/>
      <w:bookmarkEnd w:id="257"/>
      <w:r w:rsidRPr="00DF0680">
        <w:rPr>
          <w:rFonts w:cs="Times New Roman"/>
        </w:rPr>
        <w:t>.</w:t>
      </w:r>
    </w:p>
    <w:p w:rsidR="003F1B1F" w:rsidRPr="00DF0680" w:rsidRDefault="003F1B1F" w:rsidP="00E664FC">
      <w:pPr>
        <w:pStyle w:val="Heading4"/>
      </w:pPr>
      <w:bookmarkStart w:id="258" w:name="_Toc417204127"/>
      <w:bookmarkStart w:id="259" w:name="_Toc417204437"/>
      <w:bookmarkStart w:id="260" w:name="_Toc417674568"/>
      <w:r w:rsidRPr="00DF0680">
        <w:t>Trypsin inhibitor</w:t>
      </w:r>
      <w:bookmarkEnd w:id="258"/>
      <w:bookmarkEnd w:id="259"/>
      <w:bookmarkEnd w:id="260"/>
    </w:p>
    <w:p w:rsidR="003F1B1F" w:rsidRPr="00DF0680" w:rsidRDefault="003F1B1F" w:rsidP="003F1B1F">
      <w:pPr>
        <w:rPr>
          <w:rFonts w:cs="Times New Roman"/>
        </w:rPr>
      </w:pPr>
      <w:r w:rsidRPr="00DF0680">
        <w:rPr>
          <w:rFonts w:cs="Times New Roman"/>
        </w:rPr>
        <w:t xml:space="preserve">Cells passaged using KSFM required 500 µg/ml of trypsin inhibitor from </w:t>
      </w:r>
      <w:r w:rsidRPr="00DF0680">
        <w:rPr>
          <w:rFonts w:cs="Times New Roman"/>
          <w:i/>
        </w:rPr>
        <w:t>Glycine max</w:t>
      </w:r>
      <w:r w:rsidRPr="00DF0680">
        <w:rPr>
          <w:rFonts w:cs="Times New Roman"/>
        </w:rPr>
        <w:t xml:space="preserve"> (soybean) (Sigma) due to the media having no serum.</w:t>
      </w:r>
    </w:p>
    <w:p w:rsidR="003F1B1F" w:rsidRPr="00DF0680" w:rsidRDefault="003F1B1F" w:rsidP="00E664FC">
      <w:pPr>
        <w:pStyle w:val="Heading4"/>
      </w:pPr>
      <w:bookmarkStart w:id="261" w:name="_Toc234469106"/>
      <w:bookmarkStart w:id="262" w:name="_Toc234580399"/>
      <w:bookmarkStart w:id="263" w:name="_Toc234580505"/>
      <w:bookmarkStart w:id="264" w:name="_Toc234582261"/>
      <w:bookmarkStart w:id="265" w:name="_Toc417204128"/>
      <w:bookmarkStart w:id="266" w:name="_Toc417204438"/>
      <w:bookmarkStart w:id="267" w:name="_Toc417674569"/>
      <w:r w:rsidRPr="00DF0680">
        <w:t>1x phosphate buffered saline (PBS)</w:t>
      </w:r>
      <w:bookmarkEnd w:id="261"/>
      <w:bookmarkEnd w:id="262"/>
      <w:bookmarkEnd w:id="263"/>
      <w:bookmarkEnd w:id="264"/>
      <w:bookmarkEnd w:id="265"/>
      <w:bookmarkEnd w:id="266"/>
      <w:bookmarkEnd w:id="267"/>
    </w:p>
    <w:p w:rsidR="003F1B1F" w:rsidRPr="00DF0680" w:rsidRDefault="003F1B1F" w:rsidP="003F1B1F">
      <w:pPr>
        <w:rPr>
          <w:rFonts w:cs="Times New Roman"/>
        </w:rPr>
      </w:pPr>
      <w:r w:rsidRPr="00DF0680">
        <w:rPr>
          <w:rFonts w:cs="Times New Roman"/>
        </w:rPr>
        <w:t>1x PBS was produced by dissolving 1 Oxoid PBS tablet in 100 ml of ddH</w:t>
      </w:r>
      <w:r w:rsidRPr="00DF0680">
        <w:rPr>
          <w:rFonts w:cs="Times New Roman"/>
          <w:vertAlign w:val="subscript"/>
        </w:rPr>
        <w:t>2</w:t>
      </w:r>
      <w:r w:rsidRPr="00DF0680">
        <w:rPr>
          <w:rFonts w:cs="Times New Roman"/>
        </w:rPr>
        <w:t xml:space="preserve">O.  This was autoclaved and stored at room temperature.  </w:t>
      </w:r>
    </w:p>
    <w:p w:rsidR="003F1B1F" w:rsidRPr="00DF0680" w:rsidRDefault="003F1B1F" w:rsidP="00E664FC">
      <w:pPr>
        <w:pStyle w:val="Heading4"/>
      </w:pPr>
      <w:bookmarkStart w:id="268" w:name="_Toc234469107"/>
      <w:bookmarkStart w:id="269" w:name="_Toc234580400"/>
      <w:bookmarkStart w:id="270" w:name="_Toc234580506"/>
      <w:bookmarkStart w:id="271" w:name="_Toc234582262"/>
      <w:bookmarkStart w:id="272" w:name="_Toc417204129"/>
      <w:bookmarkStart w:id="273" w:name="_Toc417204439"/>
      <w:bookmarkStart w:id="274" w:name="_Toc417674570"/>
      <w:r w:rsidRPr="00DF0680">
        <w:t>Tris-buffered saline (TBS)</w:t>
      </w:r>
      <w:bookmarkEnd w:id="268"/>
      <w:bookmarkEnd w:id="269"/>
      <w:bookmarkEnd w:id="270"/>
      <w:bookmarkEnd w:id="271"/>
      <w:bookmarkEnd w:id="272"/>
      <w:bookmarkEnd w:id="273"/>
      <w:bookmarkEnd w:id="274"/>
    </w:p>
    <w:p w:rsidR="003F1B1F" w:rsidRPr="00DF0680" w:rsidRDefault="003F1B1F" w:rsidP="003F1B1F">
      <w:pPr>
        <w:rPr>
          <w:rFonts w:cs="Times New Roman"/>
        </w:rPr>
      </w:pPr>
      <w:r w:rsidRPr="00DF0680">
        <w:rPr>
          <w:rFonts w:cs="Times New Roman"/>
        </w:rPr>
        <w:t>10x TBS was made by dissolving 24.2 g of Tris base and 80 g of NaCl in a small volume of ddH</w:t>
      </w:r>
      <w:r w:rsidRPr="00DF0680">
        <w:rPr>
          <w:rFonts w:cs="Times New Roman"/>
          <w:vertAlign w:val="subscript"/>
        </w:rPr>
        <w:t>2</w:t>
      </w:r>
      <w:r w:rsidRPr="00DF0680">
        <w:rPr>
          <w:rFonts w:cs="Times New Roman"/>
        </w:rPr>
        <w:t>O.  The solution was then adjusted to pH 7.6 using HCl before adding sufficient ddH</w:t>
      </w:r>
      <w:r w:rsidRPr="00DF0680">
        <w:rPr>
          <w:rFonts w:cs="Times New Roman"/>
          <w:vertAlign w:val="subscript"/>
        </w:rPr>
        <w:t>2</w:t>
      </w:r>
      <w:r w:rsidRPr="00DF0680">
        <w:rPr>
          <w:rFonts w:cs="Times New Roman"/>
        </w:rPr>
        <w:t xml:space="preserve">O to make the total volume 1 L.  The 10x stock was autoclaved and kept at room temperature. </w:t>
      </w:r>
    </w:p>
    <w:p w:rsidR="003F1B1F" w:rsidRPr="00DF0680" w:rsidRDefault="003F1B1F" w:rsidP="00E664FC">
      <w:pPr>
        <w:pStyle w:val="Heading4"/>
      </w:pPr>
      <w:bookmarkStart w:id="275" w:name="_Toc234469108"/>
      <w:bookmarkStart w:id="276" w:name="_Toc234580401"/>
      <w:bookmarkStart w:id="277" w:name="_Toc234580507"/>
      <w:bookmarkStart w:id="278" w:name="_Toc234582263"/>
      <w:bookmarkStart w:id="279" w:name="_Toc417204130"/>
      <w:bookmarkStart w:id="280" w:name="_Toc417204440"/>
      <w:bookmarkStart w:id="281" w:name="_Toc417674571"/>
      <w:r w:rsidRPr="00DF0680">
        <w:t>1 M Tris pH 6.8, 7.4 and 8</w:t>
      </w:r>
      <w:bookmarkEnd w:id="275"/>
      <w:bookmarkEnd w:id="276"/>
      <w:bookmarkEnd w:id="277"/>
      <w:bookmarkEnd w:id="278"/>
      <w:bookmarkEnd w:id="279"/>
      <w:bookmarkEnd w:id="280"/>
      <w:bookmarkEnd w:id="281"/>
    </w:p>
    <w:p w:rsidR="003F1B1F" w:rsidRPr="00DF0680" w:rsidRDefault="003F1B1F" w:rsidP="003F1B1F">
      <w:pPr>
        <w:rPr>
          <w:rFonts w:cs="Times New Roman"/>
        </w:rPr>
      </w:pPr>
      <w:r w:rsidRPr="00DF0680">
        <w:rPr>
          <w:rFonts w:cs="Times New Roman"/>
        </w:rPr>
        <w:t>121.14 g of tris(hydroxymethyl)aminomethane was dissolved in 700 ml of ddH</w:t>
      </w:r>
      <w:r w:rsidRPr="00DF0680">
        <w:rPr>
          <w:rFonts w:cs="Times New Roman"/>
          <w:vertAlign w:val="subscript"/>
        </w:rPr>
        <w:t>2</w:t>
      </w:r>
      <w:r w:rsidRPr="00DF0680">
        <w:rPr>
          <w:rFonts w:cs="Times New Roman"/>
        </w:rPr>
        <w:t>O.  The solution was adjusted to the required pH using HCl and sufficient ddH</w:t>
      </w:r>
      <w:r w:rsidRPr="00DF0680">
        <w:rPr>
          <w:rFonts w:cs="Times New Roman"/>
          <w:vertAlign w:val="subscript"/>
        </w:rPr>
        <w:t>2</w:t>
      </w:r>
      <w:r w:rsidRPr="00DF0680">
        <w:rPr>
          <w:rFonts w:cs="Times New Roman"/>
        </w:rPr>
        <w:t xml:space="preserve">O was added to achieve a total volume of 1 L.  The solutions were autoclaved before being stored at room temperature.  </w:t>
      </w:r>
    </w:p>
    <w:p w:rsidR="003F1B1F" w:rsidRPr="00DF0680" w:rsidRDefault="003F1B1F" w:rsidP="00E664FC">
      <w:pPr>
        <w:pStyle w:val="Heading4"/>
      </w:pPr>
      <w:bookmarkStart w:id="282" w:name="_Toc234469109"/>
      <w:bookmarkStart w:id="283" w:name="_Toc234580402"/>
      <w:bookmarkStart w:id="284" w:name="_Toc234580508"/>
      <w:bookmarkStart w:id="285" w:name="_Toc234582264"/>
      <w:bookmarkStart w:id="286" w:name="_Toc417204131"/>
      <w:bookmarkStart w:id="287" w:name="_Toc417204441"/>
      <w:bookmarkStart w:id="288" w:name="_Toc417674572"/>
      <w:r w:rsidRPr="00DF0680">
        <w:t>1.5 M Tris pH 8.8</w:t>
      </w:r>
      <w:bookmarkEnd w:id="282"/>
      <w:bookmarkEnd w:id="283"/>
      <w:bookmarkEnd w:id="284"/>
      <w:bookmarkEnd w:id="285"/>
      <w:bookmarkEnd w:id="286"/>
      <w:bookmarkEnd w:id="287"/>
      <w:bookmarkEnd w:id="288"/>
    </w:p>
    <w:p w:rsidR="003F1B1F" w:rsidRPr="00DF0680" w:rsidRDefault="003F1B1F" w:rsidP="003F1B1F">
      <w:pPr>
        <w:rPr>
          <w:rFonts w:cs="Times New Roman"/>
        </w:rPr>
      </w:pPr>
      <w:r w:rsidRPr="00DF0680">
        <w:rPr>
          <w:rFonts w:cs="Times New Roman"/>
        </w:rPr>
        <w:t>1.5 M Tris was made by dissolving 181.71 g of tris(hydroxymethyl)aminomethane in 700 ml of ddH</w:t>
      </w:r>
      <w:r w:rsidRPr="00DF0680">
        <w:rPr>
          <w:rFonts w:cs="Times New Roman"/>
          <w:vertAlign w:val="subscript"/>
        </w:rPr>
        <w:t>2</w:t>
      </w:r>
      <w:r w:rsidRPr="00DF0680">
        <w:rPr>
          <w:rFonts w:cs="Times New Roman"/>
        </w:rPr>
        <w:t>O and the solution was adjusted to pH 8.8 using HCl.  Sufficient ddH</w:t>
      </w:r>
      <w:r w:rsidRPr="00DF0680">
        <w:rPr>
          <w:rFonts w:cs="Times New Roman"/>
          <w:vertAlign w:val="subscript"/>
        </w:rPr>
        <w:t>2</w:t>
      </w:r>
      <w:r w:rsidRPr="00DF0680">
        <w:rPr>
          <w:rFonts w:cs="Times New Roman"/>
        </w:rPr>
        <w:t>O was added to achieve a total volume of 1 L and the solution was autoclaved before being stored at room temperature.</w:t>
      </w:r>
    </w:p>
    <w:p w:rsidR="003F1B1F" w:rsidRPr="00DF0680" w:rsidRDefault="003F1B1F" w:rsidP="00E664FC">
      <w:pPr>
        <w:pStyle w:val="Heading4"/>
      </w:pPr>
      <w:bookmarkStart w:id="289" w:name="_Toc234469110"/>
      <w:bookmarkStart w:id="290" w:name="_Toc234580403"/>
      <w:bookmarkStart w:id="291" w:name="_Toc234580509"/>
      <w:bookmarkStart w:id="292" w:name="_Toc234582265"/>
      <w:bookmarkStart w:id="293" w:name="_Toc417204132"/>
      <w:bookmarkStart w:id="294" w:name="_Toc417204442"/>
      <w:bookmarkStart w:id="295" w:name="_Toc417674573"/>
      <w:r w:rsidRPr="00DF0680">
        <w:t>Ethidium bromide</w:t>
      </w:r>
      <w:bookmarkEnd w:id="289"/>
      <w:bookmarkEnd w:id="290"/>
      <w:bookmarkEnd w:id="291"/>
      <w:bookmarkEnd w:id="292"/>
      <w:bookmarkEnd w:id="293"/>
      <w:bookmarkEnd w:id="294"/>
      <w:bookmarkEnd w:id="295"/>
    </w:p>
    <w:p w:rsidR="003F1B1F" w:rsidRPr="00DF0680" w:rsidRDefault="003F1B1F" w:rsidP="003F1B1F">
      <w:pPr>
        <w:rPr>
          <w:rFonts w:cs="Times New Roman"/>
        </w:rPr>
      </w:pPr>
      <w:r w:rsidRPr="00DF0680">
        <w:rPr>
          <w:rFonts w:cs="Times New Roman"/>
        </w:rPr>
        <w:t>1 100 mg tablet was dissolved in 20 ml of ddH</w:t>
      </w:r>
      <w:r w:rsidRPr="00DF0680">
        <w:rPr>
          <w:rFonts w:cs="Times New Roman"/>
          <w:vertAlign w:val="subscript"/>
        </w:rPr>
        <w:t>2</w:t>
      </w:r>
      <w:r w:rsidRPr="00DF0680">
        <w:rPr>
          <w:rFonts w:cs="Times New Roman"/>
        </w:rPr>
        <w:t>O to produce a 5 mg/ml stock of ethidium bromide.  The stock was foil-wrapped and stored at room temperature.  The working concentration was 0.5 μg/ml.</w:t>
      </w:r>
    </w:p>
    <w:p w:rsidR="00E52A8D" w:rsidRPr="00DF0680" w:rsidRDefault="00E52A8D" w:rsidP="003F1B1F">
      <w:pPr>
        <w:rPr>
          <w:rFonts w:cs="Times New Roman"/>
        </w:rPr>
      </w:pPr>
    </w:p>
    <w:p w:rsidR="003F1B1F" w:rsidRPr="00DF0680" w:rsidRDefault="003F1B1F" w:rsidP="00E664FC">
      <w:pPr>
        <w:pStyle w:val="Heading4"/>
      </w:pPr>
      <w:bookmarkStart w:id="296" w:name="_Toc234469111"/>
      <w:bookmarkStart w:id="297" w:name="_Toc234580404"/>
      <w:bookmarkStart w:id="298" w:name="_Toc234580510"/>
      <w:bookmarkStart w:id="299" w:name="_Toc234582266"/>
      <w:bookmarkStart w:id="300" w:name="_Toc417204133"/>
      <w:bookmarkStart w:id="301" w:name="_Toc417204443"/>
      <w:bookmarkStart w:id="302" w:name="_Toc417674574"/>
      <w:r w:rsidRPr="00DF0680">
        <w:lastRenderedPageBreak/>
        <w:t>0.5 M EDTA</w:t>
      </w:r>
      <w:bookmarkEnd w:id="296"/>
      <w:bookmarkEnd w:id="297"/>
      <w:bookmarkEnd w:id="298"/>
      <w:bookmarkEnd w:id="299"/>
      <w:bookmarkEnd w:id="300"/>
      <w:bookmarkEnd w:id="301"/>
      <w:bookmarkEnd w:id="302"/>
      <w:r w:rsidRPr="00DF0680">
        <w:t xml:space="preserve"> </w:t>
      </w:r>
    </w:p>
    <w:p w:rsidR="003F1B1F" w:rsidRPr="00DF0680" w:rsidRDefault="003F1B1F" w:rsidP="003F1B1F">
      <w:pPr>
        <w:rPr>
          <w:rFonts w:cs="Times New Roman"/>
        </w:rPr>
      </w:pPr>
      <w:r w:rsidRPr="00DF0680">
        <w:rPr>
          <w:rFonts w:cs="Times New Roman"/>
        </w:rPr>
        <w:t>186.1 g disodium ethylene diamine tetra-acetate was added to 750 ml of ddH</w:t>
      </w:r>
      <w:r w:rsidRPr="00DF0680">
        <w:rPr>
          <w:rFonts w:cs="Times New Roman"/>
          <w:vertAlign w:val="subscript"/>
        </w:rPr>
        <w:t>2</w:t>
      </w:r>
      <w:r w:rsidRPr="00DF0680">
        <w:rPr>
          <w:rFonts w:cs="Times New Roman"/>
        </w:rPr>
        <w:t>O.  The pH was adjusted as required by the addition of solid sodium hydroxide pellets.  The volume was then adjusted to 1 L with ddH</w:t>
      </w:r>
      <w:r w:rsidRPr="00DF0680">
        <w:rPr>
          <w:rFonts w:cs="Times New Roman"/>
        </w:rPr>
        <w:softHyphen/>
      </w:r>
      <w:r w:rsidRPr="00DF0680">
        <w:rPr>
          <w:rFonts w:cs="Times New Roman"/>
          <w:vertAlign w:val="subscript"/>
        </w:rPr>
        <w:t>2</w:t>
      </w:r>
      <w:r w:rsidRPr="00DF0680">
        <w:rPr>
          <w:rFonts w:cs="Times New Roman"/>
        </w:rPr>
        <w:t xml:space="preserve">O and the solution was stored at room temperature. </w:t>
      </w:r>
    </w:p>
    <w:p w:rsidR="003F1B1F" w:rsidRPr="00DF0680" w:rsidRDefault="003F1B1F" w:rsidP="00E664FC">
      <w:pPr>
        <w:pStyle w:val="Heading3"/>
      </w:pPr>
      <w:bookmarkStart w:id="303" w:name="_Toc210453450"/>
      <w:bookmarkStart w:id="304" w:name="_Toc234469112"/>
      <w:bookmarkStart w:id="305" w:name="_Toc234577906"/>
      <w:bookmarkStart w:id="306" w:name="_Toc234580405"/>
      <w:bookmarkStart w:id="307" w:name="_Toc234580511"/>
      <w:bookmarkStart w:id="308" w:name="_Toc234582267"/>
      <w:bookmarkStart w:id="309" w:name="_Toc417204134"/>
      <w:bookmarkStart w:id="310" w:name="_Toc417204444"/>
      <w:bookmarkStart w:id="311" w:name="_Toc417674575"/>
      <w:r w:rsidRPr="00DF0680">
        <w:t>Plasmids</w:t>
      </w:r>
      <w:bookmarkEnd w:id="303"/>
      <w:bookmarkEnd w:id="304"/>
      <w:bookmarkEnd w:id="305"/>
      <w:bookmarkEnd w:id="306"/>
      <w:bookmarkEnd w:id="307"/>
      <w:bookmarkEnd w:id="308"/>
      <w:bookmarkEnd w:id="309"/>
      <w:bookmarkEnd w:id="310"/>
      <w:bookmarkEnd w:id="311"/>
    </w:p>
    <w:p w:rsidR="003F1B1F" w:rsidRPr="00DF0680" w:rsidRDefault="003F1B1F" w:rsidP="003F1B1F">
      <w:pPr>
        <w:rPr>
          <w:rFonts w:cs="Times New Roman"/>
          <w:i/>
        </w:rPr>
      </w:pPr>
      <w:r w:rsidRPr="00DF0680">
        <w:rPr>
          <w:rFonts w:cs="Times New Roman"/>
          <w:i/>
        </w:rPr>
        <w:t>Vector maps are included in the Appendix</w:t>
      </w:r>
    </w:p>
    <w:p w:rsidR="003F1B1F" w:rsidRPr="00DF0680" w:rsidRDefault="003F1B1F" w:rsidP="003F1B1F">
      <w:pPr>
        <w:rPr>
          <w:rFonts w:cs="Times New Roman"/>
        </w:rPr>
      </w:pPr>
      <w:r w:rsidRPr="00DF0680">
        <w:rPr>
          <w:rFonts w:cs="Times New Roman"/>
        </w:rPr>
        <w:t xml:space="preserve">pjPP136 – contains the RECQL5β cDNA sequence. Stably incorporated into </w:t>
      </w:r>
      <w:r w:rsidR="00471D18" w:rsidRPr="00DF0680">
        <w:rPr>
          <w:rFonts w:cs="Times New Roman"/>
        </w:rPr>
        <w:t>MRC5V2</w:t>
      </w:r>
      <w:r w:rsidRPr="00DF0680">
        <w:rPr>
          <w:rFonts w:cs="Times New Roman"/>
        </w:rPr>
        <w:t xml:space="preserve"> cells for the </w:t>
      </w:r>
      <w:r w:rsidR="00471D18" w:rsidRPr="00DF0680">
        <w:rPr>
          <w:rFonts w:cs="Times New Roman"/>
        </w:rPr>
        <w:t>MRC5V2</w:t>
      </w:r>
      <w:r w:rsidRPr="00DF0680">
        <w:rPr>
          <w:rFonts w:cs="Times New Roman"/>
        </w:rPr>
        <w:t>+Q5 cells line. A gift from Dr. Pavel Janscak.</w:t>
      </w:r>
    </w:p>
    <w:p w:rsidR="003F1B1F" w:rsidRPr="00DF0680" w:rsidRDefault="003F1B1F" w:rsidP="003F1B1F">
      <w:pPr>
        <w:rPr>
          <w:rFonts w:cs="Times New Roman"/>
        </w:rPr>
      </w:pPr>
      <w:r w:rsidRPr="00DF0680">
        <w:rPr>
          <w:rFonts w:cs="Times New Roman"/>
        </w:rPr>
        <w:t xml:space="preserve">pjPP136KR – contains the RECQL5β cDNA sequence with the helicase domain disrupted by a K58R point mutation.  Stably incorporated into </w:t>
      </w:r>
      <w:r w:rsidR="00471D18" w:rsidRPr="00DF0680">
        <w:rPr>
          <w:rFonts w:cs="Times New Roman"/>
        </w:rPr>
        <w:t>MRC5V2</w:t>
      </w:r>
      <w:r w:rsidRPr="00DF0680">
        <w:rPr>
          <w:rFonts w:cs="Times New Roman"/>
        </w:rPr>
        <w:t xml:space="preserve"> cells for the </w:t>
      </w:r>
      <w:r w:rsidR="00471D18" w:rsidRPr="00DF0680">
        <w:rPr>
          <w:rFonts w:cs="Times New Roman"/>
        </w:rPr>
        <w:t>MRC5V2</w:t>
      </w:r>
      <w:r w:rsidRPr="00DF0680">
        <w:rPr>
          <w:rFonts w:cs="Times New Roman"/>
        </w:rPr>
        <w:t>+Q5KR cell line. A gift from Dr. Pavel Janscak.</w:t>
      </w:r>
    </w:p>
    <w:p w:rsidR="003F1B1F" w:rsidRPr="00DF0680" w:rsidRDefault="003F1B1F" w:rsidP="003F1B1F">
      <w:pPr>
        <w:rPr>
          <w:rFonts w:cs="Times New Roman"/>
        </w:rPr>
      </w:pPr>
      <w:r w:rsidRPr="00DF0680">
        <w:rPr>
          <w:rFonts w:cs="Times New Roman"/>
        </w:rPr>
        <w:t>pMirReport</w:t>
      </w:r>
      <w:r w:rsidRPr="00DF0680">
        <w:rPr>
          <w:rFonts w:cs="Times New Roman"/>
          <w:vertAlign w:val="superscript"/>
        </w:rPr>
        <w:t>TM</w:t>
      </w:r>
      <w:r w:rsidRPr="00DF0680">
        <w:rPr>
          <w:rFonts w:cs="Times New Roman"/>
        </w:rPr>
        <w:t xml:space="preserve"> miRNA Expression Reporter Vector (Invitrogen)</w:t>
      </w:r>
    </w:p>
    <w:p w:rsidR="003F1B1F" w:rsidRPr="00DF0680" w:rsidRDefault="003F1B1F" w:rsidP="003F1B1F">
      <w:pPr>
        <w:rPr>
          <w:rFonts w:cs="Times New Roman"/>
        </w:rPr>
      </w:pPr>
      <w:r w:rsidRPr="00DF0680">
        <w:rPr>
          <w:rFonts w:cs="Times New Roman"/>
        </w:rPr>
        <w:t>pRL-TK Renilla Luciferase Control Reporter Vector (Promega)</w:t>
      </w:r>
    </w:p>
    <w:p w:rsidR="003F1B1F" w:rsidRPr="00DF0680" w:rsidRDefault="003F1B1F" w:rsidP="003F1B1F">
      <w:pPr>
        <w:rPr>
          <w:rFonts w:cs="Times New Roman"/>
        </w:rPr>
      </w:pPr>
      <w:r w:rsidRPr="00DF0680">
        <w:rPr>
          <w:rFonts w:cs="Times New Roman"/>
        </w:rPr>
        <w:t>pIRESpuro3 wild-type RECQL5 and RECQL5KR</w:t>
      </w:r>
    </w:p>
    <w:p w:rsidR="003F1B1F" w:rsidRPr="00DF0680" w:rsidRDefault="003F1B1F" w:rsidP="003F1B1F">
      <w:pPr>
        <w:rPr>
          <w:rFonts w:cs="Times New Roman"/>
        </w:rPr>
      </w:pPr>
      <w:r w:rsidRPr="00DF0680">
        <w:rPr>
          <w:rFonts w:cs="Times New Roman"/>
        </w:rPr>
        <w:t>pIRESpuro3 wild-type Mre11 and Δ</w:t>
      </w:r>
      <w:r w:rsidRPr="00DF0680">
        <w:rPr>
          <w:rFonts w:cs="Times New Roman"/>
          <w:vertAlign w:val="subscript"/>
        </w:rPr>
        <w:t>5-7</w:t>
      </w:r>
      <w:r w:rsidRPr="00DF0680">
        <w:rPr>
          <w:rFonts w:cs="Times New Roman"/>
        </w:rPr>
        <w:t xml:space="preserve">Mre11 </w:t>
      </w:r>
      <w:r w:rsidR="00F20EC0" w:rsidRPr="00DF0680">
        <w:rPr>
          <w:rFonts w:cs="Times New Roman"/>
        </w:rPr>
        <w:fldChar w:fldCharType="begin" w:fldLock="1"/>
      </w:r>
      <w:r w:rsidR="00332613" w:rsidRPr="00DF0680">
        <w:rPr>
          <w:rFonts w:cs="Times New Roman"/>
        </w:rPr>
        <w:instrText>ADDIN CSL_CITATION { "citationItems" : [ { "id" : "ITEM-1", "itemData" : { "DOI" : "10.1091/mbc.E07", "author" : [ { "dropping-particle" : "", "family" : "Wen", "given" : "Qin", "non-dropping-particle" : "", "parse-names" : false, "suffix" : "" }, { "dropping-particle" : "", "family" : "Scorah", "given" : "Jennifer", "non-dropping-particle" : "", "parse-names" : false, "suffix" : "" }, { "dropping-particle" : "", "family" : "Phear", "given" : "Geraldine", "non-dropping-particle" : "", "parse-names" : false, "suffix" : "" } ], "container-title" : "Molecular Biology of the Cell", "id" : "ITEM-1", "issue" : "4", "issued" : { "date-parts" : [ [ "2008" ] ] }, "page" : "1693-1705", "title" : "A Mutant Allele of MRE11 Found in Mismatch Repair-deficient Tumor Cells Suppresses the Cellular Response to DNA Replication Fork Stress in a Dominant Negative Manner", "type" : "article-journal", "volume" : "19" }, "uris" : [ "http://www.mendeley.com/documents/?uuid=b521fb80-cb2c-43c0-bfb7-398f530edd84" ] } ], "mendeley" : { "formattedCitation" : "(Wen et al. 2008)", "plainTextFormattedCitation" : "(Wen et al. 2008)", "previouslyFormattedCitation" : "(Wen et al. 2008)"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(Wen et al. 2008)</w:t>
      </w:r>
      <w:r w:rsidR="00F20EC0" w:rsidRPr="00DF0680">
        <w:rPr>
          <w:rFonts w:cs="Times New Roman"/>
        </w:rPr>
        <w:fldChar w:fldCharType="end"/>
      </w:r>
    </w:p>
    <w:p w:rsidR="003F1B1F" w:rsidRPr="00DF0680" w:rsidRDefault="003F1B1F" w:rsidP="00E664FC">
      <w:pPr>
        <w:pStyle w:val="Heading3"/>
      </w:pPr>
      <w:bookmarkStart w:id="312" w:name="_Toc417204135"/>
      <w:bookmarkStart w:id="313" w:name="_Toc417204445"/>
      <w:bookmarkStart w:id="314" w:name="_Toc417674576"/>
      <w:r w:rsidRPr="00DF0680">
        <w:t>RNAi</w:t>
      </w:r>
      <w:bookmarkEnd w:id="312"/>
      <w:bookmarkEnd w:id="313"/>
      <w:bookmarkEnd w:id="314"/>
    </w:p>
    <w:p w:rsidR="003F1B1F" w:rsidRPr="00DF0680" w:rsidRDefault="003F1B1F" w:rsidP="003F1B1F">
      <w:pPr>
        <w:rPr>
          <w:rFonts w:cs="Times New Roman"/>
        </w:rPr>
      </w:pPr>
      <w:r w:rsidRPr="00DF0680">
        <w:rPr>
          <w:rFonts w:cs="Times New Roman"/>
        </w:rPr>
        <w:t>siRNA was ordered in Desalt form and made up to 100nM stock sol</w:t>
      </w:r>
      <w:r w:rsidR="00192D22" w:rsidRPr="00DF0680">
        <w:rPr>
          <w:rFonts w:cs="Times New Roman"/>
        </w:rPr>
        <w:t>ution and further diluted to 20μ</w:t>
      </w:r>
      <w:r w:rsidRPr="00DF0680">
        <w:rPr>
          <w:rFonts w:cs="Times New Roman"/>
        </w:rPr>
        <w:t>M working solutions using RNAse-free water and 5x siRNA buffer provided.</w:t>
      </w:r>
    </w:p>
    <w:p w:rsidR="003F1B1F" w:rsidRPr="00DF0680" w:rsidRDefault="003F1B1F" w:rsidP="003F1B1F">
      <w:pPr>
        <w:rPr>
          <w:rFonts w:cs="Times New Roman"/>
        </w:rPr>
      </w:pPr>
      <w:r w:rsidRPr="00DF0680">
        <w:rPr>
          <w:rFonts w:cs="Times New Roman"/>
        </w:rPr>
        <w:t>siGENOME SMARTpool RECQL5 siRNA (Thermo Scientific):</w:t>
      </w:r>
    </w:p>
    <w:p w:rsidR="003F1B1F" w:rsidRPr="00DF0680" w:rsidRDefault="003F1B1F" w:rsidP="003F1B1F">
      <w:pPr>
        <w:rPr>
          <w:rFonts w:cs="Times New Roman"/>
        </w:rPr>
      </w:pPr>
      <w:r w:rsidRPr="00DF0680">
        <w:rPr>
          <w:rFonts w:cs="Times New Roman"/>
        </w:rPr>
        <w:t>RECQL5-01: GAACGCUGGUGCAGAACGA</w:t>
      </w:r>
    </w:p>
    <w:p w:rsidR="003F1B1F" w:rsidRPr="00DF0680" w:rsidRDefault="003F1B1F" w:rsidP="003F1B1F">
      <w:pPr>
        <w:rPr>
          <w:rFonts w:cs="Times New Roman"/>
        </w:rPr>
      </w:pPr>
      <w:r w:rsidRPr="00DF0680">
        <w:rPr>
          <w:rFonts w:cs="Times New Roman"/>
        </w:rPr>
        <w:t>RECQL5-17: GGAUAAAGCCAAUGUCAGG</w:t>
      </w:r>
    </w:p>
    <w:p w:rsidR="003F1B1F" w:rsidRPr="00DF0680" w:rsidRDefault="003F1B1F" w:rsidP="003F1B1F">
      <w:pPr>
        <w:rPr>
          <w:rFonts w:cs="Times New Roman"/>
        </w:rPr>
      </w:pPr>
      <w:r w:rsidRPr="00DF0680">
        <w:rPr>
          <w:rFonts w:cs="Times New Roman"/>
        </w:rPr>
        <w:t>RECQL5-03: UAAGACGCCUUUACAGGAG</w:t>
      </w:r>
    </w:p>
    <w:p w:rsidR="003F1B1F" w:rsidRPr="00DF0680" w:rsidRDefault="003F1B1F" w:rsidP="003F1B1F">
      <w:pPr>
        <w:rPr>
          <w:rFonts w:cs="Times New Roman"/>
        </w:rPr>
      </w:pPr>
      <w:r w:rsidRPr="00DF0680">
        <w:rPr>
          <w:rFonts w:cs="Times New Roman"/>
        </w:rPr>
        <w:t>RECQL5-04: ACCCUAAAGGUACGAGUAA</w:t>
      </w:r>
    </w:p>
    <w:p w:rsidR="00A41A3E" w:rsidRPr="00DF0680" w:rsidRDefault="00A41A3E" w:rsidP="003F1B1F">
      <w:pPr>
        <w:rPr>
          <w:rFonts w:cs="Times New Roman"/>
        </w:rPr>
      </w:pPr>
    </w:p>
    <w:p w:rsidR="003F1B1F" w:rsidRPr="00DF0680" w:rsidRDefault="003F1B1F" w:rsidP="003F1B1F">
      <w:pPr>
        <w:rPr>
          <w:rFonts w:cs="Times New Roman"/>
        </w:rPr>
      </w:pPr>
      <w:r w:rsidRPr="00DF0680">
        <w:rPr>
          <w:rFonts w:cs="Times New Roman"/>
        </w:rPr>
        <w:lastRenderedPageBreak/>
        <w:t>MRE11 (custom oligonucleotides – eurofins):</w:t>
      </w:r>
    </w:p>
    <w:p w:rsidR="003F1B1F" w:rsidRPr="00DF0680" w:rsidRDefault="003F1B1F" w:rsidP="003F1B1F">
      <w:pPr>
        <w:rPr>
          <w:rFonts w:cs="Times New Roman"/>
        </w:rPr>
      </w:pPr>
      <w:r w:rsidRPr="00DF0680">
        <w:rPr>
          <w:rFonts w:cs="Times New Roman"/>
        </w:rPr>
        <w:t>MRE11a: GGAGGUACGUCGUUUCAGA</w:t>
      </w:r>
    </w:p>
    <w:p w:rsidR="003F1B1F" w:rsidRPr="00DF0680" w:rsidRDefault="003F1B1F" w:rsidP="003F1B1F">
      <w:pPr>
        <w:rPr>
          <w:rFonts w:cs="Times New Roman"/>
        </w:rPr>
      </w:pPr>
      <w:r w:rsidRPr="00DF0680">
        <w:rPr>
          <w:rFonts w:cs="Times New Roman"/>
        </w:rPr>
        <w:t>MRE11b: GGAAAUGAUACGUUUGUAA</w:t>
      </w:r>
    </w:p>
    <w:p w:rsidR="003F1B1F" w:rsidRPr="00DF0680" w:rsidRDefault="003F1B1F" w:rsidP="003F1B1F">
      <w:pPr>
        <w:rPr>
          <w:rFonts w:cs="Times New Roman"/>
        </w:rPr>
      </w:pPr>
      <w:r w:rsidRPr="00DF0680">
        <w:rPr>
          <w:rFonts w:cs="Times New Roman"/>
        </w:rPr>
        <w:t>MRE11c: CGAAAUGUCACUACUAAGA</w:t>
      </w:r>
    </w:p>
    <w:p w:rsidR="003F1B1F" w:rsidRPr="00DF0680" w:rsidRDefault="003F1B1F" w:rsidP="003F1B1F">
      <w:pPr>
        <w:rPr>
          <w:rFonts w:cs="Times New Roman"/>
        </w:rPr>
      </w:pPr>
      <w:r w:rsidRPr="00DF0680">
        <w:rPr>
          <w:rFonts w:cs="Times New Roman"/>
        </w:rPr>
        <w:t>MRE11d: GAAAGGCUCUAUCGAAUGU</w:t>
      </w:r>
    </w:p>
    <w:p w:rsidR="003F1B1F" w:rsidRPr="00DF0680" w:rsidRDefault="003F1B1F" w:rsidP="003F1B1F">
      <w:pPr>
        <w:rPr>
          <w:rFonts w:cs="Times New Roman"/>
        </w:rPr>
      </w:pPr>
      <w:r w:rsidRPr="00DF0680">
        <w:rPr>
          <w:rFonts w:cs="Times New Roman"/>
        </w:rPr>
        <w:t>RECQL5β (custom oligonucleotides – eurofins):</w:t>
      </w:r>
    </w:p>
    <w:p w:rsidR="003F1B1F" w:rsidRPr="00DF0680" w:rsidRDefault="003F1B1F" w:rsidP="003F1B1F">
      <w:pPr>
        <w:rPr>
          <w:rFonts w:cs="Times New Roman"/>
        </w:rPr>
      </w:pPr>
      <w:r w:rsidRPr="00DF0680">
        <w:rPr>
          <w:rFonts w:cs="Times New Roman"/>
        </w:rPr>
        <w:t>Q5β-1: UGAAGAAGGUGGCCGAUAU</w:t>
      </w:r>
    </w:p>
    <w:p w:rsidR="003F1B1F" w:rsidRPr="00DF0680" w:rsidRDefault="003F1B1F" w:rsidP="003F1B1F">
      <w:pPr>
        <w:rPr>
          <w:rFonts w:cs="Times New Roman"/>
        </w:rPr>
      </w:pPr>
      <w:r w:rsidRPr="00DF0680">
        <w:rPr>
          <w:rFonts w:cs="Times New Roman"/>
        </w:rPr>
        <w:t>Q5β-3: CUGCAAAUGUUGUGGUCAA</w:t>
      </w:r>
    </w:p>
    <w:p w:rsidR="003F1B1F" w:rsidRPr="00DF0680" w:rsidRDefault="00CE6110" w:rsidP="00E664FC">
      <w:pPr>
        <w:pStyle w:val="Heading3"/>
      </w:pPr>
      <w:bookmarkStart w:id="315" w:name="_Toc417204136"/>
      <w:bookmarkStart w:id="316" w:name="_Toc417204446"/>
      <w:bookmarkStart w:id="317" w:name="_Toc417674577"/>
      <w:r w:rsidRPr="00DF0680">
        <w:t>Primers and p</w:t>
      </w:r>
      <w:r w:rsidR="003F1B1F" w:rsidRPr="00DF0680">
        <w:t>robes</w:t>
      </w:r>
      <w:bookmarkEnd w:id="315"/>
      <w:bookmarkEnd w:id="316"/>
      <w:bookmarkEnd w:id="317"/>
    </w:p>
    <w:p w:rsidR="003F1B1F" w:rsidRPr="00DF0680" w:rsidRDefault="003F1B1F" w:rsidP="00E664FC">
      <w:pPr>
        <w:pStyle w:val="Heading4"/>
      </w:pPr>
      <w:bookmarkStart w:id="318" w:name="_Toc417204137"/>
      <w:bookmarkStart w:id="319" w:name="_Toc417204447"/>
      <w:bookmarkStart w:id="320" w:name="_Toc417674578"/>
      <w:r w:rsidRPr="00DF0680">
        <w:rPr>
          <w:shd w:val="clear" w:color="auto" w:fill="FFFFFF"/>
        </w:rPr>
        <w:t>TaqMan® Gene Expression Assays (Life Technologies)</w:t>
      </w:r>
      <w:bookmarkEnd w:id="318"/>
      <w:bookmarkEnd w:id="319"/>
      <w:bookmarkEnd w:id="320"/>
      <w:r w:rsidRPr="00DF0680">
        <w:rPr>
          <w:rStyle w:val="apple-converted-space"/>
          <w:szCs w:val="32"/>
          <w:shd w:val="clear" w:color="auto" w:fill="FFFFFF"/>
        </w:rPr>
        <w:t> </w:t>
      </w:r>
    </w:p>
    <w:p w:rsidR="003F1B1F" w:rsidRPr="00DF0680" w:rsidRDefault="003F1B1F" w:rsidP="003F1B1F">
      <w:pPr>
        <w:rPr>
          <w:rFonts w:cs="Times New Roman"/>
          <w:szCs w:val="24"/>
          <w:u w:val="single"/>
        </w:rPr>
      </w:pPr>
      <w:r w:rsidRPr="00DF0680">
        <w:rPr>
          <w:rFonts w:cs="Times New Roman"/>
          <w:szCs w:val="24"/>
          <w:u w:val="single"/>
        </w:rPr>
        <w:t>Predesigned TaqMan® Assays with gene-specific probes</w:t>
      </w:r>
    </w:p>
    <w:p w:rsidR="003F1B1F" w:rsidRPr="00DF0680" w:rsidRDefault="003F1B1F" w:rsidP="003F1B1F">
      <w:pPr>
        <w:rPr>
          <w:rFonts w:cs="Times New Roman"/>
        </w:rPr>
      </w:pPr>
      <w:r w:rsidRPr="00DF0680">
        <w:rPr>
          <w:rFonts w:cs="Times New Roman"/>
        </w:rPr>
        <w:t>RECQL5 (Hs00188633_m1)</w:t>
      </w:r>
    </w:p>
    <w:p w:rsidR="003F1B1F" w:rsidRPr="00DF0680" w:rsidRDefault="003F1B1F" w:rsidP="003F1B1F">
      <w:pPr>
        <w:rPr>
          <w:rFonts w:cs="Times New Roman"/>
        </w:rPr>
      </w:pPr>
      <w:r w:rsidRPr="00DF0680">
        <w:rPr>
          <w:rFonts w:cs="Times New Roman"/>
        </w:rPr>
        <w:t>RECQL5β (Hs00696986_g1)</w:t>
      </w:r>
    </w:p>
    <w:p w:rsidR="003F1B1F" w:rsidRPr="00DF0680" w:rsidRDefault="003F1B1F" w:rsidP="003F1B1F">
      <w:pPr>
        <w:rPr>
          <w:rFonts w:cs="Times New Roman"/>
        </w:rPr>
      </w:pPr>
      <w:r w:rsidRPr="00DF0680">
        <w:rPr>
          <w:rFonts w:cs="Times New Roman"/>
        </w:rPr>
        <w:t>MRE11 (Hs00967443_m1)</w:t>
      </w:r>
    </w:p>
    <w:p w:rsidR="003F1B1F" w:rsidRPr="00DF0680" w:rsidRDefault="003F1B1F" w:rsidP="003F1B1F">
      <w:pPr>
        <w:rPr>
          <w:rFonts w:cs="Times New Roman"/>
          <w:i/>
        </w:rPr>
      </w:pPr>
      <w:r w:rsidRPr="00DF0680">
        <w:rPr>
          <w:rFonts w:cs="Times New Roman"/>
          <w:i/>
        </w:rPr>
        <w:t>Controls</w:t>
      </w:r>
    </w:p>
    <w:p w:rsidR="003F1B1F" w:rsidRPr="00DF0680" w:rsidRDefault="003F1B1F" w:rsidP="003F1B1F">
      <w:pPr>
        <w:rPr>
          <w:rFonts w:cs="Times New Roman"/>
          <w:bCs/>
        </w:rPr>
      </w:pPr>
      <w:r w:rsidRPr="00DF0680">
        <w:rPr>
          <w:rFonts w:cs="Times New Roman"/>
        </w:rPr>
        <w:t>Heat shock protein 90kDa alpha (cytosolic), class B member 1 (HSP90AB1) (</w:t>
      </w:r>
      <w:r w:rsidRPr="00DF0680">
        <w:rPr>
          <w:rFonts w:cs="Times New Roman"/>
          <w:bCs/>
        </w:rPr>
        <w:t>Hs03043878_g1)</w:t>
      </w:r>
    </w:p>
    <w:p w:rsidR="003F1B1F" w:rsidRPr="00DF0680" w:rsidRDefault="003F1B1F" w:rsidP="003F1B1F">
      <w:pPr>
        <w:rPr>
          <w:rFonts w:cs="Times New Roman"/>
          <w:bCs/>
        </w:rPr>
      </w:pPr>
      <w:r w:rsidRPr="00DF0680">
        <w:rPr>
          <w:rFonts w:cs="Times New Roman"/>
        </w:rPr>
        <w:t>Testis enhanced gene transcript protein (TEGT) (</w:t>
      </w:r>
      <w:r w:rsidRPr="00DF0680">
        <w:rPr>
          <w:rFonts w:cs="Times New Roman"/>
          <w:bCs/>
        </w:rPr>
        <w:t>Hs01012085_m1</w:t>
      </w:r>
      <w:r w:rsidRPr="00DF0680">
        <w:rPr>
          <w:rFonts w:cs="Times New Roman"/>
        </w:rPr>
        <w:t>)</w:t>
      </w:r>
    </w:p>
    <w:p w:rsidR="003F1B1F" w:rsidRPr="00DF0680" w:rsidRDefault="003F1B1F" w:rsidP="003F1B1F">
      <w:pPr>
        <w:rPr>
          <w:rFonts w:cs="Times New Roman"/>
          <w:bCs/>
        </w:rPr>
      </w:pPr>
      <w:r w:rsidRPr="00DF0680">
        <w:rPr>
          <w:rFonts w:cs="Times New Roman"/>
        </w:rPr>
        <w:t>Mitochondrial ATP synthase, H+ transporting F1 complex beta subunit (ATP5B) (</w:t>
      </w:r>
      <w:r w:rsidRPr="00DF0680">
        <w:rPr>
          <w:rFonts w:cs="Times New Roman"/>
          <w:bCs/>
        </w:rPr>
        <w:t>Hs00969573_mH)</w:t>
      </w:r>
    </w:p>
    <w:p w:rsidR="003F1B1F" w:rsidRPr="00DF0680" w:rsidRDefault="00CE6110" w:rsidP="00E664FC">
      <w:pPr>
        <w:pStyle w:val="Heading4"/>
      </w:pPr>
      <w:bookmarkStart w:id="321" w:name="_Toc417204138"/>
      <w:bookmarkStart w:id="322" w:name="_Toc417204448"/>
      <w:bookmarkStart w:id="323" w:name="_Toc417674579"/>
      <w:r w:rsidRPr="00DF0680">
        <w:t>RECQL5 3’UTR c</w:t>
      </w:r>
      <w:r w:rsidR="003F1B1F" w:rsidRPr="00DF0680">
        <w:t xml:space="preserve">loning and </w:t>
      </w:r>
      <w:r w:rsidRPr="00DF0680">
        <w:t>s</w:t>
      </w:r>
      <w:r w:rsidR="003F1B1F" w:rsidRPr="00DF0680">
        <w:t>equencing</w:t>
      </w:r>
      <w:bookmarkEnd w:id="321"/>
      <w:bookmarkEnd w:id="322"/>
      <w:bookmarkEnd w:id="323"/>
    </w:p>
    <w:p w:rsidR="003F1B1F" w:rsidRPr="00DF0680" w:rsidRDefault="003F1B1F" w:rsidP="003F1B1F">
      <w:pPr>
        <w:rPr>
          <w:rFonts w:cs="Times New Roman"/>
        </w:rPr>
      </w:pPr>
      <w:r w:rsidRPr="00DF0680">
        <w:rPr>
          <w:rFonts w:cs="Times New Roman"/>
        </w:rPr>
        <w:t>Primer 1: ACTGAC</w:t>
      </w:r>
      <w:r w:rsidRPr="00DF0680">
        <w:rPr>
          <w:rFonts w:cs="Times New Roman"/>
          <w:u w:val="single"/>
        </w:rPr>
        <w:t>CTCGAG</w:t>
      </w:r>
      <w:r w:rsidRPr="00DF0680">
        <w:rPr>
          <w:rFonts w:cs="Times New Roman"/>
        </w:rPr>
        <w:t>GCCTGTGTGGCCCCCAGAGA (</w:t>
      </w:r>
      <w:r w:rsidRPr="00DF0680">
        <w:rPr>
          <w:rFonts w:cs="Times New Roman"/>
          <w:u w:val="single"/>
        </w:rPr>
        <w:t>XhoI</w:t>
      </w:r>
      <w:r w:rsidRPr="00DF0680">
        <w:rPr>
          <w:rFonts w:cs="Times New Roman"/>
        </w:rPr>
        <w:t>)</w:t>
      </w:r>
    </w:p>
    <w:p w:rsidR="003F1B1F" w:rsidRPr="00DF0680" w:rsidRDefault="003F1B1F" w:rsidP="003F1B1F">
      <w:pPr>
        <w:rPr>
          <w:rFonts w:cs="Times New Roman"/>
        </w:rPr>
      </w:pPr>
      <w:r w:rsidRPr="00DF0680">
        <w:rPr>
          <w:rFonts w:cs="Times New Roman"/>
        </w:rPr>
        <w:t>Primer 2: ACTGAC</w:t>
      </w:r>
      <w:r w:rsidRPr="00DF0680">
        <w:rPr>
          <w:rFonts w:cs="Times New Roman"/>
          <w:u w:val="single"/>
        </w:rPr>
        <w:t>GCGGCCGC</w:t>
      </w:r>
      <w:r w:rsidRPr="00DF0680">
        <w:rPr>
          <w:rFonts w:cs="Times New Roman"/>
        </w:rPr>
        <w:t>GAAAAGGGCTGTGTGCACGC (</w:t>
      </w:r>
      <w:r w:rsidRPr="00DF0680">
        <w:rPr>
          <w:rFonts w:cs="Times New Roman"/>
          <w:u w:val="single"/>
        </w:rPr>
        <w:t>NotI</w:t>
      </w:r>
      <w:r w:rsidRPr="00DF0680">
        <w:rPr>
          <w:rFonts w:cs="Times New Roman"/>
        </w:rPr>
        <w:t>)</w:t>
      </w:r>
    </w:p>
    <w:p w:rsidR="00A41A3E" w:rsidRPr="00DF0680" w:rsidRDefault="00A41A3E">
      <w:pPr>
        <w:spacing w:line="276" w:lineRule="auto"/>
        <w:jc w:val="left"/>
        <w:rPr>
          <w:rFonts w:cs="Times New Roman"/>
        </w:rPr>
      </w:pPr>
      <w:r w:rsidRPr="00DF0680">
        <w:rPr>
          <w:rFonts w:cs="Times New Roman"/>
        </w:rPr>
        <w:br w:type="page"/>
      </w:r>
    </w:p>
    <w:p w:rsidR="003F1B1F" w:rsidRPr="00DF0680" w:rsidRDefault="003F1B1F" w:rsidP="00E664FC">
      <w:pPr>
        <w:pStyle w:val="Heading2"/>
      </w:pPr>
      <w:bookmarkStart w:id="324" w:name="_Toc417204139"/>
      <w:bookmarkStart w:id="325" w:name="_Toc417204449"/>
      <w:bookmarkStart w:id="326" w:name="_Toc417204715"/>
      <w:bookmarkStart w:id="327" w:name="_Toc417204775"/>
      <w:bookmarkStart w:id="328" w:name="_Toc417674580"/>
      <w:r w:rsidRPr="00DF0680">
        <w:lastRenderedPageBreak/>
        <w:t>Methods</w:t>
      </w:r>
      <w:bookmarkEnd w:id="134"/>
      <w:bookmarkEnd w:id="324"/>
      <w:bookmarkEnd w:id="325"/>
      <w:bookmarkEnd w:id="326"/>
      <w:bookmarkEnd w:id="327"/>
      <w:bookmarkEnd w:id="328"/>
    </w:p>
    <w:p w:rsidR="003F1B1F" w:rsidRPr="00DF0680" w:rsidRDefault="003F1B1F" w:rsidP="00E664FC">
      <w:pPr>
        <w:pStyle w:val="Heading3"/>
      </w:pPr>
      <w:bookmarkStart w:id="329" w:name="_Toc417204140"/>
      <w:bookmarkStart w:id="330" w:name="_Toc417204450"/>
      <w:bookmarkStart w:id="331" w:name="_Toc417674581"/>
      <w:r w:rsidRPr="00DF0680">
        <w:t xml:space="preserve">Bacterial </w:t>
      </w:r>
      <w:r w:rsidR="00CE6110" w:rsidRPr="00DF0680">
        <w:t>c</w:t>
      </w:r>
      <w:r w:rsidRPr="00DF0680">
        <w:t xml:space="preserve">ell </w:t>
      </w:r>
      <w:r w:rsidR="00CE6110" w:rsidRPr="00DF0680">
        <w:t>c</w:t>
      </w:r>
      <w:r w:rsidRPr="00DF0680">
        <w:t>ulture</w:t>
      </w:r>
      <w:bookmarkEnd w:id="329"/>
      <w:bookmarkEnd w:id="330"/>
      <w:bookmarkEnd w:id="331"/>
    </w:p>
    <w:p w:rsidR="003F1B1F" w:rsidRPr="00DF0680" w:rsidRDefault="003F1B1F" w:rsidP="00E664FC">
      <w:pPr>
        <w:pStyle w:val="Heading4"/>
      </w:pPr>
      <w:bookmarkStart w:id="332" w:name="_Toc417204141"/>
      <w:bookmarkStart w:id="333" w:name="_Toc417204451"/>
      <w:bookmarkStart w:id="334" w:name="_Toc417674582"/>
      <w:r w:rsidRPr="00DF0680">
        <w:t>SOB media and SOB agar</w:t>
      </w:r>
      <w:bookmarkEnd w:id="332"/>
      <w:bookmarkEnd w:id="333"/>
      <w:bookmarkEnd w:id="334"/>
    </w:p>
    <w:p w:rsidR="003F1B1F" w:rsidRPr="00DF0680" w:rsidRDefault="003F1B1F" w:rsidP="003F1B1F">
      <w:pPr>
        <w:rPr>
          <w:rFonts w:cs="Times New Roman"/>
        </w:rPr>
      </w:pPr>
      <w:r w:rsidRPr="00DF0680">
        <w:rPr>
          <w:rFonts w:cs="Times New Roman"/>
        </w:rPr>
        <w:t>400ml of SOB media was made of 2% Trypton, 0.5% Yeast extract, 10mM NaCl, 2.5mM KCl, 10mM MgCl</w:t>
      </w:r>
      <w:r w:rsidRPr="00DF0680">
        <w:rPr>
          <w:rFonts w:cs="Times New Roman"/>
          <w:vertAlign w:val="subscript"/>
        </w:rPr>
        <w:t>2</w:t>
      </w:r>
      <w:r w:rsidRPr="00DF0680">
        <w:rPr>
          <w:rFonts w:cs="Times New Roman"/>
        </w:rPr>
        <w:t xml:space="preserve"> and 10mM MgSO</w:t>
      </w:r>
      <w:r w:rsidRPr="00DF0680">
        <w:rPr>
          <w:rFonts w:cs="Times New Roman"/>
          <w:vertAlign w:val="subscript"/>
        </w:rPr>
        <w:t>4</w:t>
      </w:r>
      <w:r w:rsidRPr="00DF0680">
        <w:rPr>
          <w:rFonts w:cs="Times New Roman"/>
        </w:rPr>
        <w:t xml:space="preserve"> and autoclaved. 400ml of SOB agar was made as SOB media, with the addition of 1.5% bacterial agar.</w:t>
      </w:r>
    </w:p>
    <w:p w:rsidR="003F1B1F" w:rsidRPr="00DF0680" w:rsidRDefault="00CE6110" w:rsidP="00E664FC">
      <w:pPr>
        <w:pStyle w:val="Heading4"/>
      </w:pPr>
      <w:bookmarkStart w:id="335" w:name="_Toc417204142"/>
      <w:bookmarkStart w:id="336" w:name="_Toc417204452"/>
      <w:bookmarkStart w:id="337" w:name="_Toc417674583"/>
      <w:r w:rsidRPr="00DF0680">
        <w:t>Making a</w:t>
      </w:r>
      <w:r w:rsidR="003F1B1F" w:rsidRPr="00DF0680">
        <w:t xml:space="preserve">gar </w:t>
      </w:r>
      <w:r w:rsidRPr="00DF0680">
        <w:t>p</w:t>
      </w:r>
      <w:r w:rsidR="003F1B1F" w:rsidRPr="00DF0680">
        <w:t>lates</w:t>
      </w:r>
      <w:bookmarkEnd w:id="335"/>
      <w:bookmarkEnd w:id="336"/>
      <w:bookmarkEnd w:id="337"/>
    </w:p>
    <w:p w:rsidR="003F1B1F" w:rsidRPr="00DF0680" w:rsidRDefault="003F1B1F" w:rsidP="003F1B1F">
      <w:pPr>
        <w:rPr>
          <w:rFonts w:cs="Times New Roman"/>
        </w:rPr>
      </w:pPr>
      <w:r w:rsidRPr="00DF0680">
        <w:rPr>
          <w:rFonts w:cs="Times New Roman"/>
        </w:rPr>
        <w:t xml:space="preserve">SOB agar was heated for 3 minutes using a microwave to dissolve. When the agar mix had cooled but still liquid, selective antibiotics were added. Ampicillin was added to a final concentration of 100 µg/ml while kanomycin was added to a final concentration of 50 µg/ml. This was then poured into Bacterial Culture dishes (Thermo Scientific) and once set stored at 4°C. </w:t>
      </w:r>
    </w:p>
    <w:p w:rsidR="003F1B1F" w:rsidRPr="00DF0680" w:rsidRDefault="003F1B1F" w:rsidP="00E664FC">
      <w:pPr>
        <w:pStyle w:val="Heading4"/>
      </w:pPr>
      <w:bookmarkStart w:id="338" w:name="_Toc417204143"/>
      <w:bookmarkStart w:id="339" w:name="_Toc417204453"/>
      <w:bookmarkStart w:id="340" w:name="_Toc417674584"/>
      <w:r w:rsidRPr="00DF0680">
        <w:t>Transformation</w:t>
      </w:r>
      <w:bookmarkEnd w:id="338"/>
      <w:bookmarkEnd w:id="339"/>
      <w:bookmarkEnd w:id="340"/>
    </w:p>
    <w:p w:rsidR="003F1B1F" w:rsidRPr="00DF0680" w:rsidRDefault="003F1B1F" w:rsidP="003F1B1F">
      <w:pPr>
        <w:rPr>
          <w:rFonts w:cs="Times New Roman"/>
        </w:rPr>
      </w:pPr>
      <w:r w:rsidRPr="00DF0680">
        <w:rPr>
          <w:rFonts w:cs="Times New Roman"/>
        </w:rPr>
        <w:t xml:space="preserve">NEB 5-alpha Competent </w:t>
      </w:r>
      <w:r w:rsidRPr="00DF0680">
        <w:rPr>
          <w:rFonts w:cs="Times New Roman"/>
          <w:i/>
        </w:rPr>
        <w:t>Escherichia coli</w:t>
      </w:r>
      <w:r w:rsidRPr="00DF0680">
        <w:rPr>
          <w:rFonts w:cs="Times New Roman"/>
        </w:rPr>
        <w:t xml:space="preserve"> (High Efficiency) (New England Biolabs) cells were used for heat shock transformation. The </w:t>
      </w:r>
      <w:r w:rsidR="00B77100" w:rsidRPr="00DF0680">
        <w:rPr>
          <w:rFonts w:cs="Times New Roman"/>
          <w:i/>
        </w:rPr>
        <w:t>E. coli</w:t>
      </w:r>
      <w:r w:rsidRPr="00DF0680">
        <w:rPr>
          <w:rFonts w:cs="Times New Roman"/>
          <w:i/>
        </w:rPr>
        <w:t xml:space="preserve"> </w:t>
      </w:r>
      <w:r w:rsidRPr="00DF0680">
        <w:rPr>
          <w:rFonts w:cs="Times New Roman"/>
        </w:rPr>
        <w:t>were thawed on ice and 1-5 μl containing 1 pg – 100 ng of DNA was added to the cell mix. This was flicked to mix and then left to incubate on ice for 30 minutes. The cells were then heat shocked at 42 °C for 30 seconds then placed back on ice for 5 minutes. 950 μl of room temperature SOB media was added to the cell and DNA mix and shook for 1 hour at 37 °C. Selection plates were warmed at 37 °C. Cells were mixed by flicking and inverting the tube then serial dilutions were spread onto the selection plates and left to incubate overnight at 37 °C. Successfully transformed cells grew as colonies and were picked for starter cultures the next day.</w:t>
      </w:r>
    </w:p>
    <w:p w:rsidR="003F1B1F" w:rsidRPr="00DF0680" w:rsidRDefault="00CE6110" w:rsidP="00E664FC">
      <w:pPr>
        <w:pStyle w:val="Heading4"/>
      </w:pPr>
      <w:bookmarkStart w:id="341" w:name="_Toc417204144"/>
      <w:bookmarkStart w:id="342" w:name="_Toc417204454"/>
      <w:bookmarkStart w:id="343" w:name="_Toc417674585"/>
      <w:r w:rsidRPr="00DF0680">
        <w:t>Bacterial c</w:t>
      </w:r>
      <w:r w:rsidR="003F1B1F" w:rsidRPr="00DF0680">
        <w:t>ulture</w:t>
      </w:r>
      <w:bookmarkEnd w:id="341"/>
      <w:bookmarkEnd w:id="342"/>
      <w:bookmarkEnd w:id="343"/>
    </w:p>
    <w:p w:rsidR="003F1B1F" w:rsidRPr="00DF0680" w:rsidRDefault="003F1B1F" w:rsidP="003F1B1F">
      <w:pPr>
        <w:rPr>
          <w:rFonts w:cs="Times New Roman"/>
        </w:rPr>
      </w:pPr>
      <w:r w:rsidRPr="00DF0680">
        <w:rPr>
          <w:rFonts w:cs="Times New Roman"/>
        </w:rPr>
        <w:t xml:space="preserve">Starter cultures were made of 5 ml of SOB media with selective antibiotics and were left to shake overnight at 37°C with a 20-200 µl pipette tip used to pick a colony of interest from growth plates. After growth, the pipette tip was removed and the starter cultures were then either spun down and used for plasmid extraction, using the </w:t>
      </w:r>
      <w:r w:rsidRPr="00DF0680">
        <w:rPr>
          <w:rFonts w:cs="Times New Roman"/>
          <w:shd w:val="clear" w:color="auto" w:fill="FFFFFF"/>
        </w:rPr>
        <w:t xml:space="preserve">GenElute™ Plasmid Miniprep Kit (Sigma), or 1ml was taken and used to inoculate a 100 ml of selective SOB media. These larger cultures were again shaken overnight at </w:t>
      </w:r>
      <w:r w:rsidRPr="00DF0680">
        <w:rPr>
          <w:rFonts w:cs="Times New Roman"/>
          <w:shd w:val="clear" w:color="auto" w:fill="FFFFFF"/>
        </w:rPr>
        <w:lastRenderedPageBreak/>
        <w:t>37</w:t>
      </w:r>
      <w:r w:rsidRPr="00DF0680">
        <w:rPr>
          <w:rFonts w:cs="Times New Roman"/>
        </w:rPr>
        <w:t xml:space="preserve">°C and used for maxiprep plasmid extraction, using GenElute HP Plasmid Maxiprep Kit (Sigma), the next day. </w:t>
      </w:r>
    </w:p>
    <w:p w:rsidR="003F1B1F" w:rsidRPr="00DF0680" w:rsidRDefault="003F1B1F" w:rsidP="00E664FC">
      <w:pPr>
        <w:pStyle w:val="Heading3"/>
      </w:pPr>
      <w:bookmarkStart w:id="344" w:name="_Toc417204145"/>
      <w:bookmarkStart w:id="345" w:name="_Toc417204455"/>
      <w:bookmarkStart w:id="346" w:name="_Toc417674586"/>
      <w:r w:rsidRPr="00DF0680">
        <w:t xml:space="preserve">RNA </w:t>
      </w:r>
      <w:r w:rsidR="00CE6110" w:rsidRPr="00DF0680">
        <w:t>s</w:t>
      </w:r>
      <w:r w:rsidRPr="00DF0680">
        <w:t>tudies</w:t>
      </w:r>
      <w:bookmarkEnd w:id="344"/>
      <w:bookmarkEnd w:id="345"/>
      <w:bookmarkEnd w:id="346"/>
    </w:p>
    <w:p w:rsidR="003F1B1F" w:rsidRPr="00DF0680" w:rsidRDefault="00CE6110" w:rsidP="00E664FC">
      <w:pPr>
        <w:pStyle w:val="Heading4"/>
      </w:pPr>
      <w:bookmarkStart w:id="347" w:name="_Toc417204146"/>
      <w:bookmarkStart w:id="348" w:name="_Toc417204456"/>
      <w:bookmarkStart w:id="349" w:name="_Toc417674587"/>
      <w:r w:rsidRPr="00DF0680">
        <w:t>RNA e</w:t>
      </w:r>
      <w:r w:rsidR="003F1B1F" w:rsidRPr="00DF0680">
        <w:t>xtraction</w:t>
      </w:r>
      <w:bookmarkEnd w:id="347"/>
      <w:bookmarkEnd w:id="348"/>
      <w:bookmarkEnd w:id="349"/>
    </w:p>
    <w:p w:rsidR="003F1B1F" w:rsidRPr="00DF0680" w:rsidRDefault="003F1B1F" w:rsidP="003F1B1F">
      <w:pPr>
        <w:rPr>
          <w:rFonts w:cs="Times New Roman"/>
        </w:rPr>
      </w:pPr>
      <w:r w:rsidRPr="00DF0680">
        <w:rPr>
          <w:rFonts w:cs="Times New Roman"/>
        </w:rPr>
        <w:t>RNA from the bladder cell lines (NHU, RT4, RT112 and EJ) was extracted using the RNeasy Mini Kit (Qiagen). Approximately 1 x 10</w:t>
      </w:r>
      <w:r w:rsidRPr="00DF0680">
        <w:rPr>
          <w:rFonts w:cs="Times New Roman"/>
          <w:vertAlign w:val="superscript"/>
        </w:rPr>
        <w:t>6</w:t>
      </w:r>
      <w:r w:rsidRPr="00DF0680">
        <w:rPr>
          <w:rFonts w:cs="Times New Roman"/>
        </w:rPr>
        <w:t xml:space="preserve"> cells were used and manufacturer’s instructions were followed to isolate 5 – 35 μg of total RNA.</w:t>
      </w:r>
    </w:p>
    <w:p w:rsidR="003F1B1F" w:rsidRPr="00DF0680" w:rsidRDefault="003F1B1F" w:rsidP="00E664FC">
      <w:pPr>
        <w:pStyle w:val="Heading4"/>
      </w:pPr>
      <w:bookmarkStart w:id="350" w:name="_Toc417204147"/>
      <w:bookmarkStart w:id="351" w:name="_Toc417204457"/>
      <w:bookmarkStart w:id="352" w:name="_Toc417674588"/>
      <w:r w:rsidRPr="00DF0680">
        <w:t xml:space="preserve">Reverse </w:t>
      </w:r>
      <w:r w:rsidR="00CE6110" w:rsidRPr="00DF0680">
        <w:t>t</w:t>
      </w:r>
      <w:r w:rsidRPr="00DF0680">
        <w:t>ranscription</w:t>
      </w:r>
      <w:bookmarkEnd w:id="350"/>
      <w:bookmarkEnd w:id="351"/>
      <w:bookmarkEnd w:id="352"/>
    </w:p>
    <w:p w:rsidR="003F1B1F" w:rsidRPr="00DF0680" w:rsidRDefault="003F1B1F" w:rsidP="003F1B1F">
      <w:pPr>
        <w:rPr>
          <w:rFonts w:cs="Times New Roman"/>
        </w:rPr>
      </w:pPr>
      <w:r w:rsidRPr="00DF0680">
        <w:rPr>
          <w:rFonts w:cs="Times New Roman"/>
        </w:rPr>
        <w:t>cDNA was generated from RNA using the Applied Biosciences High Capacity cDNA Reverse Transcription Kit. 10 µl RT mix was added to 10 µl of RNA and left on a programme for 25°C for 10 minutes, 37°C for 2 hours and 85°C for 5 minutes, soaking at 4°C before being stored in the -20°C freezer.</w:t>
      </w:r>
    </w:p>
    <w:p w:rsidR="003F1B1F" w:rsidRPr="00DF0680" w:rsidRDefault="003F1B1F" w:rsidP="00E664FC">
      <w:pPr>
        <w:pStyle w:val="Heading4"/>
      </w:pPr>
      <w:bookmarkStart w:id="353" w:name="_Toc417204148"/>
      <w:bookmarkStart w:id="354" w:name="_Toc417204458"/>
      <w:bookmarkStart w:id="355" w:name="_Toc417674589"/>
      <w:r w:rsidRPr="00DF0680">
        <w:t>qRT-PCR</w:t>
      </w:r>
      <w:bookmarkEnd w:id="353"/>
      <w:bookmarkEnd w:id="354"/>
      <w:bookmarkEnd w:id="355"/>
    </w:p>
    <w:p w:rsidR="003F1B1F" w:rsidRPr="00DF0680" w:rsidRDefault="003F1B1F" w:rsidP="003F1B1F">
      <w:pPr>
        <w:rPr>
          <w:rFonts w:cs="Times New Roman"/>
        </w:rPr>
      </w:pPr>
      <w:r w:rsidRPr="00DF0680">
        <w:rPr>
          <w:rFonts w:cs="Times New Roman"/>
        </w:rPr>
        <w:t xml:space="preserve">Quantitative real-time polymerase chain reaction is a technique used to analyse the levels of mRNA in a sample from the reverse transcription generated cDNA. For the Taqman assay, specific gene-targeting probes are attached to a reporter and a quencher molecule. During PCR, when the polymerase reads through the DNA bound to the probe, the probe is broken up, allowing the reporter to move away from the quencher and release light. The light is measured, and as the reaction progresses and the DNA </w:t>
      </w:r>
      <w:proofErr w:type="gramStart"/>
      <w:r w:rsidRPr="00DF0680">
        <w:rPr>
          <w:rFonts w:cs="Times New Roman"/>
        </w:rPr>
        <w:t>is</w:t>
      </w:r>
      <w:proofErr w:type="gramEnd"/>
      <w:r w:rsidRPr="00DF0680">
        <w:rPr>
          <w:rFonts w:cs="Times New Roman"/>
        </w:rPr>
        <w:t xml:space="preserve"> amplified, more fluorescence is released and is mapped onto a dissociation curve. The more light released corresponds to greater amounts of cDNA. The amount of cDNA is given as a threshold cycle or “Ct” value. This is the number of PCR cycles it takes for the levels of fluorescence to reach a given threshold. </w:t>
      </w:r>
    </w:p>
    <w:p w:rsidR="003F1B1F" w:rsidRPr="00DF0680" w:rsidRDefault="003F1B1F" w:rsidP="003F1B1F">
      <w:pPr>
        <w:rPr>
          <w:rFonts w:cs="Times New Roman"/>
          <w:i/>
        </w:rPr>
      </w:pPr>
      <w:r w:rsidRPr="00DF0680">
        <w:rPr>
          <w:rFonts w:cs="Times New Roman"/>
        </w:rPr>
        <w:t>The cDNA was thawed and used in the Taqman assay using the Applied Biosystems Taqman Universal PCR master mix to a final volume of 10 µl. Samples first were heated to 95°C for 10 minutes then went through 50 cycles of 95°C for 15 seconds then 60°C for 1 minute. The dissociation curve was then calculated. ΔCT values were calculated by subtracting the average of the CT values for ATP5B, HSP90 and TEGT from the CT values given by the RECQL5, RECQL5β or MRE11 probe.</w:t>
      </w:r>
    </w:p>
    <w:p w:rsidR="003F1B1F" w:rsidRPr="00DF0680" w:rsidRDefault="003F1B1F" w:rsidP="00B9134D">
      <w:pPr>
        <w:pStyle w:val="Heading3"/>
      </w:pPr>
      <w:bookmarkStart w:id="356" w:name="_Toc417204149"/>
      <w:bookmarkStart w:id="357" w:name="_Toc417204459"/>
      <w:bookmarkStart w:id="358" w:name="_Toc417674590"/>
      <w:r w:rsidRPr="00DF0680">
        <w:lastRenderedPageBreak/>
        <w:t xml:space="preserve">DNA </w:t>
      </w:r>
      <w:r w:rsidR="00CE6110" w:rsidRPr="00DF0680">
        <w:t>s</w:t>
      </w:r>
      <w:r w:rsidRPr="00DF0680">
        <w:t>tudies</w:t>
      </w:r>
      <w:bookmarkEnd w:id="356"/>
      <w:bookmarkEnd w:id="357"/>
      <w:bookmarkEnd w:id="358"/>
    </w:p>
    <w:p w:rsidR="003F1B1F" w:rsidRPr="00DF0680" w:rsidRDefault="003F1B1F" w:rsidP="00E664FC">
      <w:pPr>
        <w:pStyle w:val="Heading4"/>
        <w:rPr>
          <w:shd w:val="clear" w:color="auto" w:fill="FFFFFF"/>
        </w:rPr>
      </w:pPr>
      <w:bookmarkStart w:id="359" w:name="_Toc417204150"/>
      <w:bookmarkStart w:id="360" w:name="_Toc417204460"/>
      <w:bookmarkStart w:id="361" w:name="_Toc417674591"/>
      <w:r w:rsidRPr="00DF0680">
        <w:rPr>
          <w:shd w:val="clear" w:color="auto" w:fill="FFFFFF"/>
        </w:rPr>
        <w:t xml:space="preserve">Polymerase </w:t>
      </w:r>
      <w:r w:rsidR="00CE6110" w:rsidRPr="00DF0680">
        <w:rPr>
          <w:shd w:val="clear" w:color="auto" w:fill="FFFFFF"/>
        </w:rPr>
        <w:t>chain r</w:t>
      </w:r>
      <w:r w:rsidRPr="00DF0680">
        <w:rPr>
          <w:shd w:val="clear" w:color="auto" w:fill="FFFFFF"/>
        </w:rPr>
        <w:t>eaction</w:t>
      </w:r>
      <w:bookmarkEnd w:id="359"/>
      <w:bookmarkEnd w:id="360"/>
      <w:bookmarkEnd w:id="361"/>
    </w:p>
    <w:p w:rsidR="003F1B1F" w:rsidRPr="00DF0680" w:rsidRDefault="003F1B1F" w:rsidP="003F1B1F">
      <w:pPr>
        <w:rPr>
          <w:rFonts w:cs="Times New Roman"/>
          <w:shd w:val="clear" w:color="auto" w:fill="FFFFFF"/>
        </w:rPr>
      </w:pPr>
      <w:r w:rsidRPr="00DF0680">
        <w:rPr>
          <w:rFonts w:cs="Times New Roman"/>
        </w:rPr>
        <w:t xml:space="preserve">The 3’UTR from each of the 4 bladder cell lines was amplified using PCR. This was done using the </w:t>
      </w:r>
      <w:r w:rsidRPr="00DF0680">
        <w:rPr>
          <w:rStyle w:val="il"/>
          <w:rFonts w:cs="Times New Roman"/>
          <w:szCs w:val="20"/>
        </w:rPr>
        <w:t>Phusion</w:t>
      </w:r>
      <w:r w:rsidRPr="00DF0680">
        <w:rPr>
          <w:rStyle w:val="apple-converted-space"/>
          <w:rFonts w:cs="Times New Roman"/>
          <w:szCs w:val="20"/>
          <w:shd w:val="clear" w:color="auto" w:fill="FFFFFF"/>
        </w:rPr>
        <w:t> </w:t>
      </w:r>
      <w:r w:rsidRPr="00DF0680">
        <w:rPr>
          <w:rFonts w:cs="Times New Roman"/>
          <w:shd w:val="clear" w:color="auto" w:fill="FFFFFF"/>
        </w:rPr>
        <w:t xml:space="preserve">High-Fidelity PCR Master Mix (New England Biolabs) following manufacturer’s instructions using primers detailed above. PCR products were checked for size using agarose gel electrophoresis. </w:t>
      </w:r>
    </w:p>
    <w:p w:rsidR="003F1B1F" w:rsidRPr="00DF0680" w:rsidRDefault="003F1B1F" w:rsidP="00E664FC">
      <w:pPr>
        <w:pStyle w:val="Heading4"/>
      </w:pPr>
      <w:bookmarkStart w:id="362" w:name="_Toc417204151"/>
      <w:bookmarkStart w:id="363" w:name="_Toc417204461"/>
      <w:bookmarkStart w:id="364" w:name="_Toc417674592"/>
      <w:r w:rsidRPr="00DF0680">
        <w:t>Digestion</w:t>
      </w:r>
      <w:bookmarkEnd w:id="362"/>
      <w:bookmarkEnd w:id="363"/>
      <w:bookmarkEnd w:id="364"/>
    </w:p>
    <w:p w:rsidR="003F1B1F" w:rsidRPr="00DF0680" w:rsidRDefault="003F1B1F" w:rsidP="003F1B1F">
      <w:pPr>
        <w:rPr>
          <w:rFonts w:cs="Times New Roman"/>
        </w:rPr>
      </w:pPr>
      <w:r w:rsidRPr="00DF0680">
        <w:rPr>
          <w:rFonts w:cs="Times New Roman"/>
        </w:rPr>
        <w:t xml:space="preserve">1 μg of pMirReport vector was digested with 1 μl PmeI ((10,000 units/ml) New England Biolabs) using 10 x CutSmart Buffer (New England Biolabs) for 2 hours at 37 °C to give blunt ends. Complete digestion was confirmed with agarose gel electrophoresis. </w:t>
      </w:r>
    </w:p>
    <w:p w:rsidR="003F1B1F" w:rsidRPr="00DF0680" w:rsidRDefault="003F1B1F" w:rsidP="00E664FC">
      <w:pPr>
        <w:pStyle w:val="Heading4"/>
      </w:pPr>
      <w:bookmarkStart w:id="365" w:name="_Toc417204152"/>
      <w:bookmarkStart w:id="366" w:name="_Toc417204462"/>
      <w:bookmarkStart w:id="367" w:name="_Toc417674593"/>
      <w:r w:rsidRPr="00DF0680">
        <w:t>Ligation</w:t>
      </w:r>
      <w:bookmarkEnd w:id="365"/>
      <w:bookmarkEnd w:id="366"/>
      <w:bookmarkEnd w:id="367"/>
    </w:p>
    <w:p w:rsidR="003F1B1F" w:rsidRPr="00DF0680" w:rsidRDefault="008D23F7" w:rsidP="003F1B1F">
      <w:pPr>
        <w:rPr>
          <w:rFonts w:cs="Times New Roman"/>
          <w:shd w:val="clear" w:color="auto" w:fill="FFFFFF"/>
        </w:rPr>
      </w:pPr>
      <w:r w:rsidRPr="00DF0680">
        <w:rPr>
          <w:rFonts w:cs="Times New Roman"/>
        </w:rPr>
        <w:t>Blunt ended DNA, sequenced from the 3’UTR</w:t>
      </w:r>
      <w:r w:rsidR="003F1B1F" w:rsidRPr="00DF0680">
        <w:rPr>
          <w:rFonts w:cs="Times New Roman"/>
        </w:rPr>
        <w:t xml:space="preserve"> </w:t>
      </w:r>
      <w:r w:rsidRPr="00DF0680">
        <w:rPr>
          <w:rFonts w:cs="Times New Roman"/>
        </w:rPr>
        <w:t>of the RECQL5β mRNA from the bladder cancer cell lines, was</w:t>
      </w:r>
      <w:r w:rsidR="003F1B1F" w:rsidRPr="00DF0680">
        <w:rPr>
          <w:rFonts w:cs="Times New Roman"/>
        </w:rPr>
        <w:t xml:space="preserve"> ligated into the digested pMirReport vector using T4 DNA ligase (New England Biolabs). 20 ng of insert was added to 20 ng of vector with 10 x T4 DNA Ligase Reaction Buffer and 1 μl of T4 DNA Ligase (</w:t>
      </w:r>
      <w:r w:rsidR="003F1B1F" w:rsidRPr="00DF0680">
        <w:rPr>
          <w:rFonts w:cs="Times New Roman"/>
          <w:shd w:val="clear" w:color="auto" w:fill="FFFFFF"/>
        </w:rPr>
        <w:t>400,000 units/ml) made up to 20 μl with nuclease-free water. This was left overnight at 16 °C before transforming into competent bacteria.</w:t>
      </w:r>
    </w:p>
    <w:p w:rsidR="003F1B1F" w:rsidRPr="00DF0680" w:rsidRDefault="00CE6110" w:rsidP="00E664FC">
      <w:pPr>
        <w:pStyle w:val="Heading4"/>
      </w:pPr>
      <w:bookmarkStart w:id="368" w:name="_Toc417204153"/>
      <w:bookmarkStart w:id="369" w:name="_Toc417204463"/>
      <w:bookmarkStart w:id="370" w:name="_Toc417674594"/>
      <w:r w:rsidRPr="00DF0680">
        <w:t>Plasmid e</w:t>
      </w:r>
      <w:r w:rsidR="003F1B1F" w:rsidRPr="00DF0680">
        <w:t>xtraction</w:t>
      </w:r>
      <w:bookmarkEnd w:id="368"/>
      <w:bookmarkEnd w:id="369"/>
      <w:bookmarkEnd w:id="370"/>
      <w:r w:rsidR="003F1B1F" w:rsidRPr="00DF0680">
        <w:t xml:space="preserve"> </w:t>
      </w:r>
    </w:p>
    <w:p w:rsidR="003F1B1F" w:rsidRPr="00DF0680" w:rsidRDefault="003F1B1F" w:rsidP="003F1B1F">
      <w:pPr>
        <w:rPr>
          <w:rFonts w:cs="Times New Roman"/>
          <w:shd w:val="clear" w:color="auto" w:fill="FFFFFF"/>
        </w:rPr>
      </w:pPr>
      <w:r w:rsidRPr="00DF0680">
        <w:rPr>
          <w:rFonts w:cs="Times New Roman"/>
        </w:rPr>
        <w:t xml:space="preserve">Colonies from the agar plates were picked and cultures grown in 5 ml of SOB media with 100 μg/ml ampicillin, shaking overnight at 37 °C. These cultures were then spun down to a pellet and the plasmid was isolated using a </w:t>
      </w:r>
      <w:r w:rsidRPr="00DF0680">
        <w:rPr>
          <w:rFonts w:cs="Times New Roman"/>
          <w:shd w:val="clear" w:color="auto" w:fill="FFFFFF"/>
        </w:rPr>
        <w:t xml:space="preserve">GenElute™ Plasmid Miniprep Kit (Sigma). Manufacturer’s instructions were followed. </w:t>
      </w:r>
    </w:p>
    <w:p w:rsidR="003F1B1F" w:rsidRPr="00DF0680" w:rsidRDefault="003F1B1F" w:rsidP="00E664FC">
      <w:pPr>
        <w:pStyle w:val="Heading4"/>
        <w:rPr>
          <w:shd w:val="clear" w:color="auto" w:fill="FFFFFF"/>
        </w:rPr>
      </w:pPr>
      <w:bookmarkStart w:id="371" w:name="_Toc417204154"/>
      <w:bookmarkStart w:id="372" w:name="_Toc417204464"/>
      <w:bookmarkStart w:id="373" w:name="_Toc417674595"/>
      <w:r w:rsidRPr="00DF0680">
        <w:rPr>
          <w:shd w:val="clear" w:color="auto" w:fill="FFFFFF"/>
        </w:rPr>
        <w:t>Agarose gel electrophoresis</w:t>
      </w:r>
      <w:bookmarkEnd w:id="371"/>
      <w:bookmarkEnd w:id="372"/>
      <w:bookmarkEnd w:id="373"/>
    </w:p>
    <w:p w:rsidR="003F1B1F" w:rsidRPr="00DF0680" w:rsidRDefault="003F1B1F" w:rsidP="003F1B1F">
      <w:pPr>
        <w:rPr>
          <w:rFonts w:cs="Times New Roman"/>
        </w:rPr>
      </w:pPr>
      <w:r w:rsidRPr="00DF0680">
        <w:rPr>
          <w:rFonts w:eastAsia="Calibri" w:cs="Times New Roman"/>
        </w:rPr>
        <w:t xml:space="preserve">1% agarose gels were made by </w:t>
      </w:r>
      <w:r w:rsidRPr="00DF0680">
        <w:t>adding 2</w:t>
      </w:r>
      <w:r w:rsidRPr="00DF0680">
        <w:rPr>
          <w:rFonts w:eastAsia="Calibri" w:cs="Times New Roman"/>
        </w:rPr>
        <w:t xml:space="preserve"> </w:t>
      </w:r>
      <w:r w:rsidRPr="00DF0680">
        <w:t>g SeaKem LE agarose to 20</w:t>
      </w:r>
      <w:r w:rsidRPr="00DF0680">
        <w:rPr>
          <w:rFonts w:eastAsia="Calibri" w:cs="Times New Roman"/>
        </w:rPr>
        <w:t>0 ml</w:t>
      </w:r>
      <w:r w:rsidRPr="00DF0680">
        <w:t xml:space="preserve"> of</w:t>
      </w:r>
      <w:r w:rsidRPr="00DF0680">
        <w:rPr>
          <w:rFonts w:eastAsia="Calibri" w:cs="Times New Roman"/>
        </w:rPr>
        <w:t xml:space="preserve"> 1x TAE buffer (400 mM Tris base, 10 mM EDTA pH 8 and 1.1% Glacial Acetic Acid, pH 7.6 - 7.8 in ddH</w:t>
      </w:r>
      <w:r w:rsidRPr="00DF0680">
        <w:rPr>
          <w:rFonts w:eastAsia="Calibri" w:cs="Times New Roman"/>
          <w:vertAlign w:val="subscript"/>
        </w:rPr>
        <w:t>2</w:t>
      </w:r>
      <w:r w:rsidRPr="00DF0680">
        <w:rPr>
          <w:rFonts w:eastAsia="Calibri" w:cs="Times New Roman"/>
        </w:rPr>
        <w:t xml:space="preserve">O) before heating the </w:t>
      </w:r>
      <w:r w:rsidRPr="00DF0680">
        <w:t>buffer</w:t>
      </w:r>
      <w:r w:rsidRPr="00DF0680">
        <w:rPr>
          <w:rFonts w:eastAsia="Calibri" w:cs="Times New Roman"/>
        </w:rPr>
        <w:t xml:space="preserve"> in the microwave </w:t>
      </w:r>
      <w:r w:rsidRPr="00DF0680">
        <w:t xml:space="preserve">for 3 minutes </w:t>
      </w:r>
      <w:r w:rsidRPr="00DF0680">
        <w:rPr>
          <w:rFonts w:eastAsia="Calibri" w:cs="Times New Roman"/>
        </w:rPr>
        <w:t xml:space="preserve">to dissolve the agarose.  The solution was left at room temperature to cool before 0.5 μg/ml ethidium bromide was added.  </w:t>
      </w:r>
      <w:r w:rsidRPr="00DF0680">
        <w:t>This was then poured</w:t>
      </w:r>
      <w:r w:rsidRPr="00DF0680">
        <w:rPr>
          <w:rFonts w:eastAsia="Calibri" w:cs="Times New Roman"/>
        </w:rPr>
        <w:t xml:space="preserve"> into a mould </w:t>
      </w:r>
      <w:r w:rsidRPr="00DF0680">
        <w:t xml:space="preserve">with </w:t>
      </w:r>
      <w:r w:rsidRPr="00DF0680">
        <w:rPr>
          <w:rFonts w:eastAsia="Calibri" w:cs="Times New Roman"/>
        </w:rPr>
        <w:t xml:space="preserve">a </w:t>
      </w:r>
      <w:r w:rsidRPr="00DF0680">
        <w:t xml:space="preserve">15-well </w:t>
      </w:r>
      <w:r w:rsidRPr="00DF0680">
        <w:rPr>
          <w:rFonts w:eastAsia="Calibri" w:cs="Times New Roman"/>
        </w:rPr>
        <w:t xml:space="preserve">comb and was left at room temperature to set.  </w:t>
      </w:r>
      <w:r w:rsidRPr="00DF0680">
        <w:t>T</w:t>
      </w:r>
      <w:r w:rsidRPr="00DF0680">
        <w:rPr>
          <w:rFonts w:eastAsia="Calibri" w:cs="Times New Roman"/>
        </w:rPr>
        <w:t>he comb was</w:t>
      </w:r>
      <w:r w:rsidRPr="00DF0680">
        <w:t xml:space="preserve"> then</w:t>
      </w:r>
      <w:r w:rsidRPr="00DF0680">
        <w:rPr>
          <w:rFonts w:eastAsia="Calibri" w:cs="Times New Roman"/>
        </w:rPr>
        <w:t xml:space="preserve"> removed and the gel was immersed in 1x TAE</w:t>
      </w:r>
      <w:r w:rsidRPr="00DF0680">
        <w:t xml:space="preserve"> in a Geneflow agarose gel electrophoresis system tank</w:t>
      </w:r>
      <w:r w:rsidRPr="00DF0680">
        <w:rPr>
          <w:rFonts w:eastAsia="Calibri" w:cs="Times New Roman"/>
        </w:rPr>
        <w:t xml:space="preserve">.  </w:t>
      </w:r>
      <w:r w:rsidRPr="00DF0680">
        <w:t>T</w:t>
      </w:r>
      <w:r w:rsidRPr="00DF0680">
        <w:rPr>
          <w:rFonts w:eastAsia="Calibri" w:cs="Times New Roman"/>
        </w:rPr>
        <w:t>he plasmid</w:t>
      </w:r>
      <w:r w:rsidRPr="00DF0680">
        <w:t xml:space="preserve"> or digested DNA</w:t>
      </w:r>
      <w:r w:rsidRPr="00DF0680">
        <w:rPr>
          <w:rFonts w:eastAsia="Calibri" w:cs="Times New Roman"/>
        </w:rPr>
        <w:t xml:space="preserve"> was mixed with 5x DNA loading dye and ddH</w:t>
      </w:r>
      <w:r w:rsidRPr="00DF0680">
        <w:rPr>
          <w:rFonts w:eastAsia="Calibri" w:cs="Times New Roman"/>
        </w:rPr>
        <w:softHyphen/>
      </w:r>
      <w:r w:rsidRPr="00DF0680">
        <w:rPr>
          <w:rFonts w:eastAsia="Calibri" w:cs="Times New Roman"/>
          <w:vertAlign w:val="subscript"/>
        </w:rPr>
        <w:t>2</w:t>
      </w:r>
      <w:r w:rsidRPr="00DF0680">
        <w:rPr>
          <w:rFonts w:eastAsia="Calibri" w:cs="Times New Roman"/>
        </w:rPr>
        <w:t xml:space="preserve">O to a total volume of </w:t>
      </w:r>
      <w:r w:rsidRPr="00DF0680">
        <w:t>20</w:t>
      </w:r>
      <w:r w:rsidRPr="00DF0680">
        <w:rPr>
          <w:rFonts w:eastAsia="Calibri" w:cs="Times New Roman"/>
        </w:rPr>
        <w:t xml:space="preserve"> </w:t>
      </w:r>
      <w:r w:rsidRPr="00DF0680">
        <w:rPr>
          <w:rFonts w:eastAsia="Calibri" w:cs="Times New Roman"/>
        </w:rPr>
        <w:lastRenderedPageBreak/>
        <w:t xml:space="preserve">μl.  This </w:t>
      </w:r>
      <w:r w:rsidRPr="00DF0680">
        <w:t>was loaded i</w:t>
      </w:r>
      <w:r w:rsidRPr="00DF0680">
        <w:rPr>
          <w:rFonts w:eastAsia="Calibri" w:cs="Times New Roman"/>
        </w:rPr>
        <w:t xml:space="preserve">nto the gel </w:t>
      </w:r>
      <w:r w:rsidRPr="00DF0680">
        <w:t xml:space="preserve">wells </w:t>
      </w:r>
      <w:r w:rsidRPr="00DF0680">
        <w:rPr>
          <w:rFonts w:eastAsia="Calibri" w:cs="Times New Roman"/>
        </w:rPr>
        <w:t>alongside 5 μl of Hyperladder 1 DNA si</w:t>
      </w:r>
      <w:r w:rsidRPr="00DF0680">
        <w:t>ze ladder.  The gel was run at 6</w:t>
      </w:r>
      <w:r w:rsidRPr="00DF0680">
        <w:rPr>
          <w:rFonts w:eastAsia="Calibri" w:cs="Times New Roman"/>
        </w:rPr>
        <w:t xml:space="preserve">0V for 1 - 2 h to separate the bands of DNA.  The gel was visualised using a UV transilluminator and </w:t>
      </w:r>
      <w:r w:rsidRPr="00DF0680">
        <w:t>imaged</w:t>
      </w:r>
      <w:r w:rsidRPr="00DF0680">
        <w:rPr>
          <w:rFonts w:eastAsia="Calibri" w:cs="Times New Roman"/>
        </w:rPr>
        <w:t xml:space="preserve"> using the Kodak Electrophoresis Documentation and Analysis System 120 and the Kodak 1D image analysis software.  The size and concentration of the DNA </w:t>
      </w:r>
      <w:r w:rsidRPr="00DF0680">
        <w:t xml:space="preserve">was measured using the reference of the Hyperladder 1 DNA size ladder. </w:t>
      </w:r>
    </w:p>
    <w:p w:rsidR="00FE400F" w:rsidRPr="00DF0680" w:rsidRDefault="00FE400F" w:rsidP="00E664FC">
      <w:pPr>
        <w:pStyle w:val="Heading4"/>
      </w:pPr>
      <w:bookmarkStart w:id="374" w:name="_Toc417204155"/>
      <w:bookmarkStart w:id="375" w:name="_Toc417204465"/>
      <w:bookmarkStart w:id="376" w:name="_Toc417674596"/>
      <w:r w:rsidRPr="00DF0680">
        <w:t>Sequencing</w:t>
      </w:r>
      <w:bookmarkEnd w:id="374"/>
      <w:bookmarkEnd w:id="375"/>
      <w:bookmarkEnd w:id="376"/>
    </w:p>
    <w:p w:rsidR="003F1B1F" w:rsidRPr="00DF0680" w:rsidRDefault="003F1B1F" w:rsidP="003F1B1F">
      <w:pPr>
        <w:rPr>
          <w:rFonts w:cs="Times New Roman"/>
        </w:rPr>
      </w:pPr>
      <w:r w:rsidRPr="00DF0680">
        <w:rPr>
          <w:rFonts w:cs="Times New Roman"/>
        </w:rPr>
        <w:t>Sequencing was performed by the Core Genomic Facility at the University of Sheffield using primers detailed above. Sequences were analysed using FinchTV and Sequencer 5.0.</w:t>
      </w:r>
    </w:p>
    <w:p w:rsidR="003F1B1F" w:rsidRPr="00DF0680" w:rsidRDefault="00CE6110" w:rsidP="00E664FC">
      <w:pPr>
        <w:pStyle w:val="Heading3"/>
      </w:pPr>
      <w:bookmarkStart w:id="377" w:name="_Toc417204156"/>
      <w:bookmarkStart w:id="378" w:name="_Toc417204466"/>
      <w:bookmarkStart w:id="379" w:name="_Toc417674597"/>
      <w:r w:rsidRPr="00DF0680">
        <w:t>Mammalian t</w:t>
      </w:r>
      <w:r w:rsidR="003F1B1F" w:rsidRPr="00DF0680">
        <w:t xml:space="preserve">issue </w:t>
      </w:r>
      <w:r w:rsidRPr="00DF0680">
        <w:t>c</w:t>
      </w:r>
      <w:r w:rsidR="003F1B1F" w:rsidRPr="00DF0680">
        <w:t>ulture</w:t>
      </w:r>
      <w:bookmarkEnd w:id="377"/>
      <w:bookmarkEnd w:id="378"/>
      <w:bookmarkEnd w:id="379"/>
    </w:p>
    <w:p w:rsidR="003F1B1F" w:rsidRPr="00DF0680" w:rsidRDefault="003F1B1F" w:rsidP="00E664FC">
      <w:pPr>
        <w:pStyle w:val="Heading4"/>
      </w:pPr>
      <w:bookmarkStart w:id="380" w:name="_Toc417204157"/>
      <w:bookmarkStart w:id="381" w:name="_Toc417204467"/>
      <w:bookmarkStart w:id="382" w:name="_Toc417674598"/>
      <w:r w:rsidRPr="00DF0680">
        <w:t>Passaging cells</w:t>
      </w:r>
      <w:bookmarkEnd w:id="380"/>
      <w:bookmarkEnd w:id="381"/>
      <w:bookmarkEnd w:id="382"/>
    </w:p>
    <w:p w:rsidR="003F1B1F" w:rsidRPr="00DF0680" w:rsidRDefault="003F1B1F" w:rsidP="003F1B1F">
      <w:pPr>
        <w:rPr>
          <w:rFonts w:cs="Times New Roman"/>
        </w:rPr>
      </w:pPr>
      <w:r w:rsidRPr="00DF0680">
        <w:rPr>
          <w:rFonts w:cs="Times New Roman"/>
        </w:rPr>
        <w:t xml:space="preserve">The EJ, RT112, RT4 and </w:t>
      </w:r>
      <w:r w:rsidR="00471D18" w:rsidRPr="00DF0680">
        <w:rPr>
          <w:rFonts w:cs="Times New Roman"/>
        </w:rPr>
        <w:t>MRC5V2</w:t>
      </w:r>
      <w:r w:rsidRPr="00DF0680">
        <w:rPr>
          <w:rFonts w:cs="Times New Roman"/>
        </w:rPr>
        <w:t xml:space="preserve"> cell lines were grown and cultured in standard DMEM media. Flasks of cells were washed in phosphate buffered saline (PBS) before cells were removed from the flask surface with 1 ml of Trypsin EDTA. The cells in trypsin were diluted with 9 ml of standard media and this was then used to seed new flasks. NHU hTERT Y372 cell line was grown and cultured in Complete KSFM. After washing in PBS, cells trypsinised off the flask surface were collected in 5 ml of Complete KSFM with trypsin inhibitor. Cells were then pelleted </w:t>
      </w:r>
      <w:r w:rsidR="00A40113" w:rsidRPr="00DF0680">
        <w:rPr>
          <w:rFonts w:cs="Times New Roman"/>
        </w:rPr>
        <w:t xml:space="preserve">by spinning cells at 2000 rpm for 3 minutes (Heraeus MegaFuge 16 – Thermo Scientific) </w:t>
      </w:r>
      <w:r w:rsidRPr="00DF0680">
        <w:rPr>
          <w:rFonts w:cs="Times New Roman"/>
        </w:rPr>
        <w:t xml:space="preserve">and resuspended in 10 ml of KSFM. This was then used to seed a new flask. </w:t>
      </w:r>
    </w:p>
    <w:p w:rsidR="003F1B1F" w:rsidRPr="00DF0680" w:rsidRDefault="003F1B1F" w:rsidP="00E664FC">
      <w:pPr>
        <w:pStyle w:val="Heading4"/>
      </w:pPr>
      <w:bookmarkStart w:id="383" w:name="_Toc417204158"/>
      <w:bookmarkStart w:id="384" w:name="_Toc417204468"/>
      <w:bookmarkStart w:id="385" w:name="_Toc417674599"/>
      <w:r w:rsidRPr="00DF0680">
        <w:t>Cryopreservation</w:t>
      </w:r>
      <w:bookmarkEnd w:id="383"/>
      <w:bookmarkEnd w:id="384"/>
      <w:bookmarkEnd w:id="385"/>
    </w:p>
    <w:p w:rsidR="003F1B1F" w:rsidRPr="00DF0680" w:rsidRDefault="003F1B1F" w:rsidP="003F1B1F">
      <w:pPr>
        <w:rPr>
          <w:rFonts w:cs="Times New Roman"/>
        </w:rPr>
      </w:pPr>
      <w:r w:rsidRPr="00DF0680">
        <w:rPr>
          <w:rFonts w:cs="Times New Roman"/>
        </w:rPr>
        <w:t>After cells were collected from the plate using trypsin/versene and spun down, pellets were resuspended in 10% FCS DMEM media (KSFM for NHU hTERT) at a density of approximately 5 x 10</w:t>
      </w:r>
      <w:r w:rsidRPr="00DF0680">
        <w:rPr>
          <w:rFonts w:cs="Times New Roman"/>
          <w:vertAlign w:val="superscript"/>
        </w:rPr>
        <w:t>6</w:t>
      </w:r>
      <w:r w:rsidRPr="00DF0680">
        <w:rPr>
          <w:rFonts w:cs="Times New Roman"/>
        </w:rPr>
        <w:t xml:space="preserve"> cells per ml. DMSO was added dropwise (slowly) to the cells to a final concentration of 10% v/v, mixing gently throughout. 1 ml aliquots were placed in cryovials labelled with the date, name and cell line (with passage number if known), and stored in the -70°C freezer. </w:t>
      </w:r>
    </w:p>
    <w:p w:rsidR="003F1B1F" w:rsidRPr="00DF0680" w:rsidRDefault="003F1B1F" w:rsidP="00E664FC">
      <w:pPr>
        <w:pStyle w:val="Heading4"/>
      </w:pPr>
      <w:bookmarkStart w:id="386" w:name="_Toc417204159"/>
      <w:bookmarkStart w:id="387" w:name="_Toc417204469"/>
      <w:bookmarkStart w:id="388" w:name="_Toc417674600"/>
      <w:r w:rsidRPr="00DF0680">
        <w:t>Thawing cells</w:t>
      </w:r>
      <w:bookmarkEnd w:id="386"/>
      <w:bookmarkEnd w:id="387"/>
      <w:bookmarkEnd w:id="388"/>
      <w:r w:rsidRPr="00DF0680">
        <w:t xml:space="preserve"> </w:t>
      </w:r>
    </w:p>
    <w:p w:rsidR="003F1B1F" w:rsidRPr="00DF0680" w:rsidRDefault="003F1B1F" w:rsidP="003F1B1F">
      <w:pPr>
        <w:rPr>
          <w:rFonts w:cs="Times New Roman"/>
        </w:rPr>
      </w:pPr>
      <w:r w:rsidRPr="00DF0680">
        <w:rPr>
          <w:rFonts w:cs="Times New Roman"/>
        </w:rPr>
        <w:t xml:space="preserve">Cells were thawed rapidly in a water bath set at 37°C then transferred to a falcon tube. 9 ml of DMEM  with 10% FCS was added slowly to the cells (the first 1 ml taking </w:t>
      </w:r>
      <w:r w:rsidRPr="00DF0680">
        <w:rPr>
          <w:rFonts w:cs="Times New Roman"/>
        </w:rPr>
        <w:lastRenderedPageBreak/>
        <w:t>approximately 1 minutes to add, the second 1 ml taking 45 seconds, etc.) and then this was spun down and resuspended in 10 ml of media. This was added to a new flask and left overnight, before growing up and freezing more aliquots to store in the freezer.</w:t>
      </w:r>
    </w:p>
    <w:p w:rsidR="003F1B1F" w:rsidRPr="00DF0680" w:rsidRDefault="003F1B1F" w:rsidP="00E664FC">
      <w:pPr>
        <w:pStyle w:val="Heading4"/>
      </w:pPr>
      <w:bookmarkStart w:id="389" w:name="_Toc417204160"/>
      <w:bookmarkStart w:id="390" w:name="_Toc417204470"/>
      <w:bookmarkStart w:id="391" w:name="_Toc417674601"/>
      <w:r w:rsidRPr="00DF0680">
        <w:t>siRNA transfection</w:t>
      </w:r>
      <w:bookmarkEnd w:id="389"/>
      <w:bookmarkEnd w:id="390"/>
      <w:bookmarkEnd w:id="391"/>
    </w:p>
    <w:p w:rsidR="003F1B1F" w:rsidRPr="00DF0680" w:rsidRDefault="003F1B1F" w:rsidP="003F1B1F">
      <w:pPr>
        <w:rPr>
          <w:rFonts w:cs="Times New Roman"/>
        </w:rPr>
      </w:pPr>
      <w:r w:rsidRPr="00DF0680">
        <w:rPr>
          <w:rFonts w:cs="Times New Roman"/>
        </w:rPr>
        <w:t xml:space="preserve">Short interfering RNAs can be used to deplete cells in culture of a specific mRNA’s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"Elbashir", "given" : "SM", "non-dropping-particle" : "", "parse-names" : false, "suffix" : "" }, { "dropping-particle" : "", "family" : "Harborth", "given" : "Jens", "non-dropping-particle" : "", "parse-names" : false, "suffix" : "" }, { "dropping-particle" : "", "family" : "Lendeckel", "given" : "Winfried", "non-dropping-particle" : "", "parse-names" : false, "suffix" : "" } ], "container-title" : "Nature", "id" : "ITEM-1", "issue" : "6836", "issued" : { "date-parts" : [ [ "2001" ] ] }, "page" : "494-8", "title" : "Duplexes of 21-nucleotide RNAs mediate RNA interference in cultured mammalian cells", "type" : "article-journal", "volume" : "411" }, "uris" : [ "http://www.mendeley.com/documents/?uuid=d09a26ca-dd7a-4002-b00d-7d00dc9a017d" ] } ], "mendeley" : { "formattedCitation" : "(Elbashir et al. 2001)", "plainTextFormattedCitation" : "(Elbashir et al. 2001)", "previouslyFormattedCitation" : "(Elbashir et al. 2001)"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(Elbashir et al. 2001)</w:t>
      </w:r>
      <w:r w:rsidR="00F20EC0" w:rsidRPr="00DF0680">
        <w:rPr>
          <w:rFonts w:cs="Times New Roman"/>
        </w:rPr>
        <w:fldChar w:fldCharType="end"/>
      </w:r>
      <w:r w:rsidRPr="00DF0680">
        <w:rPr>
          <w:rFonts w:cs="Times New Roman"/>
        </w:rPr>
        <w:t xml:space="preserve">. They are 23 nucleotides long, double-stranded RNA molecules that recognise mRNA sequences for the targeted gene. With the assistance of the RNA-induced silencing complex (RISC), siRNA binds to its complementary sequence on mRNA molecules and cleaves them, therefore reducing the amount of “message” in the cell. Due to the possible off target effects of siRNA, a non-coding, or “scrambled” sequence, is transfected alongside the experiment as a negative control. </w:t>
      </w:r>
    </w:p>
    <w:p w:rsidR="003F1B1F" w:rsidRPr="00DF0680" w:rsidRDefault="003F1B1F" w:rsidP="00F860C3">
      <w:pPr>
        <w:pStyle w:val="Heading5"/>
      </w:pPr>
      <w:bookmarkStart w:id="392" w:name="_Toc417204471"/>
      <w:bookmarkStart w:id="393" w:name="_Toc417204876"/>
      <w:bookmarkStart w:id="394" w:name="_Toc417674602"/>
      <w:r w:rsidRPr="00DF0680">
        <w:t xml:space="preserve">Forward siRNA transfection (HeLa and </w:t>
      </w:r>
      <w:r w:rsidR="00471D18" w:rsidRPr="00DF0680">
        <w:t>MRC5V2</w:t>
      </w:r>
      <w:r w:rsidRPr="00DF0680">
        <w:t>)</w:t>
      </w:r>
      <w:bookmarkEnd w:id="392"/>
      <w:bookmarkEnd w:id="393"/>
      <w:bookmarkEnd w:id="394"/>
    </w:p>
    <w:p w:rsidR="003F1B1F" w:rsidRPr="00DF0680" w:rsidRDefault="003F1B1F" w:rsidP="003F1B1F">
      <w:pPr>
        <w:rPr>
          <w:rFonts w:cs="Times New Roman"/>
        </w:rPr>
      </w:pPr>
      <w:r w:rsidRPr="00DF0680">
        <w:rPr>
          <w:rFonts w:cs="Times New Roman"/>
        </w:rPr>
        <w:t xml:space="preserve">2,000 cells per well in 100 µl media were plated into 96 well plates 24 hours before transfection so that cells would be approximately 30% confluent for transfection. Per well, 0.4 µl of 20 µM siRNA and 12.5 µl of Serum-Free DMEM (SFM) (as above) were mixed and incubated for 5 minutes alongside 0.15 µl of Thermo Scientific Dharmafect 1 diluted in 12.5 µl of SFM (per well of a 6-well plate – 8 µl of siRNA in 250 µl of SFM and 3 µl of Dharmafect in 250 µl of SFM and protein depletion confirmed by western blotting). The diluted siRNA and Dharmafect were then mixed and incubated for 20 minutes at room temperature. This siRNA-Dharmafect-SFM complex was then added dropwise to the surface of the media on the cells and left 24 hours before adding drugs. </w:t>
      </w:r>
    </w:p>
    <w:p w:rsidR="003F1B1F" w:rsidRPr="00DF0680" w:rsidRDefault="003F1B1F" w:rsidP="00F860C3">
      <w:pPr>
        <w:pStyle w:val="Heading5"/>
      </w:pPr>
      <w:bookmarkStart w:id="395" w:name="_Toc417204472"/>
      <w:bookmarkStart w:id="396" w:name="_Toc417204877"/>
      <w:bookmarkStart w:id="397" w:name="_Toc417674603"/>
      <w:r w:rsidRPr="00DF0680">
        <w:t>Reverse siRNA transfection (EJ and NHU)</w:t>
      </w:r>
      <w:bookmarkEnd w:id="395"/>
      <w:bookmarkEnd w:id="396"/>
      <w:bookmarkEnd w:id="397"/>
    </w:p>
    <w:p w:rsidR="003F1B1F" w:rsidRPr="00DF0680" w:rsidRDefault="003F1B1F" w:rsidP="003F1B1F">
      <w:pPr>
        <w:rPr>
          <w:rFonts w:cs="Times New Roman"/>
        </w:rPr>
      </w:pPr>
      <w:r w:rsidRPr="00DF0680">
        <w:rPr>
          <w:rFonts w:cs="Times New Roman"/>
        </w:rPr>
        <w:t>Per well of a 6-well plate 1.25 µl of 20 µM siRNA was diluted in 500 µl of SFM and left to incubate for 5 minutes at room temperature before adding 5 µl of Invitrogen Lipofectamine RNAiMAX and incubating at room temperature for a further 15-20 minutes. The siRNA-RNAiMAX-SFM complex was then pipetted to the bottom of the well before adding the cells on top (100,000 cells per well of a 6 well in 2ml media). Cells were left 24 hours before re-plating into toxicity assays or harvesting for Western Blotting.</w:t>
      </w:r>
    </w:p>
    <w:p w:rsidR="003F1B1F" w:rsidRPr="00DF0680" w:rsidRDefault="003F1B1F" w:rsidP="00E664FC">
      <w:pPr>
        <w:pStyle w:val="Heading4"/>
      </w:pPr>
      <w:bookmarkStart w:id="398" w:name="_Toc417204161"/>
      <w:bookmarkStart w:id="399" w:name="_Toc417204473"/>
      <w:bookmarkStart w:id="400" w:name="_Toc417674604"/>
      <w:r w:rsidRPr="00DF0680">
        <w:lastRenderedPageBreak/>
        <w:t xml:space="preserve">DNA </w:t>
      </w:r>
      <w:r w:rsidR="00CE6110" w:rsidRPr="00DF0680">
        <w:t>t</w:t>
      </w:r>
      <w:r w:rsidRPr="00DF0680">
        <w:t>ransfection</w:t>
      </w:r>
      <w:bookmarkEnd w:id="398"/>
      <w:bookmarkEnd w:id="399"/>
      <w:bookmarkEnd w:id="400"/>
    </w:p>
    <w:p w:rsidR="003F1B1F" w:rsidRPr="00DF0680" w:rsidRDefault="003F1B1F" w:rsidP="003F1B1F">
      <w:pPr>
        <w:rPr>
          <w:rFonts w:cs="Times New Roman"/>
        </w:rPr>
      </w:pPr>
      <w:r w:rsidRPr="00DF0680">
        <w:rPr>
          <w:rFonts w:cs="Times New Roman"/>
        </w:rPr>
        <w:t>Cells were plated so that they would be approximately 80% confluent for transfection. Cells in 6 well plates were transfected with 0.5 – 1 μg of DNA and 3 μl of Lipofectamine 2000 (Life Technologies) per well, and cells in 90 mm tissue culture dishes were transfected with 2.5 – 5 μg of DNA and 15 μl of Lipofectamine 2000. DNA and Lipofectamine were incubated separately in 250 μl of serum-free DMEM (1.25 ml for a 90 mm dish) for 5 minutes before mixing together and leaving to incubate at room temperature for 20 minutes. Lipofectamine-DNA complexes were then added to cells and left in the 37°C CO</w:t>
      </w:r>
      <w:r w:rsidRPr="00DF0680">
        <w:rPr>
          <w:rFonts w:cs="Times New Roman"/>
          <w:vertAlign w:val="subscript"/>
        </w:rPr>
        <w:t>2</w:t>
      </w:r>
      <w:r w:rsidRPr="00DF0680">
        <w:rPr>
          <w:rFonts w:cs="Times New Roman"/>
        </w:rPr>
        <w:t xml:space="preserve"> incubator for 24 – 72 hours.</w:t>
      </w:r>
    </w:p>
    <w:p w:rsidR="003F1B1F" w:rsidRPr="00DF0680" w:rsidRDefault="003F1B1F" w:rsidP="00E664FC">
      <w:pPr>
        <w:pStyle w:val="Heading4"/>
      </w:pPr>
      <w:bookmarkStart w:id="401" w:name="_Toc417204162"/>
      <w:bookmarkStart w:id="402" w:name="_Toc417204474"/>
      <w:bookmarkStart w:id="403" w:name="_Toc417674605"/>
      <w:r w:rsidRPr="00DF0680">
        <w:t>MTT toxicity assay</w:t>
      </w:r>
      <w:bookmarkEnd w:id="401"/>
      <w:bookmarkEnd w:id="402"/>
      <w:bookmarkEnd w:id="403"/>
    </w:p>
    <w:p w:rsidR="003F1B1F" w:rsidRPr="00DF0680" w:rsidRDefault="003F1B1F" w:rsidP="003F1B1F">
      <w:pPr>
        <w:rPr>
          <w:rFonts w:cs="Times New Roman"/>
        </w:rPr>
      </w:pPr>
      <w:r w:rsidRPr="00DF0680">
        <w:rPr>
          <w:rFonts w:cs="Times New Roman"/>
        </w:rPr>
        <w:t>3-(4,5-</w:t>
      </w:r>
      <w:hyperlink r:id="rId23" w:tooltip="Di-" w:history="1">
        <w:r w:rsidRPr="00DF0680">
          <w:rPr>
            <w:rFonts w:cs="Times New Roman"/>
          </w:rPr>
          <w:t>di</w:t>
        </w:r>
      </w:hyperlink>
      <w:hyperlink r:id="rId24" w:tooltip="Methyl" w:history="1">
        <w:r w:rsidRPr="00DF0680">
          <w:rPr>
            <w:rFonts w:cs="Times New Roman"/>
          </w:rPr>
          <w:t>methyl</w:t>
        </w:r>
      </w:hyperlink>
      <w:hyperlink r:id="rId25" w:tooltip="Thiazole" w:history="1">
        <w:r w:rsidRPr="00DF0680">
          <w:rPr>
            <w:rFonts w:cs="Times New Roman"/>
          </w:rPr>
          <w:t>thiazol</w:t>
        </w:r>
      </w:hyperlink>
      <w:r w:rsidRPr="00DF0680">
        <w:rPr>
          <w:rFonts w:cs="Times New Roman"/>
        </w:rPr>
        <w:t>-2-yl)-2,5-di</w:t>
      </w:r>
      <w:hyperlink r:id="rId26" w:tooltip="Phenyl" w:history="1">
        <w:r w:rsidRPr="00DF0680">
          <w:rPr>
            <w:rFonts w:cs="Times New Roman"/>
          </w:rPr>
          <w:t>phenyl</w:t>
        </w:r>
      </w:hyperlink>
      <w:r w:rsidRPr="00DF0680">
        <w:rPr>
          <w:rFonts w:cs="Times New Roman"/>
        </w:rPr>
        <w:t>tetrazolium bromide</w:t>
      </w:r>
      <w:r w:rsidRPr="00DF0680">
        <w:rPr>
          <w:rFonts w:cs="Times New Roman"/>
          <w:color w:val="252525"/>
          <w:sz w:val="35"/>
          <w:szCs w:val="35"/>
          <w:shd w:val="clear" w:color="auto" w:fill="FFFFFF"/>
        </w:rPr>
        <w:t xml:space="preserve"> </w:t>
      </w:r>
      <w:r w:rsidRPr="00DF0680">
        <w:rPr>
          <w:rFonts w:cs="Times New Roman"/>
        </w:rPr>
        <w:t xml:space="preserve">(MTT) is reduced to purple formazan by enzymes found in mitochondria. Because all living cells need mitochondria to survive, this assay can determine cell viability and therefore serves as a good tool to assess chemosensitivity in cell lines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"Carmichael", "given" : "James", "non-dropping-particle" : "", "parse-names" : false, "suffix" : "" }, { "dropping-particle" : "", "family" : "DeGraff", "given" : "WG", "non-dropping-particle" : "", "parse-names" : false, "suffix" : "" }, { "dropping-particle" : "", "family" : "Gazdar", "given" : "AF", "non-dropping-particle" : "", "parse-names" : false, "suffix" : "" } ], "container-title" : "Cancer Research", "id" : "ITEM-1", "issue" : "4", "issued" : { "date-parts" : [ [ "1987" ] ] }, "page" : "936-942", "title" : "Evaluation of a tetrazolium-based semiautomated colorimetric assay: assessment of chemosensitivity testing", "type" : "article-journal", "volume" : "47" }, "uris" : [ "http://www.mendeley.com/documents/?uuid=3b521513-3804-4851-b319-b367a4f1d71b" ] } ], "mendeley" : { "formattedCitation" : "(Carmichael et al. 1987)", "plainTextFormattedCitation" : "(Carmichael et al. 1987)", "previouslyFormattedCitation" : "(Carmichael et al. 1987)"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(Carmichael et al. 1987)</w:t>
      </w:r>
      <w:r w:rsidR="00F20EC0" w:rsidRPr="00DF0680">
        <w:rPr>
          <w:rFonts w:cs="Times New Roman"/>
        </w:rPr>
        <w:fldChar w:fldCharType="end"/>
      </w:r>
      <w:r w:rsidRPr="00DF0680">
        <w:rPr>
          <w:rFonts w:cs="Times New Roman"/>
        </w:rPr>
        <w:t xml:space="preserve">. Cells were plated 24 hours before transfection of siRNA / adding drugs in the concentrations and duration shown. 5 days after plating, 50 µl of 3 mg/ml MTT (made in PBS) was added to the cells and incubated for 3 hours. The media was then removed using an aspirator and the purple formazan precipitate dissolved in 200 µl of dimethyl </w:t>
      </w:r>
      <w:r w:rsidR="00DF0680" w:rsidRPr="00DF0680">
        <w:rPr>
          <w:rFonts w:cs="Times New Roman"/>
        </w:rPr>
        <w:t>sulphoxide</w:t>
      </w:r>
      <w:r w:rsidRPr="00DF0680">
        <w:rPr>
          <w:rFonts w:cs="Times New Roman"/>
        </w:rPr>
        <w:t xml:space="preserve"> (DMSO) per well. Optical Density (OD) values were then read using a Thermo Scientific Multiskan FC set at 540 nm and survival fractions for each concentration were calculated and compared to untreated controls. Assays were repeated three times and averages and standard deviations were calculated. </w:t>
      </w:r>
    </w:p>
    <w:p w:rsidR="003F1B1F" w:rsidRPr="00DF0680" w:rsidRDefault="003F1B1F" w:rsidP="00E664FC">
      <w:pPr>
        <w:pStyle w:val="Heading4"/>
      </w:pPr>
      <w:bookmarkStart w:id="404" w:name="_Toc417204163"/>
      <w:bookmarkStart w:id="405" w:name="_Toc417204475"/>
      <w:bookmarkStart w:id="406" w:name="_Toc417674606"/>
      <w:r w:rsidRPr="00DF0680">
        <w:t>Clonogenic cell survival assay</w:t>
      </w:r>
      <w:bookmarkEnd w:id="404"/>
      <w:bookmarkEnd w:id="405"/>
      <w:bookmarkEnd w:id="406"/>
      <w:r w:rsidRPr="00DF0680">
        <w:t xml:space="preserve"> </w:t>
      </w:r>
    </w:p>
    <w:p w:rsidR="003F1B1F" w:rsidRPr="00DF0680" w:rsidRDefault="003F1B1F" w:rsidP="003F1B1F">
      <w:pPr>
        <w:rPr>
          <w:rFonts w:cs="Times New Roman"/>
          <w:i/>
        </w:rPr>
      </w:pPr>
      <w:r w:rsidRPr="00DF0680">
        <w:rPr>
          <w:rFonts w:cs="Times New Roman"/>
        </w:rPr>
        <w:t>For each experiment, 500 and 2500 cells were plated out per plate per drug concentration. After plating, cells were left to adhere for approximately 6 hours before adding the drugs. Cells were left to form colonies for 10 days, then the media was poured off and cells stained with methylene blue in methanol (4 g/L). Colonies were counted using Stuart Scientific Colony Counter</w:t>
      </w:r>
      <w:r w:rsidR="00DF0680">
        <w:rPr>
          <w:rFonts w:cs="Times New Roman"/>
        </w:rPr>
        <w:t>,</w:t>
      </w:r>
      <w:r w:rsidRPr="00DF0680">
        <w:rPr>
          <w:rFonts w:cs="Times New Roman"/>
        </w:rPr>
        <w:t xml:space="preserve"> and survival fractions for each dose </w:t>
      </w:r>
      <w:proofErr w:type="gramStart"/>
      <w:r w:rsidRPr="00DF0680">
        <w:rPr>
          <w:rFonts w:cs="Times New Roman"/>
        </w:rPr>
        <w:t>were</w:t>
      </w:r>
      <w:proofErr w:type="gramEnd"/>
      <w:r w:rsidRPr="00DF0680">
        <w:rPr>
          <w:rFonts w:cs="Times New Roman"/>
        </w:rPr>
        <w:t xml:space="preserve"> calculated relative to the untreated control. Assays were repeated three times and averages and standard deviations were calculated.</w:t>
      </w:r>
    </w:p>
    <w:p w:rsidR="003F1B1F" w:rsidRPr="00DF0680" w:rsidRDefault="00CE6110" w:rsidP="00E664FC">
      <w:pPr>
        <w:pStyle w:val="Heading3"/>
      </w:pPr>
      <w:bookmarkStart w:id="407" w:name="_Toc417204164"/>
      <w:bookmarkStart w:id="408" w:name="_Toc417204476"/>
      <w:bookmarkStart w:id="409" w:name="_Toc417674607"/>
      <w:r w:rsidRPr="00DF0680">
        <w:lastRenderedPageBreak/>
        <w:t>Protein s</w:t>
      </w:r>
      <w:r w:rsidR="003F1B1F" w:rsidRPr="00DF0680">
        <w:t>tudies</w:t>
      </w:r>
      <w:bookmarkEnd w:id="407"/>
      <w:bookmarkEnd w:id="408"/>
      <w:bookmarkEnd w:id="409"/>
    </w:p>
    <w:p w:rsidR="003F1B1F" w:rsidRPr="00DF0680" w:rsidRDefault="003F1B1F" w:rsidP="00E664FC">
      <w:pPr>
        <w:pStyle w:val="Heading4"/>
      </w:pPr>
      <w:bookmarkStart w:id="410" w:name="_Toc417204165"/>
      <w:bookmarkStart w:id="411" w:name="_Toc417204477"/>
      <w:bookmarkStart w:id="412" w:name="_Toc417674608"/>
      <w:r w:rsidRPr="00DF0680">
        <w:t>Cycloheximide protein stability assay</w:t>
      </w:r>
      <w:bookmarkEnd w:id="410"/>
      <w:bookmarkEnd w:id="411"/>
      <w:bookmarkEnd w:id="412"/>
      <w:r w:rsidRPr="00DF0680">
        <w:t xml:space="preserve"> </w:t>
      </w:r>
    </w:p>
    <w:p w:rsidR="003F1B1F" w:rsidRPr="00DF0680" w:rsidRDefault="003F1B1F" w:rsidP="003F1B1F">
      <w:pPr>
        <w:rPr>
          <w:rFonts w:cs="Times New Roman"/>
        </w:rPr>
      </w:pPr>
      <w:r w:rsidRPr="00DF0680">
        <w:rPr>
          <w:rFonts w:cs="Times New Roman"/>
        </w:rPr>
        <w:t xml:space="preserve">Cycloheximide is a drug that can inhibit protein synthesis in mammalian cells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"Stoyanova", "given" : "Bistra B", "non-dropping-particle" : "", "parse-names" : false, "suffix" : "" }, { "dropping-particle" : "", "family" : "Genetics", "given" : "Molecular", "non-dropping-particle" : "", "parse-names" : false, "suffix" : "" }, { "dropping-particle" : "", "family" : "Biology", "given" : "Molecular", "non-dropping-particle" : "", "parse-names" : false, "suffix" : "" }, { "dropping-particle" : "", "family" : "Academy", "given" : "Bulgarian", "non-dropping-particle" : "", "parse-names" : false, "suffix" : "" } ], "container-title" : "European Journal of Biochemistry", "id" : "ITEM-1", "issue" : "2", "issued" : { "date-parts" : [ [ "1979" ] ] }, "page" : "349-356", "title" : "Alterations in the Processing of Rat Liver Ribosomal RNA Caused by Cycloheximide Inhibition of Protein Synthesis", "type" : "article-journal", "volume" : "92" }, "uris" : [ "http://www.mendeley.com/documents/?uuid=4192651e-7363-47a7-a069-d5798a190aaa" ] } ], "mendeley" : { "formattedCitation" : "(Stoyanova et al. 1979)", "plainTextFormattedCitation" : "(Stoyanova et al. 1979)", "previouslyFormattedCitation" : "(Stoyanova et al. 1979)"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(Stoyanova et al. 1979)</w:t>
      </w:r>
      <w:r w:rsidR="00F20EC0" w:rsidRPr="00DF0680">
        <w:rPr>
          <w:rFonts w:cs="Times New Roman"/>
        </w:rPr>
        <w:fldChar w:fldCharType="end"/>
      </w:r>
      <w:r w:rsidRPr="00DF0680">
        <w:rPr>
          <w:rFonts w:cs="Times New Roman"/>
        </w:rPr>
        <w:t xml:space="preserve">. Protein stability can be determined by culturing cells in the presence of cycloheximide and analysing the specific protein levels over time. </w:t>
      </w:r>
    </w:p>
    <w:p w:rsidR="003F1B1F" w:rsidRPr="00DF0680" w:rsidRDefault="003F1B1F" w:rsidP="003F1B1F">
      <w:pPr>
        <w:rPr>
          <w:rFonts w:cs="Times New Roman"/>
        </w:rPr>
      </w:pPr>
      <w:r w:rsidRPr="00DF0680">
        <w:rPr>
          <w:rFonts w:cs="Times New Roman"/>
        </w:rPr>
        <w:t>90 mm plates with 1.5 x 10</w:t>
      </w:r>
      <w:r w:rsidRPr="00DF0680">
        <w:rPr>
          <w:rFonts w:cs="Times New Roman"/>
          <w:vertAlign w:val="superscript"/>
        </w:rPr>
        <w:t>6</w:t>
      </w:r>
      <w:r w:rsidRPr="00DF0680">
        <w:rPr>
          <w:rFonts w:cs="Times New Roman"/>
        </w:rPr>
        <w:t xml:space="preserve"> cells were plated 24 hours prior to treatment. Cells were exposed to 100 µM cycloheximide (100 µl of a 10 mM working stock was added to the 10 ml of media on the surface of the cells) for the times shown. DMSO was used as a control due to the cycloheximide being dissolved in DMSO. Cells were then scraped off the plate and lysed (see 2.2.5.2). Protein levels were analysed by Western Blot where c-myc levels were used as a positive control for translation inhibition due to its short half-life </w:t>
      </w:r>
      <w:r w:rsidR="00F20EC0" w:rsidRPr="00DF0680">
        <w:rPr>
          <w:rFonts w:cs="Times New Roman"/>
        </w:rPr>
        <w:fldChar w:fldCharType="begin"/>
      </w:r>
      <w:r w:rsidRPr="00DF0680">
        <w:rPr>
          <w:rFonts w:cs="Times New Roman"/>
        </w:rPr>
        <w:instrText xml:space="preserve"> ADDIN EN.CITE &lt;EndNote&gt;&lt;Cite&gt;&lt;Author&gt;Salghetti&lt;/Author&gt;&lt;Year&gt;1999&lt;/Year&gt;&lt;RecNum&gt;98&lt;/RecNum&gt;&lt;DisplayText&gt;(Salghetti, Kim et al. 1999)&lt;/DisplayText&gt;&lt;record&gt;&lt;rec-number&gt;98&lt;/rec-number&gt;&lt;foreign-keys&gt;&lt;key app="EN" db-id="wpf2eztvgsdv0meff22xfzwkp0vdffs2t55w"&gt;98&lt;/key&gt;&lt;/foreign-keys&gt;&lt;ref-type name="Journal Article"&gt;17&lt;/ref-type&gt;&lt;contributors&gt;&lt;authors&gt;&lt;author&gt;Salghetti, S.&lt;/author&gt;&lt;author&gt;Kim, S.&lt;/author&gt;&lt;author&gt;Tansey, W.&lt;/author&gt;&lt;/authors&gt;&lt;/contributors&gt;&lt;auth-address&gt;Cold Spring Harbor Laboratory, 1 Bungtown Road, PO Box 100, Cold Spring Harbor, NY 11724, USA.&lt;/auth-address&gt;&lt;titles&gt;&lt;title&gt;Destruction of Myc by ubiquitin-mediated proteolysis: cancer-associated and transforming mutations stabilize Myc&lt;/title&gt;&lt;secondary-title&gt;The EMBO journal&lt;/secondary-title&gt;&lt;/titles&gt;&lt;periodical&gt;&lt;full-title&gt;The EMBO journal&lt;/full-title&gt;&lt;/periodical&gt;&lt;pages&gt;717-743&lt;/pages&gt;&lt;volume&gt;18&lt;/volume&gt;&lt;number&gt;5edb519f-8116-4410-bf78-c52e49f38795&lt;/number&gt;&lt;dates&gt;&lt;year&gt;1999&lt;/year&gt;&lt;/dates&gt;&lt;isbn&gt;0261-4189&lt;/isbn&gt;&lt;urls&gt;&lt;related-urls&gt;&lt;url&gt;http://dx.doi.org/10.1093/emboj/18.3.717&lt;/url&gt;&lt;url&gt;C:\Users\Karl\Documents\ReadCube Media\EMBO J 1999 Salghetti SE.pdf&lt;/url&gt;&lt;/related-urls&gt;&lt;/urls&gt;&lt;electronic-resource-num&gt;10.1093/emboj/18.3.717&lt;/electronic-resource-num&gt;&lt;remote-database-name&gt;Readcube&lt;/remote-database-name&gt;&lt;/record&gt;&lt;/Cite&gt;&lt;/EndNote&gt;</w:instrText>
      </w:r>
      <w:r w:rsidR="00F20EC0" w:rsidRPr="00DF0680">
        <w:rPr>
          <w:rFonts w:cs="Times New Roman"/>
        </w:rPr>
        <w:fldChar w:fldCharType="separate"/>
      </w:r>
      <w:r w:rsidRPr="00DF0680">
        <w:rPr>
          <w:rFonts w:cs="Times New Roman"/>
        </w:rPr>
        <w:t>(</w:t>
      </w:r>
      <w:hyperlink w:anchor="_ENREF_68" w:tooltip="Salghetti, 1999 #98" w:history="1">
        <w:r w:rsidRPr="00DF0680">
          <w:rPr>
            <w:rFonts w:cs="Times New Roman"/>
          </w:rPr>
          <w:t>Salghetti, Kim et al. 1999</w:t>
        </w:r>
      </w:hyperlink>
      <w:r w:rsidRPr="00DF0680">
        <w:rPr>
          <w:rFonts w:cs="Times New Roman"/>
        </w:rPr>
        <w:t>)</w:t>
      </w:r>
      <w:r w:rsidR="00F20EC0" w:rsidRPr="00DF0680">
        <w:rPr>
          <w:rFonts w:cs="Times New Roman"/>
        </w:rPr>
        <w:fldChar w:fldCharType="end"/>
      </w:r>
      <w:r w:rsidRPr="00DF0680">
        <w:rPr>
          <w:rFonts w:cs="Times New Roman"/>
        </w:rPr>
        <w:t>. Protein levels relative to the protein loading control were quantified using Image J. The assay was repeated three times and averages and standard deviations calculated.</w:t>
      </w:r>
    </w:p>
    <w:p w:rsidR="003F1B1F" w:rsidRPr="00DF0680" w:rsidRDefault="003F1B1F" w:rsidP="00E664FC">
      <w:pPr>
        <w:pStyle w:val="Heading4"/>
      </w:pPr>
      <w:bookmarkStart w:id="413" w:name="_Toc417204166"/>
      <w:bookmarkStart w:id="414" w:name="_Toc417204478"/>
      <w:bookmarkStart w:id="415" w:name="_Toc417674609"/>
      <w:r w:rsidRPr="00DF0680">
        <w:t>Cell lysates for western blotting</w:t>
      </w:r>
      <w:bookmarkEnd w:id="413"/>
      <w:bookmarkEnd w:id="414"/>
      <w:bookmarkEnd w:id="415"/>
      <w:r w:rsidRPr="00DF0680">
        <w:t xml:space="preserve"> </w:t>
      </w:r>
    </w:p>
    <w:p w:rsidR="003F1B1F" w:rsidRPr="00DF0680" w:rsidRDefault="003F1B1F" w:rsidP="003F1B1F">
      <w:pPr>
        <w:rPr>
          <w:rFonts w:cs="Times New Roman"/>
        </w:rPr>
      </w:pPr>
      <w:r w:rsidRPr="00DF0680">
        <w:rPr>
          <w:rFonts w:cs="Times New Roman"/>
        </w:rPr>
        <w:t>Cells seeded at 200,000 per well of a 6-well plate (1 x10</w:t>
      </w:r>
      <w:r w:rsidRPr="00DF0680">
        <w:rPr>
          <w:rFonts w:cs="Times New Roman"/>
          <w:vertAlign w:val="superscript"/>
        </w:rPr>
        <w:t>6</w:t>
      </w:r>
      <w:r w:rsidRPr="00DF0680">
        <w:rPr>
          <w:rFonts w:cs="Times New Roman"/>
        </w:rPr>
        <w:t xml:space="preserve"> cells for a 90 mm dish) 48 hours earlier, were washed with ice cold PBS and collected from the plate into ice cold PBS (200 µl PBS per well for a 6-well and 500 µl for a 90 mm dish) using a cell scraper (Sarstedt). Cells were then pelleted at 4°C at 3,000 rpm for 5 mins before resuspending in RIPA buffer (50 mM Tris pH 8.0, 150 mM NaCl, 0.1 % SDS, 1 % NP-40, 0.5 % Sodium Deoxycholate, 10 µl SIGMAFAST protease inhibitor (Sigma), 10 µl of Phosphatase Inhibitor Cocktail 2 and 3 (Sigma), and made up to 1 ml with water) with approximately the same volume as the pellet. This was then vortexed every 5 mins for 20 mins, then passed through a 25 G needle 10 times and spun down at 4 °C at 13,400 rpm for 10 mins. The supernatant was collected and stored in the -20 °C freezer before quantification and Western Blotting. </w:t>
      </w:r>
    </w:p>
    <w:p w:rsidR="003F1B1F" w:rsidRPr="00DF0680" w:rsidRDefault="003F1B1F" w:rsidP="00E664FC">
      <w:pPr>
        <w:pStyle w:val="Heading4"/>
      </w:pPr>
      <w:bookmarkStart w:id="416" w:name="_Toc417204167"/>
      <w:bookmarkStart w:id="417" w:name="_Toc417204479"/>
      <w:bookmarkStart w:id="418" w:name="_Toc417674610"/>
      <w:r w:rsidRPr="00DF0680">
        <w:t>Protein quantification</w:t>
      </w:r>
      <w:bookmarkEnd w:id="416"/>
      <w:bookmarkEnd w:id="417"/>
      <w:bookmarkEnd w:id="418"/>
      <w:r w:rsidRPr="00DF0680">
        <w:t xml:space="preserve"> </w:t>
      </w:r>
    </w:p>
    <w:p w:rsidR="003F1B1F" w:rsidRPr="00DF0680" w:rsidRDefault="003F1B1F" w:rsidP="003F1B1F">
      <w:pPr>
        <w:rPr>
          <w:rFonts w:cs="Times New Roman"/>
        </w:rPr>
      </w:pPr>
      <w:r w:rsidRPr="00DF0680">
        <w:rPr>
          <w:rFonts w:cs="Times New Roman"/>
        </w:rPr>
        <w:t xml:space="preserve">Protein standard curves were made using bovine serum albumin (BSA). 1 µl of the protein samples was added to 800 µl of water, and 200 µl of BioRad Protein Assay Dye Reagent Concentrate was added to the samples and standards. After 5-30 minutes, the OD was measured using Thermo Scientific Multiskan FC set at 595 nm. Using Microsoft Excel, the OD of the protein standards was plotted against the concentration </w:t>
      </w:r>
      <w:r w:rsidRPr="00DF0680">
        <w:rPr>
          <w:rFonts w:cs="Times New Roman"/>
        </w:rPr>
        <w:lastRenderedPageBreak/>
        <w:t xml:space="preserve">to make the standard curve, and the formula of this curve was used to calculate the concentration of the protein samples. This value was used to determine how much of each sample to load in each well. </w:t>
      </w:r>
    </w:p>
    <w:p w:rsidR="003F1B1F" w:rsidRPr="00DF0680" w:rsidRDefault="00CE6110" w:rsidP="00E664FC">
      <w:pPr>
        <w:pStyle w:val="Heading4"/>
      </w:pPr>
      <w:bookmarkStart w:id="419" w:name="_Toc417204168"/>
      <w:bookmarkStart w:id="420" w:name="_Toc417204480"/>
      <w:bookmarkStart w:id="421" w:name="_Toc417674611"/>
      <w:r w:rsidRPr="00DF0680">
        <w:t>SDS-PAGE Western b</w:t>
      </w:r>
      <w:r w:rsidR="003F1B1F" w:rsidRPr="00DF0680">
        <w:t>lot</w:t>
      </w:r>
      <w:bookmarkEnd w:id="419"/>
      <w:bookmarkEnd w:id="420"/>
      <w:bookmarkEnd w:id="421"/>
    </w:p>
    <w:p w:rsidR="003F1B1F" w:rsidRPr="00DF0680" w:rsidRDefault="003F1B1F" w:rsidP="003F1B1F">
      <w:pPr>
        <w:rPr>
          <w:rFonts w:cs="Times New Roman"/>
        </w:rPr>
      </w:pPr>
      <w:r w:rsidRPr="00DF0680">
        <w:rPr>
          <w:rFonts w:cs="Times New Roman"/>
        </w:rPr>
        <w:t xml:space="preserve">The western blotting technique allows identification of the presence / levels of proteins using specific antibodies. Protein samples are initially denatured in a SDS based loading buffer (which coats the protein in a negative charge), and loaded into the stacking gel which allows separation of the samples to be maintained. The SDS denaturing polyacrylamide gel separates the proteins by size once a current is passed through it. The proteins are transferred onto a membrane which is then blocked with a dilute protein solution (which prevents any non-specific binding by the antibody). Primary antibodies are bound to the target proteins and this is followed by the secondary antibody which is conjugated to the horse radish peroxidise enzyme. When the membrane is exposed to the chemi-luminescent substrate, it gives off light where the secondary antibody is bound, and is detected when the blot is exposed to x-ray film. </w:t>
      </w:r>
    </w:p>
    <w:p w:rsidR="003F1B1F" w:rsidRPr="00DF0680" w:rsidRDefault="003F1B1F" w:rsidP="00F860C3">
      <w:pPr>
        <w:pStyle w:val="Heading5"/>
      </w:pPr>
      <w:bookmarkStart w:id="422" w:name="_Toc417204481"/>
      <w:bookmarkStart w:id="423" w:name="_Toc417204886"/>
      <w:bookmarkStart w:id="424" w:name="_Toc417674612"/>
      <w:r w:rsidRPr="00DF0680">
        <w:t>Sodium dodecyl sulphate (SDS) polyacrylamide gel electrophoresis (PAGE)</w:t>
      </w:r>
      <w:bookmarkEnd w:id="422"/>
      <w:bookmarkEnd w:id="423"/>
      <w:bookmarkEnd w:id="424"/>
    </w:p>
    <w:p w:rsidR="003F1B1F" w:rsidRPr="00DF0680" w:rsidRDefault="003F1B1F" w:rsidP="003F1B1F">
      <w:pPr>
        <w:rPr>
          <w:rFonts w:cs="Times New Roman"/>
        </w:rPr>
      </w:pPr>
      <w:r w:rsidRPr="00DF0680">
        <w:rPr>
          <w:rFonts w:cs="Times New Roman"/>
        </w:rPr>
        <w:t xml:space="preserve">8-12 % polyacrylamide gels were made of UltraPure Protogel (National Diagnostics), water, 1.5 M Tris (pH 8.8), 10 % SDS, 10 % APS and TEMED, with a 5 % stacking gel using 1.0 M Tris (pH 6.8) as follows: </w:t>
      </w:r>
    </w:p>
    <w:tbl>
      <w:tblPr>
        <w:tblStyle w:val="TableGrid"/>
        <w:tblpPr w:leftFromText="180" w:rightFromText="180" w:vertAnchor="text" w:horzAnchor="margin" w:tblpXSpec="center" w:tblpY="29"/>
        <w:tblW w:w="0" w:type="auto"/>
        <w:tblLook w:val="04A0"/>
      </w:tblPr>
      <w:tblGrid>
        <w:gridCol w:w="3250"/>
        <w:gridCol w:w="1134"/>
        <w:gridCol w:w="1134"/>
        <w:gridCol w:w="1135"/>
        <w:gridCol w:w="2067"/>
      </w:tblGrid>
      <w:tr w:rsidR="003F1B1F" w:rsidRPr="00DF0680" w:rsidTr="003F1B1F">
        <w:tc>
          <w:tcPr>
            <w:tcW w:w="3494" w:type="dxa"/>
            <w:shd w:val="clear" w:color="auto" w:fill="A6A6A6" w:themeFill="background1" w:themeFillShade="A6"/>
          </w:tcPr>
          <w:p w:rsidR="003F1B1F" w:rsidRPr="00DF0680" w:rsidRDefault="003F1B1F" w:rsidP="003F1B1F">
            <w:pPr>
              <w:pStyle w:val="ListParagraph"/>
              <w:ind w:left="0"/>
              <w:jc w:val="center"/>
              <w:rPr>
                <w:rFonts w:cs="Times New Roman"/>
                <w:sz w:val="24"/>
              </w:rPr>
            </w:pPr>
          </w:p>
        </w:tc>
        <w:tc>
          <w:tcPr>
            <w:tcW w:w="1181" w:type="dxa"/>
            <w:shd w:val="clear" w:color="auto" w:fill="A6A6A6" w:themeFill="background1" w:themeFillShade="A6"/>
          </w:tcPr>
          <w:p w:rsidR="003F1B1F" w:rsidRPr="00DF0680" w:rsidRDefault="003F1B1F" w:rsidP="003F1B1F">
            <w:pPr>
              <w:pStyle w:val="ListParagraph"/>
              <w:ind w:left="0"/>
              <w:jc w:val="center"/>
              <w:rPr>
                <w:rFonts w:cs="Times New Roman"/>
                <w:sz w:val="24"/>
                <w:u w:val="single"/>
              </w:rPr>
            </w:pPr>
            <w:r w:rsidRPr="00DF0680">
              <w:rPr>
                <w:rFonts w:cs="Times New Roman"/>
                <w:sz w:val="24"/>
                <w:u w:val="single"/>
              </w:rPr>
              <w:t>8 %</w:t>
            </w:r>
          </w:p>
        </w:tc>
        <w:tc>
          <w:tcPr>
            <w:tcW w:w="1181" w:type="dxa"/>
            <w:shd w:val="clear" w:color="auto" w:fill="A6A6A6" w:themeFill="background1" w:themeFillShade="A6"/>
          </w:tcPr>
          <w:p w:rsidR="003F1B1F" w:rsidRPr="00DF0680" w:rsidRDefault="003F1B1F" w:rsidP="003F1B1F">
            <w:pPr>
              <w:pStyle w:val="ListParagraph"/>
              <w:ind w:left="0"/>
              <w:jc w:val="center"/>
              <w:rPr>
                <w:rFonts w:cs="Times New Roman"/>
                <w:sz w:val="24"/>
                <w:u w:val="single"/>
              </w:rPr>
            </w:pPr>
            <w:r w:rsidRPr="00DF0680">
              <w:rPr>
                <w:rFonts w:cs="Times New Roman"/>
                <w:sz w:val="24"/>
                <w:u w:val="single"/>
              </w:rPr>
              <w:t>10 %</w:t>
            </w:r>
          </w:p>
        </w:tc>
        <w:tc>
          <w:tcPr>
            <w:tcW w:w="1182" w:type="dxa"/>
            <w:shd w:val="clear" w:color="auto" w:fill="A6A6A6" w:themeFill="background1" w:themeFillShade="A6"/>
          </w:tcPr>
          <w:p w:rsidR="003F1B1F" w:rsidRPr="00DF0680" w:rsidRDefault="003F1B1F" w:rsidP="003F1B1F">
            <w:pPr>
              <w:pStyle w:val="ListParagraph"/>
              <w:ind w:left="0"/>
              <w:jc w:val="center"/>
              <w:rPr>
                <w:rFonts w:cs="Times New Roman"/>
                <w:sz w:val="24"/>
                <w:u w:val="single"/>
              </w:rPr>
            </w:pPr>
            <w:r w:rsidRPr="00DF0680">
              <w:rPr>
                <w:rFonts w:cs="Times New Roman"/>
                <w:sz w:val="24"/>
                <w:u w:val="single"/>
              </w:rPr>
              <w:t>12 %</w:t>
            </w:r>
          </w:p>
        </w:tc>
        <w:tc>
          <w:tcPr>
            <w:tcW w:w="2188" w:type="dxa"/>
            <w:shd w:val="clear" w:color="auto" w:fill="A6A6A6" w:themeFill="background1" w:themeFillShade="A6"/>
          </w:tcPr>
          <w:p w:rsidR="003F1B1F" w:rsidRPr="00DF0680" w:rsidRDefault="003F1B1F" w:rsidP="003F1B1F">
            <w:pPr>
              <w:pStyle w:val="ListParagraph"/>
              <w:ind w:left="0"/>
              <w:jc w:val="center"/>
              <w:rPr>
                <w:rFonts w:cs="Times New Roman"/>
                <w:sz w:val="24"/>
                <w:u w:val="single"/>
              </w:rPr>
            </w:pPr>
            <w:r w:rsidRPr="00DF0680">
              <w:rPr>
                <w:rFonts w:cs="Times New Roman"/>
                <w:sz w:val="24"/>
                <w:u w:val="single"/>
              </w:rPr>
              <w:t>5 % (stacking gel)</w:t>
            </w:r>
          </w:p>
        </w:tc>
      </w:tr>
      <w:tr w:rsidR="003F1B1F" w:rsidRPr="00DF0680" w:rsidTr="003F1B1F">
        <w:tc>
          <w:tcPr>
            <w:tcW w:w="3494" w:type="dxa"/>
            <w:shd w:val="clear" w:color="auto" w:fill="D9D9D9" w:themeFill="background1" w:themeFillShade="D9"/>
          </w:tcPr>
          <w:p w:rsidR="003F1B1F" w:rsidRPr="00DF0680" w:rsidRDefault="003F1B1F" w:rsidP="003F1B1F">
            <w:pPr>
              <w:pStyle w:val="ListParagraph"/>
              <w:ind w:left="0"/>
              <w:jc w:val="center"/>
              <w:rPr>
                <w:rFonts w:cs="Times New Roman"/>
                <w:sz w:val="24"/>
              </w:rPr>
            </w:pPr>
            <w:r w:rsidRPr="00DF0680">
              <w:rPr>
                <w:rFonts w:cs="Times New Roman"/>
                <w:sz w:val="24"/>
              </w:rPr>
              <w:t>Water (ml)</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4.6</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4.0</w:t>
            </w:r>
          </w:p>
        </w:tc>
        <w:tc>
          <w:tcPr>
            <w:tcW w:w="1182" w:type="dxa"/>
          </w:tcPr>
          <w:p w:rsidR="003F1B1F" w:rsidRPr="00DF0680" w:rsidRDefault="003F1B1F" w:rsidP="003F1B1F">
            <w:pPr>
              <w:pStyle w:val="ListParagraph"/>
              <w:ind w:left="0"/>
              <w:jc w:val="center"/>
              <w:rPr>
                <w:rFonts w:cs="Times New Roman"/>
                <w:sz w:val="24"/>
              </w:rPr>
            </w:pPr>
            <w:r w:rsidRPr="00DF0680">
              <w:rPr>
                <w:rFonts w:cs="Times New Roman"/>
                <w:sz w:val="24"/>
              </w:rPr>
              <w:t>3.3</w:t>
            </w:r>
          </w:p>
        </w:tc>
        <w:tc>
          <w:tcPr>
            <w:tcW w:w="2188" w:type="dxa"/>
          </w:tcPr>
          <w:p w:rsidR="003F1B1F" w:rsidRPr="00DF0680" w:rsidRDefault="003F1B1F" w:rsidP="003F1B1F">
            <w:pPr>
              <w:pStyle w:val="ListParagraph"/>
              <w:ind w:left="0"/>
              <w:jc w:val="center"/>
              <w:rPr>
                <w:rFonts w:cs="Times New Roman"/>
                <w:sz w:val="24"/>
              </w:rPr>
            </w:pPr>
            <w:r w:rsidRPr="00DF0680">
              <w:rPr>
                <w:rFonts w:cs="Times New Roman"/>
                <w:sz w:val="24"/>
              </w:rPr>
              <w:t>3.4</w:t>
            </w:r>
          </w:p>
        </w:tc>
      </w:tr>
      <w:tr w:rsidR="003F1B1F" w:rsidRPr="00DF0680" w:rsidTr="003F1B1F">
        <w:tc>
          <w:tcPr>
            <w:tcW w:w="3494" w:type="dxa"/>
            <w:shd w:val="clear" w:color="auto" w:fill="D9D9D9" w:themeFill="background1" w:themeFillShade="D9"/>
          </w:tcPr>
          <w:p w:rsidR="003F1B1F" w:rsidRPr="00DF0680" w:rsidRDefault="003F1B1F" w:rsidP="003F1B1F">
            <w:pPr>
              <w:pStyle w:val="ListParagraph"/>
              <w:ind w:left="0"/>
              <w:jc w:val="center"/>
              <w:rPr>
                <w:rFonts w:cs="Times New Roman"/>
                <w:sz w:val="24"/>
              </w:rPr>
            </w:pPr>
            <w:r w:rsidRPr="00DF0680">
              <w:rPr>
                <w:rFonts w:cs="Times New Roman"/>
                <w:sz w:val="24"/>
              </w:rPr>
              <w:t>30 % acrylamide (ml)</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2.7</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3.3</w:t>
            </w:r>
          </w:p>
        </w:tc>
        <w:tc>
          <w:tcPr>
            <w:tcW w:w="1182" w:type="dxa"/>
          </w:tcPr>
          <w:p w:rsidR="003F1B1F" w:rsidRPr="00DF0680" w:rsidRDefault="003F1B1F" w:rsidP="003F1B1F">
            <w:pPr>
              <w:pStyle w:val="ListParagraph"/>
              <w:ind w:left="0"/>
              <w:jc w:val="center"/>
              <w:rPr>
                <w:rFonts w:cs="Times New Roman"/>
                <w:sz w:val="24"/>
              </w:rPr>
            </w:pPr>
            <w:r w:rsidRPr="00DF0680">
              <w:rPr>
                <w:rFonts w:cs="Times New Roman"/>
                <w:sz w:val="24"/>
              </w:rPr>
              <w:t>4.0</w:t>
            </w:r>
          </w:p>
        </w:tc>
        <w:tc>
          <w:tcPr>
            <w:tcW w:w="2188" w:type="dxa"/>
          </w:tcPr>
          <w:p w:rsidR="003F1B1F" w:rsidRPr="00DF0680" w:rsidRDefault="003F1B1F" w:rsidP="003F1B1F">
            <w:pPr>
              <w:pStyle w:val="ListParagraph"/>
              <w:ind w:left="0"/>
              <w:jc w:val="center"/>
              <w:rPr>
                <w:rFonts w:cs="Times New Roman"/>
                <w:sz w:val="24"/>
              </w:rPr>
            </w:pPr>
            <w:r w:rsidRPr="00DF0680">
              <w:rPr>
                <w:rFonts w:cs="Times New Roman"/>
                <w:sz w:val="24"/>
              </w:rPr>
              <w:t>0.83</w:t>
            </w:r>
          </w:p>
        </w:tc>
      </w:tr>
      <w:tr w:rsidR="003F1B1F" w:rsidRPr="00DF0680" w:rsidTr="003F1B1F">
        <w:tc>
          <w:tcPr>
            <w:tcW w:w="3494" w:type="dxa"/>
            <w:shd w:val="clear" w:color="auto" w:fill="D9D9D9" w:themeFill="background1" w:themeFillShade="D9"/>
          </w:tcPr>
          <w:p w:rsidR="003F1B1F" w:rsidRPr="00DF0680" w:rsidRDefault="003F1B1F" w:rsidP="003F1B1F">
            <w:pPr>
              <w:pStyle w:val="ListParagraph"/>
              <w:ind w:left="0"/>
              <w:jc w:val="center"/>
              <w:rPr>
                <w:rFonts w:cs="Times New Roman"/>
                <w:sz w:val="24"/>
              </w:rPr>
            </w:pPr>
            <w:r w:rsidRPr="00DF0680">
              <w:rPr>
                <w:rFonts w:cs="Times New Roman"/>
                <w:sz w:val="24"/>
              </w:rPr>
              <w:t>1.5 M Tris (pH 8.8) (ml)</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2.5</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2.5</w:t>
            </w:r>
          </w:p>
        </w:tc>
        <w:tc>
          <w:tcPr>
            <w:tcW w:w="1182" w:type="dxa"/>
          </w:tcPr>
          <w:p w:rsidR="003F1B1F" w:rsidRPr="00DF0680" w:rsidRDefault="003F1B1F" w:rsidP="003F1B1F">
            <w:pPr>
              <w:pStyle w:val="ListParagraph"/>
              <w:ind w:left="0"/>
              <w:jc w:val="center"/>
              <w:rPr>
                <w:rFonts w:cs="Times New Roman"/>
                <w:sz w:val="24"/>
              </w:rPr>
            </w:pPr>
            <w:r w:rsidRPr="00DF0680">
              <w:rPr>
                <w:rFonts w:cs="Times New Roman"/>
                <w:sz w:val="24"/>
              </w:rPr>
              <w:t>2.5</w:t>
            </w:r>
          </w:p>
        </w:tc>
        <w:tc>
          <w:tcPr>
            <w:tcW w:w="2188" w:type="dxa"/>
          </w:tcPr>
          <w:p w:rsidR="003F1B1F" w:rsidRPr="00DF0680" w:rsidRDefault="003F1B1F" w:rsidP="003F1B1F">
            <w:pPr>
              <w:pStyle w:val="ListParagraph"/>
              <w:ind w:left="0"/>
              <w:jc w:val="center"/>
              <w:rPr>
                <w:rFonts w:cs="Times New Roman"/>
                <w:sz w:val="24"/>
              </w:rPr>
            </w:pPr>
            <w:r w:rsidRPr="00DF0680">
              <w:rPr>
                <w:rFonts w:cs="Times New Roman"/>
                <w:sz w:val="24"/>
              </w:rPr>
              <w:t>0</w:t>
            </w:r>
          </w:p>
        </w:tc>
      </w:tr>
      <w:tr w:rsidR="003F1B1F" w:rsidRPr="00DF0680" w:rsidTr="003F1B1F">
        <w:tc>
          <w:tcPr>
            <w:tcW w:w="3494" w:type="dxa"/>
            <w:shd w:val="clear" w:color="auto" w:fill="D9D9D9" w:themeFill="background1" w:themeFillShade="D9"/>
          </w:tcPr>
          <w:p w:rsidR="003F1B1F" w:rsidRPr="00DF0680" w:rsidRDefault="003F1B1F" w:rsidP="003F1B1F">
            <w:pPr>
              <w:pStyle w:val="ListParagraph"/>
              <w:ind w:left="0"/>
              <w:jc w:val="center"/>
              <w:rPr>
                <w:rFonts w:cs="Times New Roman"/>
                <w:sz w:val="24"/>
              </w:rPr>
            </w:pPr>
            <w:r w:rsidRPr="00DF0680">
              <w:rPr>
                <w:rFonts w:cs="Times New Roman"/>
                <w:sz w:val="24"/>
              </w:rPr>
              <w:t>1.0 M Tris (pH 6.8) (ml)</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0</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0</w:t>
            </w:r>
          </w:p>
        </w:tc>
        <w:tc>
          <w:tcPr>
            <w:tcW w:w="1182" w:type="dxa"/>
          </w:tcPr>
          <w:p w:rsidR="003F1B1F" w:rsidRPr="00DF0680" w:rsidRDefault="003F1B1F" w:rsidP="003F1B1F">
            <w:pPr>
              <w:pStyle w:val="ListParagraph"/>
              <w:ind w:left="0"/>
              <w:jc w:val="center"/>
              <w:rPr>
                <w:rFonts w:cs="Times New Roman"/>
                <w:sz w:val="24"/>
              </w:rPr>
            </w:pPr>
            <w:r w:rsidRPr="00DF0680">
              <w:rPr>
                <w:rFonts w:cs="Times New Roman"/>
                <w:sz w:val="24"/>
              </w:rPr>
              <w:t>0</w:t>
            </w:r>
          </w:p>
        </w:tc>
        <w:tc>
          <w:tcPr>
            <w:tcW w:w="2188" w:type="dxa"/>
          </w:tcPr>
          <w:p w:rsidR="003F1B1F" w:rsidRPr="00DF0680" w:rsidRDefault="003F1B1F" w:rsidP="003F1B1F">
            <w:pPr>
              <w:pStyle w:val="ListParagraph"/>
              <w:ind w:left="0"/>
              <w:jc w:val="center"/>
              <w:rPr>
                <w:rFonts w:cs="Times New Roman"/>
                <w:sz w:val="24"/>
              </w:rPr>
            </w:pPr>
            <w:r w:rsidRPr="00DF0680">
              <w:rPr>
                <w:rFonts w:cs="Times New Roman"/>
                <w:sz w:val="24"/>
              </w:rPr>
              <w:t>0.63</w:t>
            </w:r>
          </w:p>
        </w:tc>
      </w:tr>
      <w:tr w:rsidR="003F1B1F" w:rsidRPr="00DF0680" w:rsidTr="003F1B1F">
        <w:tc>
          <w:tcPr>
            <w:tcW w:w="3494" w:type="dxa"/>
            <w:shd w:val="clear" w:color="auto" w:fill="D9D9D9" w:themeFill="background1" w:themeFillShade="D9"/>
          </w:tcPr>
          <w:p w:rsidR="003F1B1F" w:rsidRPr="00DF0680" w:rsidRDefault="003F1B1F" w:rsidP="003F1B1F">
            <w:pPr>
              <w:pStyle w:val="ListParagraph"/>
              <w:ind w:left="0"/>
              <w:jc w:val="center"/>
              <w:rPr>
                <w:rFonts w:cs="Times New Roman"/>
                <w:sz w:val="24"/>
              </w:rPr>
            </w:pPr>
            <w:r w:rsidRPr="00DF0680">
              <w:rPr>
                <w:rFonts w:cs="Times New Roman"/>
                <w:sz w:val="24"/>
              </w:rPr>
              <w:t>10% SDS (ml)</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0.1</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0.1</w:t>
            </w:r>
          </w:p>
        </w:tc>
        <w:tc>
          <w:tcPr>
            <w:tcW w:w="1182" w:type="dxa"/>
          </w:tcPr>
          <w:p w:rsidR="003F1B1F" w:rsidRPr="00DF0680" w:rsidRDefault="003F1B1F" w:rsidP="003F1B1F">
            <w:pPr>
              <w:pStyle w:val="ListParagraph"/>
              <w:ind w:left="0"/>
              <w:jc w:val="center"/>
              <w:rPr>
                <w:rFonts w:cs="Times New Roman"/>
                <w:sz w:val="24"/>
              </w:rPr>
            </w:pPr>
            <w:r w:rsidRPr="00DF0680">
              <w:rPr>
                <w:rFonts w:cs="Times New Roman"/>
                <w:sz w:val="24"/>
              </w:rPr>
              <w:t>0.1</w:t>
            </w:r>
          </w:p>
        </w:tc>
        <w:tc>
          <w:tcPr>
            <w:tcW w:w="2188" w:type="dxa"/>
          </w:tcPr>
          <w:p w:rsidR="003F1B1F" w:rsidRPr="00DF0680" w:rsidRDefault="003F1B1F" w:rsidP="003F1B1F">
            <w:pPr>
              <w:pStyle w:val="ListParagraph"/>
              <w:ind w:left="0"/>
              <w:jc w:val="center"/>
              <w:rPr>
                <w:rFonts w:cs="Times New Roman"/>
                <w:sz w:val="24"/>
              </w:rPr>
            </w:pPr>
            <w:r w:rsidRPr="00DF0680">
              <w:rPr>
                <w:rFonts w:cs="Times New Roman"/>
                <w:sz w:val="24"/>
              </w:rPr>
              <w:t>0.05</w:t>
            </w:r>
          </w:p>
        </w:tc>
      </w:tr>
      <w:tr w:rsidR="003F1B1F" w:rsidRPr="00DF0680" w:rsidTr="003F1B1F">
        <w:tc>
          <w:tcPr>
            <w:tcW w:w="3494" w:type="dxa"/>
            <w:shd w:val="clear" w:color="auto" w:fill="D9D9D9" w:themeFill="background1" w:themeFillShade="D9"/>
          </w:tcPr>
          <w:p w:rsidR="003F1B1F" w:rsidRPr="00DF0680" w:rsidRDefault="003F1B1F" w:rsidP="003F1B1F">
            <w:pPr>
              <w:pStyle w:val="ListParagraph"/>
              <w:ind w:left="0"/>
              <w:jc w:val="center"/>
              <w:rPr>
                <w:rFonts w:cs="Times New Roman"/>
                <w:sz w:val="24"/>
              </w:rPr>
            </w:pPr>
            <w:r w:rsidRPr="00DF0680">
              <w:rPr>
                <w:rFonts w:cs="Times New Roman"/>
                <w:sz w:val="24"/>
              </w:rPr>
              <w:t>10% APS (ml)</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0.1</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0.1</w:t>
            </w:r>
          </w:p>
        </w:tc>
        <w:tc>
          <w:tcPr>
            <w:tcW w:w="1182" w:type="dxa"/>
          </w:tcPr>
          <w:p w:rsidR="003F1B1F" w:rsidRPr="00DF0680" w:rsidRDefault="003F1B1F" w:rsidP="003F1B1F">
            <w:pPr>
              <w:pStyle w:val="ListParagraph"/>
              <w:ind w:left="0"/>
              <w:jc w:val="center"/>
              <w:rPr>
                <w:rFonts w:cs="Times New Roman"/>
                <w:sz w:val="24"/>
              </w:rPr>
            </w:pPr>
            <w:r w:rsidRPr="00DF0680">
              <w:rPr>
                <w:rFonts w:cs="Times New Roman"/>
                <w:sz w:val="24"/>
              </w:rPr>
              <w:t>0.1</w:t>
            </w:r>
          </w:p>
        </w:tc>
        <w:tc>
          <w:tcPr>
            <w:tcW w:w="2188" w:type="dxa"/>
          </w:tcPr>
          <w:p w:rsidR="003F1B1F" w:rsidRPr="00DF0680" w:rsidRDefault="003F1B1F" w:rsidP="003F1B1F">
            <w:pPr>
              <w:pStyle w:val="ListParagraph"/>
              <w:ind w:left="0"/>
              <w:jc w:val="center"/>
              <w:rPr>
                <w:rFonts w:cs="Times New Roman"/>
                <w:sz w:val="24"/>
              </w:rPr>
            </w:pPr>
            <w:r w:rsidRPr="00DF0680">
              <w:rPr>
                <w:rFonts w:cs="Times New Roman"/>
                <w:sz w:val="24"/>
              </w:rPr>
              <w:t>0.05</w:t>
            </w:r>
          </w:p>
        </w:tc>
      </w:tr>
      <w:tr w:rsidR="003F1B1F" w:rsidRPr="00DF0680" w:rsidTr="003F1B1F">
        <w:tc>
          <w:tcPr>
            <w:tcW w:w="3494" w:type="dxa"/>
            <w:shd w:val="clear" w:color="auto" w:fill="D9D9D9" w:themeFill="background1" w:themeFillShade="D9"/>
          </w:tcPr>
          <w:p w:rsidR="003F1B1F" w:rsidRPr="00DF0680" w:rsidRDefault="003F1B1F" w:rsidP="003F1B1F">
            <w:pPr>
              <w:pStyle w:val="ListParagraph"/>
              <w:ind w:left="0"/>
              <w:jc w:val="center"/>
              <w:rPr>
                <w:rFonts w:cs="Times New Roman"/>
                <w:sz w:val="24"/>
              </w:rPr>
            </w:pPr>
            <w:r w:rsidRPr="00DF0680">
              <w:rPr>
                <w:rFonts w:cs="Times New Roman"/>
                <w:sz w:val="24"/>
              </w:rPr>
              <w:t>TEMED (ml)</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0.006</w:t>
            </w:r>
          </w:p>
        </w:tc>
        <w:tc>
          <w:tcPr>
            <w:tcW w:w="1181" w:type="dxa"/>
          </w:tcPr>
          <w:p w:rsidR="003F1B1F" w:rsidRPr="00DF0680" w:rsidRDefault="003F1B1F" w:rsidP="003F1B1F">
            <w:pPr>
              <w:pStyle w:val="ListParagraph"/>
              <w:ind w:left="0"/>
              <w:jc w:val="center"/>
              <w:rPr>
                <w:rFonts w:cs="Times New Roman"/>
                <w:sz w:val="24"/>
              </w:rPr>
            </w:pPr>
            <w:r w:rsidRPr="00DF0680">
              <w:rPr>
                <w:rFonts w:cs="Times New Roman"/>
                <w:sz w:val="24"/>
              </w:rPr>
              <w:t>0.004</w:t>
            </w:r>
          </w:p>
        </w:tc>
        <w:tc>
          <w:tcPr>
            <w:tcW w:w="1182" w:type="dxa"/>
          </w:tcPr>
          <w:p w:rsidR="003F1B1F" w:rsidRPr="00DF0680" w:rsidRDefault="003F1B1F" w:rsidP="003F1B1F">
            <w:pPr>
              <w:pStyle w:val="ListParagraph"/>
              <w:ind w:left="0"/>
              <w:jc w:val="center"/>
              <w:rPr>
                <w:rFonts w:cs="Times New Roman"/>
                <w:sz w:val="24"/>
              </w:rPr>
            </w:pPr>
            <w:r w:rsidRPr="00DF0680">
              <w:rPr>
                <w:rFonts w:cs="Times New Roman"/>
                <w:sz w:val="24"/>
              </w:rPr>
              <w:t>0.004</w:t>
            </w:r>
          </w:p>
        </w:tc>
        <w:tc>
          <w:tcPr>
            <w:tcW w:w="2188" w:type="dxa"/>
          </w:tcPr>
          <w:p w:rsidR="003F1B1F" w:rsidRPr="00DF0680" w:rsidRDefault="003F1B1F" w:rsidP="003F1B1F">
            <w:pPr>
              <w:pStyle w:val="ListParagraph"/>
              <w:ind w:left="0"/>
              <w:jc w:val="center"/>
              <w:rPr>
                <w:rFonts w:cs="Times New Roman"/>
                <w:sz w:val="24"/>
              </w:rPr>
            </w:pPr>
            <w:r w:rsidRPr="00DF0680">
              <w:rPr>
                <w:rFonts w:cs="Times New Roman"/>
                <w:sz w:val="24"/>
              </w:rPr>
              <w:t>0.005</w:t>
            </w:r>
          </w:p>
        </w:tc>
      </w:tr>
    </w:tbl>
    <w:p w:rsidR="003F1B1F" w:rsidRPr="00DF0680" w:rsidRDefault="003F1B1F" w:rsidP="003F1B1F">
      <w:pPr>
        <w:rPr>
          <w:rFonts w:cs="Times New Roman"/>
          <w:shd w:val="clear" w:color="auto" w:fill="FFFFFF"/>
        </w:rPr>
      </w:pPr>
    </w:p>
    <w:p w:rsidR="003F1B1F" w:rsidRPr="00DF0680" w:rsidRDefault="00DF0680" w:rsidP="003F1B1F">
      <w:pPr>
        <w:rPr>
          <w:rFonts w:cs="Times New Roman"/>
          <w:shd w:val="clear" w:color="auto" w:fill="FFFFFF"/>
        </w:rPr>
      </w:pPr>
      <w:r>
        <w:rPr>
          <w:rFonts w:cs="Times New Roman"/>
        </w:rPr>
        <w:t xml:space="preserve">Between 15-50 </w:t>
      </w:r>
      <w:r w:rsidRPr="00DF0680">
        <w:rPr>
          <w:rFonts w:cs="Times New Roman"/>
        </w:rPr>
        <w:t>μ</w:t>
      </w:r>
      <w:r w:rsidR="003F1B1F" w:rsidRPr="00DF0680">
        <w:rPr>
          <w:rFonts w:cs="Times New Roman"/>
        </w:rPr>
        <w:t xml:space="preserve">g of protein was loaded in each well diluted in Loading buffer (50 mM Tris pH 6.8, 2 % SDS, 10 % glycerol, 50 mM β-mercaptoethanol, 0.004 % bromophenol blue). </w:t>
      </w:r>
      <w:r w:rsidR="003F1B1F" w:rsidRPr="00DF0680">
        <w:rPr>
          <w:rFonts w:cs="Times New Roman"/>
          <w:shd w:val="clear" w:color="auto" w:fill="FFFFFF"/>
        </w:rPr>
        <w:t xml:space="preserve">10 μl of BioRad Precision Plus Protein Standards were run </w:t>
      </w:r>
      <w:r w:rsidR="003F1B1F" w:rsidRPr="00DF0680">
        <w:rPr>
          <w:rFonts w:cs="Times New Roman"/>
          <w:shd w:val="clear" w:color="auto" w:fill="FFFFFF"/>
        </w:rPr>
        <w:lastRenderedPageBreak/>
        <w:t>alongside the samples and empty lanes filled with 5 μl of 5 x Loading buffer. Gels were run at 150 V for 1 hour in Amersham Biosciences Mighty Small II For 8 x 7 cm Gels in SDS-PAGE Running Buffer (25 mM Tris Base, 0.19 M Glycine, 0.1 % SDS).</w:t>
      </w:r>
    </w:p>
    <w:p w:rsidR="003F1B1F" w:rsidRPr="00DF0680" w:rsidRDefault="003F1B1F" w:rsidP="00F860C3">
      <w:pPr>
        <w:pStyle w:val="Heading5"/>
      </w:pPr>
      <w:bookmarkStart w:id="425" w:name="_Toc417204482"/>
      <w:bookmarkStart w:id="426" w:name="_Toc417204887"/>
      <w:bookmarkStart w:id="427" w:name="_Toc417674613"/>
      <w:r w:rsidRPr="00DF0680">
        <w:t>Transfer</w:t>
      </w:r>
      <w:bookmarkEnd w:id="425"/>
      <w:bookmarkEnd w:id="426"/>
      <w:bookmarkEnd w:id="427"/>
    </w:p>
    <w:p w:rsidR="003F1B1F" w:rsidRPr="00DF0680" w:rsidRDefault="003F1B1F" w:rsidP="003F1B1F">
      <w:pPr>
        <w:rPr>
          <w:rFonts w:cs="Times New Roman"/>
          <w:shd w:val="clear" w:color="auto" w:fill="FFFFFF"/>
        </w:rPr>
      </w:pPr>
      <w:r w:rsidRPr="00DF0680">
        <w:rPr>
          <w:rFonts w:cs="Times New Roman"/>
          <w:shd w:val="clear" w:color="auto" w:fill="FFFFFF"/>
        </w:rPr>
        <w:t>Transferred in a BioRad Criterion Blotter at 50 V for 1 hour 30 minutes to Whatman Protran Nitrocellulose Transfer Membrane in Towbin buffer (0.1 % SDS, 20 % methanol, 25 mM Tris Base, 0.19 M Glycine).</w:t>
      </w:r>
    </w:p>
    <w:p w:rsidR="003F1B1F" w:rsidRPr="00DF0680" w:rsidRDefault="003F1B1F" w:rsidP="00F860C3">
      <w:pPr>
        <w:pStyle w:val="Heading5"/>
      </w:pPr>
      <w:bookmarkStart w:id="428" w:name="_Toc417204483"/>
      <w:bookmarkStart w:id="429" w:name="_Toc417204888"/>
      <w:bookmarkStart w:id="430" w:name="_Toc417674614"/>
      <w:r w:rsidRPr="00DF0680">
        <w:t>Blocking</w:t>
      </w:r>
      <w:bookmarkEnd w:id="428"/>
      <w:bookmarkEnd w:id="429"/>
      <w:bookmarkEnd w:id="430"/>
    </w:p>
    <w:p w:rsidR="003F1B1F" w:rsidRPr="00DF0680" w:rsidRDefault="003F1B1F" w:rsidP="003F1B1F">
      <w:pPr>
        <w:rPr>
          <w:rFonts w:cs="Times New Roman"/>
          <w:shd w:val="clear" w:color="auto" w:fill="FFFFFF"/>
        </w:rPr>
      </w:pPr>
      <w:r w:rsidRPr="00DF0680">
        <w:rPr>
          <w:rFonts w:cs="Times New Roman"/>
          <w:shd w:val="clear" w:color="auto" w:fill="FFFFFF"/>
        </w:rPr>
        <w:t>Membranes were blocked for 1 hour in 5 % Marvel PBS-T (0.05 % Tween 20).</w:t>
      </w:r>
    </w:p>
    <w:p w:rsidR="003F1B1F" w:rsidRPr="00DF0680" w:rsidRDefault="003F1B1F" w:rsidP="00F860C3">
      <w:pPr>
        <w:pStyle w:val="Heading5"/>
      </w:pPr>
      <w:bookmarkStart w:id="431" w:name="_Toc417204484"/>
      <w:bookmarkStart w:id="432" w:name="_Toc417204889"/>
      <w:bookmarkStart w:id="433" w:name="_Toc417674615"/>
      <w:r w:rsidRPr="00DF0680">
        <w:t>Antibodies</w:t>
      </w:r>
      <w:bookmarkEnd w:id="431"/>
      <w:bookmarkEnd w:id="432"/>
      <w:bookmarkEnd w:id="433"/>
      <w:r w:rsidRPr="00DF0680">
        <w:t xml:space="preserve"> </w:t>
      </w:r>
    </w:p>
    <w:p w:rsidR="003F1B1F" w:rsidRPr="00DF0680" w:rsidRDefault="003F1B1F" w:rsidP="003F1B1F">
      <w:pPr>
        <w:rPr>
          <w:rFonts w:cs="Times New Roman"/>
          <w:shd w:val="clear" w:color="auto" w:fill="FFFFFF"/>
        </w:rPr>
      </w:pPr>
      <w:r w:rsidRPr="00DF0680">
        <w:rPr>
          <w:rFonts w:cs="Times New Roman"/>
          <w:shd w:val="clear" w:color="auto" w:fill="FFFFFF"/>
        </w:rPr>
        <w:t>Primary antibodies were incubated with the membrane overnight at 4 °C on a shaker. 3 x 10 minute washes in PBS-T were then performed before incubation in HRP-labelled 2° antibody (1/2000 in 5 % Marvel PBS-T) for 1 hour on a shaker.  3 x 10 minute washes were performed again before applying detection reagent.</w:t>
      </w:r>
    </w:p>
    <w:p w:rsidR="003F1B1F" w:rsidRPr="00DF0680" w:rsidRDefault="003F1B1F" w:rsidP="00F860C3">
      <w:pPr>
        <w:pStyle w:val="Heading5"/>
      </w:pPr>
      <w:bookmarkStart w:id="434" w:name="_Toc417204485"/>
      <w:bookmarkStart w:id="435" w:name="_Toc417204890"/>
      <w:bookmarkStart w:id="436" w:name="_Toc417674616"/>
      <w:r w:rsidRPr="00DF0680">
        <w:t>Developing</w:t>
      </w:r>
      <w:bookmarkEnd w:id="434"/>
      <w:bookmarkEnd w:id="435"/>
      <w:bookmarkEnd w:id="436"/>
    </w:p>
    <w:p w:rsidR="003F1B1F" w:rsidRPr="00DF0680" w:rsidRDefault="003F1B1F" w:rsidP="003F1B1F">
      <w:pPr>
        <w:rPr>
          <w:rFonts w:cs="Times New Roman"/>
          <w:shd w:val="clear" w:color="auto" w:fill="FFFFFF"/>
        </w:rPr>
      </w:pPr>
      <w:r w:rsidRPr="00DF0680">
        <w:rPr>
          <w:rFonts w:cs="Times New Roman"/>
          <w:shd w:val="clear" w:color="auto" w:fill="FFFFFF"/>
        </w:rPr>
        <w:t xml:space="preserve">1.5 ml of Amersham ECL Western Blotting Detection Reagent was added to each membrane. The blot was then exposed to Fujifilm Fuji Medical X-Ray Film and developed and fixed using a Konica SRX 101A Processor. </w:t>
      </w:r>
    </w:p>
    <w:p w:rsidR="003F1B1F" w:rsidRPr="00DF0680" w:rsidRDefault="003F1B1F" w:rsidP="00F860C3">
      <w:pPr>
        <w:pStyle w:val="Heading5"/>
      </w:pPr>
      <w:bookmarkStart w:id="437" w:name="_Toc417204486"/>
      <w:bookmarkStart w:id="438" w:name="_Toc417204891"/>
      <w:bookmarkStart w:id="439" w:name="_Toc417674617"/>
      <w:r w:rsidRPr="00DF0680">
        <w:t>Analysis</w:t>
      </w:r>
      <w:bookmarkEnd w:id="437"/>
      <w:bookmarkEnd w:id="438"/>
      <w:bookmarkEnd w:id="439"/>
    </w:p>
    <w:p w:rsidR="003F1B1F" w:rsidRPr="00DF0680" w:rsidRDefault="003F1B1F" w:rsidP="003F1B1F">
      <w:pPr>
        <w:rPr>
          <w:rFonts w:cs="Times New Roman"/>
        </w:rPr>
      </w:pPr>
      <w:r w:rsidRPr="00DF0680">
        <w:rPr>
          <w:rFonts w:cs="Times New Roman"/>
        </w:rPr>
        <w:t>Films were electronically scanned and band density was quantified using ImageJ software. Western blots were repeated three times and averages and standard deviations calculated.</w:t>
      </w:r>
    </w:p>
    <w:p w:rsidR="003F1B1F" w:rsidRPr="00DF0680" w:rsidRDefault="003F1B1F" w:rsidP="00E664FC">
      <w:pPr>
        <w:pStyle w:val="Heading4"/>
      </w:pPr>
      <w:bookmarkStart w:id="440" w:name="_Toc417204169"/>
      <w:bookmarkStart w:id="441" w:name="_Toc417204487"/>
      <w:bookmarkStart w:id="442" w:name="_Toc417674618"/>
      <w:r w:rsidRPr="00DF0680">
        <w:t>Immunohistochemistry</w:t>
      </w:r>
      <w:bookmarkEnd w:id="440"/>
      <w:bookmarkEnd w:id="441"/>
      <w:bookmarkEnd w:id="442"/>
    </w:p>
    <w:p w:rsidR="003F1B1F" w:rsidRPr="00DF0680" w:rsidRDefault="003F1B1F" w:rsidP="003F1B1F">
      <w:pPr>
        <w:rPr>
          <w:rFonts w:cs="Times New Roman"/>
        </w:rPr>
      </w:pPr>
      <w:r w:rsidRPr="00DF0680">
        <w:rPr>
          <w:rFonts w:cs="Times New Roman"/>
        </w:rPr>
        <w:t xml:space="preserve">Bladder cancer and normal tissue array (BL1002) and test array (T124a) purchased from US Biomax, Inc. </w:t>
      </w:r>
    </w:p>
    <w:p w:rsidR="003F1B1F" w:rsidRPr="00DF0680" w:rsidRDefault="003F1B1F" w:rsidP="00F860C3">
      <w:pPr>
        <w:pStyle w:val="Heading5"/>
      </w:pPr>
      <w:bookmarkStart w:id="443" w:name="_Toc417204488"/>
      <w:bookmarkStart w:id="444" w:name="_Toc417204893"/>
      <w:bookmarkStart w:id="445" w:name="_Toc417674619"/>
      <w:r w:rsidRPr="00DF0680">
        <w:t>Dewax and hydrate</w:t>
      </w:r>
      <w:bookmarkEnd w:id="443"/>
      <w:bookmarkEnd w:id="444"/>
      <w:bookmarkEnd w:id="445"/>
      <w:r w:rsidRPr="00DF0680">
        <w:t xml:space="preserve"> </w:t>
      </w:r>
    </w:p>
    <w:p w:rsidR="003F1B1F" w:rsidRPr="00DF0680" w:rsidRDefault="003F1B1F" w:rsidP="003F1B1F">
      <w:pPr>
        <w:rPr>
          <w:rFonts w:cs="Times New Roman"/>
          <w:i/>
        </w:rPr>
      </w:pPr>
      <w:r w:rsidRPr="00DF0680">
        <w:rPr>
          <w:rFonts w:cs="Times New Roman"/>
        </w:rPr>
        <w:t xml:space="preserve">Slides were agitated and dewaxed in 2 baths of xylene for 10 minutes each followed by 5 x 3 minute washes in decreasing concentrations of IMS (100 %, 100 %, 95 %, 90 % and 75 %). Slides were then washed for 5 minutes in running tap water. </w:t>
      </w:r>
    </w:p>
    <w:p w:rsidR="003F1B1F" w:rsidRPr="00DF0680" w:rsidRDefault="003F1B1F" w:rsidP="00F860C3">
      <w:pPr>
        <w:pStyle w:val="Heading5"/>
      </w:pPr>
      <w:bookmarkStart w:id="446" w:name="_Toc417204489"/>
      <w:bookmarkStart w:id="447" w:name="_Toc417204894"/>
      <w:bookmarkStart w:id="448" w:name="_Toc417674620"/>
      <w:r w:rsidRPr="00DF0680">
        <w:lastRenderedPageBreak/>
        <w:t>Antigen retrieval</w:t>
      </w:r>
      <w:bookmarkEnd w:id="446"/>
      <w:bookmarkEnd w:id="447"/>
      <w:bookmarkEnd w:id="448"/>
      <w:r w:rsidRPr="00DF0680">
        <w:t xml:space="preserve"> </w:t>
      </w:r>
    </w:p>
    <w:p w:rsidR="003F1B1F" w:rsidRPr="00DF0680" w:rsidRDefault="003F1B1F" w:rsidP="003F1B1F">
      <w:pPr>
        <w:rPr>
          <w:rFonts w:cs="Times New Roman"/>
          <w:i/>
        </w:rPr>
      </w:pPr>
      <w:r w:rsidRPr="00DF0680">
        <w:rPr>
          <w:rFonts w:cs="Times New Roman"/>
        </w:rPr>
        <w:t xml:space="preserve">Slides were put in Heat Induced Epitope Retreival (HIER) buffer (Sodium Citrate Buffer, 10 mM Sodium Citrate, 0.05 % Tween 20, pH 6) and microwaved on high for 3 minutes and then again on low for 7 minutes, ensuring the slides remain below the level of buffer. Slides were then left to cool at room temperature. </w:t>
      </w:r>
    </w:p>
    <w:p w:rsidR="003F1B1F" w:rsidRPr="00DF0680" w:rsidRDefault="003F1B1F" w:rsidP="00F860C3">
      <w:pPr>
        <w:pStyle w:val="Heading5"/>
      </w:pPr>
      <w:bookmarkStart w:id="449" w:name="_Toc417204490"/>
      <w:bookmarkStart w:id="450" w:name="_Toc417204895"/>
      <w:bookmarkStart w:id="451" w:name="_Toc417674621"/>
      <w:r w:rsidRPr="00DF0680">
        <w:t>Block endogenous peroxidise activity</w:t>
      </w:r>
      <w:bookmarkEnd w:id="449"/>
      <w:bookmarkEnd w:id="450"/>
      <w:bookmarkEnd w:id="451"/>
      <w:r w:rsidRPr="00DF0680">
        <w:t xml:space="preserve"> </w:t>
      </w:r>
    </w:p>
    <w:p w:rsidR="003F1B1F" w:rsidRPr="00DF0680" w:rsidRDefault="003F1B1F" w:rsidP="003F1B1F">
      <w:pPr>
        <w:rPr>
          <w:rFonts w:cs="Times New Roman"/>
        </w:rPr>
      </w:pPr>
      <w:r w:rsidRPr="00DF0680">
        <w:rPr>
          <w:rFonts w:cs="Times New Roman"/>
        </w:rPr>
        <w:t xml:space="preserve">Slides were washed in distilled water for 3 x 3 minutes before being incubated at 37 °C in 3 % hydroxygen peroxide in methanol for 30 minutes. </w:t>
      </w:r>
    </w:p>
    <w:p w:rsidR="003F1B1F" w:rsidRPr="00DF0680" w:rsidRDefault="003F1B1F" w:rsidP="00F860C3">
      <w:pPr>
        <w:pStyle w:val="Heading5"/>
      </w:pPr>
      <w:bookmarkStart w:id="452" w:name="_Toc417204491"/>
      <w:bookmarkStart w:id="453" w:name="_Toc417204896"/>
      <w:bookmarkStart w:id="454" w:name="_Toc417674622"/>
      <w:r w:rsidRPr="00DF0680">
        <w:t>Block non-specific staining</w:t>
      </w:r>
      <w:bookmarkEnd w:id="452"/>
      <w:bookmarkEnd w:id="453"/>
      <w:bookmarkEnd w:id="454"/>
      <w:r w:rsidRPr="00DF0680">
        <w:t xml:space="preserve"> </w:t>
      </w:r>
    </w:p>
    <w:p w:rsidR="003F1B1F" w:rsidRPr="00DF0680" w:rsidRDefault="003F1B1F" w:rsidP="003F1B1F">
      <w:pPr>
        <w:rPr>
          <w:rFonts w:cs="Times New Roman"/>
          <w:i/>
        </w:rPr>
      </w:pPr>
      <w:r w:rsidRPr="00DF0680">
        <w:rPr>
          <w:rFonts w:cs="Times New Roman"/>
        </w:rPr>
        <w:t xml:space="preserve">Slides were washed in distilled water for 3 x 3 minutes. Slides were then removed from the water and placed in a humidifying chamber. The tissue section was outlined with an ImmEdge wax pen and blocking solution (10 % goat sera (same species as animal used for secondary antibody) and 10 % casein in PBS) was dropped onto the tissue section and left to incubate for 30 minutes at room temperature. </w:t>
      </w:r>
    </w:p>
    <w:p w:rsidR="003F1B1F" w:rsidRPr="00DF0680" w:rsidRDefault="003F1B1F" w:rsidP="00F860C3">
      <w:pPr>
        <w:pStyle w:val="Heading5"/>
      </w:pPr>
      <w:bookmarkStart w:id="455" w:name="_Toc417204492"/>
      <w:bookmarkStart w:id="456" w:name="_Toc417204897"/>
      <w:bookmarkStart w:id="457" w:name="_Toc417674623"/>
      <w:r w:rsidRPr="00DF0680">
        <w:t>Primary antibody</w:t>
      </w:r>
      <w:bookmarkEnd w:id="455"/>
      <w:bookmarkEnd w:id="456"/>
      <w:bookmarkEnd w:id="457"/>
      <w:r w:rsidRPr="00DF0680">
        <w:t xml:space="preserve"> </w:t>
      </w:r>
    </w:p>
    <w:p w:rsidR="003F1B1F" w:rsidRPr="00DF0680" w:rsidRDefault="003F1B1F" w:rsidP="003F1B1F">
      <w:pPr>
        <w:rPr>
          <w:rFonts w:cs="Times New Roman"/>
          <w:i/>
        </w:rPr>
      </w:pPr>
      <w:r w:rsidRPr="00DF0680">
        <w:rPr>
          <w:rFonts w:cs="Times New Roman"/>
        </w:rPr>
        <w:t xml:space="preserve">Excess sera was flicked off the slides and primary antibody (2 % goat sera and 2 % casein in PBS with an antibody concentration of 1/150) was dropped onto the tissue section and left to incubate in the humidifying chamber overnight at 4 °C. </w:t>
      </w:r>
    </w:p>
    <w:p w:rsidR="003F1B1F" w:rsidRPr="00DF0680" w:rsidRDefault="003F1B1F" w:rsidP="00F860C3">
      <w:pPr>
        <w:pStyle w:val="Heading5"/>
      </w:pPr>
      <w:bookmarkStart w:id="458" w:name="_Toc417204493"/>
      <w:bookmarkStart w:id="459" w:name="_Toc417204898"/>
      <w:bookmarkStart w:id="460" w:name="_Toc417674624"/>
      <w:r w:rsidRPr="00DF0680">
        <w:t>Secondary antibody</w:t>
      </w:r>
      <w:bookmarkEnd w:id="458"/>
      <w:bookmarkEnd w:id="459"/>
      <w:bookmarkEnd w:id="460"/>
      <w:r w:rsidRPr="00DF0680">
        <w:t xml:space="preserve"> </w:t>
      </w:r>
    </w:p>
    <w:p w:rsidR="003F1B1F" w:rsidRPr="00DF0680" w:rsidRDefault="003F1B1F" w:rsidP="003F1B1F">
      <w:pPr>
        <w:rPr>
          <w:rFonts w:cs="Times New Roman"/>
          <w:i/>
        </w:rPr>
      </w:pPr>
      <w:r w:rsidRPr="00DF0680">
        <w:rPr>
          <w:rFonts w:cs="Times New Roman"/>
        </w:rPr>
        <w:t>The primary antibody was flicked off and slides washed for 3 x 3 minutes in PBS. Secondary antibody (2 % sera and 2 % casein in PBS with an antibody concentration of 1/200) was then added to the slide and incubated for 1 hour and 30 minutes.</w:t>
      </w:r>
    </w:p>
    <w:p w:rsidR="003F1B1F" w:rsidRPr="00DF0680" w:rsidRDefault="003F1B1F" w:rsidP="00F860C3">
      <w:pPr>
        <w:pStyle w:val="Heading5"/>
      </w:pPr>
      <w:bookmarkStart w:id="461" w:name="_Toc417204494"/>
      <w:bookmarkStart w:id="462" w:name="_Toc417204899"/>
      <w:bookmarkStart w:id="463" w:name="_Toc417674625"/>
      <w:r w:rsidRPr="00DF0680">
        <w:t>ABC (Horseradish peroxidise kit)</w:t>
      </w:r>
      <w:bookmarkEnd w:id="461"/>
      <w:bookmarkEnd w:id="462"/>
      <w:bookmarkEnd w:id="463"/>
      <w:r w:rsidRPr="00DF0680">
        <w:t xml:space="preserve"> </w:t>
      </w:r>
    </w:p>
    <w:p w:rsidR="003F1B1F" w:rsidRPr="00DF0680" w:rsidRDefault="003F1B1F" w:rsidP="003F1B1F">
      <w:pPr>
        <w:rPr>
          <w:rFonts w:cs="Times New Roman"/>
          <w:i/>
        </w:rPr>
      </w:pPr>
      <w:r w:rsidRPr="00DF0680">
        <w:rPr>
          <w:rFonts w:cs="Times New Roman"/>
        </w:rPr>
        <w:t xml:space="preserve">The ABC solution was made up 30 minutes before the end of the secondary antibody incubation. 2 drops of reagent A and 2 drops of reagent B (from the Vector Laboratories, Vectastain Elite ABC Kit) were added to PBS-T (0.1 % Tween 20). This was left to stand for 30 minutes before use. After the secondary antibody incubation, slides were washed for 3 x 3 minutes in PBS before adding the ABC solution and incubating at room temperature for 30 minutes. </w:t>
      </w:r>
    </w:p>
    <w:p w:rsidR="003F1B1F" w:rsidRPr="00DF0680" w:rsidRDefault="003F1B1F" w:rsidP="00F860C3">
      <w:pPr>
        <w:pStyle w:val="Heading5"/>
      </w:pPr>
      <w:bookmarkStart w:id="464" w:name="_Toc417204495"/>
      <w:bookmarkStart w:id="465" w:name="_Toc417204900"/>
      <w:bookmarkStart w:id="466" w:name="_Toc417674626"/>
      <w:r w:rsidRPr="00DF0680">
        <w:lastRenderedPageBreak/>
        <w:t>DAB (Diaminobenzidine)</w:t>
      </w:r>
      <w:bookmarkEnd w:id="464"/>
      <w:bookmarkEnd w:id="465"/>
      <w:bookmarkEnd w:id="466"/>
      <w:r w:rsidRPr="00DF0680">
        <w:t xml:space="preserve"> </w:t>
      </w:r>
    </w:p>
    <w:p w:rsidR="003F1B1F" w:rsidRPr="00DF0680" w:rsidRDefault="003F1B1F" w:rsidP="003F1B1F">
      <w:pPr>
        <w:rPr>
          <w:rFonts w:cs="Times New Roman"/>
          <w:i/>
        </w:rPr>
      </w:pPr>
      <w:r w:rsidRPr="00DF0680">
        <w:rPr>
          <w:rFonts w:cs="Times New Roman"/>
        </w:rPr>
        <w:t xml:space="preserve">Slides were washed in PBS for 2 x 5 minutes and during the second wash, the DAB was prepared. 2 drops of buffer was added to distilled water, followed by 4 drops of DAB and 2 drops of hydrogen peroxide. This was then vortexed and added to the slide for 2 – 9 minutes. This was washed off in distilled water for 5 minutes. </w:t>
      </w:r>
    </w:p>
    <w:p w:rsidR="003F1B1F" w:rsidRPr="00DF0680" w:rsidRDefault="003F1B1F" w:rsidP="00F860C3">
      <w:pPr>
        <w:pStyle w:val="Heading5"/>
      </w:pPr>
      <w:bookmarkStart w:id="467" w:name="_Toc417204496"/>
      <w:bookmarkStart w:id="468" w:name="_Toc417204901"/>
      <w:bookmarkStart w:id="469" w:name="_Toc417674627"/>
      <w:r w:rsidRPr="00DF0680">
        <w:t>Haematoxylin nuclear stain</w:t>
      </w:r>
      <w:bookmarkEnd w:id="467"/>
      <w:bookmarkEnd w:id="468"/>
      <w:bookmarkEnd w:id="469"/>
    </w:p>
    <w:p w:rsidR="003F1B1F" w:rsidRPr="00DF0680" w:rsidRDefault="003F1B1F" w:rsidP="003F1B1F">
      <w:pPr>
        <w:rPr>
          <w:rFonts w:cs="Times New Roman"/>
          <w:i/>
        </w:rPr>
      </w:pPr>
      <w:r w:rsidRPr="00DF0680">
        <w:rPr>
          <w:rFonts w:cs="Times New Roman"/>
        </w:rPr>
        <w:t>Nuclei were stained by immersing slides in Gill’s Haematoxylin for 45 seconds. Slides were washed in a bath of running water for 5 minutes.</w:t>
      </w:r>
    </w:p>
    <w:p w:rsidR="003F1B1F" w:rsidRPr="00DF0680" w:rsidRDefault="003F1B1F" w:rsidP="00F860C3">
      <w:pPr>
        <w:pStyle w:val="Heading5"/>
      </w:pPr>
      <w:bookmarkStart w:id="470" w:name="_Toc417204497"/>
      <w:bookmarkStart w:id="471" w:name="_Toc417204902"/>
      <w:bookmarkStart w:id="472" w:name="_Toc417674628"/>
      <w:r w:rsidRPr="00DF0680">
        <w:t>Dehydrate, clear and mount</w:t>
      </w:r>
      <w:bookmarkEnd w:id="470"/>
      <w:bookmarkEnd w:id="471"/>
      <w:bookmarkEnd w:id="472"/>
      <w:r w:rsidRPr="00DF0680">
        <w:t xml:space="preserve"> </w:t>
      </w:r>
    </w:p>
    <w:p w:rsidR="003F1B1F" w:rsidRPr="00DF0680" w:rsidRDefault="003F1B1F" w:rsidP="003F1B1F">
      <w:pPr>
        <w:rPr>
          <w:rFonts w:cs="Times New Roman"/>
          <w:i/>
        </w:rPr>
      </w:pPr>
      <w:r w:rsidRPr="00DF0680">
        <w:rPr>
          <w:rFonts w:cs="Times New Roman"/>
        </w:rPr>
        <w:t>Tissues were dehydrated by washing slides for 5 x 3 minutes in increasing concentrations of IMS (70 %, 90 %, 99 %, 100 % and 100 %) followed by 2 x 5 minute washes in clean mounting xylene. Cover slips were mounted using DPX and left to dry.</w:t>
      </w:r>
    </w:p>
    <w:p w:rsidR="003F1B1F" w:rsidRPr="00DF0680" w:rsidRDefault="003F1B1F" w:rsidP="00F860C3">
      <w:pPr>
        <w:pStyle w:val="Heading5"/>
      </w:pPr>
      <w:bookmarkStart w:id="473" w:name="_Toc417204498"/>
      <w:bookmarkStart w:id="474" w:name="_Toc417204903"/>
      <w:bookmarkStart w:id="475" w:name="_Toc417674629"/>
      <w:r w:rsidRPr="00DF0680">
        <w:t>Microscopy</w:t>
      </w:r>
      <w:bookmarkEnd w:id="473"/>
      <w:bookmarkEnd w:id="474"/>
      <w:bookmarkEnd w:id="475"/>
    </w:p>
    <w:p w:rsidR="003F1B1F" w:rsidRPr="00DF0680" w:rsidRDefault="003F1B1F" w:rsidP="003F1B1F">
      <w:pPr>
        <w:rPr>
          <w:rFonts w:cs="Times New Roman"/>
          <w:i/>
        </w:rPr>
      </w:pPr>
      <w:r w:rsidRPr="00DF0680">
        <w:rPr>
          <w:rFonts w:cs="Times New Roman"/>
        </w:rPr>
        <w:t xml:space="preserve">Slides were imaged using an </w:t>
      </w:r>
      <w:r w:rsidRPr="00DF0680">
        <w:rPr>
          <w:rFonts w:cs="Times New Roman"/>
          <w:shd w:val="clear" w:color="auto" w:fill="FFFFFF"/>
        </w:rPr>
        <w:t>Aperio Slide Scanner.</w:t>
      </w:r>
    </w:p>
    <w:p w:rsidR="003F1B1F" w:rsidRPr="00DF0680" w:rsidRDefault="003F1B1F" w:rsidP="00F860C3">
      <w:pPr>
        <w:pStyle w:val="Heading5"/>
      </w:pPr>
      <w:bookmarkStart w:id="476" w:name="_Toc417204499"/>
      <w:bookmarkStart w:id="477" w:name="_Toc417204904"/>
      <w:bookmarkStart w:id="478" w:name="_Toc417674630"/>
      <w:r w:rsidRPr="00DF0680">
        <w:t>Analysis</w:t>
      </w:r>
      <w:bookmarkEnd w:id="476"/>
      <w:bookmarkEnd w:id="477"/>
      <w:bookmarkEnd w:id="478"/>
    </w:p>
    <w:p w:rsidR="003F1B1F" w:rsidRPr="00DF0680" w:rsidRDefault="003F1B1F" w:rsidP="003F1B1F">
      <w:pPr>
        <w:rPr>
          <w:rFonts w:cs="Times New Roman"/>
        </w:rPr>
      </w:pPr>
      <w:r w:rsidRPr="00DF0680">
        <w:rPr>
          <w:rFonts w:cs="Times New Roman"/>
        </w:rPr>
        <w:t>Images were scored by Dr Susan Morgan (Histopathologist at the Royal Hallamshire Hospital)</w:t>
      </w:r>
    </w:p>
    <w:p w:rsidR="003F1B1F" w:rsidRPr="00DF0680" w:rsidRDefault="00CE6110" w:rsidP="00E664FC">
      <w:pPr>
        <w:pStyle w:val="Heading4"/>
      </w:pPr>
      <w:bookmarkStart w:id="479" w:name="_Toc417204170"/>
      <w:bookmarkStart w:id="480" w:name="_Toc417204500"/>
      <w:bookmarkStart w:id="481" w:name="_Toc417674631"/>
      <w:r w:rsidRPr="00DF0680">
        <w:t>Dual l</w:t>
      </w:r>
      <w:r w:rsidR="003F1B1F" w:rsidRPr="00DF0680">
        <w:t xml:space="preserve">uciferase </w:t>
      </w:r>
      <w:r w:rsidRPr="00DF0680">
        <w:t>r</w:t>
      </w:r>
      <w:r w:rsidR="003F1B1F" w:rsidRPr="00DF0680">
        <w:t xml:space="preserve">eporter </w:t>
      </w:r>
      <w:r w:rsidRPr="00DF0680">
        <w:t>a</w:t>
      </w:r>
      <w:r w:rsidR="003F1B1F" w:rsidRPr="00DF0680">
        <w:t>ssay</w:t>
      </w:r>
      <w:bookmarkEnd w:id="479"/>
      <w:bookmarkEnd w:id="480"/>
      <w:bookmarkEnd w:id="481"/>
    </w:p>
    <w:p w:rsidR="003F1B1F" w:rsidRPr="00DF0680" w:rsidRDefault="003F1B1F" w:rsidP="003F1B1F">
      <w:pPr>
        <w:rPr>
          <w:rFonts w:cs="Times New Roman"/>
        </w:rPr>
      </w:pPr>
      <w:r w:rsidRPr="00DF0680">
        <w:rPr>
          <w:rFonts w:cs="Times New Roman"/>
        </w:rPr>
        <w:t xml:space="preserve">Luciferases are a group of enzymes that react with substrates to give off light which can be experimentally measured and quantified using a luminometer. To identify how genes are regulated, sequences of interest, such as promoters or 3’UTRs, can be cloned into vectors containing genes that encode luciferases. These vectors can then be transfected into model systems and the effect of these sequences on luciferase gene regulation can be observed. </w:t>
      </w:r>
    </w:p>
    <w:p w:rsidR="003F1B1F" w:rsidRPr="00DF0680" w:rsidRDefault="003F1B1F" w:rsidP="00F860C3">
      <w:pPr>
        <w:pStyle w:val="Heading5"/>
      </w:pPr>
      <w:bookmarkStart w:id="482" w:name="_Toc417204501"/>
      <w:bookmarkStart w:id="483" w:name="_Toc417204906"/>
      <w:bookmarkStart w:id="484" w:name="_Toc417674632"/>
      <w:r w:rsidRPr="00DF0680">
        <w:t>Plating and transfection</w:t>
      </w:r>
      <w:bookmarkEnd w:id="482"/>
      <w:bookmarkEnd w:id="483"/>
      <w:bookmarkEnd w:id="484"/>
      <w:r w:rsidRPr="00DF0680">
        <w:t xml:space="preserve"> </w:t>
      </w:r>
    </w:p>
    <w:p w:rsidR="003F1B1F" w:rsidRPr="00DF0680" w:rsidRDefault="003F1B1F" w:rsidP="003F1B1F">
      <w:pPr>
        <w:rPr>
          <w:rFonts w:cs="Times New Roman"/>
          <w:b/>
          <w:i/>
        </w:rPr>
      </w:pPr>
      <w:r w:rsidRPr="00DF0680">
        <w:rPr>
          <w:rFonts w:cs="Times New Roman"/>
        </w:rPr>
        <w:t>Each well of a 6 well plate with 80 % confluent EJ or NHU hTERT</w:t>
      </w:r>
      <w:r w:rsidRPr="00DF0680">
        <w:rPr>
          <w:rFonts w:cs="Times New Roman"/>
          <w:b/>
        </w:rPr>
        <w:t xml:space="preserve"> </w:t>
      </w:r>
      <w:r w:rsidRPr="00DF0680">
        <w:rPr>
          <w:rFonts w:cs="Times New Roman"/>
        </w:rPr>
        <w:t>cells was transfected with 3.5 μg of pMirReport</w:t>
      </w:r>
      <w:r w:rsidRPr="00DF0680">
        <w:rPr>
          <w:rFonts w:cs="Times New Roman"/>
          <w:vertAlign w:val="superscript"/>
        </w:rPr>
        <w:t>TM</w:t>
      </w:r>
      <w:r w:rsidRPr="00DF0680">
        <w:rPr>
          <w:rFonts w:cs="Times New Roman"/>
        </w:rPr>
        <w:t xml:space="preserve"> (vector alone or with the 3’ UTR of RECQL5 cloned in) and 0.5 μg of Renilla plasmid (pRL-TK) (see 2.2.4.5) and left for 24 hours. </w:t>
      </w:r>
    </w:p>
    <w:p w:rsidR="003F1B1F" w:rsidRPr="00DF0680" w:rsidRDefault="003F1B1F" w:rsidP="00F860C3">
      <w:pPr>
        <w:pStyle w:val="Heading5"/>
      </w:pPr>
      <w:bookmarkStart w:id="485" w:name="_Toc417204502"/>
      <w:bookmarkStart w:id="486" w:name="_Toc417204907"/>
      <w:bookmarkStart w:id="487" w:name="_Toc417674633"/>
      <w:r w:rsidRPr="00DF0680">
        <w:lastRenderedPageBreak/>
        <w:t>Protein lysis</w:t>
      </w:r>
      <w:bookmarkEnd w:id="485"/>
      <w:bookmarkEnd w:id="486"/>
      <w:bookmarkEnd w:id="487"/>
    </w:p>
    <w:p w:rsidR="003F1B1F" w:rsidRPr="00DF0680" w:rsidRDefault="003F1B1F" w:rsidP="003F1B1F">
      <w:pPr>
        <w:rPr>
          <w:rFonts w:cs="Times New Roman"/>
          <w:b/>
          <w:i/>
        </w:rPr>
      </w:pPr>
      <w:r w:rsidRPr="00DF0680">
        <w:rPr>
          <w:rFonts w:cs="Times New Roman"/>
        </w:rPr>
        <w:t xml:space="preserve">Cells were lysed according to manufacturer’s instructions, using the Dual-Luciferase Reporter </w:t>
      </w:r>
      <w:r w:rsidR="00DF0680" w:rsidRPr="00DF0680">
        <w:rPr>
          <w:rFonts w:cs="Times New Roman"/>
        </w:rPr>
        <w:t>Assay</w:t>
      </w:r>
      <w:r w:rsidRPr="00DF0680">
        <w:rPr>
          <w:rFonts w:cs="Times New Roman"/>
        </w:rPr>
        <w:t xml:space="preserve"> System – passive lysis for 15 minutes at room temperature on the shaker using the 1 x Passive Lysis Buffer provided. Alongside, another well was lysed as above using 1 x RIPA buffer in order to quantify the protein concentrations between cell lines (</w:t>
      </w:r>
      <w:r w:rsidRPr="00DF0680">
        <w:t>see 2.2.5.2).</w:t>
      </w:r>
    </w:p>
    <w:p w:rsidR="003F1B1F" w:rsidRPr="00DF0680" w:rsidRDefault="003F1B1F" w:rsidP="00F860C3">
      <w:pPr>
        <w:pStyle w:val="Heading5"/>
      </w:pPr>
      <w:bookmarkStart w:id="488" w:name="_Toc417204503"/>
      <w:bookmarkStart w:id="489" w:name="_Toc417204908"/>
      <w:bookmarkStart w:id="490" w:name="_Toc417674634"/>
      <w:r w:rsidRPr="00DF0680">
        <w:t>Luciferase assay</w:t>
      </w:r>
      <w:bookmarkEnd w:id="488"/>
      <w:bookmarkEnd w:id="489"/>
      <w:bookmarkEnd w:id="490"/>
    </w:p>
    <w:p w:rsidR="003F1B1F" w:rsidRPr="00DF0680" w:rsidRDefault="003F1B1F" w:rsidP="003F1B1F">
      <w:pPr>
        <w:rPr>
          <w:rFonts w:cs="Times New Roman"/>
          <w:b/>
          <w:i/>
        </w:rPr>
      </w:pPr>
      <w:r w:rsidRPr="00DF0680">
        <w:rPr>
          <w:rFonts w:cs="Times New Roman"/>
        </w:rPr>
        <w:t>Luciferase assay reagent (LAR) and Stop &amp; Glo</w:t>
      </w:r>
      <w:r w:rsidRPr="00DF0680">
        <w:rPr>
          <w:rFonts w:cs="Times New Roman"/>
          <w:shd w:val="clear" w:color="auto" w:fill="FFFFFF"/>
          <w:vertAlign w:val="superscript"/>
        </w:rPr>
        <w:t>®</w:t>
      </w:r>
      <w:r w:rsidRPr="00DF0680">
        <w:rPr>
          <w:rStyle w:val="apple-converted-space"/>
          <w:rFonts w:cs="Times New Roman"/>
          <w:color w:val="545454"/>
          <w:shd w:val="clear" w:color="auto" w:fill="FFFFFF"/>
        </w:rPr>
        <w:t> </w:t>
      </w:r>
      <w:r w:rsidRPr="00DF0680">
        <w:rPr>
          <w:rStyle w:val="apple-converted-space"/>
          <w:rFonts w:cs="Times New Roman"/>
          <w:shd w:val="clear" w:color="auto" w:fill="FFFFFF"/>
        </w:rPr>
        <w:t>Substrate</w:t>
      </w:r>
      <w:r w:rsidRPr="00DF0680">
        <w:rPr>
          <w:rStyle w:val="apple-converted-space"/>
          <w:rFonts w:cs="Times New Roman"/>
          <w:color w:val="545454"/>
          <w:shd w:val="clear" w:color="auto" w:fill="FFFFFF"/>
        </w:rPr>
        <w:t xml:space="preserve"> </w:t>
      </w:r>
      <w:r w:rsidRPr="00DF0680">
        <w:rPr>
          <w:rFonts w:cs="Times New Roman"/>
        </w:rPr>
        <w:t>was prepared according to manufacturer’s instructions. 25 μg of protein for each sample was transferred to a well in an opaque, white 96-well plate. A GloMax</w:t>
      </w:r>
      <w:r w:rsidRPr="00DF0680">
        <w:rPr>
          <w:rFonts w:cs="Times New Roman"/>
          <w:vertAlign w:val="superscript"/>
        </w:rPr>
        <w:t>®</w:t>
      </w:r>
      <w:r w:rsidRPr="00DF0680">
        <w:rPr>
          <w:rFonts w:cs="Times New Roman"/>
        </w:rPr>
        <w:t xml:space="preserve"> 96 Microplate Luminometer w / Dual Injectors </w:t>
      </w:r>
      <w:proofErr w:type="gramStart"/>
      <w:r w:rsidRPr="00DF0680">
        <w:rPr>
          <w:rFonts w:cs="Times New Roman"/>
        </w:rPr>
        <w:t>was</w:t>
      </w:r>
      <w:proofErr w:type="gramEnd"/>
      <w:r w:rsidRPr="00DF0680">
        <w:rPr>
          <w:rFonts w:cs="Times New Roman"/>
        </w:rPr>
        <w:t xml:space="preserve"> used to carry out the following protocol automatically: 100 μl of LAR was added to each well followed by a 2 second pre-measurement delay, then a 10 second measurement period. Then, 100 μl of Stop &amp; Glo</w:t>
      </w:r>
      <w:r w:rsidRPr="00DF0680">
        <w:rPr>
          <w:rFonts w:cs="Times New Roman"/>
          <w:vertAlign w:val="superscript"/>
        </w:rPr>
        <w:t>®</w:t>
      </w:r>
      <w:r w:rsidRPr="00DF0680">
        <w:rPr>
          <w:rFonts w:cs="Times New Roman"/>
        </w:rPr>
        <w:t xml:space="preserve"> was added, again with a two second pre-measurement delay before a 10 second measurement period. </w:t>
      </w:r>
    </w:p>
    <w:p w:rsidR="003F1B1F" w:rsidRPr="00DF0680" w:rsidRDefault="003F1B1F" w:rsidP="00F860C3">
      <w:pPr>
        <w:pStyle w:val="Heading5"/>
      </w:pPr>
      <w:bookmarkStart w:id="491" w:name="_Toc417204504"/>
      <w:bookmarkStart w:id="492" w:name="_Toc417204909"/>
      <w:bookmarkStart w:id="493" w:name="_Toc417674635"/>
      <w:r w:rsidRPr="00DF0680">
        <w:t>Analysis</w:t>
      </w:r>
      <w:bookmarkEnd w:id="491"/>
      <w:bookmarkEnd w:id="492"/>
      <w:bookmarkEnd w:id="493"/>
    </w:p>
    <w:p w:rsidR="003F1B1F" w:rsidRPr="00DF0680" w:rsidRDefault="003F1B1F" w:rsidP="003F1B1F">
      <w:pPr>
        <w:rPr>
          <w:rFonts w:cs="Times New Roman"/>
        </w:rPr>
      </w:pPr>
      <w:r w:rsidRPr="00DF0680">
        <w:rPr>
          <w:rFonts w:cs="Times New Roman"/>
        </w:rPr>
        <w:t>Firefly luciferase activity was calculated relative to Renilla luciferase activity and then the activity of the vector with the 3’UTR incorporated relative to control. Mean and standard deviation was calculated from 4 repeats.</w:t>
      </w:r>
    </w:p>
    <w:p w:rsidR="003F1B1F" w:rsidRPr="00DF0680" w:rsidRDefault="003F1B1F" w:rsidP="00E664FC">
      <w:pPr>
        <w:pStyle w:val="Heading4"/>
      </w:pPr>
      <w:bookmarkStart w:id="494" w:name="_Toc417204171"/>
      <w:bookmarkStart w:id="495" w:name="_Toc417204505"/>
      <w:bookmarkStart w:id="496" w:name="_Toc417674636"/>
      <w:r w:rsidRPr="00DF0680">
        <w:t>Immunofluorescence</w:t>
      </w:r>
      <w:bookmarkEnd w:id="494"/>
      <w:bookmarkEnd w:id="495"/>
      <w:bookmarkEnd w:id="496"/>
    </w:p>
    <w:p w:rsidR="003F1B1F" w:rsidRPr="00DF0680" w:rsidRDefault="003F1B1F" w:rsidP="003F1B1F">
      <w:pPr>
        <w:rPr>
          <w:rFonts w:cs="Times New Roman"/>
        </w:rPr>
      </w:pPr>
      <w:r w:rsidRPr="00DF0680">
        <w:rPr>
          <w:rFonts w:cs="Times New Roman"/>
        </w:rPr>
        <w:t>Cells were plated into 6 well plates on top of microscope cover slips. Cells were left 4-6 hours before drug treatments were added. After the drug treatments, the media was removed and cells washed twice with PBS. Cells were fixed for 20 minutes in 4 % PFA before being permeabilised. Cells were then washed (as shown below) before being blocked for 30 minutes – 1 hour and primary antibodies were left incubating overnight at 4 °C. Primary antibodies were washed off before adding secondary for 1 hour at room temperature in the dark. Finally, cells were washed twice in PBS before being mounted onto microscope slides</w:t>
      </w:r>
      <w:r w:rsidR="00DF0680">
        <w:rPr>
          <w:rFonts w:cs="Times New Roman"/>
        </w:rPr>
        <w:t xml:space="preserve"> using Vectash</w:t>
      </w:r>
      <w:r w:rsidRPr="00DF0680">
        <w:rPr>
          <w:rFonts w:cs="Times New Roman"/>
        </w:rPr>
        <w:t>i</w:t>
      </w:r>
      <w:r w:rsidR="00DF0680">
        <w:rPr>
          <w:rFonts w:cs="Times New Roman"/>
        </w:rPr>
        <w:t>e</w:t>
      </w:r>
      <w:r w:rsidRPr="00DF0680">
        <w:rPr>
          <w:rFonts w:cs="Times New Roman"/>
        </w:rPr>
        <w:t xml:space="preserve">ld with DAPI (Vector Laboratories). </w:t>
      </w:r>
    </w:p>
    <w:tbl>
      <w:tblPr>
        <w:tblStyle w:val="TableGrid"/>
        <w:tblW w:w="0" w:type="auto"/>
        <w:tblLook w:val="04A0"/>
      </w:tblPr>
      <w:tblGrid>
        <w:gridCol w:w="1177"/>
        <w:gridCol w:w="1727"/>
        <w:gridCol w:w="1905"/>
        <w:gridCol w:w="1878"/>
        <w:gridCol w:w="2033"/>
      </w:tblGrid>
      <w:tr w:rsidR="003F1B1F" w:rsidRPr="00DF0680" w:rsidTr="003F1B1F">
        <w:tc>
          <w:tcPr>
            <w:tcW w:w="1177" w:type="dxa"/>
            <w:shd w:val="clear" w:color="auto" w:fill="A6A6A6" w:themeFill="background1" w:themeFillShade="A6"/>
          </w:tcPr>
          <w:p w:rsidR="003F1B1F" w:rsidRPr="00DF0680" w:rsidRDefault="003F1B1F" w:rsidP="00B9134D">
            <w:pPr>
              <w:keepNext/>
              <w:jc w:val="center"/>
              <w:rPr>
                <w:rFonts w:cs="Times New Roman"/>
              </w:rPr>
            </w:pPr>
            <w:r w:rsidRPr="00DF0680">
              <w:rPr>
                <w:rFonts w:cs="Times New Roman"/>
              </w:rPr>
              <w:lastRenderedPageBreak/>
              <w:t>Antibody</w:t>
            </w:r>
          </w:p>
        </w:tc>
        <w:tc>
          <w:tcPr>
            <w:tcW w:w="1727" w:type="dxa"/>
            <w:shd w:val="clear" w:color="auto" w:fill="A6A6A6" w:themeFill="background1" w:themeFillShade="A6"/>
          </w:tcPr>
          <w:p w:rsidR="003F1B1F" w:rsidRPr="00DF0680" w:rsidRDefault="003F1B1F" w:rsidP="00B9134D">
            <w:pPr>
              <w:keepNext/>
              <w:jc w:val="center"/>
              <w:rPr>
                <w:rFonts w:cs="Times New Roman"/>
              </w:rPr>
            </w:pPr>
            <w:r w:rsidRPr="00DF0680">
              <w:rPr>
                <w:rFonts w:cs="Times New Roman"/>
              </w:rPr>
              <w:t>Permeab</w:t>
            </w:r>
            <w:r w:rsidR="00DF0680">
              <w:rPr>
                <w:rFonts w:cs="Times New Roman"/>
              </w:rPr>
              <w:t>i</w:t>
            </w:r>
            <w:r w:rsidRPr="00DF0680">
              <w:rPr>
                <w:rFonts w:cs="Times New Roman"/>
              </w:rPr>
              <w:t>lise</w:t>
            </w:r>
          </w:p>
        </w:tc>
        <w:tc>
          <w:tcPr>
            <w:tcW w:w="1905" w:type="dxa"/>
            <w:shd w:val="clear" w:color="auto" w:fill="A6A6A6" w:themeFill="background1" w:themeFillShade="A6"/>
          </w:tcPr>
          <w:p w:rsidR="003F1B1F" w:rsidRPr="00DF0680" w:rsidRDefault="003F1B1F" w:rsidP="00B9134D">
            <w:pPr>
              <w:keepNext/>
              <w:jc w:val="center"/>
              <w:rPr>
                <w:rFonts w:cs="Times New Roman"/>
              </w:rPr>
            </w:pPr>
            <w:r w:rsidRPr="00DF0680">
              <w:rPr>
                <w:rFonts w:cs="Times New Roman"/>
              </w:rPr>
              <w:t>Wash</w:t>
            </w:r>
          </w:p>
        </w:tc>
        <w:tc>
          <w:tcPr>
            <w:tcW w:w="1878" w:type="dxa"/>
            <w:shd w:val="clear" w:color="auto" w:fill="A6A6A6" w:themeFill="background1" w:themeFillShade="A6"/>
          </w:tcPr>
          <w:p w:rsidR="003F1B1F" w:rsidRPr="00DF0680" w:rsidRDefault="003F1B1F" w:rsidP="00B9134D">
            <w:pPr>
              <w:keepNext/>
              <w:jc w:val="center"/>
              <w:rPr>
                <w:rFonts w:cs="Times New Roman"/>
              </w:rPr>
            </w:pPr>
            <w:r w:rsidRPr="00DF0680">
              <w:rPr>
                <w:rFonts w:cs="Times New Roman"/>
              </w:rPr>
              <w:t>Block</w:t>
            </w:r>
          </w:p>
        </w:tc>
        <w:tc>
          <w:tcPr>
            <w:tcW w:w="2033" w:type="dxa"/>
            <w:shd w:val="clear" w:color="auto" w:fill="A6A6A6" w:themeFill="background1" w:themeFillShade="A6"/>
          </w:tcPr>
          <w:p w:rsidR="003F1B1F" w:rsidRPr="00DF0680" w:rsidRDefault="003F1B1F" w:rsidP="00B9134D">
            <w:pPr>
              <w:keepNext/>
              <w:jc w:val="center"/>
              <w:rPr>
                <w:rFonts w:cs="Times New Roman"/>
              </w:rPr>
            </w:pPr>
            <w:r w:rsidRPr="00DF0680">
              <w:rPr>
                <w:rFonts w:cs="Times New Roman"/>
              </w:rPr>
              <w:t>Antibody solution</w:t>
            </w:r>
          </w:p>
        </w:tc>
      </w:tr>
      <w:tr w:rsidR="003F1B1F" w:rsidRPr="00DF0680" w:rsidTr="003F1B1F">
        <w:tc>
          <w:tcPr>
            <w:tcW w:w="1177" w:type="dxa"/>
            <w:shd w:val="clear" w:color="auto" w:fill="D9D9D9" w:themeFill="background1" w:themeFillShade="D9"/>
          </w:tcPr>
          <w:p w:rsidR="003F1B1F" w:rsidRPr="00DF0680" w:rsidRDefault="003F1B1F" w:rsidP="007B34D8">
            <w:pPr>
              <w:keepNext/>
              <w:spacing w:line="240" w:lineRule="auto"/>
              <w:jc w:val="center"/>
              <w:rPr>
                <w:rFonts w:cs="Times New Roman"/>
              </w:rPr>
            </w:pPr>
            <w:r w:rsidRPr="00DF0680">
              <w:rPr>
                <w:rFonts w:cs="Times New Roman"/>
              </w:rPr>
              <w:t>γH2AX</w:t>
            </w:r>
          </w:p>
        </w:tc>
        <w:tc>
          <w:tcPr>
            <w:tcW w:w="1727" w:type="dxa"/>
          </w:tcPr>
          <w:p w:rsidR="003F1B1F" w:rsidRPr="00DF0680" w:rsidRDefault="003F1B1F" w:rsidP="007B34D8">
            <w:pPr>
              <w:keepNext/>
              <w:spacing w:line="240" w:lineRule="auto"/>
              <w:jc w:val="center"/>
              <w:rPr>
                <w:rFonts w:cs="Times New Roman"/>
              </w:rPr>
            </w:pPr>
            <w:r w:rsidRPr="00DF0680">
              <w:rPr>
                <w:rFonts w:cs="Times New Roman"/>
              </w:rPr>
              <w:t>0.5% PBS-Triton-X (1x10 mins)</w:t>
            </w:r>
          </w:p>
        </w:tc>
        <w:tc>
          <w:tcPr>
            <w:tcW w:w="1905" w:type="dxa"/>
          </w:tcPr>
          <w:p w:rsidR="003F1B1F" w:rsidRPr="00DF0680" w:rsidRDefault="003F1B1F" w:rsidP="007B34D8">
            <w:pPr>
              <w:keepNext/>
              <w:spacing w:line="240" w:lineRule="auto"/>
              <w:jc w:val="center"/>
              <w:rPr>
                <w:rFonts w:cs="Times New Roman"/>
              </w:rPr>
            </w:pPr>
            <w:r w:rsidRPr="00DF0680">
              <w:rPr>
                <w:rFonts w:cs="Times New Roman"/>
              </w:rPr>
              <w:t>TBS (3x5 mins)</w:t>
            </w:r>
          </w:p>
        </w:tc>
        <w:tc>
          <w:tcPr>
            <w:tcW w:w="1878" w:type="dxa"/>
          </w:tcPr>
          <w:p w:rsidR="003F1B1F" w:rsidRPr="00DF0680" w:rsidRDefault="003F1B1F" w:rsidP="007B34D8">
            <w:pPr>
              <w:keepNext/>
              <w:spacing w:line="240" w:lineRule="auto"/>
              <w:jc w:val="center"/>
              <w:rPr>
                <w:rFonts w:cs="Times New Roman"/>
              </w:rPr>
            </w:pPr>
            <w:r w:rsidRPr="00DF0680">
              <w:rPr>
                <w:rFonts w:cs="Times New Roman"/>
              </w:rPr>
              <w:t>3% BSA in PBS</w:t>
            </w:r>
          </w:p>
        </w:tc>
        <w:tc>
          <w:tcPr>
            <w:tcW w:w="2033" w:type="dxa"/>
          </w:tcPr>
          <w:p w:rsidR="003F1B1F" w:rsidRPr="00DF0680" w:rsidRDefault="003F1B1F" w:rsidP="007B34D8">
            <w:pPr>
              <w:keepNext/>
              <w:spacing w:line="240" w:lineRule="auto"/>
              <w:jc w:val="center"/>
              <w:rPr>
                <w:rFonts w:cs="Times New Roman"/>
              </w:rPr>
            </w:pPr>
            <w:r w:rsidRPr="00DF0680">
              <w:rPr>
                <w:rFonts w:cs="Times New Roman"/>
              </w:rPr>
              <w:t>1% BSA in TBS</w:t>
            </w:r>
          </w:p>
        </w:tc>
      </w:tr>
      <w:tr w:rsidR="003F1B1F" w:rsidRPr="00DF0680" w:rsidTr="003F1B1F">
        <w:tc>
          <w:tcPr>
            <w:tcW w:w="1177" w:type="dxa"/>
            <w:shd w:val="clear" w:color="auto" w:fill="D9D9D9" w:themeFill="background1" w:themeFillShade="D9"/>
          </w:tcPr>
          <w:p w:rsidR="003F1B1F" w:rsidRPr="00DF0680" w:rsidRDefault="003F1B1F" w:rsidP="007B34D8">
            <w:pPr>
              <w:keepNext/>
              <w:spacing w:line="240" w:lineRule="auto"/>
              <w:jc w:val="center"/>
              <w:rPr>
                <w:rFonts w:cs="Times New Roman"/>
              </w:rPr>
            </w:pPr>
            <w:r w:rsidRPr="00DF0680">
              <w:rPr>
                <w:rFonts w:cs="Times New Roman"/>
              </w:rPr>
              <w:t>RAD51</w:t>
            </w:r>
          </w:p>
        </w:tc>
        <w:tc>
          <w:tcPr>
            <w:tcW w:w="1727" w:type="dxa"/>
          </w:tcPr>
          <w:p w:rsidR="003F1B1F" w:rsidRPr="00DF0680" w:rsidRDefault="003F1B1F" w:rsidP="007B34D8">
            <w:pPr>
              <w:keepNext/>
              <w:spacing w:line="240" w:lineRule="auto"/>
              <w:jc w:val="center"/>
              <w:rPr>
                <w:rFonts w:cs="Times New Roman"/>
              </w:rPr>
            </w:pPr>
          </w:p>
        </w:tc>
        <w:tc>
          <w:tcPr>
            <w:tcW w:w="1905" w:type="dxa"/>
          </w:tcPr>
          <w:p w:rsidR="003F1B1F" w:rsidRPr="00DF0680" w:rsidRDefault="003F1B1F" w:rsidP="007B34D8">
            <w:pPr>
              <w:keepNext/>
              <w:spacing w:line="240" w:lineRule="auto"/>
              <w:jc w:val="center"/>
              <w:rPr>
                <w:rFonts w:cs="Times New Roman"/>
              </w:rPr>
            </w:pPr>
            <w:r w:rsidRPr="00DF0680">
              <w:rPr>
                <w:rFonts w:cs="Times New Roman"/>
              </w:rPr>
              <w:t>0.05% PBS-Triton-X (4x15 mins)</w:t>
            </w:r>
          </w:p>
        </w:tc>
        <w:tc>
          <w:tcPr>
            <w:tcW w:w="1878" w:type="dxa"/>
          </w:tcPr>
          <w:p w:rsidR="003F1B1F" w:rsidRPr="00DF0680" w:rsidRDefault="003F1B1F" w:rsidP="007B34D8">
            <w:pPr>
              <w:keepNext/>
              <w:spacing w:line="240" w:lineRule="auto"/>
              <w:jc w:val="center"/>
              <w:rPr>
                <w:rFonts w:cs="Times New Roman"/>
              </w:rPr>
            </w:pPr>
          </w:p>
        </w:tc>
        <w:tc>
          <w:tcPr>
            <w:tcW w:w="2033" w:type="dxa"/>
          </w:tcPr>
          <w:p w:rsidR="003F1B1F" w:rsidRPr="00DF0680" w:rsidRDefault="003F1B1F" w:rsidP="007B34D8">
            <w:pPr>
              <w:keepNext/>
              <w:spacing w:line="240" w:lineRule="auto"/>
              <w:jc w:val="center"/>
              <w:rPr>
                <w:rFonts w:cs="Times New Roman"/>
              </w:rPr>
            </w:pPr>
            <w:r w:rsidRPr="00DF0680">
              <w:rPr>
                <w:rFonts w:cs="Times New Roman"/>
              </w:rPr>
              <w:t>3% goat serum in PBS</w:t>
            </w:r>
          </w:p>
        </w:tc>
      </w:tr>
      <w:tr w:rsidR="003F1B1F" w:rsidRPr="00DF0680" w:rsidTr="003F1B1F">
        <w:tc>
          <w:tcPr>
            <w:tcW w:w="1177" w:type="dxa"/>
            <w:shd w:val="clear" w:color="auto" w:fill="D9D9D9" w:themeFill="background1" w:themeFillShade="D9"/>
          </w:tcPr>
          <w:p w:rsidR="003F1B1F" w:rsidRPr="00DF0680" w:rsidRDefault="003F1B1F" w:rsidP="007B34D8">
            <w:pPr>
              <w:keepNext/>
              <w:spacing w:line="240" w:lineRule="auto"/>
              <w:jc w:val="center"/>
              <w:rPr>
                <w:rFonts w:cs="Times New Roman"/>
              </w:rPr>
            </w:pPr>
            <w:r w:rsidRPr="00DF0680">
              <w:rPr>
                <w:rFonts w:cs="Times New Roman"/>
              </w:rPr>
              <w:t>53BP1</w:t>
            </w:r>
          </w:p>
        </w:tc>
        <w:tc>
          <w:tcPr>
            <w:tcW w:w="1727" w:type="dxa"/>
          </w:tcPr>
          <w:p w:rsidR="003F1B1F" w:rsidRPr="00DF0680" w:rsidRDefault="003F1B1F" w:rsidP="007B34D8">
            <w:pPr>
              <w:keepNext/>
              <w:spacing w:line="240" w:lineRule="auto"/>
              <w:jc w:val="center"/>
              <w:rPr>
                <w:rFonts w:cs="Times New Roman"/>
              </w:rPr>
            </w:pPr>
          </w:p>
        </w:tc>
        <w:tc>
          <w:tcPr>
            <w:tcW w:w="1905" w:type="dxa"/>
          </w:tcPr>
          <w:p w:rsidR="003F1B1F" w:rsidRPr="00DF0680" w:rsidRDefault="003F1B1F" w:rsidP="007B34D8">
            <w:pPr>
              <w:keepNext/>
              <w:spacing w:line="240" w:lineRule="auto"/>
              <w:jc w:val="center"/>
              <w:rPr>
                <w:rFonts w:cs="Times New Roman"/>
              </w:rPr>
            </w:pPr>
            <w:r w:rsidRPr="00DF0680">
              <w:rPr>
                <w:rFonts w:cs="Times New Roman"/>
              </w:rPr>
              <w:t>0.2% PBS-Tween20 (3x5 mins)</w:t>
            </w:r>
          </w:p>
        </w:tc>
        <w:tc>
          <w:tcPr>
            <w:tcW w:w="1878" w:type="dxa"/>
          </w:tcPr>
          <w:p w:rsidR="003F1B1F" w:rsidRPr="00DF0680" w:rsidRDefault="003F1B1F" w:rsidP="007B34D8">
            <w:pPr>
              <w:keepNext/>
              <w:spacing w:line="240" w:lineRule="auto"/>
              <w:jc w:val="center"/>
              <w:rPr>
                <w:rFonts w:cs="Times New Roman"/>
              </w:rPr>
            </w:pPr>
            <w:r w:rsidRPr="00DF0680">
              <w:rPr>
                <w:rFonts w:cs="Times New Roman"/>
              </w:rPr>
              <w:t>0.5% BSA in 0.25% PBS-Triton-X</w:t>
            </w:r>
          </w:p>
        </w:tc>
        <w:tc>
          <w:tcPr>
            <w:tcW w:w="2033" w:type="dxa"/>
          </w:tcPr>
          <w:p w:rsidR="003F1B1F" w:rsidRPr="00DF0680" w:rsidRDefault="003F1B1F" w:rsidP="007B34D8">
            <w:pPr>
              <w:keepNext/>
              <w:spacing w:line="240" w:lineRule="auto"/>
              <w:jc w:val="center"/>
              <w:rPr>
                <w:rFonts w:cs="Times New Roman"/>
              </w:rPr>
            </w:pPr>
            <w:r w:rsidRPr="00DF0680">
              <w:rPr>
                <w:rFonts w:cs="Times New Roman"/>
              </w:rPr>
              <w:t>0.5% BSA in 0.25% PBS-Triton-X</w:t>
            </w:r>
          </w:p>
        </w:tc>
      </w:tr>
      <w:tr w:rsidR="003F1B1F" w:rsidRPr="00DF0680" w:rsidTr="003F1B1F">
        <w:tc>
          <w:tcPr>
            <w:tcW w:w="1177" w:type="dxa"/>
            <w:shd w:val="clear" w:color="auto" w:fill="D9D9D9" w:themeFill="background1" w:themeFillShade="D9"/>
          </w:tcPr>
          <w:p w:rsidR="003F1B1F" w:rsidRPr="00DF0680" w:rsidRDefault="003F1B1F" w:rsidP="007B34D8">
            <w:pPr>
              <w:spacing w:line="240" w:lineRule="auto"/>
              <w:jc w:val="center"/>
              <w:rPr>
                <w:rFonts w:cs="Times New Roman"/>
              </w:rPr>
            </w:pPr>
            <w:r w:rsidRPr="00DF0680">
              <w:rPr>
                <w:rFonts w:cs="Times New Roman"/>
              </w:rPr>
              <w:t>RPA</w:t>
            </w:r>
          </w:p>
        </w:tc>
        <w:tc>
          <w:tcPr>
            <w:tcW w:w="1727" w:type="dxa"/>
          </w:tcPr>
          <w:p w:rsidR="003F1B1F" w:rsidRPr="00DF0680" w:rsidRDefault="003F1B1F" w:rsidP="007B34D8">
            <w:pPr>
              <w:spacing w:line="240" w:lineRule="auto"/>
              <w:jc w:val="center"/>
              <w:rPr>
                <w:rFonts w:cs="Times New Roman"/>
              </w:rPr>
            </w:pPr>
          </w:p>
        </w:tc>
        <w:tc>
          <w:tcPr>
            <w:tcW w:w="1905" w:type="dxa"/>
          </w:tcPr>
          <w:p w:rsidR="003F1B1F" w:rsidRPr="00DF0680" w:rsidRDefault="003F1B1F" w:rsidP="007B34D8">
            <w:pPr>
              <w:spacing w:line="240" w:lineRule="auto"/>
              <w:jc w:val="center"/>
              <w:rPr>
                <w:rFonts w:cs="Times New Roman"/>
              </w:rPr>
            </w:pPr>
            <w:r w:rsidRPr="00DF0680">
              <w:rPr>
                <w:rFonts w:cs="Times New Roman"/>
              </w:rPr>
              <w:t>0.05% PBS-Triton-X (3x5 mins)</w:t>
            </w:r>
          </w:p>
        </w:tc>
        <w:tc>
          <w:tcPr>
            <w:tcW w:w="1878" w:type="dxa"/>
          </w:tcPr>
          <w:p w:rsidR="003F1B1F" w:rsidRPr="00DF0680" w:rsidRDefault="003F1B1F" w:rsidP="007B34D8">
            <w:pPr>
              <w:spacing w:line="240" w:lineRule="auto"/>
              <w:jc w:val="center"/>
              <w:rPr>
                <w:rFonts w:cs="Times New Roman"/>
              </w:rPr>
            </w:pPr>
          </w:p>
        </w:tc>
        <w:tc>
          <w:tcPr>
            <w:tcW w:w="2033" w:type="dxa"/>
          </w:tcPr>
          <w:p w:rsidR="003F1B1F" w:rsidRPr="00DF0680" w:rsidRDefault="003F1B1F" w:rsidP="007B34D8">
            <w:pPr>
              <w:spacing w:line="240" w:lineRule="auto"/>
              <w:jc w:val="center"/>
              <w:rPr>
                <w:rFonts w:cs="Times New Roman"/>
              </w:rPr>
            </w:pPr>
            <w:r w:rsidRPr="00DF0680">
              <w:rPr>
                <w:rFonts w:cs="Times New Roman"/>
              </w:rPr>
              <w:t>0.5% BSA in 0.25% PBS-Triton-X</w:t>
            </w:r>
          </w:p>
        </w:tc>
      </w:tr>
    </w:tbl>
    <w:p w:rsidR="008C6A44" w:rsidRPr="00DF0680" w:rsidRDefault="008C6A44" w:rsidP="008C6A44"/>
    <w:p w:rsidR="003F1B1F" w:rsidRPr="00DF0680" w:rsidRDefault="003F1B1F" w:rsidP="008C6A44">
      <w:pPr>
        <w:pStyle w:val="Heading4"/>
      </w:pPr>
      <w:r w:rsidRPr="00DF0680">
        <w:t xml:space="preserve"> </w:t>
      </w:r>
      <w:bookmarkStart w:id="497" w:name="_Toc417204172"/>
      <w:bookmarkStart w:id="498" w:name="_Toc417204506"/>
      <w:bookmarkStart w:id="499" w:name="_Toc417674637"/>
      <w:r w:rsidRPr="00DF0680">
        <w:t>Immunoprecipitation</w:t>
      </w:r>
      <w:bookmarkEnd w:id="497"/>
      <w:bookmarkEnd w:id="498"/>
      <w:bookmarkEnd w:id="499"/>
    </w:p>
    <w:p w:rsidR="003F1B1F" w:rsidRPr="00DF0680" w:rsidRDefault="003F1B1F" w:rsidP="003F1B1F">
      <w:pPr>
        <w:rPr>
          <w:rFonts w:cs="Times New Roman"/>
        </w:rPr>
      </w:pPr>
      <w:r w:rsidRPr="00DF0680">
        <w:rPr>
          <w:rFonts w:cs="Times New Roman"/>
        </w:rPr>
        <w:t xml:space="preserve">Cells from a 90 mm tissue culture dish were washed twice with ice cold PBS before scraping cells off the surface into 500 µl of ice cold buffer (Tris pH 7.4 100 mM, Triton X-100 1%, EDTA pH 8 5 mM and NaCl 50 mM) with </w:t>
      </w:r>
      <w:r w:rsidR="00DF0680" w:rsidRPr="00DF0680">
        <w:rPr>
          <w:rFonts w:cs="Times New Roman"/>
        </w:rPr>
        <w:t>phosphatase</w:t>
      </w:r>
      <w:r w:rsidRPr="00DF0680">
        <w:rPr>
          <w:rFonts w:cs="Times New Roman"/>
        </w:rPr>
        <w:t xml:space="preserve"> and protease inhibitors. This was then vortexed and left on ice for 30 minutes before passing the lysate through a 25 G Microlance Needle. This was then spun down at 4 °C in a centrifuge at 13,200 rpm for 10 minutes. 2 µl of the supernatant was used to calculate protein concentration and 10 % of the supernatant was saved as an input. The rest was split between the number of antibodies used for the precipitation. 5 µl of antibody (supernatant with no antibody was used for a negative control) was added to the supernatant and if this was less than 250 µl it was made up to this total volume using buffer.  After this was mixed for 2 hours at 4 °C, it was added to 75 µl of protein A sepharose beads (Invitrogen), washed three times in buffer. This was allowed to mix for a further hour at 4 °C. The beads were then washed three times in buffer and proteins eluted by adding 5 x loading buffer and boiling for 5 minutes. This was then run on an SDS-PAGE gel for analysis.</w:t>
      </w:r>
    </w:p>
    <w:p w:rsidR="003F1B1F" w:rsidRPr="00DF0680" w:rsidRDefault="003F1B1F" w:rsidP="00E664FC">
      <w:pPr>
        <w:pStyle w:val="Heading4"/>
      </w:pPr>
      <w:bookmarkStart w:id="500" w:name="_Toc417204173"/>
      <w:bookmarkStart w:id="501" w:name="_Toc417204507"/>
      <w:bookmarkStart w:id="502" w:name="_Toc417674638"/>
      <w:r w:rsidRPr="00DF0680">
        <w:t>FLAG</w:t>
      </w:r>
      <w:r w:rsidR="00CE6110" w:rsidRPr="00DF0680">
        <w:t xml:space="preserve"> i</w:t>
      </w:r>
      <w:r w:rsidRPr="00DF0680">
        <w:t>mmunoprecipitation</w:t>
      </w:r>
      <w:bookmarkEnd w:id="500"/>
      <w:bookmarkEnd w:id="501"/>
      <w:bookmarkEnd w:id="502"/>
    </w:p>
    <w:p w:rsidR="003F1B1F" w:rsidRPr="00DF0680" w:rsidRDefault="003F1B1F" w:rsidP="003F1B1F">
      <w:pPr>
        <w:rPr>
          <w:rFonts w:cs="Times New Roman"/>
        </w:rPr>
      </w:pPr>
      <w:r w:rsidRPr="00DF0680">
        <w:rPr>
          <w:rFonts w:cs="Times New Roman"/>
        </w:rPr>
        <w:t xml:space="preserve">For immuno-precipitating proteins tagged with Flag, the same protocol as 2.2.5.8 was followed but the buffer was replaced with 50mM Tris pH 8.0, 200 mM NaCl, 1 % Triton X-100, 1 mM EDTA, 1 x protease inhibitor and 1 x phosphatase inhibitors and the beads were replaced with Anti-Flag M2 </w:t>
      </w:r>
      <w:r w:rsidR="00DF0680" w:rsidRPr="00DF0680">
        <w:rPr>
          <w:rFonts w:cs="Times New Roman"/>
        </w:rPr>
        <w:t>Affinity</w:t>
      </w:r>
      <w:r w:rsidRPr="00DF0680">
        <w:rPr>
          <w:rFonts w:cs="Times New Roman"/>
        </w:rPr>
        <w:t xml:space="preserve"> Gel (Sigma). </w:t>
      </w:r>
    </w:p>
    <w:p w:rsidR="003F1B1F" w:rsidRPr="00DF0680" w:rsidRDefault="00CE6110" w:rsidP="00E664FC">
      <w:pPr>
        <w:pStyle w:val="Heading3"/>
      </w:pPr>
      <w:bookmarkStart w:id="503" w:name="_Toc417204174"/>
      <w:bookmarkStart w:id="504" w:name="_Toc417204508"/>
      <w:bookmarkStart w:id="505" w:name="_Toc417674639"/>
      <w:r w:rsidRPr="00DF0680">
        <w:lastRenderedPageBreak/>
        <w:t>DNA f</w:t>
      </w:r>
      <w:r w:rsidR="003F1B1F" w:rsidRPr="00DF0680">
        <w:t xml:space="preserve">ibre </w:t>
      </w:r>
      <w:r w:rsidRPr="00DF0680">
        <w:t>a</w:t>
      </w:r>
      <w:r w:rsidR="003F1B1F" w:rsidRPr="00DF0680">
        <w:t>nalysis</w:t>
      </w:r>
      <w:bookmarkEnd w:id="503"/>
      <w:bookmarkEnd w:id="504"/>
      <w:bookmarkEnd w:id="505"/>
    </w:p>
    <w:p w:rsidR="003F1B1F" w:rsidRPr="00DF0680" w:rsidRDefault="003F1B1F" w:rsidP="003F1B1F">
      <w:pPr>
        <w:rPr>
          <w:rFonts w:cs="Times New Roman"/>
        </w:rPr>
      </w:pPr>
      <w:r w:rsidRPr="00DF0680">
        <w:rPr>
          <w:rFonts w:cs="Times New Roman"/>
        </w:rPr>
        <w:t xml:space="preserve">DNA Fibre Analysis is a method used for visualising DNA replication in mammalian cells. It can be used to determine fork speed, fork stalling, new origin firing and fork asymmetry in cycling cells, with or without DNA damage </w:t>
      </w:r>
      <w:r w:rsidR="00F20EC0" w:rsidRPr="00DF0680">
        <w:rPr>
          <w:rFonts w:cs="Times New Roman"/>
        </w:rPr>
        <w:fldChar w:fldCharType="begin" w:fldLock="1"/>
      </w:r>
      <w:r w:rsidR="00332613" w:rsidRPr="00DF0680">
        <w:rPr>
          <w:rFonts w:cs="Times New Roman"/>
        </w:rPr>
        <w:instrText>ADDIN CSL_CITATION { "citationItems" : [ { "id" : "ITEM-1", "itemData" : { "DOI" : "10.1016/j.jmb.2013.03.040", "ISSN" : "00222836", "author" : [ { "dropping-particle" : "", "family" : "T\u00e9cher", "given" : "Herv\u00e9", "non-dropping-particle" : "", "parse-names" : false, "suffix" : "" }, { "dropping-particle" : "", "family" : "Koundrioukoff", "given" : "St\u00e9phane", "non-dropping-particle" : "", "parse-names" : false, "suffix" : "" }, { "dropping-particle" : "", "family" : "Azar", "given" : "Dana", "non-dropping-particle" : "", "parse-names" : false, "suffix" : "" }, { "dropping-particle" : "", "family" : "Wilhelm", "given" : "Therese", "non-dropping-particle" : "", "parse-names" : false, "suffix" : "" }, { "dropping-particle" : "", "family" : "Carignon", "given" : "Sandra", "non-dropping-particle" : "", "parse-names" : false, "suffix" : "" }, { "dropping-particle" : "", "family" : "Brison", "given" : "Olivier", "non-dropping-particle" : "", "parse-names" : false, "suffix" : "" }, { "dropping-particle" : "", "family" : "Debatisse", "given" : "Michelle", "non-dropping-particle" : "", "parse-names" : false, "suffix" : "" }, { "dropping-particle" : "Le", "family" : "Tallec", "given" : "Beno\u00eet", "non-dropping-particle" : "", "parse-names" : false, "suffix" : "" } ], "container-title" : "Journal of Molecular Biology", "id" : "ITEM-1", "issue" : "23", "issued" : { "date-parts" : [ [ "2013", "4" ] ] }, "page" : "4845-55", "publisher" : "Elsevier B.V.", "title" : "Replication dynamics: Biases and robustness of DNA fiber analysis", "type" : "article-journal", "volume" : "425" }, "uris" : [ "http://www.mendeley.com/documents/?uuid=2eb128bd-f65b-4ef9-852c-67fbd1fe27eb" ] }, { "id" : "ITEM-2", "itemData" : { "DOI" : "10.1074/jbc.M400022200", "ISBN" : "4420726938", "ISSN" : "0021-9258", "PMID" : "14982920", "abstract" : "Eukaryotic cells respond to DNA damage within the S phase by activating an intra-S checkpoint: a response that includes reducing the rate of DNA synthesis. In yeast cells this can occur via checkpoint-dependent inhibition of origin firing and stabilization of ongoing forks, together with a checkpoint-independent slowing of fork movement. In higher eukaryotes, however, the mechanism by which DNA synthesis is reduced is less clear. We have developed strategies based on DNA fiber labeling that allow the quantitative assessment of rates of replication fork movement, origin firing, and fork stalling throughout the genome by examining large numbers of individually labeled replication forks. We show that exposing S phase cells to ionizing radiation induces a transient block to origin firing but does not affect fork rate or fork stalling. Alkylation damage by methyl methane sulfonate causes a slowing of fork movement and a high rate of fork stalling, in addition to inducing a block to new origin firing. Nucleotide depletion by hydroxyurea also reduces replication fork rate and increases stalling; moreover, in contrast to a recent report, we show that hydroxyurea induces a strong block to new origin firing. The DNA fiber labeling strategy provides a powerful new approach to analyze the dynamics of DNA replication in a perturbed S phase.", "author" : [ { "dropping-particle" : "", "family" : "Merrick", "given" : "Catherine J", "non-dropping-particle" : "", "parse-names" : false, "suffix" : "" }, { "dropping-particle" : "", "family" : "Jackson", "given" : "Dean", "non-dropping-particle" : "", "parse-names" : false, "suffix" : "" }, { "dropping-particle" : "", "family" : "Diffley", "given" : "John F X", "non-dropping-particle" : "", "parse-names" : false, "suffix" : "" } ], "container-title" : "The Journal of Biological Chemistry", "id" : "ITEM-2", "issue" : "19", "issued" : { "date-parts" : [ [ "2004", "5", "7" ] ] }, "page" : "20067-75", "title" : "Visualization of altered replication dynamics after DNA damage in human cells.", "type" : "article-journal", "volume" : "279" }, "uris" : [ "http://www.mendeley.com/documents/?uuid=8da3b25c-a2cd-48d7-aec2-5c8e3f5099e9" ] } ], "mendeley" : { "formattedCitation" : "(T\u00e9cher et al. 2013; Merrick et al. 2004)", "plainTextFormattedCitation" : "(T\u00e9cher et al. 2013; Merrick et al. 2004)", "previouslyFormattedCitation" : "(T\u00e9cher et al. 2013; Merrick et al. 2004)"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(Técher et al. 2013; Merrick et al. 2004)</w:t>
      </w:r>
      <w:r w:rsidR="00F20EC0" w:rsidRPr="00DF0680">
        <w:rPr>
          <w:rFonts w:cs="Times New Roman"/>
        </w:rPr>
        <w:fldChar w:fldCharType="end"/>
      </w:r>
      <w:r w:rsidRPr="00DF0680">
        <w:rPr>
          <w:rFonts w:cs="Times New Roman"/>
        </w:rPr>
        <w:t xml:space="preserve">. </w:t>
      </w:r>
      <w:r w:rsidR="003723C6" w:rsidRPr="00DF0680">
        <w:rPr>
          <w:rFonts w:cs="Times New Roman"/>
        </w:rPr>
        <w:t xml:space="preserve">The method used is described below although other techniques are available (such as DNA combing, involving capturing DNA in agarose plus and stretching out DNA fibres on a silanized coverslip) </w:t>
      </w:r>
      <w:r w:rsidR="00F20EC0" w:rsidRPr="00DF0680">
        <w:rPr>
          <w:rFonts w:cs="Times New Roman"/>
        </w:rPr>
        <w:fldChar w:fldCharType="begin" w:fldLock="1"/>
      </w:r>
      <w:r w:rsidR="004B25BF" w:rsidRPr="00DF0680">
        <w:rPr>
          <w:rFonts w:cs="Times New Roman"/>
        </w:rPr>
        <w:instrText>ADDIN CSL_CITATION { "citationItems" : [ { "id" : "ITEM-1", "itemData" : { "DOI" : "10.1016/j.ymeth.2012.04.007", "ISBN" : "1095-9130 (Electronic)\\r1046-2023 (Linking)", "ISSN" : "10462023", "PMID" : "22579803", "abstract" : "DNA combing is a powerful method developed by Bensimon and colleagues to stretch DNA molecules on silanized glass coverslips. This technique provides a unique way to monitor the activation of replication origins and the progression of replication forks at the level of single DNA molecules, after incorporation of thymidine analogs, such as 5-bromo-2'-deoxyuridine (BrdU), 5-iodo-2'-deoxyuridine (IdU) and 5-chloro-2'-deoxyuridine (CldU) in newly-synthesized DNA. Unlike microarray-based approaches, this assay gives access to the variability of replication profiles in individual cells. It can also be used to monitor the effect of DNA lesions on fork progression, arrest and restart. In this review, we propose standard DNA combing methods to analyze DNA replication in budding yeast and in human cells. We also show that 5-ethynyl-2'-deoxyuridine (EdU) can be used as a good alternative to BrdU for DNA combing analysis, as unlike halogenated nucleotides, it can be detected without prior denaturation of DNA. \u00a9 2012 Elsevier Inc.", "author" : [ { "dropping-particle" : "", "family" : "Bianco", "given" : "Julien N.", "non-dropping-particle" : "", "parse-names" : false, "suffix" : "" }, { "dropping-particle" : "", "family" : "Poli", "given" : "J\u00e9r\u00f4me", "non-dropping-particle" : "", "parse-names" : false, "suffix" : "" }, { "dropping-particle" : "", "family" : "Saksouk", "given" : "Julie", "non-dropping-particle" : "", "parse-names" : false, "suffix" : "" }, { "dropping-particle" : "", "family" : "Bacal", "given" : "Julien", "non-dropping-particle" : "", "parse-names" : false, "suffix" : "" }, { "dropping-particle" : "", "family" : "Silva", "given" : "Maria Joao", "non-dropping-particle" : "", "parse-names" : false, "suffix" : "" }, { "dropping-particle" : "", "family" : "Yoshida", "given" : "Kazumasa", "non-dropping-particle" : "", "parse-names" : false, "suffix" : "" }, { "dropping-particle" : "", "family" : "Lin", "given" : "Yea Lih", "non-dropping-particle" : "", "parse-names" : false, "suffix" : "" }, { "dropping-particle" : "", "family" : "Tourri\u00e8re", "given" : "H\u00e9l\u00e8ne", "non-dropping-particle" : "", "parse-names" : false, "suffix" : "" }, { "dropping-particle" : "", "family" : "Lengronne", "given" : "Armelle", "non-dropping-particle" : "", "parse-names" : false, "suffix" : "" }, { "dropping-particle" : "", "family" : "Pasero", "given" : "Philippe", "non-dropping-particle" : "", "parse-names" : false, "suffix" : "" } ], "container-title" : "Methods", "id" : "ITEM-1", "issue" : "2", "issued" : { "date-parts" : [ [ "2012" ] ] }, "page" : "149-157", "publisher" : "Elsevier Inc.", "title" : "Analysis of DNA replication profiles in budding yeast and mammalian cells using DNA combing", "type" : "article-journal", "volume" : "57" }, "uris" : [ "http://www.mendeley.com/documents/?uuid=0a8864d9-6636-49b6-8d76-dbc890799beb" ] } ], "mendeley" : { "formattedCitation" : "(Bianco et al. 2012)", "plainTextFormattedCitation" : "(Bianco et al. 2012)", "previouslyFormattedCitation" : "(Bianco et al. 2012)" }, "properties" : { "noteIndex" : 0 }, "schema" : "https://github.com/citation-style-language/schema/raw/master/csl-citation.json" }</w:instrText>
      </w:r>
      <w:r w:rsidR="00F20EC0" w:rsidRPr="00DF0680">
        <w:rPr>
          <w:rFonts w:cs="Times New Roman"/>
        </w:rPr>
        <w:fldChar w:fldCharType="separate"/>
      </w:r>
      <w:r w:rsidR="003723C6" w:rsidRPr="00DF0680">
        <w:rPr>
          <w:rFonts w:cs="Times New Roman"/>
        </w:rPr>
        <w:t>(Bianco et al. 2012)</w:t>
      </w:r>
      <w:r w:rsidR="00F20EC0" w:rsidRPr="00DF0680">
        <w:rPr>
          <w:rFonts w:cs="Times New Roman"/>
        </w:rPr>
        <w:fldChar w:fldCharType="end"/>
      </w:r>
      <w:r w:rsidR="003723C6" w:rsidRPr="00DF0680">
        <w:rPr>
          <w:rFonts w:cs="Times New Roman"/>
        </w:rPr>
        <w:t>.</w:t>
      </w:r>
    </w:p>
    <w:p w:rsidR="003F1B1F" w:rsidRPr="00DF0680" w:rsidRDefault="003F1B1F" w:rsidP="00E664FC">
      <w:pPr>
        <w:pStyle w:val="Heading4"/>
      </w:pPr>
      <w:bookmarkStart w:id="506" w:name="_Toc417204175"/>
      <w:bookmarkStart w:id="507" w:name="_Toc417204509"/>
      <w:bookmarkStart w:id="508" w:name="_Toc417674640"/>
      <w:r w:rsidRPr="00DF0680">
        <w:t>Labelling</w:t>
      </w:r>
      <w:bookmarkEnd w:id="506"/>
      <w:bookmarkEnd w:id="507"/>
      <w:bookmarkEnd w:id="508"/>
    </w:p>
    <w:p w:rsidR="003F1B1F" w:rsidRPr="00DF0680" w:rsidRDefault="003F1B1F" w:rsidP="003F1B1F">
      <w:pPr>
        <w:rPr>
          <w:rFonts w:cs="Times New Roman"/>
          <w:i/>
        </w:rPr>
      </w:pPr>
      <w:r w:rsidRPr="00DF0680">
        <w:rPr>
          <w:rFonts w:cs="Times New Roman"/>
        </w:rPr>
        <w:t>CldU was added to cells to a final concentration of 25 μM and incubated for 20 minutes. Drugs were added directly to the media in concentrations and for times shown. IdU was added to cells (if after incubation with a drug, cells were washed with media before IdU was added) to a final concentration of 250 μM for 20 minutes before washes with PBS. Cells were collected using trypsin and diluted to a concentration of 5 x 10</w:t>
      </w:r>
      <w:r w:rsidRPr="00DF0680">
        <w:rPr>
          <w:rFonts w:cs="Times New Roman"/>
          <w:vertAlign w:val="superscript"/>
        </w:rPr>
        <w:t>5</w:t>
      </w:r>
      <w:r w:rsidRPr="00DF0680">
        <w:rPr>
          <w:rFonts w:cs="Times New Roman"/>
        </w:rPr>
        <w:t xml:space="preserve"> cells/ml in cold PBS. </w:t>
      </w:r>
    </w:p>
    <w:p w:rsidR="003F1B1F" w:rsidRPr="00DF0680" w:rsidRDefault="003F1B1F" w:rsidP="00E664FC">
      <w:pPr>
        <w:pStyle w:val="Heading4"/>
      </w:pPr>
      <w:bookmarkStart w:id="509" w:name="_Toc417204176"/>
      <w:bookmarkStart w:id="510" w:name="_Toc417204510"/>
      <w:bookmarkStart w:id="511" w:name="_Toc417674641"/>
      <w:r w:rsidRPr="00DF0680">
        <w:t>Spreading</w:t>
      </w:r>
      <w:bookmarkEnd w:id="509"/>
      <w:bookmarkEnd w:id="510"/>
      <w:bookmarkEnd w:id="511"/>
    </w:p>
    <w:p w:rsidR="003F1B1F" w:rsidRPr="00DF0680" w:rsidRDefault="003F1B1F" w:rsidP="003F1B1F">
      <w:pPr>
        <w:rPr>
          <w:rFonts w:cs="Times New Roman"/>
        </w:rPr>
      </w:pPr>
      <w:r w:rsidRPr="00DF0680">
        <w:rPr>
          <w:rFonts w:cs="Times New Roman"/>
        </w:rPr>
        <w:t>2 μl of cells was pipetted onto 5 slides and left to dry till they were sticky (not dry) at room temperature for 5-7 minutes. 7 μl of spreading buffer (200 mM Tris-HCl pH 7.4, 50 mM EDTA, 0.5 % SDS) was added to the sticky cells and mixed gently with the pipette tip, then left to incubate for 2 minutes. These slides were then tilted slightly</w:t>
      </w:r>
      <w:r w:rsidR="003723C6" w:rsidRPr="00DF0680">
        <w:rPr>
          <w:rFonts w:cs="Times New Roman"/>
        </w:rPr>
        <w:t xml:space="preserve"> (resting the edge of the slide on top of a 96-well plate)</w:t>
      </w:r>
      <w:r w:rsidRPr="00DF0680">
        <w:rPr>
          <w:rFonts w:cs="Times New Roman"/>
        </w:rPr>
        <w:t xml:space="preserve">, so that the drops run down slowly, reaching the bottom edge of the slide in 3-5 minutes. The slides were dried completely, then fixed in methanol / acetic acid (3:1) and this was left to evaporate off.  Slides were left overnight at 4 °C. </w:t>
      </w:r>
    </w:p>
    <w:p w:rsidR="003F1B1F" w:rsidRPr="00DF0680" w:rsidRDefault="003F1B1F" w:rsidP="00E664FC">
      <w:pPr>
        <w:pStyle w:val="Heading4"/>
      </w:pPr>
      <w:bookmarkStart w:id="512" w:name="_Toc417204177"/>
      <w:bookmarkStart w:id="513" w:name="_Toc417204511"/>
      <w:bookmarkStart w:id="514" w:name="_Toc417674642"/>
      <w:r w:rsidRPr="00DF0680">
        <w:t>Immunostaining</w:t>
      </w:r>
      <w:bookmarkEnd w:id="512"/>
      <w:bookmarkEnd w:id="513"/>
      <w:bookmarkEnd w:id="514"/>
    </w:p>
    <w:p w:rsidR="003F1B1F" w:rsidRPr="00DF0680" w:rsidRDefault="003F1B1F" w:rsidP="003F1B1F">
      <w:pPr>
        <w:rPr>
          <w:rFonts w:cs="Times New Roman"/>
        </w:rPr>
      </w:pPr>
      <w:r w:rsidRPr="00DF0680">
        <w:rPr>
          <w:rFonts w:cs="Times New Roman"/>
        </w:rPr>
        <w:t xml:space="preserve">Slides had 2 x 5 minute washes in water before rinsing, and denatured in 2.5 M HCl for 1 hour. Slides were then rinsed twice with PBS followed by 2 x 5 minutes washes in blocking solution (1 % BSA and 0.1 % Tween 20 in PBS). These were incubated for 1 hour in the blocking solution before incubating with the primary antibody (1:1000 Rat α-BrdU (AdB Serotec) and 1:750 Mouse α-BrdU (Becton Dickinson)) for an hour. This was followed by 3 rinses in PBS before fixing the DNA fibres with 3 % PFA in PBS for 10 minutes. After 3 more rinses in PBS and 3 x 5 minute washes with blocking solution, the secondary antibody was added to the slides (α-Rat AlexaFluor 555 and α-Mouse </w:t>
      </w:r>
      <w:r w:rsidRPr="00DF0680">
        <w:rPr>
          <w:rFonts w:cs="Times New Roman"/>
        </w:rPr>
        <w:lastRenderedPageBreak/>
        <w:t>AlexaFluor 488, both 1:500) and incubated at room temperature for 1 hour 30 minutes. Slides were then rinsed twice in PBS, washed 3 times with blocking solution and rinsed again twice in PBS before mounting the slides with cover slips using Fluorosh</w:t>
      </w:r>
      <w:r w:rsidR="00DF0680">
        <w:rPr>
          <w:rFonts w:cs="Times New Roman"/>
        </w:rPr>
        <w:t>i</w:t>
      </w:r>
      <w:r w:rsidRPr="00DF0680">
        <w:rPr>
          <w:rFonts w:cs="Times New Roman"/>
        </w:rPr>
        <w:t>eld. These were stored in the fr</w:t>
      </w:r>
      <w:r w:rsidR="00DF0680">
        <w:rPr>
          <w:rFonts w:cs="Times New Roman"/>
        </w:rPr>
        <w:t>eezer long term for microscopy.</w:t>
      </w:r>
    </w:p>
    <w:p w:rsidR="003F1B1F" w:rsidRPr="00DF0680" w:rsidRDefault="003F1B1F" w:rsidP="00E664FC">
      <w:pPr>
        <w:pStyle w:val="Heading4"/>
      </w:pPr>
      <w:bookmarkStart w:id="515" w:name="_Toc417204178"/>
      <w:bookmarkStart w:id="516" w:name="_Toc417204512"/>
      <w:bookmarkStart w:id="517" w:name="_Toc417674643"/>
      <w:r w:rsidRPr="00DF0680">
        <w:t>Microscopy</w:t>
      </w:r>
      <w:bookmarkEnd w:id="515"/>
      <w:bookmarkEnd w:id="516"/>
      <w:bookmarkEnd w:id="517"/>
    </w:p>
    <w:p w:rsidR="003F1B1F" w:rsidRPr="00DF0680" w:rsidRDefault="003F1B1F" w:rsidP="003F1B1F">
      <w:pPr>
        <w:rPr>
          <w:rFonts w:cs="Times New Roman"/>
        </w:rPr>
      </w:pPr>
      <w:r w:rsidRPr="00DF0680">
        <w:rPr>
          <w:rFonts w:cs="Times New Roman"/>
        </w:rPr>
        <w:t>DNA fibres were imaged using an Olympus FV1000 confocal microscope with a PLAPON 60X Oil objective lens using lasers of 488 and 543 nm wavelength to visualise AlexaFluor 488 and AlexaFluor 555 respectively. Images were saved as OIB files and opened with OLYMPUS FLUOVIEW software where they were exported as tifs.</w:t>
      </w:r>
    </w:p>
    <w:p w:rsidR="003F1B1F" w:rsidRPr="00DF0680" w:rsidRDefault="003F1B1F" w:rsidP="00E664FC">
      <w:pPr>
        <w:pStyle w:val="Heading4"/>
      </w:pPr>
      <w:bookmarkStart w:id="518" w:name="_Toc417204179"/>
      <w:bookmarkStart w:id="519" w:name="_Toc417204513"/>
      <w:bookmarkStart w:id="520" w:name="_Toc417674644"/>
      <w:r w:rsidRPr="00DF0680">
        <w:t>Analysis</w:t>
      </w:r>
      <w:bookmarkEnd w:id="518"/>
      <w:bookmarkEnd w:id="519"/>
      <w:bookmarkEnd w:id="520"/>
    </w:p>
    <w:p w:rsidR="003F1B1F" w:rsidRPr="00DF0680" w:rsidRDefault="003F1B1F" w:rsidP="003F1B1F">
      <w:pPr>
        <w:rPr>
          <w:rFonts w:cs="Times New Roman"/>
        </w:rPr>
      </w:pPr>
      <w:r w:rsidRPr="00DF0680">
        <w:rPr>
          <w:rFonts w:cs="Times New Roman"/>
        </w:rPr>
        <w:t xml:space="preserve">DNA fibre lengths were measured in ImageJ using tifs. Scale was changed using distance in pixels as 1024 and known distance as 211.761 μm. Lengths of CldU and IdU tracts were measured and transferred to Excel. Fork speeds in kb/min were calculated by multiplying the distance by 2.59 (which gives the number of kilobases replicated) </w:t>
      </w:r>
      <w:r w:rsidR="00F20EC0" w:rsidRPr="00DF0680">
        <w:rPr>
          <w:rFonts w:cs="Times New Roman"/>
        </w:rPr>
        <w:fldChar w:fldCharType="begin" w:fldLock="1"/>
      </w:r>
      <w:r w:rsidR="00B601B4" w:rsidRPr="00DF0680">
        <w:rPr>
          <w:rFonts w:cs="Times New Roman"/>
        </w:rPr>
        <w:instrText>ADDIN CSL_CITATION { "citationItems" : [ { "id" : "ITEM-1", "itemData" : { "DOI" : "10.1083/jcb.140.6.1285", "ISBN" : "0021-9525 (Print)", "ISSN" : "00219525", "PMID" : "9508763", "abstract" : "In proliferating cells, DNA synthesis must be performed with extreme precision. We show that groups of replicons, labeled together as replicon clusters, form stable units of chromosome structure. HeLa cells were labeled with 5-bromodeoxyuridine (BrdU) at different times of S phase. At the onset of S phase, clusters of replicons were activated in each of approximately 750 replication sites. The majority of these replication \"foci\" were shown to be individual replicon clusters that remained together, as stable cohorts, throughout the following 15 cell cycles. In individual cells, the same replication foci were labeled with BrdU and 5-iododeoxyuridine at the beginning of different cell cycles. In DNA fibers, 95% of replicons in replicon clusters that were labeled at the beginning of one S phase were also labeled at the beginning of the next. This shows that a subset of origins are activated both reliably and efficiently in different cycles. The majority of replication forks activated at the onset of S phase terminated 45-60 min later. During this interval, secondary replicon clusters became active. However, while the activation of early replicons is synchronized at the onset of S phase, different secondary clusters were activated at different times. Nevertheless, replication foci pulse labeled during any short interval of S phase were stable for many cell cycles. We propose that the coordinated replication of related groups of replicons, that form stable replicon clusters, contributes to the efficient activation and propagation of S phase in mammalian cells.", "author" : [ { "dropping-particle" : "", "family" : "Jackson", "given" : "Dean a.", "non-dropping-particle" : "", "parse-names" : false, "suffix" : "" }, { "dropping-particle" : "", "family" : "Pombo", "given" : "Ana", "non-dropping-particle" : "", "parse-names" : false, "suffix" : "" } ], "container-title" : "Journal of Cell Biology", "id" : "ITEM-1", "issue" : "6", "issued" : { "date-parts" : [ [ "1998" ] ] }, "page" : "1285-1295", "title" : "Replicon clusters are stable units of chromosome structure: Evidence that nuclear organization contributes to the efficient activation and propagation of S phase in human cells", "type" : "article-journal", "volume" : "140" }, "uris" : [ "http://www.mendeley.com/documents/?uuid=28b43a41-46e5-4019-bd07-e2c6d1f4a108" ] } ], "mendeley" : { "formattedCitation" : "(Jackson &amp; Pombo 1998)", "plainTextFormattedCitation" : "(Jackson &amp; Pombo 1998)", "previouslyFormattedCitation" : "(Jackson &amp; Pombo 1998)" }, "properties" : { "noteIndex" : 0 }, "schema" : "https://github.com/citation-style-language/schema/raw/master/csl-citation.json" }</w:instrText>
      </w:r>
      <w:r w:rsidR="00F20EC0" w:rsidRPr="00DF0680">
        <w:rPr>
          <w:rFonts w:cs="Times New Roman"/>
        </w:rPr>
        <w:fldChar w:fldCharType="separate"/>
      </w:r>
      <w:r w:rsidR="004B25BF" w:rsidRPr="00DF0680">
        <w:rPr>
          <w:rFonts w:cs="Times New Roman"/>
        </w:rPr>
        <w:t>(Jackson &amp; Pombo 1998)</w:t>
      </w:r>
      <w:r w:rsidR="00F20EC0" w:rsidRPr="00DF0680">
        <w:rPr>
          <w:rFonts w:cs="Times New Roman"/>
        </w:rPr>
        <w:fldChar w:fldCharType="end"/>
      </w:r>
      <w:r w:rsidR="004B25BF" w:rsidRPr="00DF0680">
        <w:rPr>
          <w:rFonts w:cs="Times New Roman"/>
        </w:rPr>
        <w:t xml:space="preserve"> </w:t>
      </w:r>
      <w:r w:rsidRPr="00DF0680">
        <w:rPr>
          <w:rFonts w:cs="Times New Roman"/>
        </w:rPr>
        <w:t xml:space="preserve">and dividing by the length of time incubated in the thymidine </w:t>
      </w:r>
      <w:r w:rsidR="00FE547D" w:rsidRPr="00DF0680">
        <w:rPr>
          <w:rFonts w:cs="Times New Roman"/>
        </w:rPr>
        <w:t>analogue</w:t>
      </w:r>
      <w:r w:rsidRPr="00DF0680">
        <w:rPr>
          <w:rFonts w:cs="Times New Roman"/>
        </w:rPr>
        <w:t>s (in the fork speed experiments this is 20 minutes).</w:t>
      </w:r>
    </w:p>
    <w:p w:rsidR="00DB3E5C" w:rsidRPr="00DF0680" w:rsidRDefault="00DB3E5C" w:rsidP="003F1B1F">
      <w:pPr>
        <w:rPr>
          <w:rFonts w:cs="Times New Roman"/>
        </w:rPr>
      </w:pPr>
      <w:r w:rsidRPr="00DF0680">
        <w:rPr>
          <w:rFonts w:cs="Times New Roman"/>
        </w:rPr>
        <w:t>The percentage of stalled forks or new origins fired was calculated by counting the number of exclusively red (for stalled forks) or green (new origins) tracts and dividing that by the total number of forks counted (i.e. for stalled forks, number of red tracts, divided by the number of red tracts plus red+green tracts [continued forks]).</w:t>
      </w:r>
    </w:p>
    <w:p w:rsidR="003F1B1F" w:rsidRPr="00DF0680" w:rsidRDefault="003F1B1F" w:rsidP="003F1B1F">
      <w:pPr>
        <w:rPr>
          <w:rFonts w:cs="Times New Roman"/>
        </w:rPr>
      </w:pPr>
      <w:r w:rsidRPr="00DF0680">
        <w:rPr>
          <w:rFonts w:cs="Times New Roman"/>
        </w:rPr>
        <w:t xml:space="preserve">Fork asymmetry was calculated by measuring IdU tracts from divergent forks. The </w:t>
      </w:r>
      <w:r w:rsidR="00DB3E5C" w:rsidRPr="00DF0680">
        <w:rPr>
          <w:rFonts w:cs="Times New Roman"/>
        </w:rPr>
        <w:t>shorter</w:t>
      </w:r>
      <w:r w:rsidRPr="00DF0680">
        <w:rPr>
          <w:rFonts w:cs="Times New Roman"/>
        </w:rPr>
        <w:t xml:space="preserve"> tract was divided by the</w:t>
      </w:r>
      <w:r w:rsidR="00DB3E5C" w:rsidRPr="00DF0680">
        <w:rPr>
          <w:rFonts w:cs="Times New Roman"/>
        </w:rPr>
        <w:t xml:space="preserve"> longer</w:t>
      </w:r>
      <w:r w:rsidRPr="00DF0680">
        <w:rPr>
          <w:rFonts w:cs="Times New Roman"/>
        </w:rPr>
        <w:t xml:space="preserve">, and this value was </w:t>
      </w:r>
      <w:r w:rsidR="00DB3E5C" w:rsidRPr="00DF0680">
        <w:rPr>
          <w:rFonts w:cs="Times New Roman"/>
        </w:rPr>
        <w:t>taken as a percentage to represent the amount of fork symmetry</w:t>
      </w:r>
      <w:r w:rsidRPr="00DF0680">
        <w:rPr>
          <w:rFonts w:cs="Times New Roman"/>
        </w:rPr>
        <w:t>.</w:t>
      </w:r>
    </w:p>
    <w:p w:rsidR="003F1B1F" w:rsidRPr="00DF0680" w:rsidRDefault="003F1B1F" w:rsidP="00E664FC">
      <w:pPr>
        <w:pStyle w:val="Heading3"/>
        <w:rPr>
          <w:shd w:val="clear" w:color="auto" w:fill="FFFFFF"/>
        </w:rPr>
      </w:pPr>
      <w:bookmarkStart w:id="521" w:name="_Toc417204180"/>
      <w:bookmarkStart w:id="522" w:name="_Toc417204514"/>
      <w:bookmarkStart w:id="523" w:name="_Toc417674645"/>
      <w:r w:rsidRPr="00DF0680">
        <w:rPr>
          <w:rStyle w:val="Emphasis"/>
          <w:i w:val="0"/>
          <w:iCs w:val="0"/>
          <w:shd w:val="clear" w:color="auto" w:fill="FFFFFF"/>
        </w:rPr>
        <w:t>Fluorescence-activated cell sorting</w:t>
      </w:r>
      <w:r w:rsidRPr="00DF0680">
        <w:rPr>
          <w:rStyle w:val="apple-converted-space"/>
          <w:shd w:val="clear" w:color="auto" w:fill="FFFFFF"/>
        </w:rPr>
        <w:t> </w:t>
      </w:r>
      <w:r w:rsidRPr="00DF0680">
        <w:rPr>
          <w:shd w:val="clear" w:color="auto" w:fill="FFFFFF"/>
        </w:rPr>
        <w:t>(</w:t>
      </w:r>
      <w:r w:rsidRPr="00DF0680">
        <w:rPr>
          <w:rStyle w:val="Emphasis"/>
          <w:i w:val="0"/>
          <w:iCs w:val="0"/>
          <w:shd w:val="clear" w:color="auto" w:fill="FFFFFF"/>
        </w:rPr>
        <w:t>FACS</w:t>
      </w:r>
      <w:r w:rsidRPr="00DF0680">
        <w:rPr>
          <w:shd w:val="clear" w:color="auto" w:fill="FFFFFF"/>
        </w:rPr>
        <w:t>)</w:t>
      </w:r>
      <w:bookmarkEnd w:id="521"/>
      <w:bookmarkEnd w:id="522"/>
      <w:bookmarkEnd w:id="523"/>
    </w:p>
    <w:p w:rsidR="003F1B1F" w:rsidRPr="00DF0680" w:rsidRDefault="003F1B1F" w:rsidP="003F1B1F">
      <w:pPr>
        <w:rPr>
          <w:rFonts w:cs="Times New Roman"/>
        </w:rPr>
      </w:pPr>
      <w:r w:rsidRPr="00DF0680">
        <w:rPr>
          <w:rFonts w:cs="Times New Roman"/>
        </w:rPr>
        <w:t xml:space="preserve">FACS is the measurement of individual cells through a cytometer. Using lasers, the cytometer can determine a number of characteristics of a cell, including size and shape, by how light </w:t>
      </w:r>
      <w:proofErr w:type="gramStart"/>
      <w:r w:rsidRPr="00DF0680">
        <w:rPr>
          <w:rFonts w:cs="Times New Roman"/>
        </w:rPr>
        <w:t>scatters</w:t>
      </w:r>
      <w:proofErr w:type="gramEnd"/>
      <w:r w:rsidRPr="00DF0680">
        <w:rPr>
          <w:rFonts w:cs="Times New Roman"/>
        </w:rPr>
        <w:t xml:space="preserve"> when the cell passes through the laser. When fluorescent dyes or antibodies are used, the cytometer can quantify how much of the antibody or dye is in the cell. </w:t>
      </w:r>
    </w:p>
    <w:p w:rsidR="003F1B1F" w:rsidRPr="00DF0680" w:rsidRDefault="003F1B1F" w:rsidP="00E664FC">
      <w:pPr>
        <w:pStyle w:val="Heading4"/>
      </w:pPr>
      <w:bookmarkStart w:id="524" w:name="_Toc417204181"/>
      <w:bookmarkStart w:id="525" w:name="_Toc417204515"/>
      <w:bookmarkStart w:id="526" w:name="_Toc417674646"/>
      <w:r w:rsidRPr="00DF0680">
        <w:lastRenderedPageBreak/>
        <w:t xml:space="preserve">Propidium </w:t>
      </w:r>
      <w:r w:rsidR="00CE6110" w:rsidRPr="00DF0680">
        <w:t>i</w:t>
      </w:r>
      <w:r w:rsidRPr="00DF0680">
        <w:t xml:space="preserve">odide (PI) </w:t>
      </w:r>
      <w:r w:rsidR="00CE6110" w:rsidRPr="00DF0680">
        <w:t>s</w:t>
      </w:r>
      <w:r w:rsidRPr="00DF0680">
        <w:t>taining</w:t>
      </w:r>
      <w:bookmarkEnd w:id="524"/>
      <w:bookmarkEnd w:id="525"/>
      <w:bookmarkEnd w:id="526"/>
    </w:p>
    <w:p w:rsidR="003F1B1F" w:rsidRPr="00DF0680" w:rsidRDefault="003F1B1F" w:rsidP="003F1B1F">
      <w:pPr>
        <w:rPr>
          <w:rFonts w:cs="Times New Roman"/>
        </w:rPr>
      </w:pPr>
      <w:r w:rsidRPr="00DF0680">
        <w:rPr>
          <w:rFonts w:cs="Times New Roman"/>
        </w:rPr>
        <w:t xml:space="preserve">The amount of DNA in any cell increases as the cell moves through the cell cycle.  PI is a fluorescent molecule which can intercalate into DNA and can be used to determine the phase of cell cycle that any particular cell is in. </w:t>
      </w:r>
    </w:p>
    <w:p w:rsidR="003F1B1F" w:rsidRPr="00DF0680" w:rsidRDefault="003F1B1F" w:rsidP="003F1B1F">
      <w:pPr>
        <w:rPr>
          <w:rFonts w:eastAsiaTheme="majorEastAsia" w:cs="Times New Roman"/>
          <w:b/>
          <w:bCs/>
          <w:i/>
          <w:iCs/>
          <w:color w:val="4F81BD" w:themeColor="accent1"/>
        </w:rPr>
      </w:pPr>
      <w:r w:rsidRPr="00DF0680">
        <w:rPr>
          <w:rFonts w:cs="Times New Roman"/>
          <w:shd w:val="clear" w:color="auto" w:fill="FFFFFF"/>
        </w:rPr>
        <w:t xml:space="preserve">Cells were washed with PBS and harvested with trypsin. Cells in trypsin were diluted with media and centrifuged at 1500 rpm for 3 minutes. Cell pellets were resuspended in 1 ml of ethanol and left to incubate at -20 °C between 1 hour and 1 week. The ethanol was then removed by centrifuging the cells at 1500 rpm for 3 minutes and cells washed with PBS. Cells were left in 1 ml PBS to rehydrate for 1 hour at room temperature. PBS was removed by centrifuging at 1500 rpm for 3 minutes and then cells were resuspended in 500 μl of PI/RNAse solution (18 μg/ml PI, 8 μg/ml RNAse A) and left for 1 hour and 30 minutes in the dark at 4 °C before analysis on the BD </w:t>
      </w:r>
      <w:r w:rsidR="00DF0680" w:rsidRPr="00DF0680">
        <w:rPr>
          <w:rFonts w:cs="Times New Roman"/>
          <w:shd w:val="clear" w:color="auto" w:fill="FFFFFF"/>
        </w:rPr>
        <w:t>FACScalibur</w:t>
      </w:r>
      <w:r w:rsidRPr="00DF0680">
        <w:rPr>
          <w:rFonts w:cs="Times New Roman"/>
          <w:shd w:val="clear" w:color="auto" w:fill="FFFFFF"/>
        </w:rPr>
        <w:t xml:space="preserve">. </w:t>
      </w:r>
      <w:r w:rsidR="00223381" w:rsidRPr="00DF0680">
        <w:rPr>
          <w:rFonts w:cs="Times New Roman"/>
          <w:shd w:val="clear" w:color="auto" w:fill="FFFFFF"/>
        </w:rPr>
        <w:t>10,000 events were collected for each sample. Analysis of FACS samples was performed on FloJo and gates for cell cycle phases were determined by using the base of the first peak for G1 and the base of the second peak for G2. The events in between these two gates were classed as cells in S phase.</w:t>
      </w:r>
    </w:p>
    <w:p w:rsidR="003F1B1F" w:rsidRPr="00DF0680" w:rsidRDefault="003F1B1F" w:rsidP="00E664FC">
      <w:pPr>
        <w:pStyle w:val="Heading4"/>
        <w:rPr>
          <w:shd w:val="clear" w:color="auto" w:fill="FFFFFF"/>
        </w:rPr>
      </w:pPr>
      <w:bookmarkStart w:id="527" w:name="_Toc417204182"/>
      <w:bookmarkStart w:id="528" w:name="_Toc417204516"/>
      <w:bookmarkStart w:id="529" w:name="_Toc417674647"/>
      <w:r w:rsidRPr="00DF0680">
        <w:rPr>
          <w:shd w:val="clear" w:color="auto" w:fill="FFFFFF"/>
        </w:rPr>
        <w:t>Bromodeoxyuri</w:t>
      </w:r>
      <w:r w:rsidR="00CE6110" w:rsidRPr="00DF0680">
        <w:rPr>
          <w:shd w:val="clear" w:color="auto" w:fill="FFFFFF"/>
        </w:rPr>
        <w:t>dine (BrdU) s</w:t>
      </w:r>
      <w:r w:rsidRPr="00DF0680">
        <w:rPr>
          <w:shd w:val="clear" w:color="auto" w:fill="FFFFFF"/>
        </w:rPr>
        <w:t>taining</w:t>
      </w:r>
      <w:bookmarkEnd w:id="527"/>
      <w:bookmarkEnd w:id="528"/>
      <w:bookmarkEnd w:id="529"/>
    </w:p>
    <w:p w:rsidR="003F1B1F" w:rsidRPr="00DF0680" w:rsidRDefault="003F1B1F" w:rsidP="003F1B1F">
      <w:pPr>
        <w:rPr>
          <w:rFonts w:cs="Times New Roman"/>
        </w:rPr>
      </w:pPr>
      <w:r w:rsidRPr="00DF0680">
        <w:rPr>
          <w:rFonts w:cs="Times New Roman"/>
        </w:rPr>
        <w:t xml:space="preserve">BrdU is a thymidine </w:t>
      </w:r>
      <w:r w:rsidR="00FE547D" w:rsidRPr="00DF0680">
        <w:rPr>
          <w:rFonts w:cs="Times New Roman"/>
        </w:rPr>
        <w:t>analogue</w:t>
      </w:r>
      <w:r w:rsidRPr="00DF0680">
        <w:rPr>
          <w:rFonts w:cs="Times New Roman"/>
        </w:rPr>
        <w:t xml:space="preserve"> that can be targeted using an antibody. When BrdU is added to cells in culture, only the actively proliferating cells will incorporate it into the DNA. The BrdU primary antibody can be bound by a secondary antibody, conjugated to a fluorescent molecule. When analysed using the cytometer, the proportion of actively cycling cells can be determined.</w:t>
      </w:r>
    </w:p>
    <w:p w:rsidR="00746E68" w:rsidRPr="00DF0680" w:rsidRDefault="003F1B1F" w:rsidP="00FE547D">
      <w:pPr>
        <w:rPr>
          <w:rFonts w:cs="Times New Roman"/>
          <w:shd w:val="clear" w:color="auto" w:fill="FFFFFF"/>
        </w:rPr>
      </w:pPr>
      <w:r w:rsidRPr="00DF0680">
        <w:rPr>
          <w:rFonts w:cs="Times New Roman"/>
          <w:shd w:val="clear" w:color="auto" w:fill="FFFFFF"/>
        </w:rPr>
        <w:t xml:space="preserve">Cells were given a 20 minute treatment with 10 μM BrdU before harvesting with trypsin. Cells were then washed twice and resuspended in 1 ml of ice cold 70% ethanol and incubated for 30 minutes at 4 °C or stored at -20 °C for up to a week. Cells were spun down and ethanol removed, followed by two washes with PBS. Pellets were resuspended in 1 volume of 2 M HCl and incubated at room temperature for 30 minutes. The acid was then spun off and the pellet washed three times in PBS and once in PBS-T (PBS + 0.1% BSA + 0.2% Tween20, pH 7.4). 10 μl of anti BrdU antibody (Dako MO744) solution (5 μl antibody + 5 μl PBS) was added to the cell pellet and left in the dark at room temperature for 30 minutes. The cell pellet was then washed twice in PBS-T and 50 μl of secondary antibody (1:10 anti-mouse FITC in PBS (Dako FO313)) was </w:t>
      </w:r>
      <w:r w:rsidRPr="00DF0680">
        <w:rPr>
          <w:rFonts w:cs="Times New Roman"/>
          <w:shd w:val="clear" w:color="auto" w:fill="FFFFFF"/>
        </w:rPr>
        <w:lastRenderedPageBreak/>
        <w:t>added to the pellet and left in the dark at room temperature for 20 minutes. Cells were washed once more with PBS before 15 minute treatment with 50 μl of RNAse</w:t>
      </w:r>
      <w:r w:rsidR="00DF0680">
        <w:rPr>
          <w:rFonts w:cs="Times New Roman"/>
          <w:shd w:val="clear" w:color="auto" w:fill="FFFFFF"/>
        </w:rPr>
        <w:t xml:space="preserve"> </w:t>
      </w:r>
      <w:r w:rsidRPr="00DF0680">
        <w:rPr>
          <w:rFonts w:cs="Times New Roman"/>
          <w:shd w:val="clear" w:color="auto" w:fill="FFFFFF"/>
        </w:rPr>
        <w:t>A (100</w:t>
      </w:r>
      <w:r w:rsidR="00167065">
        <w:rPr>
          <w:rFonts w:cs="Times New Roman"/>
          <w:shd w:val="clear" w:color="auto" w:fill="FFFFFF"/>
        </w:rPr>
        <w:t xml:space="preserve"> μg</w:t>
      </w:r>
      <w:r w:rsidRPr="00DF0680">
        <w:rPr>
          <w:rFonts w:cs="Times New Roman"/>
          <w:shd w:val="clear" w:color="auto" w:fill="FFFFFF"/>
        </w:rPr>
        <w:t>/ml) and finally adding 200 μl of PI (50</w:t>
      </w:r>
      <w:r w:rsidR="00167065">
        <w:rPr>
          <w:rFonts w:cs="Times New Roman"/>
          <w:shd w:val="clear" w:color="auto" w:fill="FFFFFF"/>
        </w:rPr>
        <w:t xml:space="preserve"> μg</w:t>
      </w:r>
      <w:r w:rsidRPr="00DF0680">
        <w:rPr>
          <w:rFonts w:cs="Times New Roman"/>
          <w:shd w:val="clear" w:color="auto" w:fill="FFFFFF"/>
        </w:rPr>
        <w:t xml:space="preserve">/μl) before analysing on the Attune Acoustic Focusing Cytometer. </w:t>
      </w:r>
      <w:r w:rsidR="00746E68" w:rsidRPr="00DF0680">
        <w:rPr>
          <w:rFonts w:cs="Times New Roman"/>
          <w:shd w:val="clear" w:color="auto" w:fill="FFFFFF"/>
        </w:rPr>
        <w:br w:type="page"/>
      </w:r>
    </w:p>
    <w:p w:rsidR="003F1B1F" w:rsidRPr="00DF0680" w:rsidRDefault="003F1B1F" w:rsidP="00B9134D">
      <w:pPr>
        <w:pStyle w:val="Heading2"/>
      </w:pPr>
      <w:bookmarkStart w:id="530" w:name="_Toc417204183"/>
      <w:bookmarkStart w:id="531" w:name="_Toc417204517"/>
      <w:bookmarkStart w:id="532" w:name="_Toc417204716"/>
      <w:bookmarkStart w:id="533" w:name="_Toc417204776"/>
      <w:bookmarkStart w:id="534" w:name="_Toc417674648"/>
      <w:r w:rsidRPr="00DF0680">
        <w:lastRenderedPageBreak/>
        <w:t>Statistics</w:t>
      </w:r>
      <w:bookmarkEnd w:id="530"/>
      <w:bookmarkEnd w:id="531"/>
      <w:bookmarkEnd w:id="532"/>
      <w:bookmarkEnd w:id="533"/>
      <w:bookmarkEnd w:id="534"/>
    </w:p>
    <w:p w:rsidR="003F1B1F" w:rsidRPr="00DF0680" w:rsidRDefault="003F1B1F" w:rsidP="00B9134D">
      <w:pPr>
        <w:keepNext/>
        <w:rPr>
          <w:rFonts w:cs="Times New Roman"/>
        </w:rPr>
      </w:pPr>
      <w:r w:rsidRPr="00DF0680">
        <w:rPr>
          <w:rFonts w:cs="Times New Roman"/>
        </w:rPr>
        <w:t xml:space="preserve">Statistical differences in mRNA expression between normal bladder and bladder cancer tissues were analysed using ΔCT values and the Mann-Whitney test. </w:t>
      </w:r>
    </w:p>
    <w:p w:rsidR="003F1B1F" w:rsidRPr="00DF0680" w:rsidRDefault="003F1B1F" w:rsidP="003F1B1F">
      <w:pPr>
        <w:rPr>
          <w:rFonts w:cs="Times New Roman"/>
        </w:rPr>
      </w:pPr>
      <w:r w:rsidRPr="00DF0680">
        <w:rPr>
          <w:rFonts w:cs="Times New Roman"/>
        </w:rPr>
        <w:t>Statistical differences in relative protein expression, from ImageJ analysis, between bladder cell lines were analysed using an unpaired, two-tailed Student’s t-test.</w:t>
      </w:r>
    </w:p>
    <w:p w:rsidR="003F1B1F" w:rsidRPr="00DF0680" w:rsidRDefault="003F1B1F" w:rsidP="003F1B1F">
      <w:pPr>
        <w:rPr>
          <w:rFonts w:cs="Times New Roman"/>
        </w:rPr>
      </w:pPr>
      <w:r w:rsidRPr="00DF0680">
        <w:rPr>
          <w:rFonts w:cs="Times New Roman"/>
        </w:rPr>
        <w:t>A statistical difference between observed and expected results of RECQL5 protein expression in a bladder cancer tissue microarray was tested using the Chi squared test.</w:t>
      </w:r>
    </w:p>
    <w:p w:rsidR="003F1B1F" w:rsidRPr="00DF0680" w:rsidRDefault="003F1B1F" w:rsidP="003F1B1F">
      <w:pPr>
        <w:rPr>
          <w:rFonts w:cs="Times New Roman"/>
        </w:rPr>
      </w:pPr>
      <w:r w:rsidRPr="00DF0680">
        <w:rPr>
          <w:rFonts w:cs="Times New Roman"/>
        </w:rPr>
        <w:t>Statistical differences between proportions of cells in different cell cycle phases were analysed using paired, two-tailed Student’s t-tests.</w:t>
      </w:r>
    </w:p>
    <w:p w:rsidR="003F1B1F" w:rsidRPr="00DF0680" w:rsidRDefault="003F1B1F" w:rsidP="003F1B1F">
      <w:pPr>
        <w:rPr>
          <w:rFonts w:cs="Times New Roman"/>
        </w:rPr>
      </w:pPr>
      <w:r w:rsidRPr="00DF0680">
        <w:rPr>
          <w:rFonts w:cs="Times New Roman"/>
        </w:rPr>
        <w:t>Statistical differences in relative protein expression after cycloheximide treatment, from ImageJ analysis, between the normal bladder cell line NHU hTERT and the bladder cancer cell line EJ were analysed using a paired, two-tailed Student’s t-test.</w:t>
      </w:r>
    </w:p>
    <w:p w:rsidR="003F1B1F" w:rsidRPr="00DF0680" w:rsidRDefault="003F1B1F" w:rsidP="003F1B1F">
      <w:pPr>
        <w:rPr>
          <w:rFonts w:cs="Times New Roman"/>
        </w:rPr>
      </w:pPr>
      <w:r w:rsidRPr="00DF0680">
        <w:rPr>
          <w:rFonts w:cs="Times New Roman"/>
        </w:rPr>
        <w:t xml:space="preserve">Statistical differences between luciferase reporter </w:t>
      </w:r>
      <w:r w:rsidR="005F7FCD" w:rsidRPr="00DF0680">
        <w:rPr>
          <w:rFonts w:cs="Times New Roman"/>
        </w:rPr>
        <w:t>activity</w:t>
      </w:r>
      <w:r w:rsidRPr="00DF0680">
        <w:rPr>
          <w:rFonts w:cs="Times New Roman"/>
        </w:rPr>
        <w:t xml:space="preserve"> in the normal bladder cell line NHU hTERT and the bladder cancer cell line EJ were analysed using paired, two-tailed Student’s t-tests.</w:t>
      </w:r>
    </w:p>
    <w:p w:rsidR="003F1B1F" w:rsidRPr="00DF0680" w:rsidRDefault="003F1B1F" w:rsidP="003F1B1F">
      <w:pPr>
        <w:rPr>
          <w:rFonts w:cs="Times New Roman"/>
        </w:rPr>
      </w:pPr>
      <w:r w:rsidRPr="00DF0680">
        <w:rPr>
          <w:rFonts w:cs="Times New Roman"/>
        </w:rPr>
        <w:t>Statistical differences between average fork speed, percentage of stalled forks, percentage of new origins and fork asymmetry between cells with over-expressed RECQL5, or depleted for RECQL5, were analysed using paired, two-tailed Student’s t-tests.</w:t>
      </w:r>
    </w:p>
    <w:p w:rsidR="003F1B1F" w:rsidRPr="00DF0680" w:rsidRDefault="003F1B1F" w:rsidP="003F1B1F">
      <w:pPr>
        <w:rPr>
          <w:rFonts w:cs="Times New Roman"/>
        </w:rPr>
      </w:pPr>
      <w:r w:rsidRPr="00DF0680">
        <w:rPr>
          <w:rFonts w:cs="Times New Roman"/>
        </w:rPr>
        <w:t>Statistical differences in survival fraction in clonogenic survival and MTT assays were analysed using a paired, two-tailed Student’s t-test.</w:t>
      </w:r>
    </w:p>
    <w:p w:rsidR="003F1B1F" w:rsidRPr="00DF0680" w:rsidRDefault="003F1B1F" w:rsidP="003F1B1F">
      <w:pPr>
        <w:rPr>
          <w:rFonts w:cs="Times New Roman"/>
        </w:rPr>
      </w:pPr>
      <w:r w:rsidRPr="00DF0680">
        <w:rPr>
          <w:rFonts w:cs="Times New Roman"/>
        </w:rPr>
        <w:t>Statistical differences in cell number between control transfected and targeting siRNA transfected cells in proliferation assays were analysed using a paired, two-tailed Student’s t-test.</w:t>
      </w:r>
    </w:p>
    <w:p w:rsidR="003F1B1F" w:rsidRPr="00DF0680" w:rsidRDefault="003F1B1F" w:rsidP="003F1B1F">
      <w:pPr>
        <w:rPr>
          <w:rFonts w:cs="Times New Roman"/>
        </w:rPr>
      </w:pPr>
      <w:r w:rsidRPr="00DF0680">
        <w:rPr>
          <w:rFonts w:cs="Times New Roman"/>
        </w:rPr>
        <w:t xml:space="preserve">Correlation between mRNA expression levels was measured using the Pearson product-moment correlation coefficient. </w:t>
      </w:r>
    </w:p>
    <w:p w:rsidR="00F860C3" w:rsidRPr="00DF0680" w:rsidRDefault="00F860C3" w:rsidP="00EB1D60">
      <w:pPr>
        <w:rPr>
          <w:rFonts w:cs="Times New Roman"/>
          <w:color w:val="auto"/>
        </w:rPr>
        <w:sectPr w:rsidR="00F860C3" w:rsidRPr="00DF0680" w:rsidSect="00FE3028">
          <w:headerReference w:type="default" r:id="rId27"/>
          <w:pgSz w:w="11906" w:h="16838"/>
          <w:pgMar w:top="1440" w:right="1134" w:bottom="1440" w:left="2268" w:header="709" w:footer="709" w:gutter="0"/>
          <w:cols w:space="708"/>
          <w:docGrid w:linePitch="360"/>
        </w:sectPr>
      </w:pPr>
    </w:p>
    <w:p w:rsidR="00E43E7C" w:rsidRPr="00DF0680" w:rsidRDefault="00E43E7C" w:rsidP="00E664FC">
      <w:pPr>
        <w:pStyle w:val="Heading1"/>
      </w:pPr>
      <w:bookmarkStart w:id="535" w:name="_Toc402169611"/>
      <w:bookmarkStart w:id="536" w:name="_Toc402253470"/>
      <w:bookmarkStart w:id="537" w:name="_Toc409163391"/>
      <w:bookmarkStart w:id="538" w:name="_Toc410205813"/>
      <w:bookmarkStart w:id="539" w:name="_Toc417204184"/>
      <w:bookmarkStart w:id="540" w:name="_Toc417204717"/>
      <w:bookmarkStart w:id="541" w:name="_Toc417204777"/>
      <w:bookmarkStart w:id="542" w:name="_Toc417813932"/>
      <w:bookmarkStart w:id="543" w:name="Results1"/>
      <w:bookmarkEnd w:id="135"/>
      <w:r w:rsidRPr="00DF0680">
        <w:lastRenderedPageBreak/>
        <w:t>– The expression of RECQL5 in bladder cancer</w:t>
      </w:r>
      <w:bookmarkEnd w:id="535"/>
      <w:bookmarkEnd w:id="536"/>
      <w:bookmarkEnd w:id="537"/>
      <w:bookmarkEnd w:id="538"/>
      <w:bookmarkEnd w:id="539"/>
      <w:bookmarkEnd w:id="540"/>
      <w:bookmarkEnd w:id="541"/>
      <w:bookmarkEnd w:id="542"/>
    </w:p>
    <w:p w:rsidR="00957568" w:rsidRPr="00DF0680" w:rsidRDefault="00F20EC0">
      <w:pPr>
        <w:pStyle w:val="TOC1"/>
        <w:rPr>
          <w:rFonts w:asciiTheme="minorHAnsi" w:eastAsiaTheme="minorEastAsia" w:hAnsiTheme="minorHAnsi" w:cstheme="minorBidi"/>
          <w:b w:val="0"/>
          <w:noProof w:val="0"/>
          <w:color w:val="auto"/>
          <w:sz w:val="22"/>
        </w:rPr>
      </w:pPr>
      <w:r w:rsidRPr="00DF0680">
        <w:rPr>
          <w:rFonts w:cs="Times New Roman"/>
          <w:noProof w:val="0"/>
        </w:rPr>
        <w:fldChar w:fldCharType="begin"/>
      </w:r>
      <w:r w:rsidR="0099278F" w:rsidRPr="00DF0680">
        <w:rPr>
          <w:rFonts w:cs="Times New Roman"/>
          <w:noProof w:val="0"/>
        </w:rPr>
        <w:instrText xml:space="preserve"> TOC \b Results1 \* MERGEFORMAT </w:instrText>
      </w:r>
      <w:r w:rsidRPr="00DF0680">
        <w:rPr>
          <w:rFonts w:cs="Times New Roman"/>
          <w:noProof w:val="0"/>
        </w:rPr>
        <w:fldChar w:fldCharType="separate"/>
      </w:r>
    </w:p>
    <w:p w:rsidR="00957568" w:rsidRPr="00DF0680" w:rsidRDefault="00957568">
      <w:pPr>
        <w:pStyle w:val="TOC2"/>
        <w:rPr>
          <w:rFonts w:asciiTheme="minorHAnsi" w:eastAsiaTheme="minorEastAsia" w:hAnsiTheme="minorHAnsi" w:cstheme="minorBidi"/>
          <w:noProof w:val="0"/>
          <w:color w:val="auto"/>
          <w:sz w:val="22"/>
        </w:rPr>
      </w:pPr>
      <w:r w:rsidRPr="00DF0680">
        <w:rPr>
          <w:noProof w:val="0"/>
        </w:rPr>
        <w:t>3.1</w:t>
      </w:r>
      <w:r w:rsidRPr="00DF0680">
        <w:rPr>
          <w:rFonts w:asciiTheme="minorHAnsi" w:eastAsiaTheme="minorEastAsia" w:hAnsiTheme="minorHAnsi" w:cstheme="minorBidi"/>
          <w:noProof w:val="0"/>
          <w:color w:val="auto"/>
          <w:sz w:val="22"/>
        </w:rPr>
        <w:tab/>
      </w:r>
      <w:r w:rsidRPr="00DF0680">
        <w:rPr>
          <w:noProof w:val="0"/>
        </w:rPr>
        <w:t>Introduction</w:t>
      </w:r>
      <w:r w:rsidRPr="00DF0680">
        <w:rPr>
          <w:noProof w:val="0"/>
        </w:rPr>
        <w:tab/>
      </w:r>
      <w:r w:rsidR="00F20EC0" w:rsidRPr="00DF0680">
        <w:rPr>
          <w:noProof w:val="0"/>
        </w:rPr>
        <w:fldChar w:fldCharType="begin"/>
      </w:r>
      <w:r w:rsidRPr="00DF0680">
        <w:rPr>
          <w:noProof w:val="0"/>
        </w:rPr>
        <w:instrText xml:space="preserve"> PAGEREF _Toc417813933 \h </w:instrText>
      </w:r>
      <w:r w:rsidR="00F20EC0" w:rsidRPr="00DF0680">
        <w:rPr>
          <w:noProof w:val="0"/>
        </w:rPr>
      </w:r>
      <w:r w:rsidR="00F20EC0" w:rsidRPr="00DF0680">
        <w:rPr>
          <w:noProof w:val="0"/>
        </w:rPr>
        <w:fldChar w:fldCharType="separate"/>
      </w:r>
      <w:r w:rsidR="009801AF" w:rsidRPr="00DF0680">
        <w:rPr>
          <w:noProof w:val="0"/>
        </w:rPr>
        <w:t>91</w:t>
      </w:r>
      <w:r w:rsidR="00F20EC0" w:rsidRPr="00DF0680">
        <w:rPr>
          <w:noProof w:val="0"/>
        </w:rPr>
        <w:fldChar w:fldCharType="end"/>
      </w:r>
    </w:p>
    <w:p w:rsidR="00957568" w:rsidRPr="00DF0680" w:rsidRDefault="00957568">
      <w:pPr>
        <w:pStyle w:val="TOC2"/>
        <w:rPr>
          <w:rFonts w:asciiTheme="minorHAnsi" w:eastAsiaTheme="minorEastAsia" w:hAnsiTheme="minorHAnsi" w:cstheme="minorBidi"/>
          <w:noProof w:val="0"/>
          <w:color w:val="auto"/>
          <w:sz w:val="22"/>
        </w:rPr>
      </w:pPr>
      <w:r w:rsidRPr="00DF0680">
        <w:rPr>
          <w:noProof w:val="0"/>
        </w:rPr>
        <w:t>3.2</w:t>
      </w:r>
      <w:r w:rsidRPr="00DF0680">
        <w:rPr>
          <w:rFonts w:asciiTheme="minorHAnsi" w:eastAsiaTheme="minorEastAsia" w:hAnsiTheme="minorHAnsi" w:cstheme="minorBidi"/>
          <w:noProof w:val="0"/>
          <w:color w:val="auto"/>
          <w:sz w:val="22"/>
        </w:rPr>
        <w:tab/>
      </w:r>
      <w:r w:rsidRPr="00DF0680">
        <w:rPr>
          <w:noProof w:val="0"/>
        </w:rPr>
        <w:t>RECQL5β mRNA levels are decreased in bladder cancers compared to normal bladder tissue</w:t>
      </w:r>
      <w:r w:rsidRPr="00DF0680">
        <w:rPr>
          <w:noProof w:val="0"/>
        </w:rPr>
        <w:tab/>
      </w:r>
      <w:r w:rsidR="00F20EC0" w:rsidRPr="00DF0680">
        <w:rPr>
          <w:noProof w:val="0"/>
        </w:rPr>
        <w:fldChar w:fldCharType="begin"/>
      </w:r>
      <w:r w:rsidRPr="00DF0680">
        <w:rPr>
          <w:noProof w:val="0"/>
        </w:rPr>
        <w:instrText xml:space="preserve"> PAGEREF _Toc417813934 \h </w:instrText>
      </w:r>
      <w:r w:rsidR="00F20EC0" w:rsidRPr="00DF0680">
        <w:rPr>
          <w:noProof w:val="0"/>
        </w:rPr>
      </w:r>
      <w:r w:rsidR="00F20EC0" w:rsidRPr="00DF0680">
        <w:rPr>
          <w:noProof w:val="0"/>
        </w:rPr>
        <w:fldChar w:fldCharType="separate"/>
      </w:r>
      <w:r w:rsidR="009801AF" w:rsidRPr="00DF0680">
        <w:rPr>
          <w:noProof w:val="0"/>
        </w:rPr>
        <w:t>92</w:t>
      </w:r>
      <w:r w:rsidR="00F20EC0" w:rsidRPr="00DF0680">
        <w:rPr>
          <w:noProof w:val="0"/>
        </w:rPr>
        <w:fldChar w:fldCharType="end"/>
      </w:r>
    </w:p>
    <w:p w:rsidR="00957568" w:rsidRPr="00DF0680" w:rsidRDefault="00957568">
      <w:pPr>
        <w:pStyle w:val="TOC2"/>
        <w:rPr>
          <w:rFonts w:asciiTheme="minorHAnsi" w:eastAsiaTheme="minorEastAsia" w:hAnsiTheme="minorHAnsi" w:cstheme="minorBidi"/>
          <w:noProof w:val="0"/>
          <w:color w:val="auto"/>
          <w:sz w:val="22"/>
        </w:rPr>
      </w:pPr>
      <w:r w:rsidRPr="00DF0680">
        <w:rPr>
          <w:noProof w:val="0"/>
        </w:rPr>
        <w:t>3.3</w:t>
      </w:r>
      <w:r w:rsidRPr="00DF0680">
        <w:rPr>
          <w:rFonts w:asciiTheme="minorHAnsi" w:eastAsiaTheme="minorEastAsia" w:hAnsiTheme="minorHAnsi" w:cstheme="minorBidi"/>
          <w:noProof w:val="0"/>
          <w:color w:val="auto"/>
          <w:sz w:val="22"/>
        </w:rPr>
        <w:tab/>
      </w:r>
      <w:r w:rsidRPr="00DF0680">
        <w:rPr>
          <w:noProof w:val="0"/>
        </w:rPr>
        <w:t>RECQL5β protein is over-expressed in bladder cancers compared to normal bladder tissue</w:t>
      </w:r>
      <w:r w:rsidRPr="00DF0680">
        <w:rPr>
          <w:noProof w:val="0"/>
        </w:rPr>
        <w:tab/>
      </w:r>
      <w:r w:rsidR="00F20EC0" w:rsidRPr="00DF0680">
        <w:rPr>
          <w:noProof w:val="0"/>
        </w:rPr>
        <w:fldChar w:fldCharType="begin"/>
      </w:r>
      <w:r w:rsidRPr="00DF0680">
        <w:rPr>
          <w:noProof w:val="0"/>
        </w:rPr>
        <w:instrText xml:space="preserve"> PAGEREF _Toc417813935 \h </w:instrText>
      </w:r>
      <w:r w:rsidR="00F20EC0" w:rsidRPr="00DF0680">
        <w:rPr>
          <w:noProof w:val="0"/>
        </w:rPr>
      </w:r>
      <w:r w:rsidR="00F20EC0" w:rsidRPr="00DF0680">
        <w:rPr>
          <w:noProof w:val="0"/>
        </w:rPr>
        <w:fldChar w:fldCharType="separate"/>
      </w:r>
      <w:r w:rsidR="009801AF" w:rsidRPr="00DF0680">
        <w:rPr>
          <w:noProof w:val="0"/>
        </w:rPr>
        <w:t>95</w:t>
      </w:r>
      <w:r w:rsidR="00F20EC0" w:rsidRPr="00DF0680">
        <w:rPr>
          <w:noProof w:val="0"/>
        </w:rPr>
        <w:fldChar w:fldCharType="end"/>
      </w:r>
    </w:p>
    <w:p w:rsidR="00957568" w:rsidRPr="00DF0680" w:rsidRDefault="00957568">
      <w:pPr>
        <w:pStyle w:val="TOC2"/>
        <w:rPr>
          <w:rFonts w:asciiTheme="minorHAnsi" w:eastAsiaTheme="minorEastAsia" w:hAnsiTheme="minorHAnsi" w:cstheme="minorBidi"/>
          <w:noProof w:val="0"/>
          <w:color w:val="auto"/>
          <w:sz w:val="22"/>
        </w:rPr>
      </w:pPr>
      <w:r w:rsidRPr="00DF0680">
        <w:rPr>
          <w:noProof w:val="0"/>
        </w:rPr>
        <w:t>3.4</w:t>
      </w:r>
      <w:r w:rsidRPr="00DF0680">
        <w:rPr>
          <w:rFonts w:asciiTheme="minorHAnsi" w:eastAsiaTheme="minorEastAsia" w:hAnsiTheme="minorHAnsi" w:cstheme="minorBidi"/>
          <w:noProof w:val="0"/>
          <w:color w:val="auto"/>
          <w:sz w:val="22"/>
        </w:rPr>
        <w:tab/>
      </w:r>
      <w:r w:rsidRPr="00DF0680">
        <w:rPr>
          <w:noProof w:val="0"/>
        </w:rPr>
        <w:t>Difference in RECQL5β protein expression is not due to cell cycle differences between cell lines</w:t>
      </w:r>
      <w:r w:rsidRPr="00DF0680">
        <w:rPr>
          <w:noProof w:val="0"/>
        </w:rPr>
        <w:tab/>
      </w:r>
      <w:r w:rsidR="00F20EC0" w:rsidRPr="00DF0680">
        <w:rPr>
          <w:noProof w:val="0"/>
        </w:rPr>
        <w:fldChar w:fldCharType="begin"/>
      </w:r>
      <w:r w:rsidRPr="00DF0680">
        <w:rPr>
          <w:noProof w:val="0"/>
        </w:rPr>
        <w:instrText xml:space="preserve"> PAGEREF _Toc417813936 \h </w:instrText>
      </w:r>
      <w:r w:rsidR="00F20EC0" w:rsidRPr="00DF0680">
        <w:rPr>
          <w:noProof w:val="0"/>
        </w:rPr>
      </w:r>
      <w:r w:rsidR="00F20EC0" w:rsidRPr="00DF0680">
        <w:rPr>
          <w:noProof w:val="0"/>
        </w:rPr>
        <w:fldChar w:fldCharType="separate"/>
      </w:r>
      <w:r w:rsidR="009801AF" w:rsidRPr="00DF0680">
        <w:rPr>
          <w:noProof w:val="0"/>
        </w:rPr>
        <w:t>99</w:t>
      </w:r>
      <w:r w:rsidR="00F20EC0" w:rsidRPr="00DF0680">
        <w:rPr>
          <w:noProof w:val="0"/>
        </w:rPr>
        <w:fldChar w:fldCharType="end"/>
      </w:r>
    </w:p>
    <w:p w:rsidR="00957568" w:rsidRPr="00DF0680" w:rsidRDefault="00957568">
      <w:pPr>
        <w:pStyle w:val="TOC2"/>
        <w:rPr>
          <w:rFonts w:asciiTheme="minorHAnsi" w:eastAsiaTheme="minorEastAsia" w:hAnsiTheme="minorHAnsi" w:cstheme="minorBidi"/>
          <w:noProof w:val="0"/>
          <w:color w:val="auto"/>
          <w:sz w:val="22"/>
        </w:rPr>
      </w:pPr>
      <w:r w:rsidRPr="00DF0680">
        <w:rPr>
          <w:noProof w:val="0"/>
        </w:rPr>
        <w:t>3.5</w:t>
      </w:r>
      <w:r w:rsidRPr="00DF0680">
        <w:rPr>
          <w:rFonts w:asciiTheme="minorHAnsi" w:eastAsiaTheme="minorEastAsia" w:hAnsiTheme="minorHAnsi" w:cstheme="minorBidi"/>
          <w:noProof w:val="0"/>
          <w:color w:val="auto"/>
          <w:sz w:val="22"/>
        </w:rPr>
        <w:tab/>
      </w:r>
      <w:r w:rsidRPr="00DF0680">
        <w:rPr>
          <w:noProof w:val="0"/>
        </w:rPr>
        <w:t>Regulation of RECQL5β is not due to altered promoter methylation status</w:t>
      </w:r>
      <w:r w:rsidRPr="00DF0680">
        <w:rPr>
          <w:noProof w:val="0"/>
        </w:rPr>
        <w:tab/>
      </w:r>
      <w:r w:rsidR="00F20EC0" w:rsidRPr="00DF0680">
        <w:rPr>
          <w:noProof w:val="0"/>
        </w:rPr>
        <w:fldChar w:fldCharType="begin"/>
      </w:r>
      <w:r w:rsidRPr="00DF0680">
        <w:rPr>
          <w:noProof w:val="0"/>
        </w:rPr>
        <w:instrText xml:space="preserve"> PAGEREF _Toc417813937 \h </w:instrText>
      </w:r>
      <w:r w:rsidR="00F20EC0" w:rsidRPr="00DF0680">
        <w:rPr>
          <w:noProof w:val="0"/>
        </w:rPr>
      </w:r>
      <w:r w:rsidR="00F20EC0" w:rsidRPr="00DF0680">
        <w:rPr>
          <w:noProof w:val="0"/>
        </w:rPr>
        <w:fldChar w:fldCharType="separate"/>
      </w:r>
      <w:r w:rsidR="009801AF" w:rsidRPr="00DF0680">
        <w:rPr>
          <w:noProof w:val="0"/>
        </w:rPr>
        <w:t>104</w:t>
      </w:r>
      <w:r w:rsidR="00F20EC0" w:rsidRPr="00DF0680">
        <w:rPr>
          <w:noProof w:val="0"/>
        </w:rPr>
        <w:fldChar w:fldCharType="end"/>
      </w:r>
    </w:p>
    <w:p w:rsidR="00957568" w:rsidRPr="00DF0680" w:rsidRDefault="00957568">
      <w:pPr>
        <w:pStyle w:val="TOC2"/>
        <w:rPr>
          <w:rFonts w:asciiTheme="minorHAnsi" w:eastAsiaTheme="minorEastAsia" w:hAnsiTheme="minorHAnsi" w:cstheme="minorBidi"/>
          <w:noProof w:val="0"/>
          <w:color w:val="auto"/>
          <w:sz w:val="22"/>
        </w:rPr>
      </w:pPr>
      <w:r w:rsidRPr="00DF0680">
        <w:rPr>
          <w:noProof w:val="0"/>
        </w:rPr>
        <w:t>3.6</w:t>
      </w:r>
      <w:r w:rsidRPr="00DF0680">
        <w:rPr>
          <w:rFonts w:asciiTheme="minorHAnsi" w:eastAsiaTheme="minorEastAsia" w:hAnsiTheme="minorHAnsi" w:cstheme="minorBidi"/>
          <w:noProof w:val="0"/>
          <w:color w:val="auto"/>
          <w:sz w:val="22"/>
        </w:rPr>
        <w:tab/>
      </w:r>
      <w:r w:rsidRPr="00DF0680">
        <w:rPr>
          <w:noProof w:val="0"/>
        </w:rPr>
        <w:t>The stability of RECQL5β protein is similar between cancer and normal cell lines</w:t>
      </w:r>
      <w:r w:rsidRPr="00DF0680">
        <w:rPr>
          <w:noProof w:val="0"/>
        </w:rPr>
        <w:tab/>
      </w:r>
      <w:r w:rsidR="00F20EC0" w:rsidRPr="00DF0680">
        <w:rPr>
          <w:noProof w:val="0"/>
        </w:rPr>
        <w:fldChar w:fldCharType="begin"/>
      </w:r>
      <w:r w:rsidRPr="00DF0680">
        <w:rPr>
          <w:noProof w:val="0"/>
        </w:rPr>
        <w:instrText xml:space="preserve"> PAGEREF _Toc417813938 \h </w:instrText>
      </w:r>
      <w:r w:rsidR="00F20EC0" w:rsidRPr="00DF0680">
        <w:rPr>
          <w:noProof w:val="0"/>
        </w:rPr>
      </w:r>
      <w:r w:rsidR="00F20EC0" w:rsidRPr="00DF0680">
        <w:rPr>
          <w:noProof w:val="0"/>
        </w:rPr>
        <w:fldChar w:fldCharType="separate"/>
      </w:r>
      <w:r w:rsidR="009801AF" w:rsidRPr="00DF0680">
        <w:rPr>
          <w:noProof w:val="0"/>
        </w:rPr>
        <w:t>107</w:t>
      </w:r>
      <w:r w:rsidR="00F20EC0" w:rsidRPr="00DF0680">
        <w:rPr>
          <w:noProof w:val="0"/>
        </w:rPr>
        <w:fldChar w:fldCharType="end"/>
      </w:r>
    </w:p>
    <w:p w:rsidR="00957568" w:rsidRPr="00DF0680" w:rsidRDefault="00957568">
      <w:pPr>
        <w:pStyle w:val="TOC2"/>
        <w:rPr>
          <w:rFonts w:asciiTheme="minorHAnsi" w:eastAsiaTheme="minorEastAsia" w:hAnsiTheme="minorHAnsi" w:cstheme="minorBidi"/>
          <w:noProof w:val="0"/>
          <w:color w:val="auto"/>
          <w:sz w:val="22"/>
        </w:rPr>
      </w:pPr>
      <w:r w:rsidRPr="00DF0680">
        <w:rPr>
          <w:noProof w:val="0"/>
        </w:rPr>
        <w:t>3.7</w:t>
      </w:r>
      <w:r w:rsidRPr="00DF0680">
        <w:rPr>
          <w:rFonts w:asciiTheme="minorHAnsi" w:eastAsiaTheme="minorEastAsia" w:hAnsiTheme="minorHAnsi" w:cstheme="minorBidi"/>
          <w:noProof w:val="0"/>
          <w:color w:val="auto"/>
          <w:sz w:val="22"/>
        </w:rPr>
        <w:tab/>
      </w:r>
      <w:r w:rsidRPr="00DF0680">
        <w:rPr>
          <w:noProof w:val="0"/>
        </w:rPr>
        <w:t>RECQL5β 3’UTR does not confer differential protein expression between bladder cell lines</w:t>
      </w:r>
      <w:r w:rsidRPr="00DF0680">
        <w:rPr>
          <w:noProof w:val="0"/>
        </w:rPr>
        <w:tab/>
      </w:r>
      <w:r w:rsidR="00F20EC0" w:rsidRPr="00DF0680">
        <w:rPr>
          <w:noProof w:val="0"/>
        </w:rPr>
        <w:fldChar w:fldCharType="begin"/>
      </w:r>
      <w:r w:rsidRPr="00DF0680">
        <w:rPr>
          <w:noProof w:val="0"/>
        </w:rPr>
        <w:instrText xml:space="preserve"> PAGEREF _Toc417813939 \h </w:instrText>
      </w:r>
      <w:r w:rsidR="00F20EC0" w:rsidRPr="00DF0680">
        <w:rPr>
          <w:noProof w:val="0"/>
        </w:rPr>
      </w:r>
      <w:r w:rsidR="00F20EC0" w:rsidRPr="00DF0680">
        <w:rPr>
          <w:noProof w:val="0"/>
        </w:rPr>
        <w:fldChar w:fldCharType="separate"/>
      </w:r>
      <w:r w:rsidR="009801AF" w:rsidRPr="00DF0680">
        <w:rPr>
          <w:noProof w:val="0"/>
        </w:rPr>
        <w:t>110</w:t>
      </w:r>
      <w:r w:rsidR="00F20EC0" w:rsidRPr="00DF0680">
        <w:rPr>
          <w:noProof w:val="0"/>
        </w:rPr>
        <w:fldChar w:fldCharType="end"/>
      </w:r>
    </w:p>
    <w:p w:rsidR="00957568" w:rsidRPr="00DF0680" w:rsidRDefault="00957568">
      <w:pPr>
        <w:pStyle w:val="TOC2"/>
        <w:rPr>
          <w:rFonts w:asciiTheme="minorHAnsi" w:eastAsiaTheme="minorEastAsia" w:hAnsiTheme="minorHAnsi" w:cstheme="minorBidi"/>
          <w:noProof w:val="0"/>
          <w:color w:val="auto"/>
          <w:sz w:val="22"/>
        </w:rPr>
      </w:pPr>
      <w:r w:rsidRPr="00DF0680">
        <w:rPr>
          <w:noProof w:val="0"/>
        </w:rPr>
        <w:t>3.8</w:t>
      </w:r>
      <w:r w:rsidRPr="00DF0680">
        <w:rPr>
          <w:rFonts w:asciiTheme="minorHAnsi" w:eastAsiaTheme="minorEastAsia" w:hAnsiTheme="minorHAnsi" w:cstheme="minorBidi"/>
          <w:noProof w:val="0"/>
          <w:color w:val="auto"/>
          <w:sz w:val="22"/>
        </w:rPr>
        <w:tab/>
      </w:r>
      <w:r w:rsidRPr="00DF0680">
        <w:rPr>
          <w:noProof w:val="0"/>
        </w:rPr>
        <w:t>Regulation of translation initiation is altered in bladder cancer cells to increase global protein translation</w:t>
      </w:r>
      <w:r w:rsidRPr="00DF0680">
        <w:rPr>
          <w:noProof w:val="0"/>
        </w:rPr>
        <w:tab/>
      </w:r>
      <w:r w:rsidR="00F20EC0" w:rsidRPr="00DF0680">
        <w:rPr>
          <w:noProof w:val="0"/>
        </w:rPr>
        <w:fldChar w:fldCharType="begin"/>
      </w:r>
      <w:r w:rsidRPr="00DF0680">
        <w:rPr>
          <w:noProof w:val="0"/>
        </w:rPr>
        <w:instrText xml:space="preserve"> PAGEREF _Toc417813940 \h </w:instrText>
      </w:r>
      <w:r w:rsidR="00F20EC0" w:rsidRPr="00DF0680">
        <w:rPr>
          <w:noProof w:val="0"/>
        </w:rPr>
      </w:r>
      <w:r w:rsidR="00F20EC0" w:rsidRPr="00DF0680">
        <w:rPr>
          <w:noProof w:val="0"/>
        </w:rPr>
        <w:fldChar w:fldCharType="separate"/>
      </w:r>
      <w:r w:rsidR="009801AF" w:rsidRPr="00DF0680">
        <w:rPr>
          <w:noProof w:val="0"/>
        </w:rPr>
        <w:t>112</w:t>
      </w:r>
      <w:r w:rsidR="00F20EC0" w:rsidRPr="00DF0680">
        <w:rPr>
          <w:noProof w:val="0"/>
        </w:rPr>
        <w:fldChar w:fldCharType="end"/>
      </w:r>
    </w:p>
    <w:p w:rsidR="00957568" w:rsidRPr="00DF0680" w:rsidRDefault="00957568">
      <w:pPr>
        <w:pStyle w:val="TOC2"/>
        <w:rPr>
          <w:rFonts w:asciiTheme="minorHAnsi" w:eastAsiaTheme="minorEastAsia" w:hAnsiTheme="minorHAnsi" w:cstheme="minorBidi"/>
          <w:noProof w:val="0"/>
          <w:color w:val="auto"/>
          <w:sz w:val="22"/>
        </w:rPr>
      </w:pPr>
      <w:r w:rsidRPr="00DF0680">
        <w:rPr>
          <w:noProof w:val="0"/>
        </w:rPr>
        <w:t>3.9</w:t>
      </w:r>
      <w:r w:rsidRPr="00DF0680">
        <w:rPr>
          <w:rFonts w:asciiTheme="minorHAnsi" w:eastAsiaTheme="minorEastAsia" w:hAnsiTheme="minorHAnsi" w:cstheme="minorBidi"/>
          <w:noProof w:val="0"/>
          <w:color w:val="auto"/>
          <w:sz w:val="22"/>
        </w:rPr>
        <w:tab/>
      </w:r>
      <w:r w:rsidRPr="00DF0680">
        <w:rPr>
          <w:noProof w:val="0"/>
        </w:rPr>
        <w:t>Discussion</w:t>
      </w:r>
      <w:r w:rsidRPr="00DF0680">
        <w:rPr>
          <w:noProof w:val="0"/>
        </w:rPr>
        <w:tab/>
      </w:r>
      <w:r w:rsidR="00F20EC0" w:rsidRPr="00DF0680">
        <w:rPr>
          <w:noProof w:val="0"/>
        </w:rPr>
        <w:fldChar w:fldCharType="begin"/>
      </w:r>
      <w:r w:rsidRPr="00DF0680">
        <w:rPr>
          <w:noProof w:val="0"/>
        </w:rPr>
        <w:instrText xml:space="preserve"> PAGEREF _Toc417813941 \h </w:instrText>
      </w:r>
      <w:r w:rsidR="00F20EC0" w:rsidRPr="00DF0680">
        <w:rPr>
          <w:noProof w:val="0"/>
        </w:rPr>
      </w:r>
      <w:r w:rsidR="00F20EC0" w:rsidRPr="00DF0680">
        <w:rPr>
          <w:noProof w:val="0"/>
        </w:rPr>
        <w:fldChar w:fldCharType="separate"/>
      </w:r>
      <w:r w:rsidR="009801AF" w:rsidRPr="00DF0680">
        <w:rPr>
          <w:noProof w:val="0"/>
        </w:rPr>
        <w:t>113</w:t>
      </w:r>
      <w:r w:rsidR="00F20EC0" w:rsidRPr="00DF0680">
        <w:rPr>
          <w:noProof w:val="0"/>
        </w:rPr>
        <w:fldChar w:fldCharType="end"/>
      </w:r>
    </w:p>
    <w:p w:rsidR="00E43E7C" w:rsidRPr="00DF0680" w:rsidRDefault="00F20EC0" w:rsidP="0099278F">
      <w:pPr>
        <w:pStyle w:val="TOC1"/>
        <w:rPr>
          <w:rFonts w:cs="Times New Roman"/>
          <w:noProof w:val="0"/>
        </w:rPr>
      </w:pPr>
      <w:r w:rsidRPr="00DF0680">
        <w:rPr>
          <w:rFonts w:cs="Times New Roman"/>
          <w:noProof w:val="0"/>
        </w:rPr>
        <w:fldChar w:fldCharType="end"/>
      </w:r>
    </w:p>
    <w:p w:rsidR="00A41A3E" w:rsidRPr="00DF0680" w:rsidRDefault="00A41A3E">
      <w:pPr>
        <w:spacing w:line="276" w:lineRule="auto"/>
        <w:jc w:val="left"/>
        <w:rPr>
          <w:rFonts w:cs="Times New Roman"/>
          <w:b/>
          <w:sz w:val="28"/>
          <w:u w:val="single"/>
        </w:rPr>
      </w:pPr>
      <w:r w:rsidRPr="00DF0680">
        <w:rPr>
          <w:rFonts w:cs="Times New Roman"/>
          <w:b/>
          <w:sz w:val="28"/>
          <w:u w:val="single"/>
        </w:rPr>
        <w:br w:type="page"/>
      </w:r>
    </w:p>
    <w:p w:rsidR="00E43E7C" w:rsidRPr="00DF0680" w:rsidRDefault="00E43E7C" w:rsidP="00E43E7C">
      <w:pPr>
        <w:pStyle w:val="TableofFigures"/>
        <w:tabs>
          <w:tab w:val="right" w:leader="dot" w:pos="8494"/>
        </w:tabs>
        <w:spacing w:after="240"/>
        <w:rPr>
          <w:rFonts w:cs="Times New Roman"/>
          <w:b/>
          <w:sz w:val="28"/>
          <w:u w:val="single"/>
        </w:rPr>
      </w:pPr>
      <w:r w:rsidRPr="00DF0680">
        <w:rPr>
          <w:rFonts w:cs="Times New Roman"/>
          <w:b/>
          <w:sz w:val="28"/>
          <w:u w:val="single"/>
        </w:rPr>
        <w:lastRenderedPageBreak/>
        <w:t>List of Figures</w:t>
      </w:r>
    </w:p>
    <w:p w:rsidR="00957568" w:rsidRPr="00DF0680" w:rsidRDefault="00F20EC0">
      <w:pPr>
        <w:pStyle w:val="TableofFigures"/>
        <w:tabs>
          <w:tab w:val="right" w:leader="dot" w:pos="8494"/>
        </w:tabs>
        <w:rPr>
          <w:rFonts w:asciiTheme="minorHAnsi" w:eastAsiaTheme="minorEastAsia" w:hAnsiTheme="minorHAnsi" w:cstheme="minorBidi"/>
          <w:color w:val="auto"/>
          <w:sz w:val="22"/>
        </w:rPr>
      </w:pPr>
      <w:r w:rsidRPr="00DF0680">
        <w:rPr>
          <w:rFonts w:cs="Times New Roman"/>
        </w:rPr>
        <w:fldChar w:fldCharType="begin"/>
      </w:r>
      <w:r w:rsidR="00957568" w:rsidRPr="00DF0680">
        <w:rPr>
          <w:rFonts w:cs="Times New Roman"/>
        </w:rPr>
        <w:instrText xml:space="preserve"> TOC \h \z \c "Figure" </w:instrText>
      </w:r>
      <w:r w:rsidRPr="00DF0680">
        <w:rPr>
          <w:rFonts w:cs="Times New Roman"/>
        </w:rPr>
        <w:fldChar w:fldCharType="separate"/>
      </w:r>
      <w:hyperlink w:anchor="_Toc417813890" w:history="1">
        <w:r w:rsidR="00957568" w:rsidRPr="00DF0680">
          <w:rPr>
            <w:rStyle w:val="Hyperlink"/>
          </w:rPr>
          <w:t>Figure 3.1 – RECQL5β mRNA levels in primary bladder cancers and normal bladder tissue, with levels in commonly used cell lines overlayed</w:t>
        </w:r>
        <w:r w:rsidR="00957568" w:rsidRPr="00DF0680">
          <w:rPr>
            <w:webHidden/>
          </w:rPr>
          <w:tab/>
        </w:r>
        <w:r w:rsidRPr="00DF0680">
          <w:rPr>
            <w:webHidden/>
          </w:rPr>
          <w:fldChar w:fldCharType="begin"/>
        </w:r>
        <w:r w:rsidR="00957568" w:rsidRPr="00DF0680">
          <w:rPr>
            <w:webHidden/>
          </w:rPr>
          <w:instrText xml:space="preserve"> PAGEREF _Toc417813890 \h </w:instrText>
        </w:r>
        <w:r w:rsidRPr="00DF0680">
          <w:rPr>
            <w:webHidden/>
          </w:rPr>
        </w:r>
        <w:r w:rsidRPr="00DF0680">
          <w:rPr>
            <w:webHidden/>
          </w:rPr>
          <w:fldChar w:fldCharType="separate"/>
        </w:r>
        <w:r w:rsidR="009801AF" w:rsidRPr="00DF0680">
          <w:rPr>
            <w:webHidden/>
          </w:rPr>
          <w:t>93</w:t>
        </w:r>
        <w:r w:rsidRPr="00DF0680">
          <w:rPr>
            <w:webHidden/>
          </w:rPr>
          <w:fldChar w:fldCharType="end"/>
        </w:r>
      </w:hyperlink>
    </w:p>
    <w:p w:rsidR="00957568" w:rsidRPr="00DF0680" w:rsidRDefault="00F20EC0">
      <w:pPr>
        <w:pStyle w:val="TableofFigures"/>
        <w:tabs>
          <w:tab w:val="right" w:leader="dot" w:pos="8494"/>
        </w:tabs>
        <w:rPr>
          <w:rFonts w:asciiTheme="minorHAnsi" w:eastAsiaTheme="minorEastAsia" w:hAnsiTheme="minorHAnsi" w:cstheme="minorBidi"/>
          <w:color w:val="auto"/>
          <w:sz w:val="22"/>
        </w:rPr>
      </w:pPr>
      <w:hyperlink w:anchor="_Toc417813891" w:history="1">
        <w:r w:rsidR="00957568" w:rsidRPr="00DF0680">
          <w:rPr>
            <w:rStyle w:val="Hyperlink"/>
          </w:rPr>
          <w:t>Figure 3.2 – qRT-PCR cancer screen for expression of RECQL5 and RECQL5β mRNA</w:t>
        </w:r>
        <w:r w:rsidR="00957568" w:rsidRPr="00DF0680">
          <w:rPr>
            <w:webHidden/>
          </w:rPr>
          <w:tab/>
        </w:r>
        <w:r w:rsidRPr="00DF0680">
          <w:rPr>
            <w:webHidden/>
          </w:rPr>
          <w:fldChar w:fldCharType="begin"/>
        </w:r>
        <w:r w:rsidR="00957568" w:rsidRPr="00DF0680">
          <w:rPr>
            <w:webHidden/>
          </w:rPr>
          <w:instrText xml:space="preserve"> PAGEREF _Toc417813891 \h </w:instrText>
        </w:r>
        <w:r w:rsidRPr="00DF0680">
          <w:rPr>
            <w:webHidden/>
          </w:rPr>
        </w:r>
        <w:r w:rsidRPr="00DF0680">
          <w:rPr>
            <w:webHidden/>
          </w:rPr>
          <w:fldChar w:fldCharType="separate"/>
        </w:r>
        <w:r w:rsidR="009801AF" w:rsidRPr="00DF0680">
          <w:rPr>
            <w:webHidden/>
          </w:rPr>
          <w:t>94</w:t>
        </w:r>
        <w:r w:rsidRPr="00DF0680">
          <w:rPr>
            <w:webHidden/>
          </w:rPr>
          <w:fldChar w:fldCharType="end"/>
        </w:r>
      </w:hyperlink>
    </w:p>
    <w:p w:rsidR="00957568" w:rsidRPr="00DF0680" w:rsidRDefault="00F20EC0">
      <w:pPr>
        <w:pStyle w:val="TableofFigures"/>
        <w:tabs>
          <w:tab w:val="right" w:leader="dot" w:pos="8494"/>
        </w:tabs>
        <w:rPr>
          <w:rFonts w:asciiTheme="minorHAnsi" w:eastAsiaTheme="minorEastAsia" w:hAnsiTheme="minorHAnsi" w:cstheme="minorBidi"/>
          <w:color w:val="auto"/>
          <w:sz w:val="22"/>
        </w:rPr>
      </w:pPr>
      <w:hyperlink w:anchor="_Toc417813892" w:history="1">
        <w:r w:rsidR="00957568" w:rsidRPr="00DF0680">
          <w:rPr>
            <w:rStyle w:val="Hyperlink"/>
          </w:rPr>
          <w:t>Figure 3.3 – RECQL5β protein expression in bladder cell lines</w:t>
        </w:r>
        <w:r w:rsidR="00957568" w:rsidRPr="00DF0680">
          <w:rPr>
            <w:webHidden/>
          </w:rPr>
          <w:tab/>
        </w:r>
        <w:r w:rsidRPr="00DF0680">
          <w:rPr>
            <w:webHidden/>
          </w:rPr>
          <w:fldChar w:fldCharType="begin"/>
        </w:r>
        <w:r w:rsidR="00957568" w:rsidRPr="00DF0680">
          <w:rPr>
            <w:webHidden/>
          </w:rPr>
          <w:instrText xml:space="preserve"> PAGEREF _Toc417813892 \h </w:instrText>
        </w:r>
        <w:r w:rsidRPr="00DF0680">
          <w:rPr>
            <w:webHidden/>
          </w:rPr>
        </w:r>
        <w:r w:rsidRPr="00DF0680">
          <w:rPr>
            <w:webHidden/>
          </w:rPr>
          <w:fldChar w:fldCharType="separate"/>
        </w:r>
        <w:r w:rsidR="009801AF" w:rsidRPr="00DF0680">
          <w:rPr>
            <w:webHidden/>
          </w:rPr>
          <w:t>96</w:t>
        </w:r>
        <w:r w:rsidRPr="00DF0680">
          <w:rPr>
            <w:webHidden/>
          </w:rPr>
          <w:fldChar w:fldCharType="end"/>
        </w:r>
      </w:hyperlink>
    </w:p>
    <w:p w:rsidR="00957568" w:rsidRPr="00DF0680" w:rsidRDefault="00F20EC0">
      <w:pPr>
        <w:pStyle w:val="TableofFigures"/>
        <w:tabs>
          <w:tab w:val="right" w:leader="dot" w:pos="8494"/>
        </w:tabs>
        <w:rPr>
          <w:rFonts w:asciiTheme="minorHAnsi" w:eastAsiaTheme="minorEastAsia" w:hAnsiTheme="minorHAnsi" w:cstheme="minorBidi"/>
          <w:color w:val="auto"/>
          <w:sz w:val="22"/>
        </w:rPr>
      </w:pPr>
      <w:hyperlink w:anchor="_Toc417813893" w:history="1">
        <w:r w:rsidR="00957568" w:rsidRPr="00DF0680">
          <w:rPr>
            <w:rStyle w:val="Hyperlink"/>
          </w:rPr>
          <w:t>Figure 3.4 – RECQL5β expression in primary bladder cancers and normal bladder tissue</w:t>
        </w:r>
        <w:r w:rsidR="00957568" w:rsidRPr="00DF0680">
          <w:rPr>
            <w:webHidden/>
          </w:rPr>
          <w:tab/>
        </w:r>
        <w:r w:rsidRPr="00DF0680">
          <w:rPr>
            <w:webHidden/>
          </w:rPr>
          <w:fldChar w:fldCharType="begin"/>
        </w:r>
        <w:r w:rsidR="00957568" w:rsidRPr="00DF0680">
          <w:rPr>
            <w:webHidden/>
          </w:rPr>
          <w:instrText xml:space="preserve"> PAGEREF _Toc417813893 \h </w:instrText>
        </w:r>
        <w:r w:rsidRPr="00DF0680">
          <w:rPr>
            <w:webHidden/>
          </w:rPr>
        </w:r>
        <w:r w:rsidRPr="00DF0680">
          <w:rPr>
            <w:webHidden/>
          </w:rPr>
          <w:fldChar w:fldCharType="separate"/>
        </w:r>
        <w:r w:rsidR="009801AF" w:rsidRPr="00DF0680">
          <w:rPr>
            <w:webHidden/>
          </w:rPr>
          <w:t>98</w:t>
        </w:r>
        <w:r w:rsidRPr="00DF0680">
          <w:rPr>
            <w:webHidden/>
          </w:rPr>
          <w:fldChar w:fldCharType="end"/>
        </w:r>
      </w:hyperlink>
    </w:p>
    <w:p w:rsidR="00957568" w:rsidRPr="00DF0680" w:rsidRDefault="00F20EC0">
      <w:pPr>
        <w:pStyle w:val="TableofFigures"/>
        <w:tabs>
          <w:tab w:val="right" w:leader="dot" w:pos="8494"/>
        </w:tabs>
        <w:rPr>
          <w:rFonts w:asciiTheme="minorHAnsi" w:eastAsiaTheme="minorEastAsia" w:hAnsiTheme="minorHAnsi" w:cstheme="minorBidi"/>
          <w:color w:val="auto"/>
          <w:sz w:val="22"/>
        </w:rPr>
      </w:pPr>
      <w:hyperlink w:anchor="_Toc417813894" w:history="1">
        <w:r w:rsidR="00957568" w:rsidRPr="00DF0680">
          <w:rPr>
            <w:rStyle w:val="Hyperlink"/>
          </w:rPr>
          <w:t>Figure 3.5 – Cell cycle distribution of cell lines EJ and NHU hTERT.</w:t>
        </w:r>
        <w:r w:rsidR="00957568" w:rsidRPr="00DF0680">
          <w:rPr>
            <w:webHidden/>
          </w:rPr>
          <w:tab/>
        </w:r>
        <w:r w:rsidRPr="00DF0680">
          <w:rPr>
            <w:webHidden/>
          </w:rPr>
          <w:fldChar w:fldCharType="begin"/>
        </w:r>
        <w:r w:rsidR="00957568" w:rsidRPr="00DF0680">
          <w:rPr>
            <w:webHidden/>
          </w:rPr>
          <w:instrText xml:space="preserve"> PAGEREF _Toc417813894 \h </w:instrText>
        </w:r>
        <w:r w:rsidRPr="00DF0680">
          <w:rPr>
            <w:webHidden/>
          </w:rPr>
        </w:r>
        <w:r w:rsidRPr="00DF0680">
          <w:rPr>
            <w:webHidden/>
          </w:rPr>
          <w:fldChar w:fldCharType="separate"/>
        </w:r>
        <w:r w:rsidR="009801AF" w:rsidRPr="00DF0680">
          <w:rPr>
            <w:webHidden/>
          </w:rPr>
          <w:t>100</w:t>
        </w:r>
        <w:r w:rsidRPr="00DF0680">
          <w:rPr>
            <w:webHidden/>
          </w:rPr>
          <w:fldChar w:fldCharType="end"/>
        </w:r>
      </w:hyperlink>
    </w:p>
    <w:p w:rsidR="00957568" w:rsidRPr="00DF0680" w:rsidRDefault="00F20EC0">
      <w:pPr>
        <w:pStyle w:val="TableofFigures"/>
        <w:tabs>
          <w:tab w:val="right" w:leader="dot" w:pos="8494"/>
        </w:tabs>
        <w:rPr>
          <w:rFonts w:asciiTheme="minorHAnsi" w:eastAsiaTheme="minorEastAsia" w:hAnsiTheme="minorHAnsi" w:cstheme="minorBidi"/>
          <w:color w:val="auto"/>
          <w:sz w:val="22"/>
        </w:rPr>
      </w:pPr>
      <w:hyperlink w:anchor="_Toc417813895" w:history="1">
        <w:r w:rsidR="00957568" w:rsidRPr="00DF0680">
          <w:rPr>
            <w:rStyle w:val="Hyperlink"/>
          </w:rPr>
          <w:t>Figure 3.6 – Percentage of actively proliferating cells in the cell lines EJ and NHU as determined by BrdU incorporation.</w:t>
        </w:r>
        <w:r w:rsidR="00957568" w:rsidRPr="00DF0680">
          <w:rPr>
            <w:webHidden/>
          </w:rPr>
          <w:tab/>
        </w:r>
        <w:r w:rsidRPr="00DF0680">
          <w:rPr>
            <w:webHidden/>
          </w:rPr>
          <w:fldChar w:fldCharType="begin"/>
        </w:r>
        <w:r w:rsidR="00957568" w:rsidRPr="00DF0680">
          <w:rPr>
            <w:webHidden/>
          </w:rPr>
          <w:instrText xml:space="preserve"> PAGEREF _Toc417813895 \h </w:instrText>
        </w:r>
        <w:r w:rsidRPr="00DF0680">
          <w:rPr>
            <w:webHidden/>
          </w:rPr>
        </w:r>
        <w:r w:rsidRPr="00DF0680">
          <w:rPr>
            <w:webHidden/>
          </w:rPr>
          <w:fldChar w:fldCharType="separate"/>
        </w:r>
        <w:r w:rsidR="009801AF" w:rsidRPr="00DF0680">
          <w:rPr>
            <w:webHidden/>
          </w:rPr>
          <w:t>101</w:t>
        </w:r>
        <w:r w:rsidRPr="00DF0680">
          <w:rPr>
            <w:webHidden/>
          </w:rPr>
          <w:fldChar w:fldCharType="end"/>
        </w:r>
      </w:hyperlink>
    </w:p>
    <w:p w:rsidR="00957568" w:rsidRPr="00DF0680" w:rsidRDefault="00F20EC0">
      <w:pPr>
        <w:pStyle w:val="TableofFigures"/>
        <w:tabs>
          <w:tab w:val="right" w:leader="dot" w:pos="8494"/>
        </w:tabs>
        <w:rPr>
          <w:rFonts w:asciiTheme="minorHAnsi" w:eastAsiaTheme="minorEastAsia" w:hAnsiTheme="minorHAnsi" w:cstheme="minorBidi"/>
          <w:color w:val="auto"/>
          <w:sz w:val="22"/>
        </w:rPr>
      </w:pPr>
      <w:hyperlink w:anchor="_Toc417813896" w:history="1">
        <w:r w:rsidR="00957568" w:rsidRPr="00DF0680">
          <w:rPr>
            <w:rStyle w:val="Hyperlink"/>
          </w:rPr>
          <w:t>Figure 3.7 – The expression of RECQL5β through the cell cycle in MRC5, EJ and NHU hTERT cell lines.</w:t>
        </w:r>
        <w:r w:rsidR="00957568" w:rsidRPr="00DF0680">
          <w:rPr>
            <w:webHidden/>
          </w:rPr>
          <w:tab/>
        </w:r>
        <w:r w:rsidRPr="00DF0680">
          <w:rPr>
            <w:webHidden/>
          </w:rPr>
          <w:fldChar w:fldCharType="begin"/>
        </w:r>
        <w:r w:rsidR="00957568" w:rsidRPr="00DF0680">
          <w:rPr>
            <w:webHidden/>
          </w:rPr>
          <w:instrText xml:space="preserve"> PAGEREF _Toc417813896 \h </w:instrText>
        </w:r>
        <w:r w:rsidRPr="00DF0680">
          <w:rPr>
            <w:webHidden/>
          </w:rPr>
        </w:r>
        <w:r w:rsidRPr="00DF0680">
          <w:rPr>
            <w:webHidden/>
          </w:rPr>
          <w:fldChar w:fldCharType="separate"/>
        </w:r>
        <w:r w:rsidR="009801AF" w:rsidRPr="00DF0680">
          <w:rPr>
            <w:webHidden/>
          </w:rPr>
          <w:t>102</w:t>
        </w:r>
        <w:r w:rsidRPr="00DF0680">
          <w:rPr>
            <w:webHidden/>
          </w:rPr>
          <w:fldChar w:fldCharType="end"/>
        </w:r>
      </w:hyperlink>
    </w:p>
    <w:p w:rsidR="00957568" w:rsidRPr="00DF0680" w:rsidRDefault="00F20EC0">
      <w:pPr>
        <w:pStyle w:val="TableofFigures"/>
        <w:tabs>
          <w:tab w:val="right" w:leader="dot" w:pos="8494"/>
        </w:tabs>
        <w:rPr>
          <w:rFonts w:asciiTheme="minorHAnsi" w:eastAsiaTheme="minorEastAsia" w:hAnsiTheme="minorHAnsi" w:cstheme="minorBidi"/>
          <w:color w:val="auto"/>
          <w:sz w:val="22"/>
        </w:rPr>
      </w:pPr>
      <w:hyperlink w:anchor="_Toc417813897" w:history="1">
        <w:r w:rsidR="00957568" w:rsidRPr="00DF0680">
          <w:rPr>
            <w:rStyle w:val="Hyperlink"/>
          </w:rPr>
          <w:t>Figure 3.8 – RECQL5β protein expression after global demethylation using Western blotting.</w:t>
        </w:r>
        <w:r w:rsidR="00957568" w:rsidRPr="00DF0680">
          <w:rPr>
            <w:webHidden/>
          </w:rPr>
          <w:tab/>
        </w:r>
        <w:r w:rsidRPr="00DF0680">
          <w:rPr>
            <w:webHidden/>
          </w:rPr>
          <w:fldChar w:fldCharType="begin"/>
        </w:r>
        <w:r w:rsidR="00957568" w:rsidRPr="00DF0680">
          <w:rPr>
            <w:webHidden/>
          </w:rPr>
          <w:instrText xml:space="preserve"> PAGEREF _Toc417813897 \h </w:instrText>
        </w:r>
        <w:r w:rsidRPr="00DF0680">
          <w:rPr>
            <w:webHidden/>
          </w:rPr>
        </w:r>
        <w:r w:rsidRPr="00DF0680">
          <w:rPr>
            <w:webHidden/>
          </w:rPr>
          <w:fldChar w:fldCharType="separate"/>
        </w:r>
        <w:r w:rsidR="009801AF" w:rsidRPr="00DF0680">
          <w:rPr>
            <w:webHidden/>
          </w:rPr>
          <w:t>106</w:t>
        </w:r>
        <w:r w:rsidRPr="00DF0680">
          <w:rPr>
            <w:webHidden/>
          </w:rPr>
          <w:fldChar w:fldCharType="end"/>
        </w:r>
      </w:hyperlink>
    </w:p>
    <w:p w:rsidR="00957568" w:rsidRPr="00DF0680" w:rsidRDefault="00F20EC0">
      <w:pPr>
        <w:pStyle w:val="TableofFigures"/>
        <w:tabs>
          <w:tab w:val="right" w:leader="dot" w:pos="8494"/>
        </w:tabs>
        <w:rPr>
          <w:rFonts w:asciiTheme="minorHAnsi" w:eastAsiaTheme="minorEastAsia" w:hAnsiTheme="minorHAnsi" w:cstheme="minorBidi"/>
          <w:color w:val="auto"/>
          <w:sz w:val="22"/>
        </w:rPr>
      </w:pPr>
      <w:hyperlink w:anchor="_Toc417813898" w:history="1">
        <w:r w:rsidR="00957568" w:rsidRPr="00DF0680">
          <w:rPr>
            <w:rStyle w:val="Hyperlink"/>
          </w:rPr>
          <w:t>Figure 3.9 – RECQL5β protein expression over 24 hours</w:t>
        </w:r>
        <w:r w:rsidR="00957568" w:rsidRPr="00DF0680">
          <w:rPr>
            <w:webHidden/>
          </w:rPr>
          <w:tab/>
        </w:r>
        <w:r w:rsidRPr="00DF0680">
          <w:rPr>
            <w:webHidden/>
          </w:rPr>
          <w:fldChar w:fldCharType="begin"/>
        </w:r>
        <w:r w:rsidR="00957568" w:rsidRPr="00DF0680">
          <w:rPr>
            <w:webHidden/>
          </w:rPr>
          <w:instrText xml:space="preserve"> PAGEREF _Toc417813898 \h </w:instrText>
        </w:r>
        <w:r w:rsidRPr="00DF0680">
          <w:rPr>
            <w:webHidden/>
          </w:rPr>
        </w:r>
        <w:r w:rsidRPr="00DF0680">
          <w:rPr>
            <w:webHidden/>
          </w:rPr>
          <w:fldChar w:fldCharType="separate"/>
        </w:r>
        <w:r w:rsidR="009801AF" w:rsidRPr="00DF0680">
          <w:rPr>
            <w:webHidden/>
          </w:rPr>
          <w:t>109</w:t>
        </w:r>
        <w:r w:rsidRPr="00DF0680">
          <w:rPr>
            <w:webHidden/>
          </w:rPr>
          <w:fldChar w:fldCharType="end"/>
        </w:r>
      </w:hyperlink>
    </w:p>
    <w:p w:rsidR="00957568" w:rsidRPr="00DF0680" w:rsidRDefault="00F20EC0">
      <w:pPr>
        <w:pStyle w:val="TableofFigures"/>
        <w:tabs>
          <w:tab w:val="right" w:leader="dot" w:pos="8494"/>
        </w:tabs>
        <w:rPr>
          <w:rFonts w:asciiTheme="minorHAnsi" w:eastAsiaTheme="minorEastAsia" w:hAnsiTheme="minorHAnsi" w:cstheme="minorBidi"/>
          <w:color w:val="auto"/>
          <w:sz w:val="22"/>
        </w:rPr>
      </w:pPr>
      <w:hyperlink w:anchor="_Toc417813899" w:history="1">
        <w:r w:rsidR="00957568" w:rsidRPr="00DF0680">
          <w:rPr>
            <w:rStyle w:val="Hyperlink"/>
          </w:rPr>
          <w:t>Figure 3.10 – Sequence of RECQL5β 3’UTR and luciferase reporter assay.</w:t>
        </w:r>
        <w:r w:rsidR="00957568" w:rsidRPr="00DF0680">
          <w:rPr>
            <w:webHidden/>
          </w:rPr>
          <w:tab/>
        </w:r>
        <w:r w:rsidRPr="00DF0680">
          <w:rPr>
            <w:webHidden/>
          </w:rPr>
          <w:fldChar w:fldCharType="begin"/>
        </w:r>
        <w:r w:rsidR="00957568" w:rsidRPr="00DF0680">
          <w:rPr>
            <w:webHidden/>
          </w:rPr>
          <w:instrText xml:space="preserve"> PAGEREF _Toc417813899 \h </w:instrText>
        </w:r>
        <w:r w:rsidRPr="00DF0680">
          <w:rPr>
            <w:webHidden/>
          </w:rPr>
        </w:r>
        <w:r w:rsidRPr="00DF0680">
          <w:rPr>
            <w:webHidden/>
          </w:rPr>
          <w:fldChar w:fldCharType="separate"/>
        </w:r>
        <w:r w:rsidR="009801AF" w:rsidRPr="00DF0680">
          <w:rPr>
            <w:webHidden/>
          </w:rPr>
          <w:t>111</w:t>
        </w:r>
        <w:r w:rsidRPr="00DF0680">
          <w:rPr>
            <w:webHidden/>
          </w:rPr>
          <w:fldChar w:fldCharType="end"/>
        </w:r>
      </w:hyperlink>
    </w:p>
    <w:p w:rsidR="00957568" w:rsidRPr="00DF0680" w:rsidRDefault="00F20EC0">
      <w:pPr>
        <w:pStyle w:val="TableofFigures"/>
        <w:tabs>
          <w:tab w:val="right" w:leader="dot" w:pos="8494"/>
        </w:tabs>
        <w:rPr>
          <w:rFonts w:asciiTheme="minorHAnsi" w:eastAsiaTheme="minorEastAsia" w:hAnsiTheme="minorHAnsi" w:cstheme="minorBidi"/>
          <w:color w:val="auto"/>
          <w:sz w:val="22"/>
        </w:rPr>
      </w:pPr>
      <w:hyperlink w:anchor="_Toc417813900" w:history="1">
        <w:r w:rsidR="00957568" w:rsidRPr="00DF0680">
          <w:rPr>
            <w:rStyle w:val="Hyperlink"/>
          </w:rPr>
          <w:t>Figure 3.11 – Phosphorylation of the eukaryotic initiation factor 2α (eIF2α).</w:t>
        </w:r>
        <w:r w:rsidR="00957568" w:rsidRPr="00DF0680">
          <w:rPr>
            <w:webHidden/>
          </w:rPr>
          <w:tab/>
        </w:r>
        <w:r w:rsidRPr="00DF0680">
          <w:rPr>
            <w:webHidden/>
          </w:rPr>
          <w:fldChar w:fldCharType="begin"/>
        </w:r>
        <w:r w:rsidR="00957568" w:rsidRPr="00DF0680">
          <w:rPr>
            <w:webHidden/>
          </w:rPr>
          <w:instrText xml:space="preserve"> PAGEREF _Toc417813900 \h </w:instrText>
        </w:r>
        <w:r w:rsidRPr="00DF0680">
          <w:rPr>
            <w:webHidden/>
          </w:rPr>
        </w:r>
        <w:r w:rsidRPr="00DF0680">
          <w:rPr>
            <w:webHidden/>
          </w:rPr>
          <w:fldChar w:fldCharType="separate"/>
        </w:r>
        <w:r w:rsidR="009801AF" w:rsidRPr="00DF0680">
          <w:rPr>
            <w:webHidden/>
          </w:rPr>
          <w:t>113</w:t>
        </w:r>
        <w:r w:rsidRPr="00DF0680">
          <w:rPr>
            <w:webHidden/>
          </w:rPr>
          <w:fldChar w:fldCharType="end"/>
        </w:r>
      </w:hyperlink>
    </w:p>
    <w:p w:rsidR="00A41A3E" w:rsidRPr="00DF0680" w:rsidRDefault="00F20EC0">
      <w:pPr>
        <w:spacing w:line="276" w:lineRule="auto"/>
        <w:jc w:val="left"/>
        <w:rPr>
          <w:rFonts w:cs="Times New Roman"/>
        </w:rPr>
      </w:pPr>
      <w:r w:rsidRPr="00DF0680">
        <w:rPr>
          <w:rFonts w:cs="Times New Roman"/>
        </w:rPr>
        <w:fldChar w:fldCharType="end"/>
      </w:r>
      <w:r w:rsidR="00A41A3E" w:rsidRPr="00DF0680">
        <w:rPr>
          <w:rFonts w:cs="Times New Roman"/>
        </w:rPr>
        <w:br w:type="page"/>
      </w:r>
    </w:p>
    <w:p w:rsidR="00E43E7C" w:rsidRPr="00DF0680" w:rsidRDefault="00E43E7C" w:rsidP="00E664FC">
      <w:pPr>
        <w:pStyle w:val="Heading2"/>
      </w:pPr>
      <w:bookmarkStart w:id="544" w:name="_Toc410205814"/>
      <w:bookmarkStart w:id="545" w:name="_Toc417204185"/>
      <w:bookmarkStart w:id="546" w:name="_Toc417204718"/>
      <w:bookmarkStart w:id="547" w:name="_Toc417204778"/>
      <w:bookmarkStart w:id="548" w:name="_Toc417813933"/>
      <w:r w:rsidRPr="00DF0680">
        <w:lastRenderedPageBreak/>
        <w:t>Introduction</w:t>
      </w:r>
      <w:bookmarkEnd w:id="544"/>
      <w:bookmarkEnd w:id="545"/>
      <w:bookmarkEnd w:id="546"/>
      <w:bookmarkEnd w:id="547"/>
      <w:bookmarkEnd w:id="548"/>
    </w:p>
    <w:p w:rsidR="00E43E7C" w:rsidRPr="00DF0680" w:rsidRDefault="00E43E7C" w:rsidP="00E43E7C">
      <w:pPr>
        <w:rPr>
          <w:rFonts w:cs="Times New Roman"/>
        </w:rPr>
      </w:pPr>
      <w:r w:rsidRPr="00DF0680">
        <w:rPr>
          <w:rFonts w:cs="Times New Roman"/>
        </w:rPr>
        <w:t xml:space="preserve">Mutations causing defects, or deletions, of the RECQ helicases are associated with human diseases which show increased susceptibility to cancers </w:t>
      </w:r>
      <w:r w:rsidR="00F20EC0" w:rsidRPr="00DF0680">
        <w:rPr>
          <w:rFonts w:cs="Times New Roman"/>
        </w:rPr>
        <w:fldChar w:fldCharType="begin" w:fldLock="1"/>
      </w:r>
      <w:r w:rsidR="00332613" w:rsidRPr="00DF0680">
        <w:rPr>
          <w:rFonts w:cs="Times New Roman"/>
        </w:rPr>
        <w:instrText>ADDIN CSL_CITATION { "citationItems" : [ { "id" : "ITEM-1", "itemData" : { "DOI" : "10.1038/82548", "ISSN" : "1061-4036", "PMID" : "11101838", "abstract" : "Bloom syndrome is a disorder associated with genomic instability that causes affected people to be prone to cancer. Bloom cell lines show increased sister chromatid exchange, yet are proficient in the repair of various DNA lesions. The underlying cause of this disease are mutations in a gene encoding a RECQ DNA helicase. Using embryonic stem cell technology, we have generated viable Bloom mice that are prone to a wide variety of cancers. Cell lines from these mice show elevations in the rates of mitotic recombination. We demonstrate that the increased rate of loss of heterozygosity (LOH) resulting from mitotic recombination in vivo constitutes the underlying mechanism causing tumour susceptibility in these mice.", "author" : [ { "dropping-particle" : "", "family" : "Luo", "given" : "G", "non-dropping-particle" : "", "parse-names" : false, "suffix" : "" }, { "dropping-particle" : "", "family" : "Santoro", "given" : "I M", "non-dropping-particle" : "", "parse-names" : false, "suffix" : "" }, { "dropping-particle" : "", "family" : "McDaniel", "given" : "L D", "non-dropping-particle" : "", "parse-names" : false, "suffix" : "" }, { "dropping-particle" : "", "family" : "Nishijima", "given" : "I", "non-dropping-particle" : "", "parse-names" : false, "suffix" : "" }, { "dropping-particle" : "", "family" : "Mills", "given" : "M", "non-dropping-particle" : "", "parse-names" : false, "suffix" : "" }, { "dropping-particle" : "", "family" : "Youssoufian", "given" : "H", "non-dropping-particle" : "", "parse-names" : false, "suffix" : "" }, { "dropping-particle" : "", "family" : "Vogel", "given" : "H", "non-dropping-particle" : "", "parse-names" : false, "suffix" : "" }, { "dropping-particle" : "", "family" : "Schultz", "given" : "R a", "non-dropping-particle" : "", "parse-names" : false, "suffix" : "" }, { "dropping-particle" : "", "family" : "Bradley", "given" : "a", "non-dropping-particle" : "", "parse-names" : false, "suffix" : "" } ], "container-title" : "Nature Genetics", "id" : "ITEM-1", "issue" : "4", "issued" : { "date-parts" : [ [ "2000", "12" ] ] }, "page" : "424-9", "title" : "Cancer predisposition caused by elevated mitotic recombination in Bloom mice.", "type" : "article-journal", "volume" : "26" }, "uris" : [ "http://www.mendeley.com/documents/?uuid=e91ac976-f676-401f-a30e-5ab811e55b07" ] }, { "id" : "ITEM-2", "itemData" : { "author" : [ { "dropping-particle" : "", "family" : "Goto", "given" : "M", "non-dropping-particle" : "", "parse-names" : false, "suffix" : "" }, { "dropping-particle" : "", "family" : "Miller", "given" : "RW", "non-dropping-particle" : "", "parse-names" : false, "suffix" : "" }, { "dropping-particle" : "", "family" : "Ishikawa", "given" : "Y", "non-dropping-particle" : "", "parse-names" : false, "suffix" : "" }, { "dropping-particle" : "", "family" : "Sugano", "given" : "H", "non-dropping-particle" : "", "parse-names" : false, "suffix" : "" } ], "container-title" : "Cancer Epidemiology, Biomarkers &amp; Prevention", "id" : "ITEM-2", "issue" : "4", "issued" : { "date-parts" : [ [ "1996" ] ] }, "page" : "239-246", "title" : "Excess of rare cancers in Werner syndrome (adult progeria).", "type" : "article-journal", "volume" : "5" }, "uris" : [ "http://www.mendeley.com/documents/?uuid=4f0e7803-0969-4adf-b45b-cc1b729701d8" ] }, { "id" : "ITEM-3", "itemData" : { "DOI" : "10.1101/gad.1609107", "ISSN" : "0890-9369", "PMID" : "18003859", "abstract" : "Members of the RecQ helicase family play critical roles in genome maintenance. There are five RecQ homologs in mammals, and defects in three of these (BLM, WRN, and RECQL4) give rise to cancer predisposition syndromes in humans. RECQL and RECQL5 have not been associated with a human disease. Here we show that deletion of Recql5 in mice results in cancer susceptibility. Recql5-deficient cells exhibit elevated frequencies of spontaneous DNA double-strand breaks and homologous recombination (HR) as scored using a reporter that harbors a direct repeat, and are prone to gross chromosomal rearrangements in response to replication stress. To understand how RECQL5 regulates HR, we use purified proteins to demonstrate that human RECQL5 binds the Rad51 recombinase and inhibits Rad51-mediated D-loop formation. By biochemical means and electron microscopy, we show that RECQL5 displaces Rad51 from single-stranded DNA (ssDNA) in a reaction that requires ATP hydrolysis and RPA. Together, our results identify RECQL5 as an important tumor suppressor that may act by preventing inappropriate HR events via Rad51 presynaptic filament disruption.", "author" : [ { "dropping-particle" : "", "family" : "Hu", "given" : "Yiduo", "non-dropping-particle" : "", "parse-names" : false, "suffix" : "" }, { "dropping-particle" : "", "family" : "Raynard", "given" : "Steven", "non-dropping-particle" : "", "parse-names" : false, "suffix" : "" }, { "dropping-particle" : "", "family" : "Sehorn", "given" : "Michael G", "non-dropping-particle" : "", "parse-names" : false, "suffix" : "" }, { "dropping-particle" : "", "family" : "Lu", "given" : "Xincheng", "non-dropping-particle" : "", "parse-names" : false, "suffix" : "" }, { "dropping-particle" : "", "family" : "Bussen", "given" : "Wendy", "non-dropping-particle" : "", "parse-names" : false, "suffix" : "" }, { "dropping-particle" : "", "family" : "Zheng", "given" : "Lu", "non-dropping-particle" : "", "parse-names" : false, "suffix" : "" }, { "dropping-particle" : "", "family" : "Stark", "given" : "Jeremy M", "non-dropping-particle" : "", "parse-names" : false, "suffix" : "" }, { "dropping-particle" : "", "family" : "Barnes", "given" : "Ellen L", "non-dropping-particle" : "", "parse-names" : false, "suffix" : "" }, { "dropping-particle" : "", "family" : "Chi", "given" : "Peter", "non-dropping-particle" : "", "parse-names" : false, "suffix" : "" }, { "dropping-particle" : "", "family" : "Janscak", "given" : "Pavel", "non-dropping-particle" : "", "parse-names" : false, "suffix" : "" }, { "dropping-particle" : "", "family" : "Jasin", "given" : "Maria", "non-dropping-particle" : "", "parse-names" : false, "suffix" : "" }, { "dropping-particle" : "", "family" : "Vogel", "given" : "Hannes", "non-dropping-particle" : "", "parse-names" : false, "suffix" : "" }, { "dropping-particle" : "", "family" : "Sung", "given" : "Patrick", "non-dropping-particle" : "", "parse-names" : false, "suffix" : "" }, { "dropping-particle" : "", "family" : "Luo", "given" : "Guangbin", "non-dropping-particle" : "", "parse-names" : false, "suffix" : "" } ], "container-title" : "Genes &amp; Development", "id" : "ITEM-3", "issue" : "23", "issued" : { "date-parts" : [ [ "2007", "12", "1" ] ] }, "page" : "3073-84", "title" : "RECQL5/Recql5 helicase regulates homologous recombination and suppresses tumor formation via disruption of Rad51 presynaptic filaments.", "type" : "article-journal", "volume" : "21" }, "uris" : [ "http://www.mendeley.com/documents/?uuid=569f0011-a132-4c3c-8afd-04e50c78a14c" ] } ], "mendeley" : { "formattedCitation" : "(Luo et al. 2000; Goto et al. 1996; Hu et al. 2007)", "plainTextFormattedCitation" : "(Luo et al. 2000; Goto et al. 1996; Hu et al. 2007)", "previouslyFormattedCitation" : "(Luo et al. 2000; Goto et al. 1996; Hu et al. 2007)"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(Luo et al. 2000; Goto et al. 1996; Hu et al. 2007)</w:t>
      </w:r>
      <w:r w:rsidR="00F20EC0" w:rsidRPr="00DF0680">
        <w:rPr>
          <w:rFonts w:cs="Times New Roman"/>
        </w:rPr>
        <w:fldChar w:fldCharType="end"/>
      </w:r>
      <w:r w:rsidRPr="00DF0680">
        <w:rPr>
          <w:rFonts w:cs="Times New Roman"/>
        </w:rPr>
        <w:t xml:space="preserve">. Along with disease-causing mutations, a number of polymorphisms have been identified for the RECQ helicases that can determine survivability and susceptibility to cancers </w:t>
      </w:r>
      <w:r w:rsidR="00F20EC0" w:rsidRPr="00DF0680">
        <w:rPr>
          <w:rFonts w:cs="Times New Roman"/>
        </w:rPr>
        <w:fldChar w:fldCharType="begin" w:fldLock="1"/>
      </w:r>
      <w:r w:rsidR="00332613" w:rsidRPr="00DF0680">
        <w:rPr>
          <w:rFonts w:cs="Times New Roman"/>
        </w:rPr>
        <w:instrText>ADDIN CSL_CITATION { "citationItems" : [ { "id" : "ITEM-1", "itemData" : { "DOI" : "10.1007/s12253-013-9602-8", "ISSN" : "1532-2807", "PMID" : "23404160", "abstract" : "DNA repair by homologous recombination is one of the main processes of DNA double strand breaks repair. In the present work we performed a case-control study (304 cases and 319 controls) to check an association between the genotypes of the c.-61 G&gt;T and the g.38922 C&gt;G polymorphisms of the RAD51 gene and the g.96267 A&gt;C and the g.85394 A&gt;G polymorphisms of the BLM gene and breast cancer occurrence. Genotypes were determined in DNA from peripheral blood by PCR-RLFP and by PCR-CTPP. We observed an association between breast cancer occurrence and the T/G genotype (OR 4.41) of the c.-61 G&gt;T-RAD51 polymorphism, the A/A genotype (OR 1.69) of the g.85394 A&gt;G-BLM polymorphism and the A/A genotype (OR 2.49) of the g.96267 A&gt;C-BLM polymorphism. Moreover, we demonstrated a correlation between intra- and intergenes genotypes combinations and breast cancer occurrence. We found a correlation between progesterone receptor expression and the T/G genotype (OR 0.57) of the c.-61 G&gt;T- RAD51 polymorphism. We also found a correlation between the T/G genotype (OR 1.86) and the T/T genotype (OR 0.56) of the c.-61 G&gt;T- RAD51 polymorphism and the lymph node metastasis. We showed an association between the A/A genotype (OR 2.45) and the A/C genotype (OR 0.41) of the g.96267 A&gt;C-BLM polymorphism and G3 grade of tumor. Our results suggest that the variability of the RAD51 and BLM genes may play a role in breast cancer occurrence. This role may be underlined by a common interaction between these genes.", "author" : [ { "dropping-particle" : "", "family" : "Sassi", "given" : "Agnieszka", "non-dropping-particle" : "", "parse-names" : false, "suffix" : "" }, { "dropping-particle" : "", "family" : "Popielarski", "given" : "Marcin", "non-dropping-particle" : "", "parse-names" : false, "suffix" : "" }, { "dropping-particle" : "", "family" : "Synowiec", "given" : "Ewelina", "non-dropping-particle" : "", "parse-names" : false, "suffix" : "" }, { "dropping-particle" : "", "family" : "Morawiec", "given" : "Zbigniew", "non-dropping-particle" : "", "parse-names" : false, "suffix" : "" }, { "dropping-particle" : "", "family" : "Wozniak", "given" : "Katarzyna", "non-dropping-particle" : "", "parse-names" : false, "suffix" : "" } ], "container-title" : "Pathology Oncology Research", "id" : "ITEM-1", "issue" : "3", "issued" : { "date-parts" : [ [ "2013", "7" ] ] }, "page" : "451-9", "title" : "BLM and RAD51 genes polymorphism and susceptibility to breast cancer.", "type" : "article-journal", "volume" : "19" }, "uris" : [ "http://www.mendeley.com/documents/?uuid=8a0dbd26-d40d-45c5-98cd-c24803dd88a3" ] }, { "id" : "ITEM-2", "itemData" : { "DOI" : "10.1007/s13277-013-1425-4", "ISSN" : "1423-0380", "PMID" : "24287950", "abstract" : "Despite the knowledge on many genetic variants present in osteosarcoma, the complexity of this disease precludes placing its biology into a simple conceptual framework. RECQL is a DNA helicase involved in DNA mismatch repair and has been reported to be associated with many human cancers. We aimed to investigate the association of RECQL genetic polymorphism with osteosarcoma in a Chinese population. We selected three polymorphisms of the RECQL5 gene (rs820196, rs820200, and rs4789223) in the present study. TaqMan method was utilized for genotyping these three SNPs in 212 patients with osteosarcoma and 240 age- and sex-matched noncancer controls. In our study, we found that CC genotype in rs820196 (17.5 vs 8.3 %, P = 0.005) and AA genotype in rs4789223 (21.7 vs 14.2, P &lt; 0.001) were more frequent in osteosarcoma group compared to the control group, respectively. We also found that the C allele of rs820196 (OR = 1.492, 95 % CI 1.138\u223c1.951; P = 0.004) and A allele of rs4789223 (OR = 1.767, 95 % CI: 1.354 \u223c 2.301; P &lt; 0.001) were common in the osteosarcoma patients than those in the control subjects, respectively. Haplotype analysis showed that TTA (OR = 3.469, 95 % CI 1.798\u223c6.695; P &lt; 0.001) was associated with increased risk for osteosarcoma. However, the TTG (OR = 0.578, 95 % CI 0.442\u223c0.756) was associated with decreased risk for osteosarcoma. Our results suggested that RECQL5 genetic polymorphisms were associated with osteosarcoma in a Chinese population.", "author" : [ { "dropping-particle" : "", "family" : "Zhi", "given" : "Li-Qiang", "non-dropping-particle" : "", "parse-names" : false, "suffix" : "" }, { "dropping-particle" : "", "family" : "Ma", "given" : "Wei", "non-dropping-particle" : "", "parse-names" : false, "suffix" : "" }, { "dropping-particle" : "", "family" : "Zhang", "given" : "Hong", "non-dropping-particle" : "", "parse-names" : false, "suffix" : "" }, { "dropping-particle" : "", "family" : "Zeng", "given" : "Si-Xiang", "non-dropping-particle" : "", "parse-names" : false, "suffix" : "" }, { "dropping-particle" : "", "family" : "Chen", "given" : "Bo", "non-dropping-particle" : "", "parse-names" : false, "suffix" : "" } ], "container-title" : "Tumour Biology", "id" : "ITEM-2", "issue" : "4", "issued" : { "date-parts" : [ [ "2014", "11", "28" ] ] }, "page" : "3255-9", "title" : "Association of RECQL5 gene polymorphisms and osteosarcoma in a Chinese Han population.", "type" : "article-journal", "volume" : "35" }, "uris" : [ "http://www.mendeley.com/documents/?uuid=15677740-4f29-43b0-97e7-24de9216c3ee" ] }, { "id" : "ITEM-3", "itemData" : { "DOI" : "10.1111/j.1477-2574.2009.00089.x", "ISSN" : "1365-182X", "PMID" : "19768149", "abstract" : "BACKGROUND: RECQL is a DNA helicase involved in DNA mismatch repair. The RECQL polymorphism, 3' untranslated region (UTR) A159C, was previously associated with overall survival of patients with resectable pancreatic adenocarcinoma treated with neoadjuvant chemoradiation. In the present study, we examined RECQL for somatic mutations and other polymorphisms and compared these findings with the outcome in patients who received adjuvant or neoadjuvant chemoradiation. We hypothesized that RECQL (i) would be mutated in cancer, (ii) would have polymorphisms linked to the 3'UTR A159C and that either or both events would affect function. We also hypothesized that (iii) these changes would be associated with survival in both cohorts of patients. MATERIAL AND METHODS: We sequenced RECQL's 15 exons and surrounding sequences in paired blood and tumour DNA of 39 patients. The 3'UTR A159C genotype was determined in blood DNA samples from 176 patients with resectable pancreatic adenocarcinoma treated with adjuvant (53) or neoadjuvant (123) chemoradiation. Survival was calculated using the Kaplan-Meier method, with log rank comparisons between groups. The relative impact of genotype on time to overall survival was performed using the Cox proportional hazards model. RESULTS: Somatic mutations were found in UTRs and intronic regions but not in exonic coding regions of the RECQL gene. Two single nucleotide polymorphisms (SNPs), located in introns 2 and 11, were found to be part of the same haplotype block as the RECQL A159C SNP and showed a similar association with overall survival. No short-term difference in survival between treatment strategies was found. We identified a subgroup of patients responsive to neoadjuvant therapy in which the 159 A allele conferred strikingly improved long-term survival. DISCUSSION: The RECQL 3'UTR A159C SNP is not linked with other functional SNPs within RECQL but may function as a site for regulatory molecules. The mechanism of action needs to be clarified further.", "author" : [ { "dropping-particle" : "", "family" : "Cotton", "given" : "Ronald T", "non-dropping-particle" : "", "parse-names" : false, "suffix" : "" }, { "dropping-particle" : "", "family" : "Li", "given" : "Donghui", "non-dropping-particle" : "", "parse-names" : false, "suffix" : "" }, { "dropping-particle" : "", "family" : "Scherer", "given" : "Steven E", "non-dropping-particle" : "", "parse-names" : false, "suffix" : "" }, { "dropping-particle" : "", "family" : "Muzny", "given" : "Donna M", "non-dropping-particle" : "", "parse-names" : false, "suffix" : "" }, { "dropping-particle" : "", "family" : "Hodges", "given" : "Sally E", "non-dropping-particle" : "", "parse-names" : false, "suffix" : "" }, { "dropping-particle" : "", "family" : "Catania", "given" : "Robbi L", "non-dropping-particle" : "", "parse-names" : false, "suffix" : "" }, { "dropping-particle" : "", "family" : "Witkiewicz", "given" : "Agnieszka K", "non-dropping-particle" : "", "parse-names" : false, "suffix" : "" }, { "dropping-particle" : "", "family" : "Brody", "given" : "Jonathan R", "non-dropping-particle" : "", "parse-names" : false, "suffix" : "" }, { "dropping-particle" : "", "family" : "Kennedy", "given" : "Eugene P", "non-dropping-particle" : "", "parse-names" : false, "suffix" : "" }, { "dropping-particle" : "", "family" : "Yeo", "given" : "Charles J", "non-dropping-particle" : "", "parse-names" : false, "suffix" : "" }, { "dropping-particle" : "", "family" : "Brunicardi", "given" : "F Charles", "non-dropping-particle" : "", "parse-names" : false, "suffix" : "" }, { "dropping-particle" : "", "family" : "Gibbs", "given" : "Richard a", "non-dropping-particle" : "", "parse-names" : false, "suffix" : "" }, { "dropping-particle" : "", "family" : "Gingras", "given" : "Marie-Claude", "non-dropping-particle" : "", "parse-names" : false, "suffix" : "" }, { "dropping-particle" : "", "family" : "Fisher", "given" : "William E", "non-dropping-particle" : "", "parse-names" : false, "suffix" : "" } ], "container-title" : "Hepato-Pancreato-Biliary Journal", "id" : "ITEM-3", "issue" : "5", "issued" : { "date-parts" : [ [ "2009", "8" ] ] }, "page" : "435-44", "title" : "Single nucleotide polymorphism in RECQL and survival in resectable pancreatic adenocarcinoma.", "type" : "article-journal", "volume" : "11" }, "uris" : [ "http://www.mendeley.com/documents/?uuid=5311e5f8-f6e9-4e7e-a543-68b6fb56cdcc" ] }, { "id" : "ITEM-4", "itemData" : { "DOI" : "10.1200/JCO.2005.04.4206", "ISSN" : "1527-7755", "PMID" : "16520463", "abstract" : "PURPOSE: Our goal was to determine whether single nucleotide polymorphisms (SNPs) in DNA repair genes influence the clinical outcome of pancreatic cancer. PATIENTS AND METHODS: We evaluated 13 SNPs of eight DNA damage response and repair genes in 92 patients with potentially resectable pancreatic adenocarcinoma. All patients were treated with neoadjuvant concurrent gemcitabine and radiotherapy with or without a component of induction gemcitabine/cisplatin at The University of Texas M.D. Anderson Cancer Center (Houston, TX) from February 1999 to August 2004 and observed through August 2005. Response to the pretreatment was assessed by evaluating time to tumor progression and overall survival. Kaplan-Meier plot, log-rank test, and Cox regression were used to compare survival of patients according to genotype. RESULTS: The RecQ1 A159C, RAD54L C157T, XRCC1 R194W, and ATM T77C genotypes had a significant effect on the overall survival with log-rank P values of .001, .004, .001, and .02, respectively. A strong combined effect of the four genotypes was observed. Patients with none of the adverse genotypes had a mean survival time of 62.1 months, and those with one, two, or three or more at-risk alleles had median survival times of 27.5, 14.4, and 9.9 months, respectively (log-rank P &lt; .001). There is a significant interaction between the RecQ1 gene and other genotypes. All four genes except XRCC1 remained as independent predictors of survival in multivariate Cox regression models adjusted for other clinical predictors. CONCLUSION: These observations support the hypothesis that polymorphic variants of DNA repair genes affect clinical prognosis of patients with pancreatic cancer.", "author" : [ { "dropping-particle" : "", "family" : "Li", "given" : "Donghui", "non-dropping-particle" : "", "parse-names" : false, "suffix" : "" }, { "dropping-particle" : "", "family" : "Frazier", "given" : "Marsha", "non-dropping-particle" : "", "parse-names" : false, "suffix" : "" }, { "dropping-particle" : "", "family" : "Evans", "given" : "Douglas B", "non-dropping-particle" : "", "parse-names" : false, "suffix" : "" }, { "dropping-particle" : "", "family" : "Hess", "given" : "Kenneth R", "non-dropping-particle" : "", "parse-names" : false, "suffix" : "" }, { "dropping-particle" : "", "family" : "Crane", "given" : "Christopher H", "non-dropping-particle" : "", "parse-names" : false, "suffix" : "" }, { "dropping-particle" : "", "family" : "Jiao", "given" : "Li", "non-dropping-particle" : "", "parse-names" : false, "suffix" : "" }, { "dropping-particle" : "", "family" : "Abbruzzese", "given" : "James L", "non-dropping-particle" : "", "parse-names" : false, "suffix" : "" } ], "container-title" : "Journal of Clinical Oncology", "id" : "ITEM-4", "issue" : "11", "issued" : { "date-parts" : [ [ "2006", "4", "10" ] ] }, "page" : "1720-8", "title" : "Single nucleotide polymorphisms of RecQ1, RAD54L, and ATM genes are associated with reduced survival of pancreatic cancer.", "type" : "article-journal", "volume" : "24" }, "uris" : [ "http://www.mendeley.com/documents/?uuid=f04ddc7e-5dbf-4caa-a876-221114f40490" ] } ], "mendeley" : { "formattedCitation" : "(Sassi et al. 2013; Zhi et al. 2014; Cotton et al. 2009; Li et al. 2006)", "plainTextFormattedCitation" : "(Sassi et al. 2013; Zhi et al. 2014; Cotton et al. 2009; Li et al. 2006)", "previouslyFormattedCitation" : "(Sassi et al. 2013; Zhi et al. 2014; Cotton et al. 2009; Li et al. 2006)" }, "properties" : { "noteIndex" : 0 }, "schema" : "https://github.com/citation-style-language/schema/raw/master/csl-citation.json" }</w:instrText>
      </w:r>
      <w:r w:rsidR="00F20EC0" w:rsidRPr="00DF0680">
        <w:rPr>
          <w:rFonts w:cs="Times New Roman"/>
        </w:rPr>
        <w:fldChar w:fldCharType="separate"/>
      </w:r>
      <w:r w:rsidR="00DA6E78" w:rsidRPr="00DF0680">
        <w:rPr>
          <w:rFonts w:cs="Times New Roman"/>
        </w:rPr>
        <w:t>(Sassi et al. 2013; Zhi et al. 2014; Cotton et al. 2009; Li et al. 2006)</w:t>
      </w:r>
      <w:r w:rsidR="00F20EC0" w:rsidRPr="00DF0680">
        <w:rPr>
          <w:rFonts w:cs="Times New Roman"/>
        </w:rPr>
        <w:fldChar w:fldCharType="end"/>
      </w:r>
      <w:r w:rsidRPr="00DF0680">
        <w:rPr>
          <w:rFonts w:cs="Times New Roman"/>
        </w:rPr>
        <w:t>.</w:t>
      </w:r>
    </w:p>
    <w:p w:rsidR="00E43E7C" w:rsidRPr="00DF0680" w:rsidRDefault="00E43E7C" w:rsidP="00E43E7C">
      <w:pPr>
        <w:rPr>
          <w:rFonts w:cs="Times New Roman"/>
        </w:rPr>
      </w:pPr>
      <w:r w:rsidRPr="00DF0680">
        <w:rPr>
          <w:rFonts w:cs="Times New Roman"/>
        </w:rPr>
        <w:t xml:space="preserve">There are also several examples suggesting higher RECQ helicase expression in sporadic cancer. RECQL1 is over-expressed in glioblastoma and when depleted, it reduces the ability of cells to form colonies </w:t>
      </w:r>
      <w:r w:rsidR="00F20EC0" w:rsidRPr="00DF0680">
        <w:rPr>
          <w:rFonts w:cs="Times New Roman"/>
        </w:rPr>
        <w:fldChar w:fldCharType="begin" w:fldLock="1"/>
      </w:r>
      <w:r w:rsidR="00332613" w:rsidRPr="00DF0680">
        <w:rPr>
          <w:rFonts w:cs="Times New Roman"/>
        </w:rPr>
        <w:instrText>ADDIN CSL_CITATION { "citationItems" : [ { "id" : "ITEM-1", "itemData" : { "DOI" : "10.1186/1476-4598-10-83", "ISSN" : "1476-4598", "PMID" : "21752281", "abstract" : "BACKGROUND: RecQ helicases play an essential role in the maintenance of genome stability. In humans, loss of RecQ helicase function is linked with predisposition to cancer and/or premature ageing. Current data show that the specific depletion of the human RECQ1 helicase leads to mitotic catastrophe in cancer cells and inhibition of tumor growth in mice.\n\nRESULTS: Here, we show that RECQ1 is highly expressed in various types of solid tumors. However, only in the case of brain gliomas, the high expression of RECQ1 in glioblastoma tissues is paralleled by a lower expression in the control samples due to the poor expression of RECQ1 in non-dividing tissues. This conclusion is validated by immunohistochemical analysis of a tissue microarray containing 63 primary glioblastomas and 19 perilesional tissue samples, as control. We also show that acute depletion of RECQ1 by RNAi results in a significant reduction of cellular proliferation, perturbation of S-phase progression, and spontaneous \u03b3-H2AX foci formation in T98G and U-87 glioblastoma cells. Moreover, RECQ1 depleted T98G and U-87 cells are hypersensitive to HU or temozolomide treatment.\n\nCONCLUSIONS: Collectively, these results indicate that RECQ1 has a unique and important role in the maintenance of genome integrity. Our results also suggest that RECQ1 might represent a new suitable target for anti cancer therapies aimed to arrest cell proliferation in brain gliomas.", "author" : [ { "dropping-particle" : "", "family" : "Mendoza-Maldonado", "given" : "Ramiro", "non-dropping-particle" : "", "parse-names" : false, "suffix" : "" }, { "dropping-particle" : "", "family" : "Faoro", "given" : "Valentina", "non-dropping-particle" : "", "parse-names" : false, "suffix" : "" }, { "dropping-particle" : "", "family" : "Bajpai", "given" : "Sailesh", "non-dropping-particle" : "", "parse-names" : false, "suffix" : "" }, { "dropping-particle" : "", "family" : "Berti", "given" : "Matteo", "non-dropping-particle" : "", "parse-names" : false, "suffix" : "" }, { "dropping-particle" : "", "family" : "Odreman", "given" : "Federico", "non-dropping-particle" : "", "parse-names" : false, "suffix" : "" }, { "dropping-particle" : "", "family" : "Vindigni", "given" : "Marco", "non-dropping-particle" : "", "parse-names" : false, "suffix" : "" }, { "dropping-particle" : "", "family" : "Ius", "given" : "Tamara", "non-dropping-particle" : "", "parse-names" : false, "suffix" : "" }, { "dropping-particle" : "", "family" : "Ghasemian", "given" : "Abdollah", "non-dropping-particle" : "", "parse-names" : false, "suffix" : "" }, { "dropping-particle" : "", "family" : "Bonin", "given" : "Serena", "non-dropping-particle" : "", "parse-names" : false, "suffix" : "" }, { "dropping-particle" : "", "family" : "Skrap", "given" : "Miran", "non-dropping-particle" : "", "parse-names" : false, "suffix" : "" }, { "dropping-particle" : "", "family" : "Stanta", "given" : "Giorgio", "non-dropping-particle" : "", "parse-names" : false, "suffix" : "" }, { "dropping-particle" : "", "family" : "Vindigni", "given" : "Alessandro", "non-dropping-particle" : "", "parse-names" : false, "suffix" : "" } ], "container-title" : "Molecular Cancer", "id" : "ITEM-1", "issue" : "1", "issued" : { "date-parts" : [ [ "2011", "1" ] ] }, "page" : "83", "publisher" : "BioMed Central Ltd", "title" : "The human RECQ1 helicase is highly expressed in glioblastoma and plays an important role in tumor cell proliferation.", "type" : "article-journal", "volume" : "10" }, "uris" : [ "http://www.mendeley.com/documents/?uuid=e60b525c-c930-47ea-b109-6ac7e01779bd" ] } ], "mendeley" : { "formattedCitation" : "(Mendoza-Maldonado et al. 2011)", "plainTextFormattedCitation" : "(Mendoza-Maldonado et al. 2011)", "previouslyFormattedCitation" : "(Mendoza-Maldonado et al. 2011)"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(Mendoza-Maldonado et al. 2011)</w:t>
      </w:r>
      <w:r w:rsidR="00F20EC0" w:rsidRPr="00DF0680">
        <w:rPr>
          <w:rFonts w:cs="Times New Roman"/>
        </w:rPr>
        <w:fldChar w:fldCharType="end"/>
      </w:r>
      <w:r w:rsidRPr="00DF0680">
        <w:rPr>
          <w:rFonts w:cs="Times New Roman"/>
        </w:rPr>
        <w:t xml:space="preserve">. RECQL4 is over-expressed in prostate cancer and depleting it can reduce proliferation and survival of prostate cancer cells </w:t>
      </w:r>
      <w:r w:rsidR="00F20EC0" w:rsidRPr="00DF0680">
        <w:rPr>
          <w:rFonts w:cs="Times New Roman"/>
        </w:rPr>
        <w:fldChar w:fldCharType="begin" w:fldLock="1"/>
      </w:r>
      <w:r w:rsidR="00332613" w:rsidRPr="00DF0680">
        <w:rPr>
          <w:rFonts w:cs="Times New Roman"/>
        </w:rPr>
        <w:instrText>ADDIN CSL_CITATION { "citationItems" : [ { "id" : "ITEM-1", "itemData" : { "DOI" : "10.1158/0008-5472.CAN-10-1743", "ISSN" : "1538-7445", "PMID" : "21045146", "abstract" : "Prostate cancer is the second leading cause of cancer-associated deaths among men in the western countries. Here, we report that human RecQL4 helicase, which is implicated in the pathogenesis of a subset of cancer-prone Rothmund-Thomson syndrome, is highly elevated in metastatic prostate cancer cell lines. Increased RecQL4 expression was also detected in human prostate tumor tissues as a function of tumor grade with the highest expression level in metastatic tumor samples, suggesting that RecQL4 may be a potential prognostic factor for advanced stage of prostate cancer. Transient and stable suppression of RecQL4 by small interfering RNA and short hairpin RNA vectors drastically reduced the growth and survival of metastatic prostate cancer cells, indicating that RecQL4 is a prosurvival factor for prostate cancer cells. RecQL4 suppression led to increased poly(ADP-ribose) polymerase (PARP) synthesis and RecQL4-suppressed prostate cancer cells underwent an extensive apoptotic death in a PARP-1-dependent manner. Most notably, RecQL4 knockdown in metastatic prostate cancer cells drastically reduced their cell invasiveness in vitro and tumorigenicity in vivo, showing that RecQL4 is essential for prostate cancer promotion. Observation of a direct interaction of retinoblastoma (Rb) and E2F1 proteins with RecQL4 promoter suggests that Rb-E2F1 pathway may regulate RecQL4 expression. Collectively, our study shows that RecQL4 is an essential factor for prostate carcinogenesis.", "author" : [ { "dropping-particle" : "", "family" : "Su", "given" : "Yanrong", "non-dropping-particle" : "", "parse-names" : false, "suffix" : "" }, { "dropping-particle" : "", "family" : "Meador", "given" : "Jarah a", "non-dropping-particle" : "", "parse-names" : false, "suffix" : "" }, { "dropping-particle" : "", "family" : "Calaf", "given" : "Gloria M", "non-dropping-particle" : "", "parse-names" : false, "suffix" : "" }, { "dropping-particle" : "", "family" : "Proietti De-Santis", "given" : "Luca", "non-dropping-particle" : "", "parse-names" : false, "suffix" : "" }, { "dropping-particle" : "", "family" : "Zhao", "given" : "Yongliang", "non-dropping-particle" : "", "parse-names" : false, "suffix" : "" }, { "dropping-particle" : "", "family" : "Bohr", "given" : "Vilhelm a", "non-dropping-particle" : "", "parse-names" : false, "suffix" : "" }, { "dropping-particle" : "", "family" : "Balajee", "given" : "Adayabalam S", "non-dropping-particle" : "", "parse-names" : false, "suffix" : "" } ], "container-title" : "Cancer Research", "id" : "ITEM-1", "issue" : "22", "issued" : { "date-parts" : [ [ "2010", "11", "15" ] ] }, "page" : "9207-17", "title" : "Human RecQL4 helicase plays critical roles in prostate carcinogenesis.", "type" : "article-journal", "volume" : "70" }, "uris" : [ "http://www.mendeley.com/documents/?uuid=b6af4e0e-07e5-4977-a203-6a327b033fff" ] } ], "mendeley" : { "formattedCitation" : "(Su et al. 2010)", "plainTextFormattedCitation" : "(Su et al. 2010)", "previouslyFormattedCitation" : "(Su et al. 2010)"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(Su et al. 2010)</w:t>
      </w:r>
      <w:r w:rsidR="00F20EC0" w:rsidRPr="00DF0680">
        <w:rPr>
          <w:rFonts w:cs="Times New Roman"/>
        </w:rPr>
        <w:fldChar w:fldCharType="end"/>
      </w:r>
      <w:r w:rsidRPr="00DF0680">
        <w:rPr>
          <w:rFonts w:cs="Times New Roman"/>
        </w:rPr>
        <w:t xml:space="preserve">. The RECQ helicases have also been shown to be up-regulated when cells are transformed by SV40 </w:t>
      </w:r>
      <w:r w:rsidR="00F20EC0" w:rsidRPr="00DF0680">
        <w:rPr>
          <w:rFonts w:cs="Times New Roman"/>
        </w:rPr>
        <w:fldChar w:fldCharType="begin" w:fldLock="1"/>
      </w:r>
      <w:r w:rsidRPr="00DF0680">
        <w:rPr>
          <w:rFonts w:cs="Times New Roman"/>
        </w:rPr>
        <w:instrText>ADDIN CSL_CITATION { "citationItems" : [ { "id" : "ITEM-1", "itemData" : { "DOI" : "10.1038/sj.onc.1203841", "ISSN" : "0950-9232", "PMID" : "11032027", "abstract" : "Three human RecQ DNA helicases, WRN, BLM and RTS, are involved in the genetic disorders associated with genomic instability and a high incidence of cancer. RecQL1 and RecQL5 also belong to the human RecQ helicase family, but their correlation with genetic disorders, if any, is unknown. We report here that in human B cells transformed by Epstein-Barr virus (EBV), human fibroblasts and umbilical endothelial cells transformed by simian virus 40, the expression of WRN, BLM, RTS and RecQL1 was sharply up-regulated. In B cells this expression was stimulated within 5-40 h by the tumor promoting agent phorbol myristic acetate (PMA). Interestingly, RecQL5beta, an alternative splicing product of RecQL5 with a nuclear localization signal, is expressed in resting B cells without significant modulation of its synthesis by EBV or PMA, suggesting it has a role in resting cells. We also roughly determined the number of copies per cell for the five RecQ helicase in B cells. In addition, levels of the different RecQ helicases are modulated in different ways during the cell cycle of actively proliferating fibroblasts and umbilical endothelial cells. Our results support the view that the levels of WRN, BLM, RTS and RecQL1 are differentially up-regulated to guarantee genomic stability in cells that are transformed or actively proliferating.", "author" : [ { "dropping-particle" : "", "family" : "Kawabe", "given" : "T", "non-dropping-particle" : "", "parse-names" : false, "suffix" : "" }, { "dropping-particle" : "", "family" : "Tsuyama", "given" : "N", "non-dropping-particle" : "", "parse-names" : false, "suffix" : "" }, { "dropping-particle" : "", "family" : "Kitao", "given" : "S", "non-dropping-particle" : "", "parse-names" : false, "suffix" : "" }, { "dropping-particle" : "", "family" : "Nishikawa", "given" : "K", "non-dropping-particle" : "", "parse-names" : false, "suffix" : "" }, { "dropping-particle" : "", "family" : "Shimamoto", "given" : "a", "non-dropping-particle" : "", "parse-names" : false, "suffix" : "" }, { "dropping-particle" : "", "family" : "Shiratori", "given" : "M", "non-dropping-particle" : "", "parse-names" : false, "suffix" : "" }, { "dropping-particle" : "", "family" : "Matsumoto", "given" : "T", "non-dropping-particle" : "", "parse-names" : false, "suffix" : "" }, { "dropping-particle" : "", "family" : "Anno", "given" : "K", "non-dropping-particle" : "", "parse-names" : false, "suffix" : "" }, { "dropping-particle" : "", "family" : "Sato", "given" : "T", "non-dropping-particle" : "", "parse-names" : false, "suffix" : "" }, { "dropping-particle" : "", "family" : "Mitsui", "given" : "Y", "non-dropping-particle" : "", "parse-names" : false, "suffix" : "" }, { "dropping-particle" : "", "family" : "Seki", "given" : "M", "non-dropping-particle" : "", "parse-names" : false, "suffix" : "" }, { "dropping-particle" : "", "family" : "Enomoto", "given" : "T", "non-dropping-particle" : "", "parse-names" : false, "suffix" : "" }, { "dropping-particle" : "", "family" : "Goto", "given" : "M", "non-dropping-particle" : "", "parse-names" : false, "suffix" : "" }, { "dropping-particle" : "", "family" : "Ellis", "given" : "N a", "non-dropping-particle" : "", "parse-names" : false, "suffix" : "" }, { "dropping-particle" : "", "family" : "Ide", "given" : "T", "non-dropping-particle" : "", "parse-names" : false, "suffix" : "" }, { "dropping-particle" : "", "family" : "Furuichi", "given" : "Y", "non-dropping-particle" : "", "parse-names" : false, "suffix" : "" }, { "dropping-particle" : "", "family" : "Sugimoto", "given" : "M", "non-dropping-particle" : "", "parse-names" : false, "suffix" : "" } ], "container-title" : "Oncogene", "id" : "ITEM-1", "issue" : "41", "issued" : { "date-parts" : [ [ "2000", "9", "28" ] ] }, "page" : "4764-72", "title" : "Differential regulation of human RecQ family helicases in cell transformation and cell cycle.", "type" : "article-journal", "volume" : "19" }, "uris" : [ "http://www.mendeley.com/documents/?uuid=b2762622-71f2-4337-be47-48b8cccabdd5" ] } ], "mendeley" : { "formattedCitation" : "(Kawabe et al. 2000)", "plainTextFormattedCitation" : "(Kawabe et al. 2000)", "previouslyFormattedCitation" : "(Kawabe et al. 2000)"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(Kawabe et al. 2000)</w:t>
      </w:r>
      <w:r w:rsidR="00F20EC0" w:rsidRPr="00DF0680">
        <w:rPr>
          <w:rFonts w:cs="Times New Roman"/>
        </w:rPr>
        <w:fldChar w:fldCharType="end"/>
      </w:r>
      <w:r w:rsidRPr="00DF0680">
        <w:rPr>
          <w:rFonts w:cs="Times New Roman"/>
        </w:rPr>
        <w:t xml:space="preserve">.  Interestingly, the expression level of RECQ helicases is differentially regulated in colorectal cancers with higher levels of BLM and RECQL4 mRNA and lower levels of RECQL1 and RECQL5 mRNA and protein compared to matched normal colon </w:t>
      </w:r>
      <w:r w:rsidR="00F20EC0" w:rsidRPr="00DF0680">
        <w:rPr>
          <w:rFonts w:cs="Times New Roman"/>
        </w:rPr>
        <w:fldChar w:fldCharType="begin" w:fldLock="1"/>
      </w:r>
      <w:r w:rsidR="00332613" w:rsidRPr="00DF0680">
        <w:rPr>
          <w:rFonts w:cs="Times New Roman"/>
        </w:rPr>
        <w:instrText>ADDIN CSL_CITATION { "citationItems" : [ { "id" : "ITEM-1", "itemData" : { "DOI" : "10.1593/tlo.13238", "author" : [ { "dropping-particle" : "", "family" : "Lao", "given" : "VV", "non-dropping-particle" : "", "parse-names" : false, "suffix" : "" } ], "container-title" : "Translational Oncology", "id" : "ITEM-1", "issue" : "4", "issued" : { "date-parts" : [ [ "2013" ] ] }, "page" : "458-469", "title" : "Altered RecQ Helicase Expression in Sporadic Primary Colorectal Cancers", "type" : "article-journal", "volume" : "6" }, "uris" : [ "http://www.mendeley.com/documents/?uuid=b44e8ddf-fde4-4929-870e-9b2e33fe92b7" ] } ], "mendeley" : { "formattedCitation" : "(Lao 2013)", "plainTextFormattedCitation" : "(Lao 2013)", "previouslyFormattedCitation" : "(Lao 2013)"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(Lao 2013)</w:t>
      </w:r>
      <w:r w:rsidR="00F20EC0" w:rsidRPr="00DF0680">
        <w:rPr>
          <w:rFonts w:cs="Times New Roman"/>
        </w:rPr>
        <w:fldChar w:fldCharType="end"/>
      </w:r>
      <w:r w:rsidRPr="00DF0680">
        <w:rPr>
          <w:rFonts w:cs="Times New Roman"/>
        </w:rPr>
        <w:t>. However, there doesn’t seem to be a common pattern as to whether an increase or decrease in the expression of each helicase is associated with cancer. When taken together, these studies reveal that the expression of RECQ helicases is often altered in cancer.</w:t>
      </w:r>
    </w:p>
    <w:p w:rsidR="00E43E7C" w:rsidRPr="00DF0680" w:rsidRDefault="00E43E7C" w:rsidP="00E43E7C">
      <w:pPr>
        <w:rPr>
          <w:rFonts w:cs="Times New Roman"/>
        </w:rPr>
      </w:pPr>
      <w:r w:rsidRPr="00DF0680">
        <w:rPr>
          <w:rFonts w:cs="Times New Roman"/>
        </w:rPr>
        <w:t xml:space="preserve">RECQL5 has been implicated in protecting the cell from replication stress. As bladder cancer is treated with drugs that induce replication stress (e.g. Gemcitabine), if RECQL5 was found to be a potential therapeutic target, inhibitors could be used alongside current treatment to increase the efficacy of chemotherapy. </w:t>
      </w:r>
    </w:p>
    <w:p w:rsidR="00E43E7C" w:rsidRPr="00DF0680" w:rsidRDefault="00E43E7C" w:rsidP="00E43E7C">
      <w:pPr>
        <w:rPr>
          <w:rFonts w:cs="Times New Roman"/>
        </w:rPr>
      </w:pPr>
      <w:r w:rsidRPr="00DF0680">
        <w:rPr>
          <w:rFonts w:cs="Times New Roman"/>
        </w:rPr>
        <w:t xml:space="preserve">We hypothesised that RECQL5 mRNA and protein levels would be altered in bladder cancer. Quantitative Real Time-PCR, Western blotting and immunohistochemistry were used to investigate RECQL5 mRNA and protein levels in bladder cancer and normal tissue, using both primary and cell line material. Protein stability, cell cycle profiling, 5-aza-2’deoxycytidine treatment and luciferase reporter assays were then used to investigate the relationship between mRNA and protein in bladder cancer and normal cell lines. </w:t>
      </w:r>
    </w:p>
    <w:p w:rsidR="00E43E7C" w:rsidRPr="00DF0680" w:rsidRDefault="00E43E7C" w:rsidP="00E664FC">
      <w:pPr>
        <w:pStyle w:val="Heading2"/>
      </w:pPr>
      <w:bookmarkStart w:id="549" w:name="_Toc410205815"/>
      <w:bookmarkStart w:id="550" w:name="_Toc417204186"/>
      <w:bookmarkStart w:id="551" w:name="_Toc417204719"/>
      <w:bookmarkStart w:id="552" w:name="_Toc417204779"/>
      <w:bookmarkStart w:id="553" w:name="_Toc417813934"/>
      <w:r w:rsidRPr="00DF0680">
        <w:lastRenderedPageBreak/>
        <w:t>RECQL5β mRNA levels are decreased in bladder cancers compared to normal bladder tissue</w:t>
      </w:r>
      <w:bookmarkEnd w:id="549"/>
      <w:bookmarkEnd w:id="550"/>
      <w:bookmarkEnd w:id="551"/>
      <w:bookmarkEnd w:id="552"/>
      <w:bookmarkEnd w:id="553"/>
    </w:p>
    <w:p w:rsidR="00E43E7C" w:rsidRPr="00DF0680" w:rsidRDefault="00E43E7C" w:rsidP="00E43E7C">
      <w:pPr>
        <w:rPr>
          <w:rFonts w:cs="Times New Roman"/>
        </w:rPr>
      </w:pPr>
      <w:r w:rsidRPr="00DF0680">
        <w:rPr>
          <w:rFonts w:cs="Times New Roman"/>
        </w:rPr>
        <w:t xml:space="preserve">To investigate the level of RECQL5 mRNA in bladder cancer, a qRT-PCR Taqman assay was used, with a probe that recognised all three isoforms of RECQL5, in primary bladder cancers and normal bladder tissue (Figure 3.1 A). Although the difference between the mRNA levels in normal and cancer samples wasn’t significant, there was a significant increase in RECQL5 mRNA in the cancers that recurred compared to those that did not (Student’s t-test, p value = </w:t>
      </w:r>
      <w:r w:rsidR="00957568" w:rsidRPr="00DF0680">
        <w:rPr>
          <w:rFonts w:cs="Times New Roman"/>
        </w:rPr>
        <w:t>0.0</w:t>
      </w:r>
      <w:r w:rsidRPr="00DF0680">
        <w:rPr>
          <w:rFonts w:cs="Times New Roman"/>
        </w:rPr>
        <w:t xml:space="preserve">13) (Figure 3.1 A). </w:t>
      </w:r>
    </w:p>
    <w:p w:rsidR="00E43E7C" w:rsidRPr="00DF0680" w:rsidRDefault="00E43E7C" w:rsidP="00E43E7C">
      <w:pPr>
        <w:rPr>
          <w:rFonts w:cs="Times New Roman"/>
        </w:rPr>
      </w:pPr>
      <w:r w:rsidRPr="00DF0680">
        <w:rPr>
          <w:rFonts w:cs="Times New Roman"/>
        </w:rPr>
        <w:t xml:space="preserve">This assay was repeated with a Taqman probe that recognised only RECQL5β (Figure 3.1 B). Using this probe, there was a significant decrease in mRNA levels in the bladder cancers compared to the normal bladder tissue (Student’s t-test, p value = </w:t>
      </w:r>
      <w:r w:rsidR="00957568" w:rsidRPr="00DF0680">
        <w:rPr>
          <w:rFonts w:cs="Times New Roman"/>
        </w:rPr>
        <w:t>0.000</w:t>
      </w:r>
      <w:r w:rsidRPr="00DF0680">
        <w:rPr>
          <w:rFonts w:cs="Times New Roman"/>
        </w:rPr>
        <w:t xml:space="preserve">1). However, the association with RECQL5 and cancer recurrence was lost when probed for RECQL5β alone. </w:t>
      </w:r>
    </w:p>
    <w:p w:rsidR="00E43E7C" w:rsidRPr="00DF0680" w:rsidRDefault="00E43E7C" w:rsidP="00E43E7C">
      <w:pPr>
        <w:rPr>
          <w:rFonts w:cs="Times New Roman"/>
        </w:rPr>
      </w:pPr>
      <w:r w:rsidRPr="00DF0680">
        <w:rPr>
          <w:rFonts w:cs="Times New Roman"/>
        </w:rPr>
        <w:t>To see how representative bladder cell lines are of the patient material, both assays were performed with cDNA isolated from the bladder cancer cell lines EJ, RT112 and RT4 and the immortalised normal bladder cell line NHU hTERT. The results from this assay overlapped well with the patient data, indicating that the tissue culture cell lines are a good model for bladder cancer in terms of RECQL5 mRNA levels.</w:t>
      </w:r>
    </w:p>
    <w:p w:rsidR="00E43E7C" w:rsidRPr="00DF0680" w:rsidRDefault="00E43E7C" w:rsidP="00E43E7C">
      <w:pPr>
        <w:rPr>
          <w:rFonts w:cs="Times New Roman"/>
        </w:rPr>
      </w:pPr>
      <w:r w:rsidRPr="00DF0680">
        <w:rPr>
          <w:rFonts w:cs="Times New Roman"/>
        </w:rPr>
        <w:t xml:space="preserve">To see if this was a pattern observed in other cancers, Taqman assays for RECQL5 and RECQL5β were run on a small tissue microarray containing normal and cancer tissue from kidney, liver, lung, ovary, prostate and thyroid (Figure 3.2 A and B respectively). Although the majority of tissues showed no difference in mRNA levels of RECQL5 between normal and cancer tissue, RECQL5β mRNA was significantly decreased in thyroid carcinoma samples compared to normal thyroid tissue (Student’s t-test, p value = </w:t>
      </w:r>
      <w:r w:rsidR="00957568" w:rsidRPr="00DF0680">
        <w:rPr>
          <w:rFonts w:cs="Times New Roman"/>
        </w:rPr>
        <w:t>0.0</w:t>
      </w:r>
      <w:r w:rsidRPr="00DF0680">
        <w:rPr>
          <w:rFonts w:cs="Times New Roman"/>
        </w:rPr>
        <w:t xml:space="preserve">476) (Figure 3.2 B). </w:t>
      </w: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keepNext/>
        <w:rPr>
          <w:rFonts w:cs="Times New Roman"/>
        </w:rPr>
      </w:pPr>
      <w:r w:rsidRPr="00DF0680">
        <w:rPr>
          <w:rFonts w:cs="Times New Roman"/>
        </w:rPr>
        <w:drawing>
          <wp:inline distT="0" distB="0" distL="0" distR="0">
            <wp:extent cx="5513695" cy="2751176"/>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5525707" cy="2757169"/>
                    </a:xfrm>
                    <a:prstGeom prst="rect">
                      <a:avLst/>
                    </a:prstGeom>
                    <a:noFill/>
                    <a:ln w="9525">
                      <a:noFill/>
                      <a:miter lim="800000"/>
                      <a:headEnd/>
                      <a:tailEnd/>
                    </a:ln>
                  </pic:spPr>
                </pic:pic>
              </a:graphicData>
            </a:graphic>
          </wp:inline>
        </w:drawing>
      </w:r>
    </w:p>
    <w:p w:rsidR="00E43E7C" w:rsidRPr="00DF0680" w:rsidRDefault="00E43E7C" w:rsidP="00B20DB2">
      <w:pPr>
        <w:pStyle w:val="NoSpacing"/>
      </w:pPr>
    </w:p>
    <w:p w:rsidR="00E43E7C" w:rsidRPr="00DF0680" w:rsidRDefault="00E43E7C" w:rsidP="00D94477">
      <w:pPr>
        <w:pStyle w:val="Caption"/>
      </w:pPr>
      <w:bookmarkStart w:id="554" w:name="_Toc410205935"/>
      <w:bookmarkStart w:id="555" w:name="_Toc417813890"/>
      <w:r w:rsidRPr="00DF0680">
        <w:t xml:space="preserve">Figure </w:t>
      </w:r>
      <w:fldSimple w:instr=" STYLEREF 1 \s ">
        <w:r w:rsidR="006119E3">
          <w:rPr>
            <w:noProof/>
          </w:rPr>
          <w:t>3</w:t>
        </w:r>
      </w:fldSimple>
      <w:r w:rsidR="006119E3">
        <w:t>.</w:t>
      </w:r>
      <w:fldSimple w:instr=" SEQ Figure \* ARABIC \s 1 ">
        <w:r w:rsidR="006119E3">
          <w:rPr>
            <w:noProof/>
          </w:rPr>
          <w:t>1</w:t>
        </w:r>
      </w:fldSimple>
      <w:r w:rsidRPr="00DF0680">
        <w:t xml:space="preserve"> – RECQL5β mRNA levels in primary bladder cancers and normal bladder tissue, with levels in commonly used cell lines </w:t>
      </w:r>
      <w:bookmarkEnd w:id="554"/>
      <w:bookmarkEnd w:id="555"/>
      <w:r w:rsidR="00336FBD" w:rsidRPr="00DF0680">
        <w:t>overlaid</w:t>
      </w:r>
      <w:r w:rsidRPr="00DF0680">
        <w:t xml:space="preserve"> </w:t>
      </w:r>
    </w:p>
    <w:p w:rsidR="00E43E7C" w:rsidRPr="00DF0680" w:rsidRDefault="00E43E7C" w:rsidP="00C826D6">
      <w:pPr>
        <w:spacing w:line="276" w:lineRule="auto"/>
      </w:pPr>
      <w:r w:rsidRPr="00DF0680">
        <w:t>Taqman qRT-PCR was performed on 177 primary bladder tumour samples (characterised as to whether they recurred (n=25) or not (n=17)) and 15 normal tissue samples using a probe that recognised all 3 isoforms of RECQL5 (α, β and γ) (A), and a probe that recognised RECQL5β specifically (B). Overlaying crosses represent the ΔCT values from the qRT-PCR performed on the bladder cancer cell lines EJ, RT112 and RT4 and the immortalised normal bladder cell line NHU, using the same primers (values 4.59, 5.49, 6.19 and 3.27 respectively for RECQL5 and 5.47, 7.94, 7.00 and 3.44 respectively for RECQL5β</w:t>
      </w:r>
      <w:r w:rsidR="00405418" w:rsidRPr="00DF0680">
        <w:t>). * and *** indicate</w:t>
      </w:r>
      <w:r w:rsidRPr="00DF0680">
        <w:t xml:space="preserve"> a Mann-Whitney test p value of &lt; 0.05 and 0.0005 respectively</w:t>
      </w:r>
      <w:r w:rsidR="00405418" w:rsidRPr="00DF0680">
        <w:t>.</w:t>
      </w:r>
      <w:r w:rsidRPr="00DF0680">
        <w:t xml:space="preserve"> </w:t>
      </w:r>
      <w:r w:rsidR="00B20DB2" w:rsidRPr="00DF0680">
        <w:t xml:space="preserve">Data are presented as a Tukey box and whisker plot with the </w:t>
      </w:r>
      <w:r w:rsidR="00C826D6" w:rsidRPr="00DF0680">
        <w:t>box representing the median, upper and lower quartiles, and the whiskers representing the largest value within 1.5 interquartile ranges of the upper quartile and the lowest value within 1.5 interquartile ranges of the lower quartile.</w:t>
      </w: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D94477">
      <w:pPr>
        <w:pStyle w:val="Caption"/>
      </w:pPr>
      <w:r w:rsidRPr="00DF0680">
        <w:drawing>
          <wp:inline distT="0" distB="0" distL="0" distR="0">
            <wp:extent cx="5525449" cy="274320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l="2027" r="2365"/>
                    <a:stretch>
                      <a:fillRect/>
                    </a:stretch>
                  </pic:blipFill>
                  <pic:spPr bwMode="auto">
                    <a:xfrm>
                      <a:off x="0" y="0"/>
                      <a:ext cx="5525449" cy="2743200"/>
                    </a:xfrm>
                    <a:prstGeom prst="rect">
                      <a:avLst/>
                    </a:prstGeom>
                    <a:noFill/>
                    <a:ln w="9525">
                      <a:noFill/>
                      <a:miter lim="800000"/>
                      <a:headEnd/>
                      <a:tailEnd/>
                    </a:ln>
                  </pic:spPr>
                </pic:pic>
              </a:graphicData>
            </a:graphic>
          </wp:inline>
        </w:drawing>
      </w:r>
    </w:p>
    <w:p w:rsidR="00E43E7C" w:rsidRPr="00DF0680" w:rsidRDefault="00E43E7C" w:rsidP="00D94477">
      <w:pPr>
        <w:pStyle w:val="Caption"/>
      </w:pPr>
    </w:p>
    <w:p w:rsidR="00E43E7C" w:rsidRPr="00DF0680" w:rsidRDefault="00E43E7C" w:rsidP="00D94477">
      <w:pPr>
        <w:pStyle w:val="Caption"/>
      </w:pPr>
      <w:bookmarkStart w:id="556" w:name="_Toc410205936"/>
      <w:bookmarkStart w:id="557" w:name="_Toc417813891"/>
      <w:r w:rsidRPr="00DF0680">
        <w:t xml:space="preserve">Figure </w:t>
      </w:r>
      <w:fldSimple w:instr=" STYLEREF 1 \s ">
        <w:r w:rsidR="006119E3">
          <w:rPr>
            <w:noProof/>
          </w:rPr>
          <w:t>3</w:t>
        </w:r>
      </w:fldSimple>
      <w:r w:rsidR="006119E3">
        <w:t>.</w:t>
      </w:r>
      <w:fldSimple w:instr=" SEQ Figure \* ARABIC \s 1 ">
        <w:r w:rsidR="006119E3">
          <w:rPr>
            <w:noProof/>
          </w:rPr>
          <w:t>2</w:t>
        </w:r>
      </w:fldSimple>
      <w:r w:rsidRPr="00DF0680">
        <w:t xml:space="preserve"> – qRT-PCR cancer screen for expression of RECQL5 and RECQL5β mRNA</w:t>
      </w:r>
      <w:bookmarkEnd w:id="556"/>
      <w:bookmarkEnd w:id="557"/>
    </w:p>
    <w:p w:rsidR="00E43E7C" w:rsidRPr="00DF0680" w:rsidRDefault="00E43E7C" w:rsidP="00B20DB2">
      <w:pPr>
        <w:spacing w:line="276" w:lineRule="auto"/>
      </w:pPr>
      <w:r w:rsidRPr="00DF0680">
        <w:t xml:space="preserve">Taqman qRT-PCR was performed on 9 cancer and 3 normal samples for each tissue type shown using a probe that recognised all 3 isoforms of RECQL5 (α, β and γ) (A), and a probe that recognised RECQL5β specifically (B) (bladder data shown in Figure 3.1 has been incorporated into the graph for reference). * and *** indicates a Mann-Whitney test p value of &lt; 0.05 and 0.0005 respectively. </w:t>
      </w:r>
      <w:r w:rsidR="00405418" w:rsidRPr="00DF0680">
        <w:t>Data are presented as a Tukey box and whisker plot with the box representing the median, upper and lower quartiles, and the whiskers representing the largest value within 1.5 interquartile ranges of the upper quartile and the lowest value within 1.5 interquartile ranges of the lower quartile.</w:t>
      </w:r>
    </w:p>
    <w:p w:rsidR="00E43E7C" w:rsidRPr="00DF0680" w:rsidRDefault="00E43E7C" w:rsidP="00D94477">
      <w:pPr>
        <w:pStyle w:val="Caption"/>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664FC">
      <w:pPr>
        <w:pStyle w:val="Heading2"/>
      </w:pPr>
      <w:bookmarkStart w:id="558" w:name="_Toc410205816"/>
      <w:bookmarkStart w:id="559" w:name="_Toc417204187"/>
      <w:bookmarkStart w:id="560" w:name="_Toc417204720"/>
      <w:bookmarkStart w:id="561" w:name="_Toc417204780"/>
      <w:bookmarkStart w:id="562" w:name="_Toc417813935"/>
      <w:r w:rsidRPr="00DF0680">
        <w:lastRenderedPageBreak/>
        <w:t>RECQL5β protein is over-expressed in bladder cancers compared to normal bladder tissue</w:t>
      </w:r>
      <w:bookmarkEnd w:id="558"/>
      <w:bookmarkEnd w:id="559"/>
      <w:bookmarkEnd w:id="560"/>
      <w:bookmarkEnd w:id="561"/>
      <w:bookmarkEnd w:id="562"/>
    </w:p>
    <w:p w:rsidR="00E43E7C" w:rsidRPr="00DF0680" w:rsidRDefault="00E43E7C" w:rsidP="00E43E7C">
      <w:pPr>
        <w:rPr>
          <w:rFonts w:cs="Times New Roman"/>
        </w:rPr>
      </w:pPr>
      <w:r w:rsidRPr="00DF0680">
        <w:rPr>
          <w:rFonts w:cs="Times New Roman"/>
        </w:rPr>
        <w:t xml:space="preserve">To determine whether the difference in mRNA expression between cancer and normal bladder is reflected at protein level, Western blotting in cell lines and immunohistochemistry in primary tumour material was performed. </w:t>
      </w:r>
    </w:p>
    <w:p w:rsidR="00E43E7C" w:rsidRPr="00DF0680" w:rsidRDefault="00E43E7C" w:rsidP="00E43E7C">
      <w:pPr>
        <w:rPr>
          <w:rFonts w:cs="Times New Roman"/>
        </w:rPr>
      </w:pPr>
      <w:r w:rsidRPr="00DF0680">
        <w:rPr>
          <w:rFonts w:cs="Times New Roman"/>
        </w:rPr>
        <w:t xml:space="preserve">For the bladder cell lines, cell pellets were collected, lysed, and levels of RECQL5β protein analysed using Western blot. As shown in Figure 3.3, each of the three cancer cell lines, EJ, RT112 and RT4, had significantly higher levels of RECQL5β protein expression when compared to the immortalised normal bladder cell line (Student’s t-test, p values = </w:t>
      </w:r>
      <w:r w:rsidR="00957568" w:rsidRPr="00DF0680">
        <w:rPr>
          <w:rFonts w:cs="Times New Roman"/>
        </w:rPr>
        <w:t>0.00</w:t>
      </w:r>
      <w:r w:rsidRPr="00DF0680">
        <w:rPr>
          <w:rFonts w:cs="Times New Roman"/>
        </w:rPr>
        <w:t xml:space="preserve">2.1, </w:t>
      </w:r>
      <w:r w:rsidR="00957568" w:rsidRPr="00DF0680">
        <w:rPr>
          <w:rFonts w:cs="Times New Roman"/>
        </w:rPr>
        <w:t>0.0</w:t>
      </w:r>
      <w:r w:rsidRPr="00DF0680">
        <w:rPr>
          <w:rFonts w:cs="Times New Roman"/>
        </w:rPr>
        <w:t xml:space="preserve">44 and </w:t>
      </w:r>
      <w:r w:rsidR="00957568" w:rsidRPr="00DF0680">
        <w:rPr>
          <w:rFonts w:cs="Times New Roman"/>
        </w:rPr>
        <w:t>0.0</w:t>
      </w:r>
      <w:r w:rsidRPr="00DF0680">
        <w:rPr>
          <w:rFonts w:cs="Times New Roman"/>
        </w:rPr>
        <w:t>44 respectively). It was not possible to detect the α and γ isoforms due to the epitope of the antibody.</w:t>
      </w:r>
    </w:p>
    <w:p w:rsidR="00E43E7C" w:rsidRPr="00DF0680" w:rsidRDefault="00E43E7C" w:rsidP="00E43E7C">
      <w:pPr>
        <w:rPr>
          <w:rFonts w:cs="Times New Roman"/>
        </w:rPr>
      </w:pPr>
      <w:r w:rsidRPr="00DF0680">
        <w:rPr>
          <w:rFonts w:cs="Times New Roman"/>
        </w:rPr>
        <w:t xml:space="preserve">As this protein data only represents cell lines, a bladder cancer tissue microarray was used, to investigate whether primary bladder cancers also have higher levels of RECQL5β protein expression. The tissue microarray was stained for RECQL5 using immunohistochemistry, and samples were scored for strength of nuclear staining, with any cytoplasmic staining not being counted, as this was considered to represent RECQL5α and RECQL5γ (Figure 3.4 A). 97% of the malignant bladder samples scored weak, medium or strong for RECQL5 nuclear staining whereas the 89% of normal bladder samples were negative for any nuclear staining (Figure 3.4 B). The chi-squared test showed this observed distribution of scores to be significantly different to the expected distribution </w:t>
      </w:r>
      <w:r w:rsidR="00FF66FE" w:rsidRPr="00DF0680">
        <w:rPr>
          <w:rFonts w:cs="Times New Roman"/>
        </w:rPr>
        <w:t xml:space="preserve">by chance </w:t>
      </w:r>
      <w:r w:rsidRPr="00DF0680">
        <w:rPr>
          <w:rFonts w:cs="Times New Roman"/>
        </w:rPr>
        <w:t xml:space="preserve">(Chi-square test, p value = </w:t>
      </w:r>
      <w:r w:rsidR="00957568" w:rsidRPr="00DF0680">
        <w:rPr>
          <w:rFonts w:cs="Times New Roman"/>
        </w:rPr>
        <w:t>0.0000</w:t>
      </w:r>
      <w:r w:rsidRPr="00DF0680">
        <w:rPr>
          <w:rFonts w:cs="Times New Roman"/>
        </w:rPr>
        <w:t>1). A small number of malignant samples had</w:t>
      </w:r>
      <w:r w:rsidR="008B5459" w:rsidRPr="00DF0680">
        <w:rPr>
          <w:rFonts w:cs="Times New Roman"/>
        </w:rPr>
        <w:t xml:space="preserve"> cytoplasmic staining (n=3),</w:t>
      </w:r>
      <w:r w:rsidRPr="00DF0680">
        <w:rPr>
          <w:rFonts w:cs="Times New Roman"/>
        </w:rPr>
        <w:t xml:space="preserve"> with none of the normal samples having any cytoplasmic s</w:t>
      </w:r>
      <w:r w:rsidR="008B5459" w:rsidRPr="00DF0680">
        <w:rPr>
          <w:rFonts w:cs="Times New Roman"/>
        </w:rPr>
        <w:t xml:space="preserve">taining for the RECQL5 antibody. This may have been indicative of RECQL5α and γ expression; </w:t>
      </w:r>
      <w:r w:rsidRPr="00DF0680">
        <w:rPr>
          <w:rFonts w:cs="Times New Roman"/>
        </w:rPr>
        <w:t>however</w:t>
      </w:r>
      <w:r w:rsidR="008B5459" w:rsidRPr="00DF0680">
        <w:rPr>
          <w:rFonts w:cs="Times New Roman"/>
        </w:rPr>
        <w:t>,</w:t>
      </w:r>
      <w:r w:rsidRPr="00DF0680">
        <w:rPr>
          <w:rFonts w:cs="Times New Roman"/>
        </w:rPr>
        <w:t xml:space="preserve"> it was not possible to perform any stati</w:t>
      </w:r>
      <w:r w:rsidR="008B5459" w:rsidRPr="00DF0680">
        <w:rPr>
          <w:rFonts w:cs="Times New Roman"/>
        </w:rPr>
        <w:t xml:space="preserve">stical analysis </w:t>
      </w:r>
      <w:r w:rsidRPr="00DF0680">
        <w:rPr>
          <w:rFonts w:cs="Times New Roman"/>
        </w:rPr>
        <w:t xml:space="preserve">due to the low number of samples. </w:t>
      </w:r>
    </w:p>
    <w:p w:rsidR="00E43E7C" w:rsidRPr="00DF0680" w:rsidRDefault="00E43E7C" w:rsidP="00E43E7C">
      <w:pPr>
        <w:rPr>
          <w:rFonts w:cs="Times New Roman"/>
        </w:rPr>
      </w:pPr>
      <w:r w:rsidRPr="00DF0680">
        <w:rPr>
          <w:rFonts w:cs="Times New Roman"/>
        </w:rPr>
        <w:t xml:space="preserve">The bladder cancer tissue microarray gave information on stage and grade for each of the bladder cancer samples but when we analysed the relationship with RECQL5β staining, there were no significant differences between stages or grades (Figure 3.4 C and D). </w:t>
      </w:r>
    </w:p>
    <w:p w:rsidR="00E43E7C" w:rsidRPr="00DF0680" w:rsidRDefault="008B5459" w:rsidP="00E43E7C">
      <w:pPr>
        <w:tabs>
          <w:tab w:val="left" w:pos="3119"/>
        </w:tabs>
        <w:rPr>
          <w:rFonts w:cs="Times New Roman"/>
        </w:rPr>
      </w:pPr>
      <w:r w:rsidRPr="00DF0680">
        <w:rPr>
          <w:rFonts w:cs="Times New Roman"/>
        </w:rPr>
        <w:t>The</w:t>
      </w:r>
      <w:r w:rsidR="00E43E7C" w:rsidRPr="00DF0680">
        <w:rPr>
          <w:rFonts w:cs="Times New Roman"/>
        </w:rPr>
        <w:t>s</w:t>
      </w:r>
      <w:r w:rsidRPr="00DF0680">
        <w:rPr>
          <w:rFonts w:cs="Times New Roman"/>
        </w:rPr>
        <w:t>e</w:t>
      </w:r>
      <w:r w:rsidR="00E43E7C" w:rsidRPr="00DF0680">
        <w:rPr>
          <w:rFonts w:cs="Times New Roman"/>
        </w:rPr>
        <w:t xml:space="preserve"> data showed that significantly more cancer samples stain more strongly for RECQL5β than normal</w:t>
      </w:r>
      <w:r w:rsidRPr="00DF0680">
        <w:rPr>
          <w:rFonts w:cs="Times New Roman"/>
        </w:rPr>
        <w:t xml:space="preserve"> tissue</w:t>
      </w:r>
      <w:r w:rsidR="00E43E7C" w:rsidRPr="00DF0680">
        <w:rPr>
          <w:rFonts w:cs="Times New Roman"/>
        </w:rPr>
        <w:t>, which suggests the same pattern of RECQL5β over-</w:t>
      </w:r>
      <w:r w:rsidR="00E43E7C" w:rsidRPr="00DF0680">
        <w:rPr>
          <w:rFonts w:cs="Times New Roman"/>
        </w:rPr>
        <w:lastRenderedPageBreak/>
        <w:t>expression by cancers as was seen in the cell lines using Western blotting (Figure 3.3). As the protein expression data did not correlate with the mRNA expression data, how RECQL5 protein expression is regulated in normal and cancerous bladder was investigated further.</w:t>
      </w:r>
    </w:p>
    <w:p w:rsidR="00E43E7C" w:rsidRPr="00DF0680" w:rsidRDefault="005E1F33" w:rsidP="005E1F33">
      <w:pPr>
        <w:tabs>
          <w:tab w:val="left" w:pos="3119"/>
        </w:tabs>
        <w:jc w:val="center"/>
        <w:rPr>
          <w:rFonts w:cs="Times New Roman"/>
        </w:rPr>
      </w:pPr>
      <w:r w:rsidRPr="00DF0680">
        <w:drawing>
          <wp:inline distT="0" distB="0" distL="0" distR="0">
            <wp:extent cx="4991100" cy="4648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r="7420"/>
                    <a:stretch>
                      <a:fillRect/>
                    </a:stretch>
                  </pic:blipFill>
                  <pic:spPr bwMode="auto">
                    <a:xfrm>
                      <a:off x="0" y="0"/>
                      <a:ext cx="4991100" cy="4648200"/>
                    </a:xfrm>
                    <a:prstGeom prst="rect">
                      <a:avLst/>
                    </a:prstGeom>
                    <a:noFill/>
                    <a:ln w="9525">
                      <a:noFill/>
                      <a:miter lim="800000"/>
                      <a:headEnd/>
                      <a:tailEnd/>
                    </a:ln>
                  </pic:spPr>
                </pic:pic>
              </a:graphicData>
            </a:graphic>
          </wp:inline>
        </w:drawing>
      </w:r>
    </w:p>
    <w:p w:rsidR="00E43E7C" w:rsidRPr="00DF0680" w:rsidRDefault="00E43E7C" w:rsidP="00E43E7C">
      <w:pPr>
        <w:keepNext/>
        <w:jc w:val="center"/>
        <w:rPr>
          <w:rFonts w:cs="Times New Roman"/>
        </w:rPr>
      </w:pPr>
    </w:p>
    <w:p w:rsidR="00E43E7C" w:rsidRPr="00DF0680" w:rsidRDefault="00E43E7C" w:rsidP="00D94477">
      <w:pPr>
        <w:pStyle w:val="Caption"/>
      </w:pPr>
      <w:bookmarkStart w:id="563" w:name="_Toc410205937"/>
      <w:bookmarkStart w:id="564" w:name="_Toc417813892"/>
      <w:r w:rsidRPr="00DF0680">
        <w:t xml:space="preserve">Figure </w:t>
      </w:r>
      <w:fldSimple w:instr=" STYLEREF 1 \s ">
        <w:r w:rsidR="006119E3">
          <w:rPr>
            <w:noProof/>
          </w:rPr>
          <w:t>3</w:t>
        </w:r>
      </w:fldSimple>
      <w:r w:rsidR="006119E3">
        <w:t>.</w:t>
      </w:r>
      <w:fldSimple w:instr=" SEQ Figure \* ARABIC \s 1 ">
        <w:r w:rsidR="006119E3">
          <w:rPr>
            <w:noProof/>
          </w:rPr>
          <w:t>3</w:t>
        </w:r>
      </w:fldSimple>
      <w:r w:rsidRPr="00DF0680">
        <w:t xml:space="preserve"> – RECQL5β protein expression in bladder cell lines</w:t>
      </w:r>
      <w:bookmarkEnd w:id="563"/>
      <w:bookmarkEnd w:id="564"/>
    </w:p>
    <w:p w:rsidR="00E43E7C" w:rsidRPr="00DF0680" w:rsidRDefault="00E43E7C" w:rsidP="00923ED8">
      <w:pPr>
        <w:spacing w:line="276" w:lineRule="auto"/>
      </w:pPr>
      <w:r w:rsidRPr="00DF0680">
        <w:t xml:space="preserve">(A) Lysates from cancer cell lines EJ, RT4 and RT112 and immortalised normal cell line NHU hTERT were run on an SDS-PAGE gel and probed using an antibody for RECQL5β and for actin as a protein loading control. Two independent repeats, taken on successive passages, are shown for each cell line. (B) Band intensity for RECQL5β was quantified relative to β-actin using ImageJ. Western blots were repeated with different passages of cell pellets. Averages and standard deviations of 4 independent repeats are shown. * and *** indicates a Student’s t-test p value of &lt; 0.05 and 0.005 respectively. </w:t>
      </w:r>
    </w:p>
    <w:p w:rsidR="00E43E7C" w:rsidRPr="00DF0680" w:rsidRDefault="00E43E7C" w:rsidP="00D94477">
      <w:pPr>
        <w:pStyle w:val="Caption"/>
      </w:pPr>
    </w:p>
    <w:p w:rsidR="00E43E7C" w:rsidRPr="00DF0680" w:rsidRDefault="00E43E7C" w:rsidP="00E43E7C">
      <w:pPr>
        <w:rPr>
          <w:rFonts w:cs="Times New Roman"/>
        </w:rPr>
      </w:pPr>
    </w:p>
    <w:p w:rsidR="009379AB" w:rsidRPr="00DF0680" w:rsidRDefault="009379AB" w:rsidP="00E43E7C">
      <w:pPr>
        <w:rPr>
          <w:rFonts w:cs="Times New Roman"/>
        </w:rPr>
      </w:pPr>
    </w:p>
    <w:p w:rsidR="00E43E7C" w:rsidRPr="00DF0680" w:rsidRDefault="009379AB" w:rsidP="009379AB">
      <w:pPr>
        <w:jc w:val="center"/>
        <w:rPr>
          <w:rFonts w:cs="Times New Roman"/>
        </w:rPr>
      </w:pPr>
      <w:r w:rsidRPr="00DF0680">
        <w:drawing>
          <wp:inline distT="0" distB="0" distL="0" distR="0">
            <wp:extent cx="3783965" cy="7520305"/>
            <wp:effectExtent l="0" t="0" r="6985"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3783965" cy="7520305"/>
                    </a:xfrm>
                    <a:prstGeom prst="rect">
                      <a:avLst/>
                    </a:prstGeom>
                    <a:noFill/>
                    <a:ln w="9525">
                      <a:noFill/>
                      <a:miter lim="800000"/>
                      <a:headEnd/>
                      <a:tailEnd/>
                    </a:ln>
                  </pic:spPr>
                </pic:pic>
              </a:graphicData>
            </a:graphic>
          </wp:inline>
        </w:drawing>
      </w:r>
    </w:p>
    <w:p w:rsidR="00E43E7C" w:rsidRPr="00DF0680" w:rsidRDefault="00E43E7C" w:rsidP="00E43E7C">
      <w:pPr>
        <w:jc w:val="right"/>
        <w:rPr>
          <w:rFonts w:cs="Times New Roman"/>
          <w:sz w:val="22"/>
        </w:rPr>
      </w:pPr>
      <w:r w:rsidRPr="00DF0680">
        <w:rPr>
          <w:rFonts w:cs="Times New Roman"/>
          <w:sz w:val="22"/>
        </w:rPr>
        <w:t>(Figure continues on the next page)</w:t>
      </w:r>
    </w:p>
    <w:p w:rsidR="00E43E7C" w:rsidRPr="00DF0680" w:rsidRDefault="00E43E7C" w:rsidP="008C6A44"/>
    <w:p w:rsidR="00E43E7C" w:rsidRPr="00DF0680" w:rsidRDefault="00E43E7C" w:rsidP="008C6A44">
      <w:r w:rsidRPr="00DF0680">
        <w:lastRenderedPageBreak/>
        <w:drawing>
          <wp:inline distT="0" distB="0" distL="0" distR="0">
            <wp:extent cx="5470635" cy="4863717"/>
            <wp:effectExtent l="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r="2606"/>
                    <a:stretch>
                      <a:fillRect/>
                    </a:stretch>
                  </pic:blipFill>
                  <pic:spPr bwMode="auto">
                    <a:xfrm>
                      <a:off x="0" y="0"/>
                      <a:ext cx="5471635" cy="4864606"/>
                    </a:xfrm>
                    <a:prstGeom prst="rect">
                      <a:avLst/>
                    </a:prstGeom>
                    <a:noFill/>
                    <a:ln w="9525">
                      <a:noFill/>
                      <a:miter lim="800000"/>
                      <a:headEnd/>
                      <a:tailEnd/>
                    </a:ln>
                  </pic:spPr>
                </pic:pic>
              </a:graphicData>
            </a:graphic>
          </wp:inline>
        </w:drawing>
      </w:r>
    </w:p>
    <w:p w:rsidR="00E43E7C" w:rsidRPr="00DF0680" w:rsidRDefault="00E43E7C" w:rsidP="00D94477">
      <w:pPr>
        <w:pStyle w:val="Caption"/>
      </w:pPr>
      <w:bookmarkStart w:id="565" w:name="_Toc410205938"/>
      <w:bookmarkStart w:id="566" w:name="_Toc417813893"/>
      <w:r w:rsidRPr="00DF0680">
        <w:t xml:space="preserve">Figure </w:t>
      </w:r>
      <w:fldSimple w:instr=" STYLEREF 1 \s ">
        <w:r w:rsidR="006119E3">
          <w:rPr>
            <w:noProof/>
          </w:rPr>
          <w:t>3</w:t>
        </w:r>
      </w:fldSimple>
      <w:r w:rsidR="006119E3">
        <w:t>.</w:t>
      </w:r>
      <w:fldSimple w:instr=" SEQ Figure \* ARABIC \s 1 ">
        <w:r w:rsidR="006119E3">
          <w:rPr>
            <w:noProof/>
          </w:rPr>
          <w:t>4</w:t>
        </w:r>
      </w:fldSimple>
      <w:r w:rsidRPr="00DF0680">
        <w:t xml:space="preserve"> – RECQL5β expression in primary bladder cancers and normal bladder tissue</w:t>
      </w:r>
      <w:bookmarkEnd w:id="565"/>
      <w:bookmarkEnd w:id="566"/>
    </w:p>
    <w:p w:rsidR="00E43E7C" w:rsidRPr="00DF0680" w:rsidRDefault="00E43E7C" w:rsidP="00FF66FE">
      <w:pPr>
        <w:spacing w:line="276" w:lineRule="auto"/>
      </w:pPr>
      <w:r w:rsidRPr="00DF0680">
        <w:t xml:space="preserve">(A) A bladder tumour microarray containing 10 normal and 40 tumour histology samples was stained for RECQL5 and scored 0, 1, 2 or 3 depending on whether the nuclear staining was negative, weak, medium, or strong respectively. None of the normal samples had medium or strong staining. Scoring was performed by Dr Susan Morgan. (B) Graph representing the percentage of normal and malignant tissues that scored negative, weak, medium or strong for nuclear RECQL5. The statistical chi-squared test gave a p-value of </w:t>
      </w:r>
      <w:r w:rsidR="00957568" w:rsidRPr="00DF0680">
        <w:t>0.0000</w:t>
      </w:r>
      <w:r w:rsidRPr="00DF0680">
        <w:t>1. (C) Percentage of metastatic tissues scored at stage I, II, III or IV</w:t>
      </w:r>
      <w:r w:rsidR="00FF66FE" w:rsidRPr="00DF0680">
        <w:t xml:space="preserve"> (phenotype of cells)</w:t>
      </w:r>
      <w:r w:rsidRPr="00DF0680">
        <w:t>. Chi-squared test showed this distribution as not significantly different from expected. (D) Percentage of metastatic tissues scored at grade 1, 2 or 3</w:t>
      </w:r>
      <w:r w:rsidR="00FF66FE" w:rsidRPr="00DF0680">
        <w:t xml:space="preserve"> (category of tumour)</w:t>
      </w:r>
      <w:r w:rsidRPr="00DF0680">
        <w:t xml:space="preserve">. Chi-squared test showed this distribution as not significantly different from expected. </w:t>
      </w:r>
    </w:p>
    <w:p w:rsidR="00E43E7C" w:rsidRPr="00DF0680" w:rsidRDefault="00E43E7C" w:rsidP="00D94477">
      <w:pPr>
        <w:pStyle w:val="Caption"/>
      </w:pPr>
    </w:p>
    <w:p w:rsidR="00E43E7C" w:rsidRPr="00DF0680" w:rsidRDefault="00E43E7C" w:rsidP="00E43E7C">
      <w:pPr>
        <w:rPr>
          <w:rFonts w:cs="Times New Roman"/>
        </w:rPr>
      </w:pPr>
    </w:p>
    <w:p w:rsidR="00E43E7C" w:rsidRPr="00DF0680" w:rsidRDefault="00E43E7C" w:rsidP="00E664FC">
      <w:pPr>
        <w:pStyle w:val="Heading2"/>
      </w:pPr>
      <w:bookmarkStart w:id="567" w:name="_Toc410205817"/>
      <w:bookmarkStart w:id="568" w:name="_Toc417204188"/>
      <w:bookmarkStart w:id="569" w:name="_Toc417204721"/>
      <w:bookmarkStart w:id="570" w:name="_Toc417204781"/>
      <w:bookmarkStart w:id="571" w:name="_Toc417813936"/>
      <w:r w:rsidRPr="00DF0680">
        <w:lastRenderedPageBreak/>
        <w:t>Difference in RECQL5β protein expression is not due to cell cycle differences between cell lines</w:t>
      </w:r>
      <w:bookmarkEnd w:id="567"/>
      <w:bookmarkEnd w:id="568"/>
      <w:bookmarkEnd w:id="569"/>
      <w:bookmarkEnd w:id="570"/>
      <w:bookmarkEnd w:id="571"/>
    </w:p>
    <w:p w:rsidR="00E43E7C" w:rsidRPr="00DF0680" w:rsidRDefault="00E43E7C" w:rsidP="00E43E7C">
      <w:pPr>
        <w:rPr>
          <w:rFonts w:cs="Times New Roman"/>
        </w:rPr>
      </w:pPr>
      <w:r w:rsidRPr="00DF0680">
        <w:rPr>
          <w:rFonts w:cs="Times New Roman"/>
        </w:rPr>
        <w:t xml:space="preserve">Previous work has shown that RECQL5 forms foci specifically during S phase and that protein expression is up-regulated following replication stress </w:t>
      </w:r>
      <w:r w:rsidR="00F20EC0" w:rsidRPr="00DF0680">
        <w:rPr>
          <w:rFonts w:cs="Times New Roman"/>
        </w:rPr>
        <w:fldChar w:fldCharType="begin" w:fldLock="1"/>
      </w:r>
      <w:r w:rsidR="00332613" w:rsidRPr="00DF0680">
        <w:rPr>
          <w:rFonts w:cs="Times New Roman"/>
        </w:rPr>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(Blundred et al. 2010)</w:t>
      </w:r>
      <w:r w:rsidR="00F20EC0" w:rsidRPr="00DF0680">
        <w:rPr>
          <w:rFonts w:cs="Times New Roman"/>
        </w:rPr>
        <w:fldChar w:fldCharType="end"/>
      </w:r>
      <w:r w:rsidRPr="00DF0680">
        <w:rPr>
          <w:rFonts w:cs="Times New Roman"/>
        </w:rPr>
        <w:t xml:space="preserve">. Therefore, it was investigated whether differences in cell cycle profiles could explain the difference in protein expression seen between cancerous and normal bladder cells. </w:t>
      </w:r>
    </w:p>
    <w:p w:rsidR="00E43E7C" w:rsidRPr="00DF0680" w:rsidRDefault="00E43E7C" w:rsidP="00E43E7C">
      <w:pPr>
        <w:rPr>
          <w:rFonts w:cs="Times New Roman"/>
        </w:rPr>
      </w:pPr>
      <w:r w:rsidRPr="00DF0680">
        <w:rPr>
          <w:rFonts w:cs="Times New Roman"/>
        </w:rPr>
        <w:t xml:space="preserve">Although propidium iodide cell cycle profiles showed EJ cells to have slightly more cells in S phase, this was not significantly different from the NHU hTERT cells (Figure 3.5). However, when labelled with BrdU to assess proliferation, the EJ cells showed a significant increase of approximately 20% more cells </w:t>
      </w:r>
      <w:r w:rsidR="00251DAA" w:rsidRPr="00DF0680">
        <w:rPr>
          <w:rFonts w:cs="Times New Roman"/>
        </w:rPr>
        <w:t xml:space="preserve">containing BrdU than </w:t>
      </w:r>
      <w:r w:rsidRPr="00DF0680">
        <w:rPr>
          <w:rFonts w:cs="Times New Roman"/>
        </w:rPr>
        <w:t xml:space="preserve">the NHU hTERT cells (Student’s t-test, p value = </w:t>
      </w:r>
      <w:r w:rsidR="00957568" w:rsidRPr="00DF0680">
        <w:rPr>
          <w:rFonts w:cs="Times New Roman"/>
        </w:rPr>
        <w:t>0.0</w:t>
      </w:r>
      <w:r w:rsidRPr="00DF0680">
        <w:rPr>
          <w:rFonts w:cs="Times New Roman"/>
        </w:rPr>
        <w:t>32) (Figure 3.6).</w:t>
      </w:r>
      <w:r w:rsidR="00251DAA" w:rsidRPr="00DF0680">
        <w:rPr>
          <w:rFonts w:cs="Times New Roman"/>
        </w:rPr>
        <w:t xml:space="preserve"> Although this may show EJ cells cycling more actively than the NHU cells, 60% of cells containing BrdU after only 20 minutes is extremely high and may be an artefact of the labelling protocol.</w:t>
      </w:r>
    </w:p>
    <w:p w:rsidR="00E43E7C" w:rsidRPr="00DF0680" w:rsidRDefault="00E43E7C" w:rsidP="00E43E7C">
      <w:pPr>
        <w:rPr>
          <w:rFonts w:cs="Times New Roman"/>
        </w:rPr>
      </w:pPr>
      <w:r w:rsidRPr="00DF0680">
        <w:rPr>
          <w:rFonts w:cs="Times New Roman"/>
        </w:rPr>
        <w:t xml:space="preserve">Considering the differences in percentage of cells in S-phase and in the percentage of proliferating cells, it was important to determine whether the protein expression of RECQL5, like foci, is regulated in a cell cycle dependant manner. Using nocodazole, EJ, NHU hTERT and MRC5V2 cells were synchronised at the G2/M checkpoint before being released into normal media. The EJ and MRC5V2 cells synchronised and released well, with approximately 40% of cells being in S phase 12 and 15 hours post-release respectively. The NHU hTERT cells also synchronised well, with 70% of cells in G2 after nocodazole treatment, and a corresponding reduction in S-phase cells. However, although the cells progressed into G1, this is where they accumulated with no further progression, as there were no increases in the percentage of cells in S-phase observed over 15 hours (Figure 3.7 A and B). It was noted that a large proportion of NHU hTERT cells died after treatment with nocodazole. </w:t>
      </w:r>
    </w:p>
    <w:p w:rsidR="00E43E7C" w:rsidRPr="00DF0680" w:rsidRDefault="00E43E7C" w:rsidP="00E43E7C">
      <w:pPr>
        <w:rPr>
          <w:rFonts w:cs="Times New Roman"/>
        </w:rPr>
      </w:pPr>
      <w:r w:rsidRPr="00DF0680">
        <w:rPr>
          <w:rFonts w:cs="Times New Roman"/>
        </w:rPr>
        <w:t xml:space="preserve">Performing western blots on harvested EJ and </w:t>
      </w:r>
      <w:r w:rsidR="00471D18" w:rsidRPr="00DF0680">
        <w:rPr>
          <w:rFonts w:cs="Times New Roman"/>
        </w:rPr>
        <w:t>MRC5V2</w:t>
      </w:r>
      <w:r w:rsidRPr="00DF0680">
        <w:rPr>
          <w:rFonts w:cs="Times New Roman"/>
        </w:rPr>
        <w:t>cells did not show any differences in RECQL5β expression as cell cycle profiles changed (Figure 3.7 C). The levels of RECQL5β do seem altered in the NHU hTERT samples but this did not correlate with changes in any cell cycle phase.</w:t>
      </w:r>
      <w:r w:rsidR="00A01CF6" w:rsidRPr="00DF0680">
        <w:rPr>
          <w:rFonts w:cs="Times New Roman"/>
        </w:rPr>
        <w:t xml:space="preserve"> </w:t>
      </w:r>
      <w:r w:rsidR="009379AB" w:rsidRPr="00DF0680">
        <w:rPr>
          <w:rFonts w:cs="Times New Roman"/>
        </w:rPr>
        <w:t>However, a</w:t>
      </w:r>
      <w:r w:rsidR="00A01CF6" w:rsidRPr="00DF0680">
        <w:rPr>
          <w:rFonts w:cs="Times New Roman"/>
        </w:rPr>
        <w:t xml:space="preserve">s </w:t>
      </w:r>
      <w:r w:rsidR="009379AB" w:rsidRPr="00DF0680">
        <w:rPr>
          <w:rFonts w:cs="Times New Roman"/>
        </w:rPr>
        <w:t>nocodazole is a microtubule disrupting agent, actin would have been a more reliable control than β-tubulin.</w:t>
      </w:r>
    </w:p>
    <w:p w:rsidR="00DC6CDE" w:rsidRPr="00DF0680" w:rsidRDefault="00DC6CDE" w:rsidP="00E43E7C">
      <w:pPr>
        <w:rPr>
          <w:rFonts w:cs="Times New Roman"/>
        </w:rPr>
      </w:pPr>
    </w:p>
    <w:p w:rsidR="00DC6CDE" w:rsidRPr="00DF0680" w:rsidRDefault="00DC6CDE" w:rsidP="00E43E7C">
      <w:pPr>
        <w:rPr>
          <w:rFonts w:cs="Times New Roman"/>
        </w:rPr>
      </w:pPr>
    </w:p>
    <w:p w:rsidR="00E43E7C" w:rsidRPr="00DF0680" w:rsidRDefault="00DC6CDE" w:rsidP="00E43E7C">
      <w:pPr>
        <w:keepNext/>
        <w:jc w:val="center"/>
        <w:rPr>
          <w:rFonts w:cs="Times New Roman"/>
        </w:rPr>
      </w:pPr>
      <w:r w:rsidRPr="00DF0680">
        <w:drawing>
          <wp:inline distT="0" distB="0" distL="0" distR="0">
            <wp:extent cx="5276850" cy="5962650"/>
            <wp:effectExtent l="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5276850" cy="5962650"/>
                    </a:xfrm>
                    <a:prstGeom prst="rect">
                      <a:avLst/>
                    </a:prstGeom>
                    <a:noFill/>
                    <a:ln w="9525">
                      <a:noFill/>
                      <a:miter lim="800000"/>
                      <a:headEnd/>
                      <a:tailEnd/>
                    </a:ln>
                  </pic:spPr>
                </pic:pic>
              </a:graphicData>
            </a:graphic>
          </wp:inline>
        </w:drawing>
      </w:r>
    </w:p>
    <w:p w:rsidR="00E43E7C" w:rsidRPr="00DF0680" w:rsidRDefault="00E43E7C" w:rsidP="00D94477">
      <w:pPr>
        <w:pStyle w:val="Caption"/>
      </w:pPr>
    </w:p>
    <w:p w:rsidR="00E43E7C" w:rsidRPr="00DF0680" w:rsidRDefault="00E43E7C" w:rsidP="00D94477">
      <w:pPr>
        <w:pStyle w:val="Caption"/>
      </w:pPr>
      <w:bookmarkStart w:id="572" w:name="_Toc410205939"/>
      <w:bookmarkStart w:id="573" w:name="_Toc417813894"/>
      <w:r w:rsidRPr="00DF0680">
        <w:t xml:space="preserve">Figure </w:t>
      </w:r>
      <w:fldSimple w:instr=" STYLEREF 1 \s ">
        <w:r w:rsidR="006119E3">
          <w:rPr>
            <w:noProof/>
          </w:rPr>
          <w:t>3</w:t>
        </w:r>
      </w:fldSimple>
      <w:r w:rsidR="006119E3">
        <w:t>.</w:t>
      </w:r>
      <w:fldSimple w:instr=" SEQ Figure \* ARABIC \s 1 ">
        <w:r w:rsidR="006119E3">
          <w:rPr>
            <w:noProof/>
          </w:rPr>
          <w:t>5</w:t>
        </w:r>
      </w:fldSimple>
      <w:r w:rsidRPr="00DF0680">
        <w:t xml:space="preserve"> – Cell cycle distribution of cell lines EJ and NHU hTERT.</w:t>
      </w:r>
      <w:bookmarkEnd w:id="572"/>
      <w:bookmarkEnd w:id="573"/>
      <w:r w:rsidRPr="00DF0680">
        <w:t xml:space="preserve"> </w:t>
      </w:r>
    </w:p>
    <w:p w:rsidR="00E43E7C" w:rsidRPr="00DF0680" w:rsidRDefault="00E43E7C" w:rsidP="002708FC">
      <w:pPr>
        <w:spacing w:line="276" w:lineRule="auto"/>
      </w:pPr>
      <w:r w:rsidRPr="00DF0680">
        <w:t>(A) Examples of</w:t>
      </w:r>
      <w:r w:rsidR="00251DAA" w:rsidRPr="00DF0680">
        <w:t xml:space="preserve"> unsynchronised</w:t>
      </w:r>
      <w:r w:rsidRPr="00DF0680">
        <w:t xml:space="preserve"> cell cycle profiles for each of the cell lines following treatment with propidium iodide. (B) Quantification of the percentage of cells at each stage of the cell cycle. Quantification shows the mean and standard deviation from three independent repeats. There is no significant difference between the percentage of EJ and NHU cells at any stage of the cell cycle (Student’s t-test, p value G1 = 0.74, S = 0.22, G2 = 0.39).</w:t>
      </w:r>
    </w:p>
    <w:p w:rsidR="00E43E7C" w:rsidRPr="00DF0680" w:rsidRDefault="00E43E7C" w:rsidP="00E43E7C">
      <w:pPr>
        <w:rPr>
          <w:rFonts w:cs="Times New Roman"/>
        </w:rPr>
      </w:pPr>
    </w:p>
    <w:p w:rsidR="00E43E7C" w:rsidRPr="00DF0680" w:rsidRDefault="00E43E7C" w:rsidP="00E43E7C">
      <w:pPr>
        <w:rPr>
          <w:rFonts w:cs="Times New Roman"/>
        </w:rPr>
      </w:pPr>
    </w:p>
    <w:p w:rsidR="004F1D48" w:rsidRPr="00DF0680" w:rsidRDefault="004F1D48" w:rsidP="00E43E7C">
      <w:pPr>
        <w:rPr>
          <w:rFonts w:cs="Times New Roman"/>
        </w:rPr>
      </w:pPr>
    </w:p>
    <w:p w:rsidR="00E43E7C" w:rsidRPr="00DF0680" w:rsidRDefault="004F1D48" w:rsidP="00D94477">
      <w:pPr>
        <w:pStyle w:val="Caption"/>
      </w:pPr>
      <w:r w:rsidRPr="00DF0680">
        <w:drawing>
          <wp:inline distT="0" distB="0" distL="0" distR="0">
            <wp:extent cx="5400040" cy="4813116"/>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5400040" cy="4813116"/>
                    </a:xfrm>
                    <a:prstGeom prst="rect">
                      <a:avLst/>
                    </a:prstGeom>
                    <a:noFill/>
                    <a:ln w="9525">
                      <a:noFill/>
                      <a:miter lim="800000"/>
                      <a:headEnd/>
                      <a:tailEnd/>
                    </a:ln>
                  </pic:spPr>
                </pic:pic>
              </a:graphicData>
            </a:graphic>
          </wp:inline>
        </w:drawing>
      </w:r>
    </w:p>
    <w:p w:rsidR="00E43E7C" w:rsidRPr="00DF0680" w:rsidRDefault="00E43E7C" w:rsidP="00D94477">
      <w:pPr>
        <w:pStyle w:val="Caption"/>
      </w:pPr>
    </w:p>
    <w:p w:rsidR="00E43E7C" w:rsidRPr="00DF0680" w:rsidRDefault="00E43E7C" w:rsidP="00D94477">
      <w:pPr>
        <w:pStyle w:val="Caption"/>
      </w:pPr>
      <w:bookmarkStart w:id="574" w:name="_Toc410205940"/>
      <w:bookmarkStart w:id="575" w:name="_Toc417813895"/>
      <w:r w:rsidRPr="00DF0680">
        <w:t xml:space="preserve">Figure </w:t>
      </w:r>
      <w:fldSimple w:instr=" STYLEREF 1 \s ">
        <w:r w:rsidR="006119E3">
          <w:rPr>
            <w:noProof/>
          </w:rPr>
          <w:t>3</w:t>
        </w:r>
      </w:fldSimple>
      <w:r w:rsidR="006119E3">
        <w:t>.</w:t>
      </w:r>
      <w:fldSimple w:instr=" SEQ Figure \* ARABIC \s 1 ">
        <w:r w:rsidR="006119E3">
          <w:rPr>
            <w:noProof/>
          </w:rPr>
          <w:t>6</w:t>
        </w:r>
      </w:fldSimple>
      <w:r w:rsidRPr="00DF0680">
        <w:t xml:space="preserve"> – Percentage of actively proliferating cells in the cell lines EJ and NHU as determined by BrdU incorporation.</w:t>
      </w:r>
      <w:bookmarkEnd w:id="574"/>
      <w:bookmarkEnd w:id="575"/>
    </w:p>
    <w:p w:rsidR="00E43E7C" w:rsidRPr="00DF0680" w:rsidRDefault="00E43E7C" w:rsidP="002708FC">
      <w:pPr>
        <w:spacing w:line="276" w:lineRule="auto"/>
      </w:pPr>
      <w:r w:rsidRPr="00DF0680">
        <w:t xml:space="preserve">(A) Examples of FACS plots for </w:t>
      </w:r>
      <w:r w:rsidR="00251DAA" w:rsidRPr="00DF0680">
        <w:t>asynchronous EJ and NHU cell</w:t>
      </w:r>
      <w:r w:rsidRPr="00DF0680">
        <w:t>s</w:t>
      </w:r>
      <w:r w:rsidR="008D759D" w:rsidRPr="00DF0680">
        <w:t>, after 20 minutes in BrdU containing media,</w:t>
      </w:r>
      <w:r w:rsidRPr="00DF0680">
        <w:t xml:space="preserve"> </w:t>
      </w:r>
      <w:r w:rsidR="008D759D" w:rsidRPr="00DF0680">
        <w:t xml:space="preserve">showing </w:t>
      </w:r>
      <w:r w:rsidRPr="00DF0680">
        <w:t xml:space="preserve">(i) single cells and (ii) BrdU positive cells. (B) Quantification of 3 repeats showing the percentage of BrdU positive cells in </w:t>
      </w:r>
      <w:r w:rsidR="008D759D" w:rsidRPr="00DF0680">
        <w:t xml:space="preserve">the </w:t>
      </w:r>
      <w:r w:rsidRPr="00DF0680">
        <w:t xml:space="preserve">EJ and NHU </w:t>
      </w:r>
      <w:r w:rsidR="008D759D" w:rsidRPr="00DF0680">
        <w:t>samples relative to the total number of single cells</w:t>
      </w:r>
      <w:r w:rsidRPr="00DF0680">
        <w:t xml:space="preserve">. ** indicates a Student’s t-test p-value of &lt;0.005. </w:t>
      </w:r>
    </w:p>
    <w:p w:rsidR="00E43E7C" w:rsidRPr="00DF0680" w:rsidRDefault="00E43E7C" w:rsidP="00D94477">
      <w:pPr>
        <w:pStyle w:val="Caption"/>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471D18" w:rsidP="00E43E7C">
      <w:pPr>
        <w:keepNext/>
        <w:rPr>
          <w:rFonts w:cs="Times New Roman"/>
        </w:rPr>
      </w:pPr>
      <w:r w:rsidRPr="00DF0680">
        <w:drawing>
          <wp:inline distT="0" distB="0" distL="0" distR="0">
            <wp:extent cx="5388522" cy="4213419"/>
            <wp:effectExtent l="19050" t="0" r="2628"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l="2624" t="1880"/>
                    <a:stretch>
                      <a:fillRect/>
                    </a:stretch>
                  </pic:blipFill>
                  <pic:spPr bwMode="auto">
                    <a:xfrm>
                      <a:off x="0" y="0"/>
                      <a:ext cx="5388522" cy="4213419"/>
                    </a:xfrm>
                    <a:prstGeom prst="rect">
                      <a:avLst/>
                    </a:prstGeom>
                    <a:noFill/>
                    <a:ln w="9525">
                      <a:noFill/>
                      <a:miter lim="800000"/>
                      <a:headEnd/>
                      <a:tailEnd/>
                    </a:ln>
                  </pic:spPr>
                </pic:pic>
              </a:graphicData>
            </a:graphic>
          </wp:inline>
        </w:drawing>
      </w:r>
    </w:p>
    <w:p w:rsidR="00E43E7C" w:rsidRPr="00DF0680" w:rsidRDefault="00E43E7C" w:rsidP="00E43E7C">
      <w:pPr>
        <w:keepNext/>
        <w:jc w:val="right"/>
        <w:rPr>
          <w:rFonts w:cs="Times New Roman"/>
          <w:sz w:val="22"/>
        </w:rPr>
      </w:pPr>
      <w:r w:rsidRPr="00DF0680">
        <w:rPr>
          <w:rFonts w:cs="Times New Roman"/>
          <w:sz w:val="22"/>
        </w:rPr>
        <w:t>(Figure continues on the next page)</w:t>
      </w:r>
    </w:p>
    <w:p w:rsidR="00E43E7C" w:rsidRPr="00DF0680" w:rsidRDefault="00E43E7C" w:rsidP="00D94477">
      <w:pPr>
        <w:pStyle w:val="Caption"/>
      </w:pPr>
      <w:bookmarkStart w:id="576" w:name="_Toc410205941"/>
      <w:bookmarkStart w:id="577" w:name="_Toc417813896"/>
      <w:r w:rsidRPr="00DF0680">
        <w:t xml:space="preserve">Figure </w:t>
      </w:r>
      <w:fldSimple w:instr=" STYLEREF 1 \s ">
        <w:r w:rsidR="006119E3">
          <w:rPr>
            <w:noProof/>
          </w:rPr>
          <w:t>3</w:t>
        </w:r>
      </w:fldSimple>
      <w:r w:rsidR="006119E3">
        <w:t>.</w:t>
      </w:r>
      <w:fldSimple w:instr=" SEQ Figure \* ARABIC \s 1 ">
        <w:r w:rsidR="006119E3">
          <w:rPr>
            <w:noProof/>
          </w:rPr>
          <w:t>7</w:t>
        </w:r>
      </w:fldSimple>
      <w:r w:rsidRPr="00DF0680">
        <w:t xml:space="preserve"> – The expression of RECQL5β through the cell cycle in MRC5, EJ and NHU hTERT cell lines.</w:t>
      </w:r>
      <w:bookmarkEnd w:id="576"/>
      <w:bookmarkEnd w:id="577"/>
    </w:p>
    <w:p w:rsidR="00E43E7C" w:rsidRPr="00DF0680" w:rsidRDefault="00E43E7C" w:rsidP="00DC6CDE">
      <w:pPr>
        <w:spacing w:line="276" w:lineRule="auto"/>
      </w:pPr>
      <w:r w:rsidRPr="00DF0680">
        <w:t xml:space="preserve">(A) Examples of cell cycle profiles for the cell lines </w:t>
      </w:r>
      <w:r w:rsidR="00471D18" w:rsidRPr="00DF0680">
        <w:t>MRC5V2</w:t>
      </w:r>
      <w:r w:rsidRPr="00DF0680">
        <w:t xml:space="preserve">, EJ and NHU having being synchronised with nocodazole for 16 hours and released into normal media for 0, 3, 6, 12 or 15 hours or non-synchronised (un). Profiles were used to calculate percentage of cells in each phase of the cell cycle. (B) Quantification of percentage of cells in each phase after three independent repeats for each cell line showing the average and standard deviation. (C) Western blot showing the expression of RECQL5β for each synchronised sample using β-tubulin as a protein loading control. Percentage of cells in S-phase is also shown at each time for reference. </w:t>
      </w:r>
    </w:p>
    <w:p w:rsidR="00E43E7C" w:rsidRPr="00DF0680" w:rsidRDefault="00E43E7C" w:rsidP="00D94477">
      <w:pPr>
        <w:pStyle w:val="Caption"/>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471D18" w:rsidP="00E43E7C">
      <w:pPr>
        <w:jc w:val="center"/>
        <w:rPr>
          <w:rFonts w:cs="Times New Roman"/>
        </w:rPr>
      </w:pPr>
      <w:r w:rsidRPr="00DF0680">
        <w:drawing>
          <wp:inline distT="0" distB="0" distL="0" distR="0">
            <wp:extent cx="5400040" cy="6289232"/>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a:stretch>
                      <a:fillRect/>
                    </a:stretch>
                  </pic:blipFill>
                  <pic:spPr bwMode="auto">
                    <a:xfrm>
                      <a:off x="0" y="0"/>
                      <a:ext cx="5400040" cy="6289232"/>
                    </a:xfrm>
                    <a:prstGeom prst="rect">
                      <a:avLst/>
                    </a:prstGeom>
                    <a:noFill/>
                    <a:ln w="9525">
                      <a:noFill/>
                      <a:miter lim="800000"/>
                      <a:headEnd/>
                      <a:tailEnd/>
                    </a:ln>
                  </pic:spPr>
                </pic:pic>
              </a:graphicData>
            </a:graphic>
          </wp:inline>
        </w:drawing>
      </w:r>
    </w:p>
    <w:p w:rsidR="00E43E7C" w:rsidRPr="00DF0680" w:rsidRDefault="00E43E7C" w:rsidP="008C6A44"/>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664FC">
      <w:pPr>
        <w:pStyle w:val="Heading2"/>
      </w:pPr>
      <w:bookmarkStart w:id="578" w:name="_Toc410205818"/>
      <w:bookmarkStart w:id="579" w:name="_Toc417204189"/>
      <w:bookmarkStart w:id="580" w:name="_Toc417204722"/>
      <w:bookmarkStart w:id="581" w:name="_Toc417204782"/>
      <w:bookmarkStart w:id="582" w:name="_Toc417813937"/>
      <w:r w:rsidRPr="00DF0680">
        <w:lastRenderedPageBreak/>
        <w:t>Regulation of RECQL5β is not due to altered promoter methylation status</w:t>
      </w:r>
      <w:bookmarkEnd w:id="578"/>
      <w:bookmarkEnd w:id="579"/>
      <w:bookmarkEnd w:id="580"/>
      <w:bookmarkEnd w:id="581"/>
      <w:bookmarkEnd w:id="582"/>
    </w:p>
    <w:p w:rsidR="00E43E7C" w:rsidRPr="00DF0680" w:rsidRDefault="00E43E7C" w:rsidP="00E43E7C">
      <w:pPr>
        <w:rPr>
          <w:rFonts w:cs="Times New Roman"/>
        </w:rPr>
      </w:pPr>
      <w:r w:rsidRPr="00DF0680">
        <w:rPr>
          <w:rFonts w:cs="Times New Roman"/>
        </w:rPr>
        <w:t xml:space="preserve">One way in which the expression of a gene transcript can be regulated is through promoter methylation. Examination of the RECQL5 gene using the UCSC Genome Browser identified a CpG island in the promoter of RECQL5, suggesting possible gene expression regulation through promoter methylation (Figure 3.8 A) </w:t>
      </w:r>
      <w:r w:rsidR="00F20EC0" w:rsidRPr="00DF0680">
        <w:rPr>
          <w:rFonts w:cs="Times New Roman"/>
        </w:rPr>
        <w:fldChar w:fldCharType="begin" w:fldLock="1"/>
      </w:r>
      <w:r w:rsidR="00332613" w:rsidRPr="00DF0680">
        <w:rPr>
          <w:rFonts w:cs="Times New Roman"/>
        </w:rPr>
        <w:instrText>ADDIN CSL_CITATION { "citationItems" : [ { "id" : "ITEM-1", "itemData" : { "DOI" : "10.1093/nar/gkt1168", "ISSN" : "1362-4962", "PMID" : "24270787", "abstract" : "The University of California Santa Cruz (UCSC) Genome Browser (http://genome.ucsc.edu) offers online public access to a growing database of genomic sequence and annotations for a large collection of organisms, primarily vertebrates, with an emphasis on the human and mouse genomes. The Browser's web-based tools provide an integrated environment for visualizing, comparing, analysing and sharing both publicly available and user-generated genomic data sets. As of September 2013, the database contained genomic sequence and a basic set of annotation 'tracks' for \u223c90 organisms. Significant new annotations include a 60-species multiple alignment conservation track on the mouse, updated UCSC Genes tracks for human and mouse, and several new sets of variation and ENCODE data. New software tools include a Variant Annotation Integrator that returns predicted functional effects of a set of variants uploaded as a custom track, an extension to UCSC Genes that displays haplotype alleles for protein-coding genes and an expansion of data hubs that includes the capability to display remotely hosted user-provided assembly sequence in addition to annotation data. To improve European access, we have added a Genome Browser mirror (http://genome-euro.ucsc.edu) hosted at Bielefeld University in Germany.", "author" : [ { "dropping-particle" : "", "family" : "Karolchik", "given" : "Donna", "non-dropping-particle" : "", "parse-names" : false, "suffix" : "" }, { "dropping-particle" : "", "family" : "Barber", "given" : "Galt P", "non-dropping-particle" : "", "parse-names" : false, "suffix" : "" }, { "dropping-particle" : "", "family" : "Casper", "given" : "Jonathan", "non-dropping-particle" : "", "parse-names" : false, "suffix" : "" }, { "dropping-particle" : "", "family" : "Clawson", "given" : "Hiram", "non-dropping-particle" : "", "parse-names" : false, "suffix" : "" }, { "dropping-particle" : "", "family" : "Cline", "given" : "Melissa S", "non-dropping-particle" : "", "parse-names" : false, "suffix" : "" }, { "dropping-particle" : "", "family" : "Diekhans", "given" : "Mark", "non-dropping-particle" : "", "parse-names" : false, "suffix" : "" }, { "dropping-particle" : "", "family" : "Dreszer", "given" : "Timothy R", "non-dropping-particle" : "", "parse-names" : false, "suffix" : "" }, { "dropping-particle" : "", "family" : "Fujita", "given" : "Pauline a", "non-dropping-particle" : "", "parse-names" : false, "suffix" : "" }, { "dropping-particle" : "", "family" : "Guruvadoo", "given" : "Luvina", "non-dropping-particle" : "", "parse-names" : false, "suffix" : "" }, { "dropping-particle" : "", "family" : "Haeussler", "given" : "Maximilian", "non-dropping-particle" : "", "parse-names" : false, "suffix" : "" }, { "dropping-particle" : "", "family" : "Harte", "given" : "Rachel a", "non-dropping-particle" : "", "parse-names" : false, "suffix" : "" }, { "dropping-particle" : "", "family" : "Heitner", "given" : "Steve", "non-dropping-particle" : "", "parse-names" : false, "suffix" : "" }, { "dropping-particle" : "", "family" : "Hinrichs", "given" : "Angie S", "non-dropping-particle" : "", "parse-names" : false, "suffix" : "" }, { "dropping-particle" : "", "family" : "Learned", "given" : "Katrina", "non-dropping-particle" : "", "parse-names" : false, "suffix" : "" }, { "dropping-particle" : "", "family" : "Lee", "given" : "Brian T", "non-dropping-particle" : "", "parse-names" : false, "suffix" : "" }, { "dropping-particle" : "", "family" : "Li", "given" : "Chin H", "non-dropping-particle" : "", "parse-names" : false, "suffix" : "" }, { "dropping-particle" : "", "family" : "Raney", "given" : "Brian J", "non-dropping-particle" : "", "parse-names" : false, "suffix" : "" }, { "dropping-particle" : "", "family" : "Rhead", "given" : "Brooke", "non-dropping-particle" : "", "parse-names" : false, "suffix" : "" }, { "dropping-particle" : "", "family" : "Rosenbloom", "given" : "Kate R", "non-dropping-particle" : "", "parse-names" : false, "suffix" : "" }, { "dropping-particle" : "", "family" : "Sloan", "given" : "Cricket a", "non-dropping-particle" : "", "parse-names" : false, "suffix" : "" }, { "dropping-particle" : "", "family" : "Speir", "given" : "Matthew L", "non-dropping-particle" : "", "parse-names" : false, "suffix" : "" }, { "dropping-particle" : "", "family" : "Zweig", "given" : "Ann S", "non-dropping-particle" : "", "parse-names" : false, "suffix" : "" }, { "dropping-particle" : "", "family" : "Haussler", "given" : "David", "non-dropping-particle" : "", "parse-names" : false, "suffix" : "" }, { "dropping-particle" : "", "family" : "Kuhn", "given" : "Robert M", "non-dropping-particle" : "", "parse-names" : false, "suffix" : "" }, { "dropping-particle" : "", "family" : "Kent", "given" : "W James", "non-dropping-particle" : "", "parse-names" : false, "suffix" : "" } ], "container-title" : "Nucleic Acids Research", "id" : "ITEM-1", "issued" : { "date-parts" : [ [ "2014", "1" ] ] }, "page" : "D764-70", "title" : "The UCSC Genome Browser database: 2014 update.", "type" : "article-journal", "volume" : "42" }, "uris" : [ "http://www.mendeley.com/documents/?uuid=7f1f2b1a-b6fe-4794-878d-08a633f109e5" ] }, { "id" : "ITEM-2", "itemData" : { "DOI" : "10.1101/gr.229102", "ISSN" : "1088-9051", "author" : [ { "dropping-particle" : "", "family" : "Kent", "given" : "W. J.", "non-dropping-particle" : "", "parse-names" : false, "suffix" : "" }, { "dropping-particle" : "", "family" : "Sugnet", "given" : "C. W.", "non-dropping-particle" : "", "parse-names" : false, "suffix" : "" }, { "dropping-particle" : "", "family" : "Furey", "given" : "T. S.", "non-dropping-particle" : "", "parse-names" : false, "suffix" : "" }, { "dropping-particle" : "", "family" : "Roskin", "given" : "K. M.", "non-dropping-particle" : "", "parse-names" : false, "suffix" : "" }, { "dropping-particle" : "", "family" : "Pringle", "given" : "T. H.", "non-dropping-particle" : "", "parse-names" : false, "suffix" : "" }, { "dropping-particle" : "", "family" : "Zahler", "given" : "a. M.", "non-dropping-particle" : "", "parse-names" : false, "suffix" : "" }, { "dropping-particle" : "", "family" : "Haussler", "given" : "a. D.", "non-dropping-particle" : "", "parse-names" : false, "suffix" : "" } ], "container-title" : "Genome Research", "id" : "ITEM-2", "issue" : "6", "issued" : { "date-parts" : [ [ "2002", "5", "16" ] ] }, "page" : "996-1006", "title" : "The Human Genome Browser at UCSC", "type" : "article-journal", "volume" : "12" }, "uris" : [ "http://www.mendeley.com/documents/?uuid=9be4877b-fb1d-4827-ac94-066bd661ea1b" ] }, { "id" : "ITEM-3", "itemData" : { "author" : [ { "dropping-particle" : "", "family" : "Gardiner-Garden", "given" : "M", "non-dropping-particle" : "", "parse-names" : false, "suffix" : "" }, { "dropping-particle" : "", "family" : "Frommer", "given" : "M", "non-dropping-particle" : "", "parse-names" : false, "suffix" : "" } ], "container-title" : "Journal of Molecular Biology", "id" : "ITEM-3", "issue" : "2", "issued" : { "date-parts" : [ [ "1987" ] ] }, "page" : "261-282", "title" : "CpG islands in vertebrate genomes", "type" : "article-journal", "volume" : "196" }, "uris" : [ "http://www.mendeley.com/documents/?uuid=c8bd0e4b-b068-4171-8dfd-589d607c39dc" ] } ], "mendeley" : { "formattedCitation" : "(Karolchik et al. 2014; Kent et al. 2002; Gardiner-Garden &amp; Frommer 1987)", "plainTextFormattedCitation" : "(Karolchik et al. 2014; Kent et al. 2002; Gardiner-Garden &amp; Frommer 1987)", "previouslyFormattedCitation" : "(Karolchik et al. 2014; Kent et al. 2002; Gardiner-Garden &amp; Frommer 1987)"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(Karolchik et al. 2014; Kent et al. 2002; Gardiner-Garden &amp; Frommer 1987)</w:t>
      </w:r>
      <w:r w:rsidR="00F20EC0" w:rsidRPr="00DF0680">
        <w:rPr>
          <w:rFonts w:cs="Times New Roman"/>
        </w:rPr>
        <w:fldChar w:fldCharType="end"/>
      </w:r>
      <w:r w:rsidRPr="00DF0680">
        <w:rPr>
          <w:rFonts w:cs="Times New Roman"/>
        </w:rPr>
        <w:t xml:space="preserve">. To investigate this possibility, EJ and NHU hTERT cells were treated with the de-methylating agent 5-Aza-2′-deoxycytidine </w:t>
      </w:r>
      <w:r w:rsidR="009379AB" w:rsidRPr="00DF0680">
        <w:rPr>
          <w:rFonts w:cs="Times New Roman"/>
        </w:rPr>
        <w:t xml:space="preserve">for 72 hours </w:t>
      </w:r>
      <w:r w:rsidRPr="00DF0680">
        <w:rPr>
          <w:rFonts w:cs="Times New Roman"/>
        </w:rPr>
        <w:t xml:space="preserve">and RECQL5β protein levels </w:t>
      </w:r>
      <w:r w:rsidR="009379AB" w:rsidRPr="00DF0680">
        <w:rPr>
          <w:rFonts w:cs="Times New Roman"/>
        </w:rPr>
        <w:t xml:space="preserve">were </w:t>
      </w:r>
      <w:r w:rsidRPr="00DF0680">
        <w:rPr>
          <w:rFonts w:cs="Times New Roman"/>
        </w:rPr>
        <w:t xml:space="preserve">analysed using Western blot. The protein Cep131 was used as a positive control due to its expression being increased upon treatment with 5-aza-2’-deoxycytidine </w:t>
      </w:r>
      <w:r w:rsidR="00F20EC0" w:rsidRPr="00DF0680">
        <w:rPr>
          <w:rFonts w:cs="Times New Roman"/>
        </w:rPr>
        <w:fldChar w:fldCharType="begin" w:fldLock="1"/>
      </w:r>
      <w:r w:rsidR="00332613" w:rsidRPr="00DF0680">
        <w:rPr>
          <w:rFonts w:cs="Times New Roman"/>
        </w:rPr>
        <w:instrText>ADDIN CSL_CITATION { "citationItems" : [ { "id" : "ITEM-1", "itemData" : { "DOI" : "10.1111/j.1432-1033.1995.008_c.x", "ISSN" : "0014-2956", "author" : [ { "dropping-particle" : "", "family" : "Aoto", "given" : "Hiroshi", "non-dropping-particle" : "", "parse-names" : false, "suffix" : "" }, { "dropping-particle" : "", "family" : "Tsuchida", "given" : "Junji", "non-dropping-particle" : "", "parse-names" : false, "suffix" : "" }, { "dropping-particle" : "", "family" : "Nishina", "given" : "Yukio", "non-dropping-particle" : "", "parse-names" : false, "suffix" : "" }, { "dropping-particle" : "", "family" : "Nishimune", "given" : "Yoshitake", "non-dropping-particle" : "", "parse-names" : false, "suffix" : "" }, { "dropping-particle" : "", "family" : "Asano", "given" : "Akira", "non-dropping-particle" : "", "parse-names" : false, "suffix" : "" }, { "dropping-particle" : "", "family" : "Tajima", "given" : "Shoji", "non-dropping-particle" : "", "parse-names" : false, "suffix" : "" } ], "container-title" : "European Journal of Biochemistry", "id" : "ITEM-1", "issue" : "1", "issued" : { "date-parts" : [ [ "1995", "11" ] ] }, "page" : "8-15", "title" : "Isolation of a Novel cDNA that Encodes a Protein Localized to the Pre-Acrosome Region of Spermatids", "type" : "article-journal", "volume" : "234" }, "uris" : [ "http://www.mendeley.com/documents/?uuid=6dfb3c94-daf6-4620-b5f2-2d9b31004e57" ] } ], "mendeley" : { "formattedCitation" : "(Aoto et al. 1995)", "plainTextFormattedCitation" : "(Aoto et al. 1995)", "previouslyFormattedCitation" : "(Aoto et al. 1995)"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(Aoto et al. 1995)</w:t>
      </w:r>
      <w:r w:rsidR="00F20EC0" w:rsidRPr="00DF0680">
        <w:rPr>
          <w:rFonts w:cs="Times New Roman"/>
        </w:rPr>
        <w:fldChar w:fldCharType="end"/>
      </w:r>
      <w:r w:rsidRPr="00DF0680">
        <w:rPr>
          <w:rFonts w:cs="Times New Roman"/>
        </w:rPr>
        <w:t xml:space="preserve">. Although the induction of Cep131 expression can be seen after 5-aza-2’-deoxycytidine treatment in EJ cells, RECQL5β expression is not changed (Figure 3.8 B). RECQL5β expression was not altered after treatment in the NHU hTERT cells either, although interestingly, there was also no difference in control (Cep131) levels. This may indicate that RECQL5β is not controlled through promoter methylation in the cancer cell lines, but </w:t>
      </w:r>
      <w:r w:rsidR="009379AB" w:rsidRPr="00DF0680">
        <w:rPr>
          <w:rFonts w:cs="Times New Roman"/>
        </w:rPr>
        <w:t xml:space="preserve">the experiment needs to be repeated with an alternative control to determine </w:t>
      </w:r>
      <w:r w:rsidRPr="00DF0680">
        <w:rPr>
          <w:rFonts w:cs="Times New Roman"/>
        </w:rPr>
        <w:t xml:space="preserve">whether </w:t>
      </w:r>
      <w:r w:rsidR="009379AB" w:rsidRPr="00DF0680">
        <w:rPr>
          <w:rFonts w:cs="Times New Roman"/>
        </w:rPr>
        <w:t>promoter methylation</w:t>
      </w:r>
      <w:r w:rsidRPr="00DF0680">
        <w:rPr>
          <w:rFonts w:cs="Times New Roman"/>
        </w:rPr>
        <w:t xml:space="preserve"> </w:t>
      </w:r>
      <w:r w:rsidR="009379AB" w:rsidRPr="00DF0680">
        <w:rPr>
          <w:rFonts w:cs="Times New Roman"/>
        </w:rPr>
        <w:t xml:space="preserve">has an effect in </w:t>
      </w:r>
      <w:r w:rsidRPr="00DF0680">
        <w:rPr>
          <w:rFonts w:cs="Times New Roman"/>
        </w:rPr>
        <w:t>normal bladder cell</w:t>
      </w:r>
      <w:r w:rsidR="009379AB" w:rsidRPr="00DF0680">
        <w:rPr>
          <w:rFonts w:cs="Times New Roman"/>
        </w:rPr>
        <w:t>s</w:t>
      </w:r>
      <w:r w:rsidRPr="00DF0680">
        <w:rPr>
          <w:rFonts w:cs="Times New Roman"/>
        </w:rPr>
        <w:t>. As this assay was performed with protein analysis, it will need to be repeated, analysing mRNA levels, before ruling out that differential methylation is controlling transcription of RECQL5.</w:t>
      </w: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9379AB" w:rsidRPr="00DF0680" w:rsidRDefault="009379AB" w:rsidP="00E43E7C">
      <w:pPr>
        <w:jc w:val="center"/>
        <w:rPr>
          <w:rFonts w:cs="Times New Roman"/>
          <w:sz w:val="22"/>
        </w:rPr>
      </w:pPr>
    </w:p>
    <w:p w:rsidR="00E43E7C" w:rsidRPr="00DF0680" w:rsidRDefault="00E43E7C" w:rsidP="00E43E7C">
      <w:pPr>
        <w:jc w:val="center"/>
        <w:rPr>
          <w:rFonts w:cs="Times New Roman"/>
          <w:sz w:val="22"/>
        </w:rPr>
      </w:pPr>
      <w:r w:rsidRPr="00DF0680">
        <w:rPr>
          <w:rFonts w:cs="Times New Roman"/>
        </w:rPr>
        <w:drawing>
          <wp:inline distT="0" distB="0" distL="0" distR="0">
            <wp:extent cx="3058795" cy="7851140"/>
            <wp:effectExtent l="0" t="0" r="8255" b="0"/>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srcRect/>
                    <a:stretch>
                      <a:fillRect/>
                    </a:stretch>
                  </pic:blipFill>
                  <pic:spPr bwMode="auto">
                    <a:xfrm>
                      <a:off x="0" y="0"/>
                      <a:ext cx="3058795" cy="7851140"/>
                    </a:xfrm>
                    <a:prstGeom prst="rect">
                      <a:avLst/>
                    </a:prstGeom>
                    <a:noFill/>
                    <a:ln w="9525">
                      <a:noFill/>
                      <a:miter lim="800000"/>
                      <a:headEnd/>
                      <a:tailEnd/>
                    </a:ln>
                  </pic:spPr>
                </pic:pic>
              </a:graphicData>
            </a:graphic>
          </wp:inline>
        </w:drawing>
      </w:r>
    </w:p>
    <w:p w:rsidR="00E43E7C" w:rsidRPr="00DF0680" w:rsidRDefault="00E43E7C" w:rsidP="00E43E7C">
      <w:pPr>
        <w:jc w:val="right"/>
        <w:rPr>
          <w:rFonts w:cs="Times New Roman"/>
          <w:sz w:val="22"/>
        </w:rPr>
      </w:pPr>
      <w:r w:rsidRPr="00DF0680">
        <w:rPr>
          <w:rFonts w:cs="Times New Roman"/>
          <w:sz w:val="22"/>
        </w:rPr>
        <w:t>(Figure continues on the next page)</w:t>
      </w:r>
    </w:p>
    <w:p w:rsidR="00E43E7C" w:rsidRPr="00DF0680" w:rsidRDefault="00E43E7C" w:rsidP="00E43E7C">
      <w:pPr>
        <w:jc w:val="center"/>
        <w:rPr>
          <w:rFonts w:cs="Times New Roman"/>
        </w:rPr>
      </w:pPr>
    </w:p>
    <w:p w:rsidR="00E43E7C" w:rsidRPr="00DF0680" w:rsidRDefault="00E43E7C" w:rsidP="00E43E7C">
      <w:pPr>
        <w:jc w:val="center"/>
        <w:rPr>
          <w:rFonts w:cs="Times New Roman"/>
        </w:rPr>
      </w:pPr>
    </w:p>
    <w:p w:rsidR="00E43E7C" w:rsidRPr="00DF0680" w:rsidRDefault="00E43E7C" w:rsidP="00E43E7C">
      <w:pPr>
        <w:keepNext/>
        <w:jc w:val="center"/>
        <w:rPr>
          <w:rFonts w:cs="Times New Roman"/>
        </w:rPr>
      </w:pPr>
      <w:r w:rsidRPr="00DF0680">
        <w:rPr>
          <w:rFonts w:cs="Times New Roman"/>
        </w:rPr>
        <w:drawing>
          <wp:inline distT="0" distB="0" distL="0" distR="0">
            <wp:extent cx="4836795" cy="3200400"/>
            <wp:effectExtent l="0" t="0" r="0"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srcRect/>
                    <a:stretch>
                      <a:fillRect/>
                    </a:stretch>
                  </pic:blipFill>
                  <pic:spPr bwMode="auto">
                    <a:xfrm>
                      <a:off x="0" y="0"/>
                      <a:ext cx="4836795" cy="3200400"/>
                    </a:xfrm>
                    <a:prstGeom prst="rect">
                      <a:avLst/>
                    </a:prstGeom>
                    <a:noFill/>
                    <a:ln w="9525">
                      <a:noFill/>
                      <a:miter lim="800000"/>
                      <a:headEnd/>
                      <a:tailEnd/>
                    </a:ln>
                  </pic:spPr>
                </pic:pic>
              </a:graphicData>
            </a:graphic>
          </wp:inline>
        </w:drawing>
      </w:r>
    </w:p>
    <w:p w:rsidR="00E43E7C" w:rsidRPr="00DF0680" w:rsidRDefault="00E43E7C" w:rsidP="00D94477">
      <w:pPr>
        <w:pStyle w:val="Caption"/>
      </w:pPr>
      <w:bookmarkStart w:id="583" w:name="_Toc410205942"/>
    </w:p>
    <w:p w:rsidR="00E43E7C" w:rsidRPr="00DF0680" w:rsidRDefault="00E43E7C" w:rsidP="00D94477">
      <w:pPr>
        <w:pStyle w:val="Caption"/>
      </w:pPr>
      <w:bookmarkStart w:id="584" w:name="_Toc417813897"/>
      <w:r w:rsidRPr="00DF0680">
        <w:t xml:space="preserve">Figure </w:t>
      </w:r>
      <w:fldSimple w:instr=" STYLEREF 1 \s ">
        <w:r w:rsidR="006119E3">
          <w:rPr>
            <w:noProof/>
          </w:rPr>
          <w:t>3</w:t>
        </w:r>
      </w:fldSimple>
      <w:r w:rsidR="006119E3">
        <w:t>.</w:t>
      </w:r>
      <w:fldSimple w:instr=" SEQ Figure \* ARABIC \s 1 ">
        <w:r w:rsidR="006119E3">
          <w:rPr>
            <w:noProof/>
          </w:rPr>
          <w:t>8</w:t>
        </w:r>
      </w:fldSimple>
      <w:r w:rsidRPr="00DF0680">
        <w:t xml:space="preserve"> – RECQL5β protein expression after global demethylation using Western blotting.</w:t>
      </w:r>
      <w:bookmarkEnd w:id="583"/>
      <w:bookmarkEnd w:id="584"/>
      <w:r w:rsidRPr="00DF0680">
        <w:t xml:space="preserve"> </w:t>
      </w:r>
    </w:p>
    <w:p w:rsidR="00E43E7C" w:rsidRPr="00DF0680" w:rsidRDefault="00E43E7C" w:rsidP="009379AB">
      <w:pPr>
        <w:spacing w:line="276" w:lineRule="auto"/>
      </w:pPr>
      <w:r w:rsidRPr="00DF0680">
        <w:t xml:space="preserve">(A) Screenshot of the UCSC Genome Browser using Human Feb. 2009 (GRCh37/hg19) Assembly (http://genome.ucsc.edu/) showing chromosome location, CpG islands, density plots for transcription factors and H3K27 acetylation, for the RECQL5 DNA sequence. (B) Western blot showing the expression of RECQL5β in the EJ and NHU hTERT cell line with and without 5-aza-2'-deoxycytidine treatment. Cep131 and β-actin are used as controls for demethylation and protein loading respectively. o/e indicates a longer exposure blot. </w:t>
      </w:r>
    </w:p>
    <w:p w:rsidR="00E43E7C" w:rsidRPr="00DF0680" w:rsidRDefault="00E43E7C" w:rsidP="00D94477">
      <w:pPr>
        <w:pStyle w:val="Caption"/>
      </w:pPr>
    </w:p>
    <w:p w:rsidR="00E43E7C" w:rsidRPr="00DF0680" w:rsidRDefault="00E43E7C" w:rsidP="00E43E7C"/>
    <w:p w:rsidR="00E43E7C" w:rsidRPr="00DF0680" w:rsidRDefault="00E43E7C" w:rsidP="00E43E7C"/>
    <w:p w:rsidR="00E43E7C" w:rsidRPr="00DF0680" w:rsidRDefault="00E43E7C" w:rsidP="00E43E7C"/>
    <w:p w:rsidR="00E43E7C" w:rsidRPr="00DF0680" w:rsidRDefault="00E43E7C" w:rsidP="00E43E7C"/>
    <w:p w:rsidR="00E43E7C" w:rsidRPr="00DF0680" w:rsidRDefault="00E43E7C" w:rsidP="00E43E7C"/>
    <w:p w:rsidR="00E43E7C" w:rsidRPr="00DF0680" w:rsidRDefault="00E43E7C" w:rsidP="00E664FC">
      <w:pPr>
        <w:pStyle w:val="Heading2"/>
      </w:pPr>
      <w:bookmarkStart w:id="585" w:name="_Toc410205819"/>
      <w:bookmarkStart w:id="586" w:name="_Toc417204190"/>
      <w:bookmarkStart w:id="587" w:name="_Toc417204723"/>
      <w:bookmarkStart w:id="588" w:name="_Toc417204783"/>
      <w:bookmarkStart w:id="589" w:name="_Toc417813938"/>
      <w:r w:rsidRPr="00DF0680">
        <w:lastRenderedPageBreak/>
        <w:t>The stability of RECQL5β protein is similar between cancer and normal cell lines</w:t>
      </w:r>
      <w:bookmarkEnd w:id="585"/>
      <w:bookmarkEnd w:id="586"/>
      <w:bookmarkEnd w:id="587"/>
      <w:bookmarkEnd w:id="588"/>
      <w:bookmarkEnd w:id="589"/>
    </w:p>
    <w:p w:rsidR="00E43E7C" w:rsidRPr="00DF0680" w:rsidRDefault="00E43E7C" w:rsidP="00E43E7C">
      <w:pPr>
        <w:rPr>
          <w:rFonts w:cs="Times New Roman"/>
        </w:rPr>
      </w:pPr>
      <w:r w:rsidRPr="00DF0680">
        <w:rPr>
          <w:rFonts w:cs="Times New Roman"/>
        </w:rPr>
        <w:t xml:space="preserve">If the cancer cell line had acquired a mutation that stabilised or reduced turnover of the RECQL5β protein, it would go some way to explaining the discrepancy between the mRNA and protein levels. It was therefore hypothesised that RECQL5β protein would be more stable in the cancer cell line EJ compared to NHU cells. This was investigated by inhibiting protein synthesis using cycloheximide and analysing the level of protein in both cell lines over 24 hours. C-myc protein was used as a positive control for protein turnover due to its short half life of only 30 minutes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"Ramsay", "given" : "Gary", "non-dropping-particle" : "", "parse-names" : false, "suffix" : "" }, { "dropping-particle" : "", "family" : "Evan", "given" : "GI", "non-dropping-particle" : "", "parse-names" : false, "suffix" : "" }, { "dropping-particle" : "", "family" : "Bishop", "given" : "JM", "non-dropping-particle" : "", "parse-names" : false, "suffix" : "" } ], "container-title" : "Proceedings of the National Academy of Sciences", "id" : "ITEM-1", "issue" : "24", "issued" : { "date-parts" : [ [ "1984" ] ] }, "page" : "7742-7746", "title" : "The protein encoded by the human proto-oncogene c-myc", "type" : "article-journal", "volume" : "81" }, "uris" : [ "http://www.mendeley.com/documents/?uuid=94566dc7-118a-4186-8c6f-32fdb1fb7f73" ] } ], "mendeley" : { "formattedCitation" : "(Ramsay et al. 1984)", "plainTextFormattedCitation" : "(Ramsay et al. 1984)", "previouslyFormattedCitation" : "(Ramsay et al. 1984)"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(Ramsay et al. 1984)</w:t>
      </w:r>
      <w:r w:rsidR="00F20EC0" w:rsidRPr="00DF0680">
        <w:rPr>
          <w:rFonts w:cs="Times New Roman"/>
        </w:rPr>
        <w:fldChar w:fldCharType="end"/>
      </w:r>
      <w:r w:rsidRPr="00DF0680">
        <w:rPr>
          <w:rFonts w:cs="Times New Roman"/>
        </w:rPr>
        <w:t>. After 24 hours</w:t>
      </w:r>
      <w:r w:rsidR="009379AB" w:rsidRPr="00DF0680">
        <w:rPr>
          <w:rFonts w:cs="Times New Roman"/>
        </w:rPr>
        <w:t xml:space="preserve"> of cycloheximide treatment</w:t>
      </w:r>
      <w:r w:rsidRPr="00DF0680">
        <w:rPr>
          <w:rFonts w:cs="Times New Roman"/>
        </w:rPr>
        <w:t xml:space="preserve">, although the amount of c-myc protein decreased significantly in both the bladder cancer and normal cell line, RECQL5β protein levels remained steady with no </w:t>
      </w:r>
      <w:r w:rsidR="00711BF9" w:rsidRPr="00DF0680">
        <w:rPr>
          <w:rFonts w:cs="Times New Roman"/>
        </w:rPr>
        <w:t xml:space="preserve">changes in either of </w:t>
      </w:r>
      <w:r w:rsidRPr="00DF0680">
        <w:rPr>
          <w:rFonts w:cs="Times New Roman"/>
        </w:rPr>
        <w:t xml:space="preserve">the cell lines (Figure 3.9). This would suggest that there is not a change in protein stability in the cancer cell line EJ, but because the cycloheximide treatment was toxic to the cells after 24 hours, we cannot make any statements as to the stability of RECQL5β protein after this time. Longer term experiments were not conducted due to this toxicity. </w:t>
      </w:r>
    </w:p>
    <w:p w:rsidR="00E43E7C" w:rsidRPr="00DF0680" w:rsidRDefault="00711BF9" w:rsidP="00E43E7C">
      <w:pPr>
        <w:rPr>
          <w:rFonts w:cs="Times New Roman"/>
        </w:rPr>
      </w:pPr>
      <w:r w:rsidRPr="00DF0680">
        <w:lastRenderedPageBreak/>
        <w:drawing>
          <wp:inline distT="0" distB="0" distL="0" distR="0">
            <wp:extent cx="5400040" cy="7399610"/>
            <wp:effectExtent l="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5400040" cy="7399610"/>
                    </a:xfrm>
                    <a:prstGeom prst="rect">
                      <a:avLst/>
                    </a:prstGeom>
                    <a:noFill/>
                    <a:ln w="9525">
                      <a:noFill/>
                      <a:miter lim="800000"/>
                      <a:headEnd/>
                      <a:tailEnd/>
                    </a:ln>
                  </pic:spPr>
                </pic:pic>
              </a:graphicData>
            </a:graphic>
          </wp:inline>
        </w:drawing>
      </w:r>
    </w:p>
    <w:p w:rsidR="00E43E7C" w:rsidRPr="00DF0680" w:rsidRDefault="00E43E7C" w:rsidP="00E43E7C">
      <w:pPr>
        <w:rPr>
          <w:rFonts w:cs="Times New Roman"/>
        </w:rPr>
      </w:pPr>
    </w:p>
    <w:p w:rsidR="00E43E7C" w:rsidRPr="00DF0680" w:rsidRDefault="00E43E7C" w:rsidP="00E43E7C">
      <w:pPr>
        <w:jc w:val="right"/>
        <w:rPr>
          <w:rFonts w:cs="Times New Roman"/>
          <w:sz w:val="22"/>
        </w:rPr>
      </w:pPr>
      <w:r w:rsidRPr="00DF0680">
        <w:rPr>
          <w:rFonts w:cs="Times New Roman"/>
        </w:rPr>
        <w:tab/>
      </w:r>
      <w:r w:rsidRPr="00DF0680">
        <w:rPr>
          <w:rFonts w:cs="Times New Roman"/>
          <w:sz w:val="22"/>
        </w:rPr>
        <w:t>(Figure continues on the next page)</w:t>
      </w:r>
    </w:p>
    <w:p w:rsidR="00E43E7C" w:rsidRPr="00DF0680" w:rsidRDefault="00E43E7C" w:rsidP="00E43E7C">
      <w:pPr>
        <w:tabs>
          <w:tab w:val="left" w:pos="6000"/>
        </w:tabs>
        <w:rPr>
          <w:rFonts w:cs="Times New Roman"/>
        </w:rPr>
      </w:pPr>
    </w:p>
    <w:p w:rsidR="00E43E7C" w:rsidRPr="00DF0680" w:rsidRDefault="00E43E7C" w:rsidP="00E43E7C">
      <w:pPr>
        <w:keepNext/>
        <w:rPr>
          <w:rFonts w:cs="Times New Roman"/>
        </w:rPr>
      </w:pPr>
    </w:p>
    <w:p w:rsidR="00E43E7C" w:rsidRPr="00DF0680" w:rsidRDefault="00711BF9" w:rsidP="00E43E7C">
      <w:pPr>
        <w:keepNext/>
        <w:rPr>
          <w:rFonts w:cs="Times New Roman"/>
        </w:rPr>
      </w:pPr>
      <w:r w:rsidRPr="00DF0680">
        <w:drawing>
          <wp:inline distT="0" distB="0" distL="0" distR="0">
            <wp:extent cx="5400040" cy="2661343"/>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5400040" cy="2661343"/>
                    </a:xfrm>
                    <a:prstGeom prst="rect">
                      <a:avLst/>
                    </a:prstGeom>
                    <a:noFill/>
                    <a:ln w="9525">
                      <a:noFill/>
                      <a:miter lim="800000"/>
                      <a:headEnd/>
                      <a:tailEnd/>
                    </a:ln>
                  </pic:spPr>
                </pic:pic>
              </a:graphicData>
            </a:graphic>
          </wp:inline>
        </w:drawing>
      </w:r>
    </w:p>
    <w:p w:rsidR="00E43E7C" w:rsidRPr="00DF0680" w:rsidRDefault="00E43E7C" w:rsidP="00D94477">
      <w:pPr>
        <w:pStyle w:val="Caption"/>
      </w:pPr>
    </w:p>
    <w:p w:rsidR="00E43E7C" w:rsidRPr="00DF0680" w:rsidRDefault="00E43E7C" w:rsidP="00D94477">
      <w:pPr>
        <w:pStyle w:val="Caption"/>
      </w:pPr>
      <w:bookmarkStart w:id="590" w:name="_Toc410205943"/>
      <w:bookmarkStart w:id="591" w:name="_Toc417813898"/>
      <w:r w:rsidRPr="00DF0680">
        <w:t xml:space="preserve">Figure </w:t>
      </w:r>
      <w:fldSimple w:instr=" STYLEREF 1 \s ">
        <w:r w:rsidR="006119E3">
          <w:rPr>
            <w:noProof/>
          </w:rPr>
          <w:t>3</w:t>
        </w:r>
      </w:fldSimple>
      <w:r w:rsidR="006119E3">
        <w:t>.</w:t>
      </w:r>
      <w:fldSimple w:instr=" SEQ Figure \* ARABIC \s 1 ">
        <w:r w:rsidR="006119E3">
          <w:rPr>
            <w:noProof/>
          </w:rPr>
          <w:t>9</w:t>
        </w:r>
      </w:fldSimple>
      <w:r w:rsidRPr="00DF0680">
        <w:t xml:space="preserve"> – RECQL5β protein expression over 24 hours</w:t>
      </w:r>
      <w:bookmarkEnd w:id="590"/>
      <w:bookmarkEnd w:id="591"/>
    </w:p>
    <w:p w:rsidR="00E43E7C" w:rsidRPr="00DF0680" w:rsidRDefault="00E43E7C" w:rsidP="00711BF9">
      <w:pPr>
        <w:spacing w:line="276" w:lineRule="auto"/>
      </w:pPr>
      <w:r w:rsidRPr="00DF0680">
        <w:t>(A+B) Example of a Western blot showing RECQL5β expression with and without cycloheximide (CHX) treatment for 0, 4, 8 and 24 hours in the EJ (A) and NHU hTERT (B) cell line. C-myc and β-actin were used as controls for inhibition of protein synthesis and protein loading respectively. Western blot for RECQL5 and c-myc with EJ  cell extracts represents an exposure of 10 minutes while NHU represents an exposure of one hour. Quantification of c-myc (C+D) and RECQL5β (E+F) protein expression using band density relative to β-actin. There is no significant difference in relative RECQL5β expression between cells treated with and without cycloheximide at any time point in either of the cell lines.</w:t>
      </w:r>
    </w:p>
    <w:p w:rsidR="00E43E7C" w:rsidRPr="00DF0680" w:rsidRDefault="00E43E7C" w:rsidP="00D94477">
      <w:pPr>
        <w:pStyle w:val="Caption"/>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664FC">
      <w:pPr>
        <w:pStyle w:val="Heading2"/>
      </w:pPr>
      <w:bookmarkStart w:id="592" w:name="_Toc410205820"/>
      <w:bookmarkStart w:id="593" w:name="_Toc417204191"/>
      <w:bookmarkStart w:id="594" w:name="_Toc417204724"/>
      <w:bookmarkStart w:id="595" w:name="_Toc417204784"/>
      <w:bookmarkStart w:id="596" w:name="_Toc417813939"/>
      <w:r w:rsidRPr="00DF0680">
        <w:lastRenderedPageBreak/>
        <w:t>RECQL5β 3’UTR does not confer differential protein expression between bladder cell lines</w:t>
      </w:r>
      <w:bookmarkEnd w:id="592"/>
      <w:bookmarkEnd w:id="593"/>
      <w:bookmarkEnd w:id="594"/>
      <w:bookmarkEnd w:id="595"/>
      <w:bookmarkEnd w:id="596"/>
    </w:p>
    <w:p w:rsidR="00E43E7C" w:rsidRPr="00DF0680" w:rsidRDefault="00E43E7C" w:rsidP="00E43E7C">
      <w:pPr>
        <w:rPr>
          <w:rFonts w:cs="Times New Roman"/>
        </w:rPr>
      </w:pPr>
      <w:r w:rsidRPr="00DF0680">
        <w:rPr>
          <w:rFonts w:cs="Times New Roman"/>
        </w:rPr>
        <w:t xml:space="preserve">Mayr </w:t>
      </w:r>
      <w:r w:rsidRPr="00DF0680">
        <w:rPr>
          <w:rFonts w:cs="Times New Roman"/>
          <w:i/>
        </w:rPr>
        <w:t>et al.</w:t>
      </w:r>
      <w:r w:rsidRPr="00DF0680">
        <w:rPr>
          <w:rFonts w:cs="Times New Roman"/>
        </w:rPr>
        <w:t xml:space="preserve"> (2009) described how mutations in 3’UTRs can lead to loss of translational regulation. Mutations causing alternative polyadenylation (APA) lead to shorter mRNAs, meaning sites of miRNA regulation can be lost </w:t>
      </w:r>
      <w:r w:rsidR="00F20EC0" w:rsidRPr="00DF0680">
        <w:rPr>
          <w:rFonts w:cs="Times New Roman"/>
        </w:rPr>
        <w:fldChar w:fldCharType="begin" w:fldLock="1"/>
      </w:r>
      <w:r w:rsidRPr="00DF0680">
        <w:rPr>
          <w:rFonts w:cs="Times New Roman"/>
        </w:rPr>
        <w:instrText>ADDIN CSL_CITATION { "citationItems" : [ { "id" : "ITEM-1", "itemData" : { "DOI" : "10.1016/j.cell.2009.06.016", "ISSN" : "1097-4172", "PMID" : "19703394", "abstract" : "In cancer cells, genetic alterations can activate proto-oncogenes, thereby contributing to tumorigenesis. However, the protein products of oncogenes are sometimes overexpressed without alteration of the proto-oncogene. Helping to explain this phenomenon, we found that when compared to similarly proliferating nontransformed cell lines, cancer cell lines often expressed substantial amounts of mRNA isoforms with shorter 3' untranslated regions (UTRs). These shorter isoforms usually resulted from alternative cleavage and polyadenylation (APA). The APA had functional consequences, with the shorter mRNA isoforms exhibiting increased stability and typically producing ten-fold more protein, in part through the loss of microRNA-mediated repression. Moreover, expression of the shorter mRNA isoform of the proto-oncogene IGF2BP1/IMP-1 led to far more oncogenic transformation than did expression of the full-length, annotated mRNA. The high incidence of APA in cancer cells, with consequent loss of 3'UTR repressive elements, suggests a pervasive role for APA in oncogene activation without genetic alteration.", "author" : [ { "dropping-particle" : "", "family" : "Mayr", "given" : "Christine", "non-dropping-particle" : "", "parse-names" : false, "suffix" : "" }, { "dropping-particle" : "", "family" : "Bartel", "given" : "David P", "non-dropping-particle" : "", "parse-names" : false, "suffix" : "" } ], "container-title" : "Cell", "id" : "ITEM-1", "issue" : "4", "issued" : { "date-parts" : [ [ "2009", "8", "21" ] ] }, "page" : "673-84", "publisher" : "Elsevier Ltd", "title" : "Widespread shortening of 3'UTRs by alternative cleavage and polyadenylation activates oncogenes in cancer cells.", "type" : "article-journal", "volume" : "138" }, "uris" : [ "http://www.mendeley.com/documents/?uuid=838bd1b8-9d9b-4d62-a63d-1d2774a7a3d3" ] } ], "mendeley" : { "formattedCitation" : "(Mayr &amp; Bartel 2009)", "plainTextFormattedCitation" : "(Mayr &amp; Bartel 2009)", "previouslyFormattedCitation" : "(Mayr &amp; Bartel 2009)"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(Mayr &amp; Bartel 2009)</w:t>
      </w:r>
      <w:r w:rsidR="00F20EC0" w:rsidRPr="00DF0680">
        <w:rPr>
          <w:rFonts w:cs="Times New Roman"/>
        </w:rPr>
        <w:fldChar w:fldCharType="end"/>
      </w:r>
      <w:r w:rsidRPr="00DF0680">
        <w:rPr>
          <w:rFonts w:cs="Times New Roman"/>
        </w:rPr>
        <w:t xml:space="preserve">. Investigating this, searching for possible miRNAs on TargetScan (http://www.targetscan.org/) </w:t>
      </w:r>
      <w:r w:rsidR="00F20EC0" w:rsidRPr="00DF0680">
        <w:rPr>
          <w:rFonts w:cs="Times New Roman"/>
        </w:rPr>
        <w:fldChar w:fldCharType="begin" w:fldLock="1"/>
      </w:r>
      <w:r w:rsidRPr="00DF0680">
        <w:rPr>
          <w:rFonts w:cs="Times New Roman"/>
        </w:rPr>
        <w:instrText>ADDIN CSL_CITATION { "citationItems" : [ { "id" : "ITEM-1", "itemData" : { "DOI" : "10.1016/j.cell.2004.12.035", "ISSN" : "0092-8674", "PMID" : "15652477", "abstract" : "We predict regulatory targets of vertebrate microRNAs (miRNAs) by identifying mRNAs with conserved complementarity to the seed (nucleotides 2-7) of the miRNA. An overrepresentation of conserved adenosines flanking the seed complementary sites in mRNAs indicates that primary sequence determinants can supplement base pairing to specify miRNA target recognition. In a four-genome analysis of 3' UTRs, approximately 13,000 regulatory relationships were detected above the estimate of false-positive predictions, thereby implicating as miRNA targets more than 5300 human genes, which represented 30% of our gene set. Targeting was also detected in open reading frames. In sum, well over one third of human genes appear to be conserved miRNA targets.", "author" : [ { "dropping-particle" : "", "family" : "Lewis", "given" : "Benjamin P", "non-dropping-particle" : "", "parse-names" : false, "suffix" : "" }, { "dropping-particle" : "", "family" : "Burge", "given" : "Christopher B", "non-dropping-particle" : "", "parse-names" : false, "suffix" : "" }, { "dropping-particle" : "", "family" : "Bartel", "given" : "David P", "non-dropping-particle" : "", "parse-names" : false, "suffix" : "" } ], "container-title" : "Cell", "id" : "ITEM-1", "issue" : "1", "issued" : { "date-parts" : [ [ "2005", "1", "14" ] ] }, "page" : "15-20", "title" : "Conserved seed pairing, often flanked by adenosines, indicates that thousands of human genes are microRNA targets.", "type" : "article-journal", "volume" : "120" }, "uris" : [ "http://www.mendeley.com/documents/?uuid=e44aeded-402b-4435-a1b9-3616348212a0" ] } ], "mendeley" : { "formattedCitation" : "(Lewis et al. 2005)", "plainTextFormattedCitation" : "(Lewis et al. 2005)", "previouslyFormattedCitation" : "(Lewis et al. 2005)"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(Lewis et al. 2005)</w:t>
      </w:r>
      <w:r w:rsidR="00F20EC0" w:rsidRPr="00DF0680">
        <w:rPr>
          <w:rFonts w:cs="Times New Roman"/>
        </w:rPr>
        <w:fldChar w:fldCharType="end"/>
      </w:r>
      <w:r w:rsidRPr="00DF0680">
        <w:rPr>
          <w:rFonts w:cs="Times New Roman"/>
        </w:rPr>
        <w:t xml:space="preserve"> yielded only three conserved matches, hsa-miR-4251 and 4656, with 1 and 8 deep sequencing reads respectively, and the predicted hsa-miR-4297 </w:t>
      </w:r>
      <w:r w:rsidR="00F20EC0" w:rsidRPr="00DF0680">
        <w:rPr>
          <w:rFonts w:cs="Times New Roman"/>
        </w:rPr>
        <w:fldChar w:fldCharType="begin" w:fldLock="1"/>
      </w:r>
      <w:r w:rsidR="00332613" w:rsidRPr="00DF0680">
        <w:rPr>
          <w:rFonts w:cs="Times New Roman"/>
        </w:rPr>
        <w:instrText>ADDIN CSL_CITATION { "citationItems" : [ { "id" : "ITEM-1", "itemData" : { "DOI" : "10.1371/journal.pone.0007192", "ISSN" : "1932-6203", "PMID" : "19784364", "abstract" : "BACKGROUND: MicroRNAs are required for maintenance of pluripotency as well as differentiation, but since more microRNAs have been computationally predicted in genome than have been found, there are likely to be undiscovered microRNAs expressed early in stem cell differentiation.\n\nMETHODOLOGY/PRINCIPAL FINDINGS: SOLiD ultra-deep sequencing identified &gt;10(7) unique small RNAs from human embryonic stem cells (hESC) and neural-restricted precursors that were fit to a model of microRNA biogenesis to computationally predict 818 new microRNA genes. These predicted genomic loci are associated with chromatin patterns of modified histones that are predictive of regulated gene expression. 146 of the predicted microRNAs were enriched in Ago2-containing complexes along with 609 known microRNAs, demonstrating association with a functional RISC complex. This Ago2 IP-selected subset was consistently expressed in four independent hESC lines and exhibited complex patterns of regulation over development similar to previously-known microRNAs, including pluripotency-specific expression in both hESC and iPS cells. More than 30% of the Ago2 IP-enriched predicted microRNAs are new members of existing families since they share seed sequences with known microRNAs.\n\nCONCLUSIONS/SIGNIFICANCE: Extending the classic definition of microRNAs, this large number of new microRNA genes, the majority of which are less conserved than their canonical counterparts, likely represent evolutionarily recent regulators of early differentiation. The enrichment in Ago2 containing complexes, the presence of chromatin marks indicative of regulated gene expression, and differential expression over development all support the identification of 146 new microRNAs active during early hESC differentiation.", "author" : [ { "dropping-particle" : "", "family" : "Goff", "given" : "Loyal a", "non-dropping-particle" : "", "parse-names" : false, "suffix" : "" }, { "dropping-particle" : "", "family" : "Davila", "given" : "Jonathan", "non-dropping-particle" : "", "parse-names" : false, "suffix" : "" }, { "dropping-particle" : "", "family" : "Swerdel", "given" : "Mavis R", "non-dropping-particle" : "", "parse-names" : false, "suffix" : "" }, { "dropping-particle" : "", "family" : "Moore", "given" : "Jennifer C", "non-dropping-particle" : "", "parse-names" : false, "suffix" : "" }, { "dropping-particle" : "", "family" : "Cohen", "given" : "Rick I", "non-dropping-particle" : "", "parse-names" : false, "suffix" : "" }, { "dropping-particle" : "", "family" : "Wu", "given" : "Hao", "non-dropping-particle" : "", "parse-names" : false, "suffix" : "" }, { "dropping-particle" : "", "family" : "Sun", "given" : "Yi E", "non-dropping-particle" : "", "parse-names" : false, "suffix" : "" }, { "dropping-particle" : "", "family" : "Hart", "given" : "Ronald P", "non-dropping-particle" : "", "parse-names" : false, "suffix" : "" } ], "container-title" : "PloS One", "id" : "ITEM-1", "issue" : "9", "issued" : { "date-parts" : [ [ "2009", "1" ] ] }, "page" : "e7192", "title" : "Ago2 immunoprecipitation identifies predicted microRNAs in human embryonic stem cells and neural precursors.", "type" : "article-journal", "volume" : "4" }, "uris" : [ "http://www.mendeley.com/documents/?uuid=4cb20953-505c-4b4d-9e56-919970922f3e" ] }, { "id" : "ITEM-2", "itemData" : { "DOI" : "10.1158/0008-5472.CAN-10-1869", "ISBN" : "4646222477", "ISSN" : "1538-7445", "PMID" : "21199797", "abstract" : "To comprehensively characterize microRNA (miRNA) expression in breast cancer, we performed the first extensive next-generation sequencing expression analysis of this disease. We sequenced small RNA from tumors with paired samples of normal and tumor-adjacent breast tissue. Our results indicate that tumor identity is achieved mainly by variation in the expression levels of a common set of miRNAs rather than by tissue-specific expression. We also report 361 new, well-supported miRNA precursors. Nearly two-thirds of these new genes were detected in other human tissues and 49% of the miRNAs were found associated with Ago2 in MCF7 cells. Ten percent of the new miRNAs are located in regions with high-level genomic amplifications in breast cancer. A new miRNA is encoded within the ERBB2/Her2 gene and amplification of this gene leads to overexpression of the new miRNA, indicating that this potent oncogene and important clinical marker may have two different biological functions. In summary, our work substantially expands the number of known miRNAs and highlights the complexity of small RNA expression in breast cancer.", "author" : [ { "dropping-particle" : "", "family" : "Persson", "given" : "Helena", "non-dropping-particle" : "", "parse-names" : false, "suffix" : "" }, { "dropping-particle" : "", "family" : "Kvist", "given" : "Anders", "non-dropping-particle" : "", "parse-names" : false, "suffix" : "" }, { "dropping-particle" : "", "family" : "Rego", "given" : "Natalia", "non-dropping-particle" : "", "parse-names" : false, "suffix" : "" }, { "dropping-particle" : "", "family" : "Staaf", "given" : "Johan", "non-dropping-particle" : "", "parse-names" : false, "suffix" : "" }, { "dropping-particle" : "", "family" : "Vallon-Christersson", "given" : "Johan", "non-dropping-particle" : "", "parse-names" : false, "suffix" : "" }, { "dropping-particle" : "", "family" : "Luts", "given" : "Lena", "non-dropping-particle" : "", "parse-names" : false, "suffix" : "" }, { "dropping-particle" : "", "family" : "Loman", "given" : "Niklas", "non-dropping-particle" : "", "parse-names" : false, "suffix" : "" }, { "dropping-particle" : "", "family" : "Jonsson", "given" : "Goran", "non-dropping-particle" : "", "parse-names" : false, "suffix" : "" }, { "dropping-particle" : "", "family" : "Naya", "given" : "Hugo", "non-dropping-particle" : "", "parse-names" : false, "suffix" : "" }, { "dropping-particle" : "", "family" : "Hoglund", "given" : "Mattias", "non-dropping-particle" : "", "parse-names" : false, "suffix" : "" }, { "dropping-particle" : "", "family" : "Borg", "given" : "Ake", "non-dropping-particle" : "", "parse-names" : false, "suffix" : "" }, { "dropping-particle" : "", "family" : "Rovira", "given" : "Carlos", "non-dropping-particle" : "", "parse-names" : false, "suffix" : "" } ], "container-title" : "Cancer Research", "id" : "ITEM-2", "issue" : "1", "issued" : { "date-parts" : [ [ "2011", "1", "1" ] ] }, "page" : "78-86", "title" : "Identification of new microRNAs in paired normal and tumor breast tissue suggests a dual role for the ERBB2/Her2 gene.", "type" : "article-journal", "volume" : "71" }, "uris" : [ "http://www.mendeley.com/documents/?uuid=fb440de6-874a-4ad2-8ae5-f361b821a5c8" ] } ], "mendeley" : { "formattedCitation" : "(Goff et al. 2009; Persson et al. 2011)", "plainTextFormattedCitation" : "(Goff et al. 2009; Persson et al. 2011)", "previouslyFormattedCitation" : "(Goff et al. 2009; Persson et al. 2011)"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(Goff et al. 2009; Persson et al. 2011)</w:t>
      </w:r>
      <w:r w:rsidR="00F20EC0" w:rsidRPr="00DF0680">
        <w:rPr>
          <w:rFonts w:cs="Times New Roman"/>
        </w:rPr>
        <w:fldChar w:fldCharType="end"/>
      </w:r>
      <w:r w:rsidRPr="00DF0680">
        <w:rPr>
          <w:rFonts w:cs="Times New Roman"/>
        </w:rPr>
        <w:t xml:space="preserve">. </w:t>
      </w:r>
    </w:p>
    <w:p w:rsidR="00E43E7C" w:rsidRPr="00DF0680" w:rsidRDefault="00E43E7C" w:rsidP="00E43E7C">
      <w:pPr>
        <w:rPr>
          <w:rFonts w:cs="Times New Roman"/>
        </w:rPr>
      </w:pPr>
      <w:r w:rsidRPr="00DF0680">
        <w:rPr>
          <w:rFonts w:cs="Times New Roman"/>
        </w:rPr>
        <w:t xml:space="preserve">The 3’UTRs of RECQL5β from our 3 bladder cancer cell lines and immortalised normal cell line were sequenced and compared to the consensus sequence found on PubMed (NM_004259.6). Aligning the 577 base pair 3’UTR sequences showed no differences which would imply that there are no mutations in the 3’UTR of our cells ruling out a translation difference through miRNA site disruption or APA (Figure 3.10 A). </w:t>
      </w:r>
    </w:p>
    <w:p w:rsidR="00E43E7C" w:rsidRPr="00DF0680" w:rsidRDefault="00E43E7C" w:rsidP="00E43E7C">
      <w:pPr>
        <w:rPr>
          <w:rFonts w:cs="Times New Roman"/>
        </w:rPr>
      </w:pPr>
      <w:r w:rsidRPr="00DF0680">
        <w:rPr>
          <w:rFonts w:cs="Times New Roman"/>
        </w:rPr>
        <w:t xml:space="preserve">Martin </w:t>
      </w:r>
      <w:r w:rsidRPr="00DF0680">
        <w:rPr>
          <w:rFonts w:cs="Times New Roman"/>
          <w:i/>
        </w:rPr>
        <w:t>et al.</w:t>
      </w:r>
      <w:r w:rsidRPr="00DF0680">
        <w:rPr>
          <w:rFonts w:cs="Times New Roman"/>
        </w:rPr>
        <w:t xml:space="preserve"> (2014) showed how the expression of MRE11 mRNA and protein did not correlate when they analysed the expression levels in bladder tumours. This was discovered to be due to MRE11 being under regulation by a differentially expressed miRNA which targeted the 3’UTR</w:t>
      </w:r>
      <w:r w:rsidR="00881867" w:rsidRPr="00DF0680">
        <w:rPr>
          <w:rFonts w:cs="Times New Roman"/>
        </w:rPr>
        <w:t xml:space="preserve"> and reduced translation</w:t>
      </w:r>
      <w:r w:rsidRPr="00DF0680">
        <w:rPr>
          <w:rFonts w:cs="Times New Roman"/>
        </w:rPr>
        <w:t xml:space="preserve"> </w:t>
      </w:r>
      <w:r w:rsidR="00F20EC0" w:rsidRPr="00DF0680">
        <w:rPr>
          <w:rFonts w:cs="Times New Roman"/>
        </w:rPr>
        <w:fldChar w:fldCharType="begin" w:fldLock="1"/>
      </w:r>
      <w:r w:rsidR="00DA6E78" w:rsidRPr="00DF0680">
        <w:rPr>
          <w:rFonts w:cs="Times New Roman"/>
        </w:rPr>
        <w:instrText>ADDIN CSL_CITATION { "citationItems" : [ { "id" : "ITEM-1", "itemData" : { "author" : [ { "dropping-particle" : "", "family" : "Martin", "given" : "RM", "non-dropping-particle" : "", "parse-names" : false, "suffix" : "" }, { "dropping-particle" : "", "family" : "Kerr", "given" : "Martin", "non-dropping-particle" : "", "parse-names" : false, "suffix" : "" }, { "dropping-particle" : "", "family" : "Teo", "given" : "MT", "non-dropping-particle" : "", "parse-names" : false, "suffix" : "" }, { "dropping-particle" : "", "family" : "Jevons", "given" : "SJ", "non-dropping-particle" : "", "parse-names" : false, "suffix" : "" } ], "container-title" : "Oncotarget", "id" : "ITEM-1", "issue" : "4", "issued" : { "date-parts" : [ [ "2014" ] ] }, "page" : "993-1003", "title" : "Post-transcriptional regulation of MRE11 expression in muscle-invasive bladder tumours.", "type" : "article-journal", "volume" : "5" }, "uris" : [ "http://www.mendeley.com/documents/?uuid=12a99805-177f-40d8-b00d-d3845a977f51" ] } ], "mendeley" : { "formattedCitation" : "(Martin et al. 2014)", "plainTextFormattedCitation" : "(Martin et al. 2014)", "previouslyFormattedCitation" : "(Martin et al. 2014)"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(Martin et al. 2014)</w:t>
      </w:r>
      <w:r w:rsidR="00F20EC0" w:rsidRPr="00DF0680">
        <w:rPr>
          <w:rFonts w:cs="Times New Roman"/>
        </w:rPr>
        <w:fldChar w:fldCharType="end"/>
      </w:r>
      <w:r w:rsidRPr="00DF0680">
        <w:rPr>
          <w:rFonts w:cs="Times New Roman"/>
        </w:rPr>
        <w:t xml:space="preserve">. To see if a similar mechanism was responsible for the regulation of RECQL5β, the 3’UTR was cloned into a luciferase reporter which was transfected into EJ and NHU cells. </w:t>
      </w:r>
      <w:r w:rsidR="00B47778" w:rsidRPr="00DF0680">
        <w:rPr>
          <w:rFonts w:cs="Times New Roman"/>
        </w:rPr>
        <w:t xml:space="preserve">If there was a miRNA present in either the EJ or the NHU cells that regulated translation from the RECQL5 3’UTR, then the expression from the luciferase reporter would be reduced. </w:t>
      </w:r>
      <w:r w:rsidRPr="00DF0680">
        <w:rPr>
          <w:rFonts w:cs="Times New Roman"/>
        </w:rPr>
        <w:t xml:space="preserve">As shown in Figure 3.10 B, luciferase activity did not significantly change when the cells were transfected with the vector containing the 3’UTR compared to the vector alone. There may still be a miRNA that targets RECQL5β, but the results show that if there is, it regulates the </w:t>
      </w:r>
      <w:r w:rsidR="00B47778" w:rsidRPr="00DF0680">
        <w:rPr>
          <w:rFonts w:cs="Times New Roman"/>
        </w:rPr>
        <w:t>translation</w:t>
      </w:r>
      <w:r w:rsidRPr="00DF0680">
        <w:rPr>
          <w:rFonts w:cs="Times New Roman"/>
        </w:rPr>
        <w:t xml:space="preserve"> of the protein to a similar extent in both cancer and normal bladder cells or not via the 3’UTR </w:t>
      </w:r>
      <w:r w:rsidR="00F20EC0" w:rsidRPr="00DF0680">
        <w:rPr>
          <w:rFonts w:cs="Times New Roman"/>
        </w:rPr>
        <w:fldChar w:fldCharType="begin" w:fldLock="1"/>
      </w:r>
      <w:r w:rsidR="00332613" w:rsidRPr="00DF0680">
        <w:rPr>
          <w:rFonts w:cs="Times New Roman"/>
        </w:rPr>
        <w:instrText>ADDIN CSL_CITATION { "citationItems" : [ { "id" : "ITEM-1", "itemData" : { "DOI" : "10.1016/j.molcel.2008.05.001", "ISSN" : "1097-4164", "PMID" : "18498749", "abstract" : "MicroRNAs (miRNAs) are small RNAs that function as posttranscriptional regulators of gene expression. miRNAs affect a variety of signaling pathways, and impaired miRNA regulation may contribute to the development of cancer and other diseases. Here we show that miRNA miR-10a interacts with the 5' untranslated region of mRNAs encoding ribosomal proteins to enhance their translation. miR-10a alleviates translational repression of the ribosomal protein mRNAs during amino acid starvation and is required for their translational induction following anisomycin treatment or overexpression of RAS. We show that miR-10a binds immediately downstream of the regulatory 5'TOP motif and that the 5'TOP regulatory complex and miR-10a are functionally interconnected. The results show that miR-10a may positively control global protein synthesis via the stimulation of ribosomal protein mRNA translation and ribosome biogenesis and hereby affect the ability of cells to undergo transformation.", "author" : [ { "dropping-particle" : "", "family" : "\u00d8rom", "given" : "Ulf Andersson", "non-dropping-particle" : "", "parse-names" : false, "suffix" : "" }, { "dropping-particle" : "", "family" : "Nielsen", "given" : "Finn Cilius", "non-dropping-particle" : "", "parse-names" : false, "suffix" : "" }, { "dropping-particle" : "", "family" : "Lund", "given" : "Anders H", "non-dropping-particle" : "", "parse-names" : false, "suffix" : "" } ], "container-title" : "Molecular Cell", "id" : "ITEM-1", "issue" : "4", "issued" : { "date-parts" : [ [ "2008", "5", "23" ] ] }, "page" : "460-71", "title" : "MicroRNA-10a binds the 5'UTR of ribosomal protein mRNAs and enhances their translation.", "type" : "article-journal", "volume" : "30" }, "uris" : [ "http://www.mendeley.com/documents/?uuid=f2c4c9bd-690e-436a-ae3c-8a645a7d86cc" ] }, { "id" : "ITEM-2", "itemData" : { "DOI" : "10.1126/science.1113329", "ISSN" : "1095-9203", "PMID" : "16141076", "abstract" : "MicroRNAs are small RNA molecules that regulate messenger RNA (mRNA) expression. MicroRNA 122 (miR-122) is specifically expressed and highly abundant in the human liver. We show that the sequestration of miR-122 in liver cells results in marked loss of autonomously replicating hepatitis C viral RNAs. A genetic interaction between miR-122 and the 5' noncoding region of the viral genome was revealed by mutational analyses of the predicted microRNA binding site and ectopic expression of miR-122 molecules containing compensatory mutations. Studies with replication-defective RNAs suggested that miR-122 did not detectably affect mRNA translation or RNA stability. Therefore, miR-122 is likely to facilitate replication of the viral RNA, suggesting that miR-122 may present a target for antiviral intervention.", "author" : [ { "dropping-particle" : "", "family" : "Jopling", "given" : "Catherine L", "non-dropping-particle" : "", "parse-names" : false, "suffix" : "" }, { "dropping-particle" : "", "family" : "Yi", "given" : "Minkyung", "non-dropping-particle" : "", "parse-names" : false, "suffix" : "" }, { "dropping-particle" : "", "family" : "Lancaster", "given" : "Alissa M", "non-dropping-particle" : "", "parse-names" : false, "suffix" : "" }, { "dropping-particle" : "", "family" : "Lemon", "given" : "Stanley M", "non-dropping-particle" : "", "parse-names" : false, "suffix" : "" }, { "dropping-particle" : "", "family" : "Sarnow", "given" : "Peter", "non-dropping-particle" : "", "parse-names" : false, "suffix" : "" } ], "container-title" : "Science", "id" : "ITEM-2", "issue" : "5740", "issued" : { "date-parts" : [ [ "2005", "9", "2" ] ] }, "page" : "1577-81", "title" : "Modulation of hepatitis C virus RNA abundance by a liver-specific MicroRNA.", "type" : "article-journal", "volume" : "309" }, "uris" : [ "http://www.mendeley.com/documents/?uuid=05ed8867-d54f-4862-b950-5ec3de6dd170" ] } ], "mendeley" : { "formattedCitation" : "(\u00d8rom et al. 2008; Jopling et al. 2005)", "plainTextFormattedCitation" : "(\u00d8rom et al. 2008; Jopling et al. 2005)", "previouslyFormattedCitation" : "(\u00d8rom et al. 2008; Jopling et al. 2005)"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(Ørom et al. 2008; Jopling et al. 2005)</w:t>
      </w:r>
      <w:r w:rsidR="00F20EC0" w:rsidRPr="00DF0680">
        <w:rPr>
          <w:rFonts w:cs="Times New Roman"/>
        </w:rPr>
        <w:fldChar w:fldCharType="end"/>
      </w:r>
      <w:r w:rsidRPr="00DF0680">
        <w:rPr>
          <w:rFonts w:cs="Times New Roman"/>
        </w:rPr>
        <w:t xml:space="preserve">. </w:t>
      </w: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keepNext/>
        <w:jc w:val="center"/>
        <w:rPr>
          <w:rFonts w:cs="Times New Roman"/>
        </w:rPr>
      </w:pPr>
      <w:r w:rsidRPr="00DF0680">
        <w:drawing>
          <wp:inline distT="0" distB="0" distL="0" distR="0">
            <wp:extent cx="5400040" cy="4134155"/>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5400040" cy="4134155"/>
                    </a:xfrm>
                    <a:prstGeom prst="rect">
                      <a:avLst/>
                    </a:prstGeom>
                    <a:noFill/>
                    <a:ln w="9525">
                      <a:noFill/>
                      <a:miter lim="800000"/>
                      <a:headEnd/>
                      <a:tailEnd/>
                    </a:ln>
                  </pic:spPr>
                </pic:pic>
              </a:graphicData>
            </a:graphic>
          </wp:inline>
        </w:drawing>
      </w:r>
    </w:p>
    <w:p w:rsidR="00E43E7C" w:rsidRPr="00DF0680" w:rsidRDefault="00E43E7C" w:rsidP="00D94477">
      <w:pPr>
        <w:pStyle w:val="Caption"/>
      </w:pPr>
    </w:p>
    <w:p w:rsidR="00E43E7C" w:rsidRPr="00DF0680" w:rsidRDefault="00E43E7C" w:rsidP="00D94477">
      <w:pPr>
        <w:pStyle w:val="Caption"/>
      </w:pPr>
      <w:bookmarkStart w:id="597" w:name="_Toc410205944"/>
      <w:bookmarkStart w:id="598" w:name="_Toc417813899"/>
      <w:r w:rsidRPr="00DF0680">
        <w:t xml:space="preserve">Figure </w:t>
      </w:r>
      <w:fldSimple w:instr=" STYLEREF 1 \s ">
        <w:r w:rsidR="006119E3">
          <w:rPr>
            <w:noProof/>
          </w:rPr>
          <w:t>3</w:t>
        </w:r>
      </w:fldSimple>
      <w:r w:rsidR="006119E3">
        <w:t>.</w:t>
      </w:r>
      <w:fldSimple w:instr=" SEQ Figure \* ARABIC \s 1 ">
        <w:r w:rsidR="006119E3">
          <w:rPr>
            <w:noProof/>
          </w:rPr>
          <w:t>10</w:t>
        </w:r>
      </w:fldSimple>
      <w:r w:rsidRPr="00DF0680">
        <w:t xml:space="preserve"> – Sequence of RECQL5β 3’UTR and luciferase reporter assay.</w:t>
      </w:r>
      <w:bookmarkEnd w:id="597"/>
      <w:bookmarkEnd w:id="598"/>
    </w:p>
    <w:p w:rsidR="00E43E7C" w:rsidRPr="00DF0680" w:rsidRDefault="00E43E7C" w:rsidP="00E55931">
      <w:pPr>
        <w:spacing w:line="276" w:lineRule="auto"/>
      </w:pPr>
      <w:r w:rsidRPr="00DF0680">
        <w:t xml:space="preserve">(A) Portion of the aligned RECQL5 3’UTR sequences from EJ, RT112, RT4 and NHU hTERT cell lines and the consensus sequence from NCBI, showing no differences. Full sequence alignment is shown in the Appendix. (B) The 3’UTR was cloned into the multiple cloning site of the luciferase reporter pMirReport and transfected into EJ and NHU hTERT cells. Luciferase activity was measured and quantified. The results are shown are the average and standard deviation of 3 independent repeats. There was no significant difference in luciferase activity between the cells transfected with vector alone and the vector with the 3’UTR. </w:t>
      </w:r>
    </w:p>
    <w:p w:rsidR="00E43E7C" w:rsidRPr="00DF0680" w:rsidRDefault="00E43E7C" w:rsidP="00D94477">
      <w:pPr>
        <w:pStyle w:val="Caption"/>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664FC">
      <w:pPr>
        <w:pStyle w:val="Heading2"/>
      </w:pPr>
      <w:bookmarkStart w:id="599" w:name="_Toc410205821"/>
      <w:bookmarkStart w:id="600" w:name="_Toc417204192"/>
      <w:bookmarkStart w:id="601" w:name="_Toc417204725"/>
      <w:bookmarkStart w:id="602" w:name="_Toc417204785"/>
      <w:bookmarkStart w:id="603" w:name="_Toc417813940"/>
      <w:r w:rsidRPr="00DF0680">
        <w:lastRenderedPageBreak/>
        <w:t>Regulation of translation initiation is altered in bladder cancer cells to increase global protein translation</w:t>
      </w:r>
      <w:bookmarkEnd w:id="599"/>
      <w:bookmarkEnd w:id="600"/>
      <w:bookmarkEnd w:id="601"/>
      <w:bookmarkEnd w:id="602"/>
      <w:bookmarkEnd w:id="603"/>
    </w:p>
    <w:p w:rsidR="00E43E7C" w:rsidRPr="00DF0680" w:rsidRDefault="00E43E7C" w:rsidP="00E43E7C">
      <w:pPr>
        <w:rPr>
          <w:rFonts w:cs="Times New Roman"/>
        </w:rPr>
      </w:pPr>
      <w:r w:rsidRPr="00DF0680">
        <w:rPr>
          <w:rFonts w:cs="Times New Roman"/>
        </w:rPr>
        <w:t xml:space="preserve">Another possible explanation for the discordance between RECQL5β mRNA and protein levels is alteration of protein translation. One way in which the cell regulates translation is through translation initiation and the formation of the ternary complex </w:t>
      </w:r>
      <w:r w:rsidR="00F20EC0" w:rsidRPr="00DF0680">
        <w:rPr>
          <w:rFonts w:cs="Times New Roman"/>
        </w:rPr>
        <w:fldChar w:fldCharType="begin" w:fldLock="1"/>
      </w:r>
      <w:r w:rsidR="00332613" w:rsidRPr="00DF0680">
        <w:rPr>
          <w:rFonts w:cs="Times New Roman"/>
        </w:rPr>
        <w:instrText>ADDIN CSL_CITATION { "citationItems" : [ { "id" : "ITEM-1", "itemData" : { "DOI" : "10.1038/nrm1488", "ISSN" : "1471-0072", "PMID" : "15459663", "abstract" : "Translational control is widely used to regulate gene expression. This mode of regulation is especially relevant in situations where transcription is silent or when local control over protein accumulation is required. Although many examples of translational regulation have been described, only a few are beginning to be mechanistically understood. Instead of providing a comprehensive account of the examples that are known at present, we discuss instructive cases that serve as paradigms for different modes of translational control.", "author" : [ { "dropping-particle" : "", "family" : "Gebauer", "given" : "F\u00e1tima", "non-dropping-particle" : "", "parse-names" : false, "suffix" : "" }, { "dropping-particle" : "", "family" : "Hentze", "given" : "Matthias W", "non-dropping-particle" : "", "parse-names" : false, "suffix" : "" } ], "container-title" : "Nature Reviews. Molecular Cell Biology", "id" : "ITEM-1", "issue" : "10", "issued" : { "date-parts" : [ [ "2004", "10" ] ] }, "page" : "827-35", "title" : "Molecular mechanisms of translational control.", "type" : "article-journal", "volume" : "5" }, "uris" : [ "http://www.mendeley.com/documents/?uuid=5c23b6b9-4e22-4f4c-a322-e40b4ecb90be" ] } ], "mendeley" : { "formattedCitation" : "(Gebauer &amp; Hentze 2004)", "plainTextFormattedCitation" : "(Gebauer &amp; Hentze 2004)", "previouslyFormattedCitation" : "(Gebauer &amp; Hentze 2004)"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(Gebauer &amp; Hentze 2004)</w:t>
      </w:r>
      <w:r w:rsidR="00F20EC0" w:rsidRPr="00DF0680">
        <w:rPr>
          <w:rFonts w:cs="Times New Roman"/>
        </w:rPr>
        <w:fldChar w:fldCharType="end"/>
      </w:r>
      <w:r w:rsidRPr="00DF0680">
        <w:rPr>
          <w:rFonts w:cs="Times New Roman"/>
        </w:rPr>
        <w:t>. This ternary complex is formed of the eukaryotic initiation factor 2 (eIF2 - made of 3 subunits α, β and γ), GTP and Met-tRNA. eIF2-GDP is acted on by the nucleotide exchange factor eIF2B to form eIF2-GTP which goes on to form the ternary complex. Phosphorylation of eIF2α, following stress, shock, infection or amino acid availability, causes a tight binding to eIF2B, inhibiting</w:t>
      </w:r>
      <w:r w:rsidR="005922AD" w:rsidRPr="00DF0680">
        <w:rPr>
          <w:rFonts w:cs="Times New Roman"/>
          <w:i/>
        </w:rPr>
        <w:t xml:space="preserve"> its </w:t>
      </w:r>
      <w:r w:rsidRPr="00DF0680">
        <w:rPr>
          <w:rFonts w:cs="Times New Roman"/>
        </w:rPr>
        <w:t xml:space="preserve">exchange activity, inhibiting ternary complex formation, and inhibiting global protein synthesis </w:t>
      </w:r>
      <w:r w:rsidR="00F20EC0" w:rsidRPr="00DF0680">
        <w:rPr>
          <w:rFonts w:cs="Times New Roman"/>
        </w:rPr>
        <w:fldChar w:fldCharType="begin" w:fldLock="1"/>
      </w:r>
      <w:r w:rsidR="00332613" w:rsidRPr="00DF0680">
        <w:rPr>
          <w:rFonts w:cs="Times New Roman"/>
        </w:rPr>
        <w:instrText>ADDIN CSL_CITATION { "citationItems" : [ { "id" : "ITEM-1", "itemData" : { "DOI" : "10.1128/MCB.21.15.5018-5030.2001", "ISSN" : "0270-7306", "PMID" : "11438658", "abstract" : "Translation initiation factor 2 (eIF2) is a heterotrimeric protein that transfers methionyl-initiator tRNA(Met) to the small ribosomal subunit in a ternary complex with GTP. The eIF2 phosphorylated on serine 51 of its alpha subunit [eIF2(alphaP)] acts as competitive inhibitor of its guanine nucleotide exchange factor, eIF2B, impairing formation of the ternary complex and thereby inhibiting translation initiation. eIF2B is comprised of catalytic and regulatory subcomplexes harboring independent eIF2 binding sites; however, it was unknown whether the alpha subunit of eIF2 directly contacts any eIF2B subunits or whether this interaction is modulated by phosphorylation. We found that recombinant eIF2alpha (glutathione S-transferase [GST]-SUI2) bound to the eIF2B regulatory subcomplex in vitro, in a manner stimulated by Ser-51 phosphorylation. Genetic data suggest that this direct interaction also occurred in vivo, allowing overexpressed SUI2 to compete with eIF2(alphaP) holoprotein for binding to the eIF2B regulatory subcomplex. Mutations in SUI2 and in the eIF2B regulatory subunit GCD7 that eliminated inhibition of eIF2B by eIF2(alphaP) also impaired binding of phosphorylated GST-SUI2 to the eIF2B regulatory subunits. These findings provide strong evidence that tight binding of phosphorylated SUI2 to the eIF2B regulatory subcomplex is crucial for the inhibition of eIF2B and attendant downregulation of protein synthesis exerted by eIF2(alphaP). We propose that this regulatory interaction prevents association of the eIF2B catalytic subcomplex with the beta and gamma subunits of eIF2 in the manner required for GDP-GTP exchange.", "author" : [ { "dropping-particle" : "", "family" : "Krishnamoorthy", "given" : "T", "non-dropping-particle" : "", "parse-names" : false, "suffix" : "" }, { "dropping-particle" : "", "family" : "Pavitt", "given" : "G D", "non-dropping-particle" : "", "parse-names" : false, "suffix" : "" }, { "dropping-particle" : "", "family" : "Zhang", "given" : "F", "non-dropping-particle" : "", "parse-names" : false, "suffix" : "" }, { "dropping-particle" : "", "family" : "Dever", "given" : "T E", "non-dropping-particle" : "", "parse-names" : false, "suffix" : "" }, { "dropping-particle" : "", "family" : "Hinnebusch", "given" : "a G", "non-dropping-particle" : "", "parse-names" : false, "suffix" : "" } ], "container-title" : "Molecular and Cellular Biology", "id" : "ITEM-1", "issue" : "15", "issued" : { "date-parts" : [ [ "2001", "8" ] ] }, "page" : "5018-30", "title" : "Tight binding of the phosphorylated alpha subunit of initiation factor 2 (eIF2alpha) to the regulatory subunits of guanine nucleotide exchange factor eIF2B is required for inhibition of translation initiation.", "type" : "article-journal", "volume" : "21" }, "uris" : [ "http://www.mendeley.com/documents/?uuid=55105a3e-6a91-40d7-a16b-d13d27e47041" ] }, { "id" : "ITEM-2", "itemData" : { "author" : [ { "dropping-particle" : "", "family" : "Murtha-Riel", "given" : "P", "non-dropping-particle" : "", "parse-names" : false, "suffix" : "" }, { "dropping-particle" : "", "family" : "Davies", "given" : "MV", "non-dropping-particle" : "", "parse-names" : false, "suffix" : "" }, { "dropping-particle" : "", "family" : "Scherer", "given" : "BJ", "non-dropping-particle" : "", "parse-names" : false, "suffix" : "" } ], "container-title" : "Journal of Biological Chemistry", "id" : "ITEM-2", "issue" : "17", "issued" : { "date-parts" : [ [ "1993" ] ] }, "page" : "12946-12951", "title" : "Expression of a phosphorylation-resistant eukaryotic initiation factor 2 alpha-subunit mitigates heat shock inhibition of protein synthesis.", "type" : "article-journal", "volume" : "268" }, "uris" : [ "http://www.mendeley.com/documents/?uuid=952c64e0-b12b-4e8b-9a8c-848921e3d483" ] }, { "id" : "ITEM-3", "itemData" : { "DOI" : "10.1128/MCB.9.3.946.Updated", "author" : [ { "dropping-particle" : "", "family" : "Kaufman", "given" : "RJ", "non-dropping-particle" : "", "parse-names" : false, "suffix" : "" }, { "dropping-particle" : "", "family" : "Davies", "given" : "MV", "non-dropping-particle" : "", "parse-names" : false, "suffix" : "" } ], "container-title" : "Molecular and Cellular Biology", "id" : "ITEM-3", "issue" : "3", "issued" : { "date-parts" : [ [ "1989" ] ] }, "page" : "946-58", "title" : "The phosphorylation state of eucaryotic initiation factor 2 alters translational efficiency of specific mRNAs.", "type" : "article-journal", "volume" : "9" }, "uris" : [ "http://www.mendeley.com/documents/?uuid=725f42fd-4872-430e-8866-67a9cf8e6031" ] } ], "mendeley" : { "formattedCitation" : "(Krishnamoorthy et al. 2001; Murtha-Riel et al. 1993; Kaufman &amp; Davies 1989)", "plainTextFormattedCitation" : "(Krishnamoorthy et al. 2001; Murtha-Riel et al. 1993; Kaufman &amp; Davies 1989)", "previouslyFormattedCitation" : "(Krishnamoorthy et al. 2001; Murtha-Riel et al. 1993; Kaufman &amp; Davies 1989)"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(Krishnamoorthy et al. 2001; Murtha-Riel et al. 1993; Kaufman &amp; Davies 1989)</w:t>
      </w:r>
      <w:r w:rsidR="00F20EC0" w:rsidRPr="00DF0680">
        <w:rPr>
          <w:rFonts w:cs="Times New Roman"/>
        </w:rPr>
        <w:fldChar w:fldCharType="end"/>
      </w:r>
      <w:r w:rsidRPr="00DF0680">
        <w:rPr>
          <w:rFonts w:cs="Times New Roman"/>
        </w:rPr>
        <w:t xml:space="preserve">. </w:t>
      </w:r>
    </w:p>
    <w:p w:rsidR="00E43E7C" w:rsidRPr="00DF0680" w:rsidRDefault="00E43E7C" w:rsidP="00E43E7C">
      <w:pPr>
        <w:rPr>
          <w:rFonts w:cs="Times New Roman"/>
          <w:szCs w:val="24"/>
        </w:rPr>
      </w:pPr>
      <w:r w:rsidRPr="00DF0680">
        <w:rPr>
          <w:rFonts w:cs="Times New Roman"/>
          <w:szCs w:val="24"/>
        </w:rPr>
        <w:t xml:space="preserve">Lysates from EJ and NHU hTERT cells were analysed for the phosphorylation status of eIF2α using Western blotting. This showed there is no difference in total eIF2α expression between cell lines but the phosphorylation status of eIF2α was higher in the NHU cells (Figure 3.11). Because high eIF2α phosphorylation implies inhibition of translation initiation and low eIF2α phosphorylation implies normal translation initiation, it can be proposed that global translation rates are higher in bladder cancer than in the normal bladder line. Therefore, despite the fact there is less RECQL5 mRNA, the increased translation rates in the cancer cell line mean that higher protein levels are seen. Even though there is increased mRNA in the normal bladder cells, the lower translation rates mean this is not reflected at a protein level. This altered translation initiation regulation may go some way to explain why we see more RECQL5β protein in our cancer cells. </w:t>
      </w: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rPr>
          <w:rFonts w:cs="Times New Roman"/>
        </w:rPr>
      </w:pPr>
    </w:p>
    <w:p w:rsidR="00E43E7C" w:rsidRPr="00DF0680" w:rsidRDefault="00E43E7C" w:rsidP="00E43E7C">
      <w:pPr>
        <w:keepNext/>
        <w:jc w:val="center"/>
        <w:rPr>
          <w:rFonts w:cs="Times New Roman"/>
        </w:rPr>
      </w:pPr>
      <w:r w:rsidRPr="00DF0680">
        <w:rPr>
          <w:rFonts w:cs="Times New Roman"/>
        </w:rPr>
        <w:drawing>
          <wp:inline distT="0" distB="0" distL="0" distR="0">
            <wp:extent cx="2207260" cy="2175510"/>
            <wp:effectExtent l="19050" t="0" r="0" b="0"/>
            <wp:docPr id="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srcRect/>
                    <a:stretch>
                      <a:fillRect/>
                    </a:stretch>
                  </pic:blipFill>
                  <pic:spPr bwMode="auto">
                    <a:xfrm>
                      <a:off x="0" y="0"/>
                      <a:ext cx="2207260" cy="2175510"/>
                    </a:xfrm>
                    <a:prstGeom prst="rect">
                      <a:avLst/>
                    </a:prstGeom>
                    <a:noFill/>
                    <a:ln w="9525">
                      <a:noFill/>
                      <a:miter lim="800000"/>
                      <a:headEnd/>
                      <a:tailEnd/>
                    </a:ln>
                  </pic:spPr>
                </pic:pic>
              </a:graphicData>
            </a:graphic>
          </wp:inline>
        </w:drawing>
      </w:r>
    </w:p>
    <w:p w:rsidR="00E43E7C" w:rsidRPr="00DF0680" w:rsidRDefault="00E43E7C" w:rsidP="00D94477">
      <w:pPr>
        <w:pStyle w:val="Caption"/>
      </w:pPr>
    </w:p>
    <w:p w:rsidR="00E43E7C" w:rsidRPr="00DF0680" w:rsidRDefault="00E43E7C" w:rsidP="00D94477">
      <w:pPr>
        <w:pStyle w:val="Caption"/>
      </w:pPr>
      <w:bookmarkStart w:id="604" w:name="_Toc410205945"/>
      <w:bookmarkStart w:id="605" w:name="_Toc417813900"/>
      <w:r w:rsidRPr="00DF0680">
        <w:t xml:space="preserve">Figure </w:t>
      </w:r>
      <w:fldSimple w:instr=" STYLEREF 1 \s ">
        <w:r w:rsidR="006119E3">
          <w:rPr>
            <w:noProof/>
          </w:rPr>
          <w:t>3</w:t>
        </w:r>
      </w:fldSimple>
      <w:r w:rsidR="006119E3">
        <w:t>.</w:t>
      </w:r>
      <w:fldSimple w:instr=" SEQ Figure \* ARABIC \s 1 ">
        <w:r w:rsidR="006119E3">
          <w:rPr>
            <w:noProof/>
          </w:rPr>
          <w:t>11</w:t>
        </w:r>
      </w:fldSimple>
      <w:r w:rsidRPr="00DF0680">
        <w:t xml:space="preserve"> – Phosphorylation of the eukaryotic initiation factor 2α (eIF2α).</w:t>
      </w:r>
      <w:bookmarkEnd w:id="604"/>
      <w:bookmarkEnd w:id="605"/>
      <w:r w:rsidRPr="00DF0680">
        <w:t xml:space="preserve"> </w:t>
      </w:r>
    </w:p>
    <w:p w:rsidR="00E43E7C" w:rsidRPr="00DF0680" w:rsidRDefault="00E43E7C" w:rsidP="00E55931">
      <w:pPr>
        <w:spacing w:line="276" w:lineRule="auto"/>
      </w:pPr>
      <w:r w:rsidRPr="00DF0680">
        <w:t xml:space="preserve">Western blot of the phosphorylation of eIF2α and the expression of RECQL5β in EJ and NHU hTERT cells. Lysates from cancer cell line EJ and immortalised normal cell line NHU hTERT were run on an SDS-PAGE gel and probed using antibodies for RECQL5β  and Ser51 phosphorylated eIF2α. eIF2α and β-tubulin are used as controls for protein loading. o/e indicates a blot with a longer exposure. </w:t>
      </w:r>
      <w:r w:rsidR="00E55931" w:rsidRPr="00DF0680">
        <w:t>(n=3)</w:t>
      </w:r>
    </w:p>
    <w:p w:rsidR="00E43E7C" w:rsidRPr="00DF0680" w:rsidRDefault="00E43E7C" w:rsidP="00E43E7C">
      <w:pPr>
        <w:rPr>
          <w:rFonts w:cs="Times New Roman"/>
        </w:rPr>
      </w:pPr>
    </w:p>
    <w:p w:rsidR="00E43E7C" w:rsidRPr="00DF0680" w:rsidRDefault="00E43E7C" w:rsidP="00E664FC">
      <w:pPr>
        <w:pStyle w:val="Heading2"/>
      </w:pPr>
      <w:bookmarkStart w:id="606" w:name="_Toc410205822"/>
      <w:bookmarkStart w:id="607" w:name="_Toc417204193"/>
      <w:bookmarkStart w:id="608" w:name="_Toc417204726"/>
      <w:bookmarkStart w:id="609" w:name="_Toc417204786"/>
      <w:bookmarkStart w:id="610" w:name="_Toc417813941"/>
      <w:r w:rsidRPr="00DF0680">
        <w:t>Discussion</w:t>
      </w:r>
      <w:bookmarkEnd w:id="606"/>
      <w:bookmarkEnd w:id="607"/>
      <w:bookmarkEnd w:id="608"/>
      <w:bookmarkEnd w:id="609"/>
      <w:bookmarkEnd w:id="610"/>
    </w:p>
    <w:p w:rsidR="00E43E7C" w:rsidRPr="00DF0680" w:rsidRDefault="00E43E7C" w:rsidP="00E43E7C">
      <w:pPr>
        <w:rPr>
          <w:rFonts w:cs="Times New Roman"/>
        </w:rPr>
      </w:pPr>
      <w:r w:rsidRPr="00DF0680">
        <w:rPr>
          <w:rFonts w:cs="Times New Roman"/>
        </w:rPr>
        <w:t xml:space="preserve">Here, RECQL5β mRNA was shown to be decreased in bladder cancer compared to normal bladder tissue (Figure 3.1B). This is consistent with reduced RECQL5 mRNA seen in colorectal cancer </w:t>
      </w:r>
      <w:r w:rsidR="00F20EC0" w:rsidRPr="00DF0680">
        <w:rPr>
          <w:rFonts w:cs="Times New Roman"/>
        </w:rPr>
        <w:fldChar w:fldCharType="begin" w:fldLock="1"/>
      </w:r>
      <w:r w:rsidR="00332613" w:rsidRPr="00DF0680">
        <w:rPr>
          <w:rFonts w:cs="Times New Roman"/>
        </w:rPr>
        <w:instrText>ADDIN CSL_CITATION { "citationItems" : [ { "id" : "ITEM-1", "itemData" : { "DOI" : "10.1593/tlo.13238", "author" : [ { "dropping-particle" : "", "family" : "Lao", "given" : "VV", "non-dropping-particle" : "", "parse-names" : false, "suffix" : "" } ], "container-title" : "Translational Oncology", "id" : "ITEM-1", "issue" : "4", "issued" : { "date-parts" : [ [ "2013" ] ] }, "page" : "458-469", "title" : "Altered RecQ Helicase Expression in Sporadic Primary Colorectal Cancers", "type" : "article-journal", "volume" : "6" }, "uris" : [ "http://www.mendeley.com/documents/?uuid=b44e8ddf-fde4-4929-870e-9b2e33fe92b7" ] } ], "mendeley" : { "formattedCitation" : "(Lao 2013)", "plainTextFormattedCitation" : "(Lao 2013)", "previouslyFormattedCitation" : "(Lao 2013)"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(Lao 2013)</w:t>
      </w:r>
      <w:r w:rsidR="00F20EC0" w:rsidRPr="00DF0680">
        <w:rPr>
          <w:rFonts w:cs="Times New Roman"/>
        </w:rPr>
        <w:fldChar w:fldCharType="end"/>
      </w:r>
      <w:r w:rsidRPr="00DF0680">
        <w:rPr>
          <w:rFonts w:cs="Times New Roman"/>
        </w:rPr>
        <w:t>. Lao et al. used a probe against total RECQL5, but here, no difference was seen when probing for all three isoforms in bladder samples, implying that α and γ mRNA expression is not significantly lower in cancerous bladder compared to normal bladder tissue, and α and γ isoforms mask the difference seen with RECQL5β. It may be that the difference in RECQL5β mRNA in colorectal cancer is larger than in bladder cancer, or that differences in</w:t>
      </w:r>
      <w:r w:rsidR="00E55931" w:rsidRPr="00DF0680">
        <w:rPr>
          <w:rFonts w:cs="Times New Roman"/>
        </w:rPr>
        <w:t xml:space="preserve"> RECQL5 α and γ mRNA </w:t>
      </w:r>
      <w:proofErr w:type="gramStart"/>
      <w:r w:rsidR="00E55931" w:rsidRPr="00DF0680">
        <w:rPr>
          <w:rFonts w:cs="Times New Roman"/>
        </w:rPr>
        <w:t>contribute</w:t>
      </w:r>
      <w:proofErr w:type="gramEnd"/>
      <w:r w:rsidRPr="00DF0680">
        <w:rPr>
          <w:rFonts w:cs="Times New Roman"/>
        </w:rPr>
        <w:t xml:space="preserve"> to the difference in colorectal cancer but not bladder.</w:t>
      </w:r>
    </w:p>
    <w:p w:rsidR="00E43E7C" w:rsidRPr="00DF0680" w:rsidRDefault="00E43E7C" w:rsidP="00E43E7C">
      <w:pPr>
        <w:rPr>
          <w:rFonts w:cs="Times New Roman"/>
        </w:rPr>
      </w:pPr>
      <w:r w:rsidRPr="00DF0680">
        <w:rPr>
          <w:rFonts w:cs="Times New Roman"/>
        </w:rPr>
        <w:t xml:space="preserve">The small tissue array probed for RECQL5β mRNA (Figure 3.2 B), showed a significant decrease in expression levels in thyroid carcinomas compared to normal thyroid tissue, and a similar trend could be seen with lung and kidney samples. Although this was done with a small number of samples, and without any colorectal </w:t>
      </w:r>
      <w:r w:rsidRPr="00DF0680">
        <w:rPr>
          <w:rFonts w:cs="Times New Roman"/>
        </w:rPr>
        <w:lastRenderedPageBreak/>
        <w:t xml:space="preserve">cancer samples to compare with previous work </w:t>
      </w:r>
      <w:r w:rsidR="00F20EC0" w:rsidRPr="00DF0680">
        <w:rPr>
          <w:rFonts w:cs="Times New Roman"/>
        </w:rPr>
        <w:fldChar w:fldCharType="begin" w:fldLock="1"/>
      </w:r>
      <w:r w:rsidR="00332613" w:rsidRPr="00DF0680">
        <w:rPr>
          <w:rFonts w:cs="Times New Roman"/>
        </w:rPr>
        <w:instrText>ADDIN CSL_CITATION { "citationItems" : [ { "id" : "ITEM-1", "itemData" : { "DOI" : "10.1593/tlo.13238", "author" : [ { "dropping-particle" : "", "family" : "Lao", "given" : "VV", "non-dropping-particle" : "", "parse-names" : false, "suffix" : "" } ], "container-title" : "Translational Oncology", "id" : "ITEM-1", "issue" : "4", "issued" : { "date-parts" : [ [ "2013" ] ] }, "page" : "458-469", "title" : "Altered RecQ Helicase Expression in Sporadic Primary Colorectal Cancers", "type" : "article-journal", "volume" : "6" }, "uris" : [ "http://www.mendeley.com/documents/?uuid=b44e8ddf-fde4-4929-870e-9b2e33fe92b7" ] } ], "mendeley" : { "formattedCitation" : "(Lao 2013)", "plainTextFormattedCitation" : "(Lao 2013)", "previouslyFormattedCitation" : "(Lao 2013)"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(Lao 2013)</w:t>
      </w:r>
      <w:r w:rsidR="00F20EC0" w:rsidRPr="00DF0680">
        <w:rPr>
          <w:rFonts w:cs="Times New Roman"/>
        </w:rPr>
        <w:fldChar w:fldCharType="end"/>
      </w:r>
      <w:r w:rsidRPr="00DF0680">
        <w:rPr>
          <w:rFonts w:cs="Times New Roman"/>
        </w:rPr>
        <w:t xml:space="preserve">, it supports the hypothesis that RECQL5β mRNA depletion may be a common </w:t>
      </w:r>
      <w:r w:rsidR="0081198B" w:rsidRPr="00DF0680">
        <w:rPr>
          <w:rFonts w:cs="Times New Roman"/>
        </w:rPr>
        <w:t>phenomenon</w:t>
      </w:r>
      <w:r w:rsidRPr="00DF0680">
        <w:rPr>
          <w:rFonts w:cs="Times New Roman"/>
        </w:rPr>
        <w:t xml:space="preserve"> in more than just bladder cancer.</w:t>
      </w:r>
    </w:p>
    <w:p w:rsidR="00E43E7C" w:rsidRPr="00DF0680" w:rsidRDefault="00E43E7C" w:rsidP="00E43E7C">
      <w:pPr>
        <w:rPr>
          <w:rFonts w:cs="Times New Roman"/>
        </w:rPr>
      </w:pPr>
      <w:r w:rsidRPr="00DF0680">
        <w:rPr>
          <w:rFonts w:cs="Times New Roman"/>
        </w:rPr>
        <w:t xml:space="preserve">Protein levels from the bladder cell lines did not match the mRNA levels seen in primary patient material or the cell lines (Figure 3.3). Unfortunately, there was no matched material available for protein analysis but a commercial bladder cancer tissue microarray, once stained using IHC, showed that </w:t>
      </w:r>
      <w:r w:rsidR="0081198B" w:rsidRPr="00DF0680">
        <w:rPr>
          <w:rFonts w:cs="Times New Roman"/>
        </w:rPr>
        <w:t xml:space="preserve">RECQL5 </w:t>
      </w:r>
      <w:r w:rsidRPr="00DF0680">
        <w:rPr>
          <w:rFonts w:cs="Times New Roman"/>
        </w:rPr>
        <w:t xml:space="preserve">protein level was increased in cancers compared to the normal bladder (Figure 3.4). This is not consistent with the expression of RECQL5 in colorectal cancer, as Lao et al. showed a decrease in nuclear staining compared to normal tissue </w:t>
      </w:r>
      <w:r w:rsidR="00F20EC0" w:rsidRPr="00DF0680">
        <w:rPr>
          <w:rFonts w:cs="Times New Roman"/>
        </w:rPr>
        <w:fldChar w:fldCharType="begin" w:fldLock="1"/>
      </w:r>
      <w:r w:rsidR="00332613" w:rsidRPr="00DF0680">
        <w:rPr>
          <w:rFonts w:cs="Times New Roman"/>
        </w:rPr>
        <w:instrText>ADDIN CSL_CITATION { "citationItems" : [ { "id" : "ITEM-1", "itemData" : { "DOI" : "10.1593/tlo.13238", "author" : [ { "dropping-particle" : "", "family" : "Lao", "given" : "VV", "non-dropping-particle" : "", "parse-names" : false, "suffix" : "" } ], "container-title" : "Translational Oncology", "id" : "ITEM-1", "issue" : "4", "issued" : { "date-parts" : [ [ "2013" ] ] }, "page" : "458-469", "title" : "Altered RecQ Helicase Expression in Sporadic Primary Colorectal Cancers", "type" : "article-journal", "volume" : "6" }, "uris" : [ "http://www.mendeley.com/documents/?uuid=b44e8ddf-fde4-4929-870e-9b2e33fe92b7" ] } ], "mendeley" : { "formattedCitation" : "(Lao 2013)", "plainTextFormattedCitation" : "(Lao 2013)", "previouslyFormattedCitation" : "(Lao 2013)"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(Lao 2013)</w:t>
      </w:r>
      <w:r w:rsidR="00F20EC0" w:rsidRPr="00DF0680">
        <w:rPr>
          <w:rFonts w:cs="Times New Roman"/>
        </w:rPr>
        <w:fldChar w:fldCharType="end"/>
      </w:r>
      <w:r w:rsidRPr="00DF0680">
        <w:rPr>
          <w:rFonts w:cs="Times New Roman"/>
        </w:rPr>
        <w:t xml:space="preserve">. Contrary to the mRNA data, RECQL5 protein levels may vary between cancers. </w:t>
      </w:r>
    </w:p>
    <w:p w:rsidR="00E43E7C" w:rsidRPr="00DF0680" w:rsidRDefault="00E43E7C" w:rsidP="00E43E7C">
      <w:pPr>
        <w:rPr>
          <w:rFonts w:cs="Times New Roman"/>
        </w:rPr>
      </w:pPr>
      <w:r w:rsidRPr="00DF0680">
        <w:rPr>
          <w:rFonts w:cs="Times New Roman"/>
        </w:rPr>
        <w:t xml:space="preserve">Kawabe et al. suggested that the RECQ helicase protein levels are up-regulated in transformed and actively proliferating cells </w:t>
      </w:r>
      <w:r w:rsidR="00F20EC0" w:rsidRPr="00DF0680">
        <w:rPr>
          <w:rFonts w:cs="Times New Roman"/>
        </w:rPr>
        <w:fldChar w:fldCharType="begin" w:fldLock="1"/>
      </w:r>
      <w:r w:rsidRPr="00DF0680">
        <w:rPr>
          <w:rFonts w:cs="Times New Roman"/>
        </w:rPr>
        <w:instrText>ADDIN CSL_CITATION { "citationItems" : [ { "id" : "ITEM-1", "itemData" : { "DOI" : "10.1038/sj.onc.1203841", "ISSN" : "0950-9232", "PMID" : "11032027", "abstract" : "Three human RecQ DNA helicases, WRN, BLM and RTS, are involved in the genetic disorders associated with genomic instability and a high incidence of cancer. RecQL1 and RecQL5 also belong to the human RecQ helicase family, but their correlation with genetic disorders, if any, is unknown. We report here that in human B cells transformed by Epstein-Barr virus (EBV), human fibroblasts and umbilical endothelial cells transformed by simian virus 40, the expression of WRN, BLM, RTS and RecQL1 was sharply up-regulated. In B cells this expression was stimulated within 5-40 h by the tumor promoting agent phorbol myristic acetate (PMA). Interestingly, RecQL5beta, an alternative splicing product of RecQL5 with a nuclear localization signal, is expressed in resting B cells without significant modulation of its synthesis by EBV or PMA, suggesting it has a role in resting cells. We also roughly determined the number of copies per cell for the five RecQ helicase in B cells. In addition, levels of the different RecQ helicases are modulated in different ways during the cell cycle of actively proliferating fibroblasts and umbilical endothelial cells. Our results support the view that the levels of WRN, BLM, RTS and RecQL1 are differentially up-regulated to guarantee genomic stability in cells that are transformed or actively proliferating.", "author" : [ { "dropping-particle" : "", "family" : "Kawabe", "given" : "T", "non-dropping-particle" : "", "parse-names" : false, "suffix" : "" }, { "dropping-particle" : "", "family" : "Tsuyama", "given" : "N", "non-dropping-particle" : "", "parse-names" : false, "suffix" : "" }, { "dropping-particle" : "", "family" : "Kitao", "given" : "S", "non-dropping-particle" : "", "parse-names" : false, "suffix" : "" }, { "dropping-particle" : "", "family" : "Nishikawa", "given" : "K", "non-dropping-particle" : "", "parse-names" : false, "suffix" : "" }, { "dropping-particle" : "", "family" : "Shimamoto", "given" : "a", "non-dropping-particle" : "", "parse-names" : false, "suffix" : "" }, { "dropping-particle" : "", "family" : "Shiratori", "given" : "M", "non-dropping-particle" : "", "parse-names" : false, "suffix" : "" }, { "dropping-particle" : "", "family" : "Matsumoto", "given" : "T", "non-dropping-particle" : "", "parse-names" : false, "suffix" : "" }, { "dropping-particle" : "", "family" : "Anno", "given" : "K", "non-dropping-particle" : "", "parse-names" : false, "suffix" : "" }, { "dropping-particle" : "", "family" : "Sato", "given" : "T", "non-dropping-particle" : "", "parse-names" : false, "suffix" : "" }, { "dropping-particle" : "", "family" : "Mitsui", "given" : "Y", "non-dropping-particle" : "", "parse-names" : false, "suffix" : "" }, { "dropping-particle" : "", "family" : "Seki", "given" : "M", "non-dropping-particle" : "", "parse-names" : false, "suffix" : "" }, { "dropping-particle" : "", "family" : "Enomoto", "given" : "T", "non-dropping-particle" : "", "parse-names" : false, "suffix" : "" }, { "dropping-particle" : "", "family" : "Goto", "given" : "M", "non-dropping-particle" : "", "parse-names" : false, "suffix" : "" }, { "dropping-particle" : "", "family" : "Ellis", "given" : "N a", "non-dropping-particle" : "", "parse-names" : false, "suffix" : "" }, { "dropping-particle" : "", "family" : "Ide", "given" : "T", "non-dropping-particle" : "", "parse-names" : false, "suffix" : "" }, { "dropping-particle" : "", "family" : "Furuichi", "given" : "Y", "non-dropping-particle" : "", "parse-names" : false, "suffix" : "" }, { "dropping-particle" : "", "family" : "Sugimoto", "given" : "M", "non-dropping-particle" : "", "parse-names" : false, "suffix" : "" } ], "container-title" : "Oncogene", "id" : "ITEM-1", "issue" : "41", "issued" : { "date-parts" : [ [ "2000", "9", "28" ] ] }, "page" : "4764-72", "title" : "Differential regulation of human RecQ family helicases in cell transformation and cell cycle.", "type" : "article-journal", "volume" : "19" }, "uris" : [ "http://www.mendeley.com/documents/?uuid=b2762622-71f2-4337-be47-48b8cccabdd5" ] } ], "mendeley" : { "formattedCitation" : "(Kawabe et al. 2000)", "plainTextFormattedCitation" : "(Kawabe et al. 2000)", "previouslyFormattedCitation" : "(Kawabe et al. 2000)"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(Kawabe et al. 2000)</w:t>
      </w:r>
      <w:r w:rsidR="00F20EC0" w:rsidRPr="00DF0680">
        <w:rPr>
          <w:rFonts w:cs="Times New Roman"/>
        </w:rPr>
        <w:fldChar w:fldCharType="end"/>
      </w:r>
      <w:r w:rsidRPr="00DF0680">
        <w:rPr>
          <w:rFonts w:cs="Times New Roman"/>
        </w:rPr>
        <w:t xml:space="preserve">. They showed that RECQL5β does not change when </w:t>
      </w:r>
      <w:r w:rsidR="0081198B" w:rsidRPr="00DF0680">
        <w:rPr>
          <w:rFonts w:cs="Times New Roman"/>
        </w:rPr>
        <w:t xml:space="preserve">B lymphocytes </w:t>
      </w:r>
      <w:r w:rsidRPr="00DF0680">
        <w:rPr>
          <w:rFonts w:cs="Times New Roman"/>
        </w:rPr>
        <w:t xml:space="preserve">were treated with PMA or when transformed by EBV, but that RECQL5 is up-regulated in tumour cells in log phase of growth </w:t>
      </w:r>
      <w:r w:rsidR="00F20EC0" w:rsidRPr="00DF0680">
        <w:rPr>
          <w:rFonts w:cs="Times New Roman"/>
        </w:rPr>
        <w:fldChar w:fldCharType="begin" w:fldLock="1"/>
      </w:r>
      <w:r w:rsidRPr="00DF0680">
        <w:rPr>
          <w:rFonts w:cs="Times New Roman"/>
        </w:rPr>
        <w:instrText>ADDIN CSL_CITATION { "citationItems" : [ { "id" : "ITEM-1", "itemData" : { "DOI" : "10.1038/sj.onc.1203841", "ISSN" : "0950-9232", "PMID" : "11032027", "abstract" : "Three human RecQ DNA helicases, WRN, BLM and RTS, are involved in the genetic disorders associated with genomic instability and a high incidence of cancer. RecQL1 and RecQL5 also belong to the human RecQ helicase family, but their correlation with genetic disorders, if any, is unknown. We report here that in human B cells transformed by Epstein-Barr virus (EBV), human fibroblasts and umbilical endothelial cells transformed by simian virus 40, the expression of WRN, BLM, RTS and RecQL1 was sharply up-regulated. In B cells this expression was stimulated within 5-40 h by the tumor promoting agent phorbol myristic acetate (PMA). Interestingly, RecQL5beta, an alternative splicing product of RecQL5 with a nuclear localization signal, is expressed in resting B cells without significant modulation of its synthesis by EBV or PMA, suggesting it has a role in resting cells. We also roughly determined the number of copies per cell for the five RecQ helicase in B cells. In addition, levels of the different RecQ helicases are modulated in different ways during the cell cycle of actively proliferating fibroblasts and umbilical endothelial cells. Our results support the view that the levels of WRN, BLM, RTS and RecQL1 are differentially up-regulated to guarantee genomic stability in cells that are transformed or actively proliferating.", "author" : [ { "dropping-particle" : "", "family" : "Kawabe", "given" : "T", "non-dropping-particle" : "", "parse-names" : false, "suffix" : "" }, { "dropping-particle" : "", "family" : "Tsuyama", "given" : "N", "non-dropping-particle" : "", "parse-names" : false, "suffix" : "" }, { "dropping-particle" : "", "family" : "Kitao", "given" : "S", "non-dropping-particle" : "", "parse-names" : false, "suffix" : "" }, { "dropping-particle" : "", "family" : "Nishikawa", "given" : "K", "non-dropping-particle" : "", "parse-names" : false, "suffix" : "" }, { "dropping-particle" : "", "family" : "Shimamoto", "given" : "a", "non-dropping-particle" : "", "parse-names" : false, "suffix" : "" }, { "dropping-particle" : "", "family" : "Shiratori", "given" : "M", "non-dropping-particle" : "", "parse-names" : false, "suffix" : "" }, { "dropping-particle" : "", "family" : "Matsumoto", "given" : "T", "non-dropping-particle" : "", "parse-names" : false, "suffix" : "" }, { "dropping-particle" : "", "family" : "Anno", "given" : "K", "non-dropping-particle" : "", "parse-names" : false, "suffix" : "" }, { "dropping-particle" : "", "family" : "Sato", "given" : "T", "non-dropping-particle" : "", "parse-names" : false, "suffix" : "" }, { "dropping-particle" : "", "family" : "Mitsui", "given" : "Y", "non-dropping-particle" : "", "parse-names" : false, "suffix" : "" }, { "dropping-particle" : "", "family" : "Seki", "given" : "M", "non-dropping-particle" : "", "parse-names" : false, "suffix" : "" }, { "dropping-particle" : "", "family" : "Enomoto", "given" : "T", "non-dropping-particle" : "", "parse-names" : false, "suffix" : "" }, { "dropping-particle" : "", "family" : "Goto", "given" : "M", "non-dropping-particle" : "", "parse-names" : false, "suffix" : "" }, { "dropping-particle" : "", "family" : "Ellis", "given" : "N a", "non-dropping-particle" : "", "parse-names" : false, "suffix" : "" }, { "dropping-particle" : "", "family" : "Ide", "given" : "T", "non-dropping-particle" : "", "parse-names" : false, "suffix" : "" }, { "dropping-particle" : "", "family" : "Furuichi", "given" : "Y", "non-dropping-particle" : "", "parse-names" : false, "suffix" : "" }, { "dropping-particle" : "", "family" : "Sugimoto", "given" : "M", "non-dropping-particle" : "", "parse-names" : false, "suffix" : "" } ], "container-title" : "Oncogene", "id" : "ITEM-1", "issue" : "41", "issued" : { "date-parts" : [ [ "2000", "9", "28" ] ] }, "page" : "4764-72", "title" : "Differential regulation of human RecQ family helicases in cell transformation and cell cycle.", "type" : "article-journal", "volume" : "19" }, "uris" : [ "http://www.mendeley.com/documents/?uuid=b2762622-71f2-4337-be47-48b8cccabdd5" ] } ], "mendeley" : { "formattedCitation" : "(Kawabe et al. 2000)", "plainTextFormattedCitation" : "(Kawabe et al. 2000)", "previouslyFormattedCitation" : "(Kawabe et al. 2000)"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(Kawabe et al. 2000)</w:t>
      </w:r>
      <w:r w:rsidR="00F20EC0" w:rsidRPr="00DF0680">
        <w:rPr>
          <w:rFonts w:cs="Times New Roman"/>
        </w:rPr>
        <w:fldChar w:fldCharType="end"/>
      </w:r>
      <w:r w:rsidRPr="00DF0680">
        <w:rPr>
          <w:rFonts w:cs="Times New Roman"/>
        </w:rPr>
        <w:t xml:space="preserve">. The results here show that RECQL5 is not cell-cycle regulated and although EJs </w:t>
      </w:r>
      <w:r w:rsidR="0081198B" w:rsidRPr="00DF0680">
        <w:rPr>
          <w:rFonts w:cs="Times New Roman"/>
        </w:rPr>
        <w:t xml:space="preserve">may have more S-phase and actively proliferating cells than the NHU hTERTs (when examined using FACS and BrdU incorporation - </w:t>
      </w:r>
      <w:r w:rsidRPr="00DF0680">
        <w:rPr>
          <w:rFonts w:cs="Times New Roman"/>
        </w:rPr>
        <w:t xml:space="preserve">Figure 3.6 B), the question of whether these proliferating cells have higher expression of RECQL5 has yet to be addressed. Isolating the BrdU positive cells and analysing the protein level using Western blot would be a good way to investigate this. </w:t>
      </w:r>
      <w:r w:rsidR="0081198B" w:rsidRPr="00DF0680">
        <w:rPr>
          <w:rFonts w:cs="Times New Roman"/>
        </w:rPr>
        <w:t xml:space="preserve">However, an alternative BrdU labelling protocol may need to be used due to the high percentage of labelled cells seen after 20 minutes. </w:t>
      </w:r>
      <w:r w:rsidRPr="00DF0680">
        <w:rPr>
          <w:rFonts w:cs="Times New Roman"/>
        </w:rPr>
        <w:t xml:space="preserve">The </w:t>
      </w:r>
      <w:r w:rsidR="0081198B" w:rsidRPr="00DF0680">
        <w:rPr>
          <w:rFonts w:cs="Times New Roman"/>
        </w:rPr>
        <w:t>loss of</w:t>
      </w:r>
      <w:r w:rsidRPr="00DF0680">
        <w:rPr>
          <w:rFonts w:cs="Times New Roman"/>
        </w:rPr>
        <w:t xml:space="preserve"> RECQL5β expression in NHU cells after synchronization did not seem to correlate with changes in any particular cell cycle phase, and may be due to a cell-death driven response. </w:t>
      </w:r>
    </w:p>
    <w:p w:rsidR="00E43E7C" w:rsidRPr="00DF0680" w:rsidRDefault="00E43E7C" w:rsidP="00E43E7C">
      <w:pPr>
        <w:rPr>
          <w:rFonts w:cs="Times New Roman"/>
        </w:rPr>
      </w:pPr>
      <w:r w:rsidRPr="00DF0680">
        <w:rPr>
          <w:rFonts w:cs="Times New Roman"/>
        </w:rPr>
        <w:t>A CpG island found proximal to the promoter of RECQL5 suggested a promoter methylation mechanism for the regulation of RECQL5 expression. 5-aza-2’-deoxycytidine treatment of EJ cells showed an increase in the Cep131 protein expression but not in RECQL5β s</w:t>
      </w:r>
      <w:r w:rsidR="0081198B" w:rsidRPr="00DF0680">
        <w:rPr>
          <w:rFonts w:cs="Times New Roman"/>
        </w:rPr>
        <w:t>uggesting</w:t>
      </w:r>
      <w:r w:rsidRPr="00DF0680">
        <w:rPr>
          <w:rFonts w:cs="Times New Roman"/>
        </w:rPr>
        <w:t xml:space="preserve"> that it is not regulated by promoter methylation (Figure 3.8). We did not see an increase in Cep131 expression in our normal bladder cell line which may be due to the promoter not being methylated in these cells. Performing qRT-PCR to investigate RECQL5 mRNA expression after </w:t>
      </w:r>
      <w:r w:rsidRPr="00DF0680">
        <w:rPr>
          <w:rFonts w:cs="Times New Roman"/>
        </w:rPr>
        <w:lastRenderedPageBreak/>
        <w:t>global demethylation would provide more direct evidence as to the regulation of transcript levels, rather than analysing protein abundance.</w:t>
      </w:r>
    </w:p>
    <w:p w:rsidR="00E43E7C" w:rsidRPr="00DF0680" w:rsidRDefault="00E43E7C" w:rsidP="00E43E7C">
      <w:pPr>
        <w:rPr>
          <w:rFonts w:cs="Times New Roman"/>
        </w:rPr>
      </w:pPr>
      <w:r w:rsidRPr="00DF0680">
        <w:rPr>
          <w:rFonts w:cs="Times New Roman"/>
        </w:rPr>
        <w:t>Protein stability does not seem to be a mechanism altered between normal and cancerous bladder cells as RECQL5β levels were stable in both EJ and NHU hTERT cells over 24 hours. However, it cannot be assumed this is the case beyond 24 hours as treatment with cycloheximide became toxic to the cells after one day and thus the experiment had to be stopped at this time.</w:t>
      </w:r>
    </w:p>
    <w:p w:rsidR="00E43E7C" w:rsidRPr="00DF0680" w:rsidRDefault="00E43E7C" w:rsidP="00E43E7C">
      <w:pPr>
        <w:rPr>
          <w:rFonts w:cs="Times New Roman"/>
        </w:rPr>
      </w:pPr>
      <w:r w:rsidRPr="00DF0680">
        <w:rPr>
          <w:rFonts w:cs="Times New Roman"/>
        </w:rPr>
        <w:t xml:space="preserve">RECQL5β 3’UTR analysis using TargetScan showed a number of conserved stretches of nucleotides but only a few obscure, unconfirmed miRNA target sites. DNA sequencing showed no sequence differences in the 3’UTR of RECQL5 mRNA in the bladder cells lines. Luciferase assays were performed with the RECQL5β 3’UTR to detect any differences in expression although these did not show any significant differences between cell lines (Figure 3.10). RECQL1 has been shown to be a target for miRNA regulation using the 3’UTR </w:t>
      </w:r>
      <w:r w:rsidR="00F20EC0" w:rsidRPr="00DF0680">
        <w:rPr>
          <w:rFonts w:cs="Times New Roman"/>
        </w:rPr>
        <w:fldChar w:fldCharType="begin" w:fldLock="1"/>
      </w:r>
      <w:r w:rsidR="00332613" w:rsidRPr="00DF0680">
        <w:rPr>
          <w:rFonts w:cs="Times New Roman"/>
        </w:rPr>
        <w:instrText>ADDIN CSL_CITATION { "citationItems" : [ { "id" : "ITEM-1", "itemData" : { "DOI" : "10.1159/000358721", "ISSN" : "1421-9778", "PMID" : "24854846", "abstract" : "Background/Aims: RECQL1, a member of the human RECQ helicase family, participates in DNA repair. Recent reports showed that RECQL1 silencing in cancer cells resulted in mitotic catastrophe, which prevented tumor growth in murine models. However, its therapeutic potential has never been examined in tongue squamous cell carcinoma (SCC). Methods: To explore the role of RECQL1 in the development of tongue SCC, we used RNA interference technology to silence RECQL1 in SCC-9 and SCC-15 human tongue SCC cell lines, and to subsequently evaluate its effects both in vitro and in vivo. Results: After RECQL1 was silenced in SCC cells by siRNA, we observed downregulation of RECQL1 mRNA and protein in cancer cells. RECQL1 is one of the predicted miR-203 targets, and we found that miR-203 downregulated the expression of RECQL1 at the post-transcriptional level. RECQL1-shRNA or miR-203 overexpression inhibited SCC-9 cell growth. In addition, there was accumulation of cells in the sub-G1 fraction and increased apoptosis 72 h post-transfection. In addition, knockdown of RECQL1 led to a strong anticancer effect, as the tumorigenicity of SCC-9 cells was inhibited in vivo. Moreover, we found that two immunosuppressive factors were also significantly downregulated upon RECQL1 knockdown or miR-203 overexpression in vitro. Conclusion: Collectively, these results indicate that RECQL1 plays an important regulatory role in cancer cell proliferation and tumor progression. \u00a9 2014 S. Karger AG, Basel.", "author" : [ { "dropping-particle" : "", "family" : "Tao", "given" : "Jiang", "non-dropping-particle" : "", "parse-names" : false, "suffix" : "" }, { "dropping-particle" : "", "family" : "Tao", "given" : "Suxiong", "non-dropping-particle" : "", "parse-names" : false, "suffix" : "" }, { "dropping-particle" : "", "family" : "Han", "given" : "Junli", "non-dropping-particle" : "", "parse-names" : false, "suffix" : "" }, { "dropping-particle" : "", "family" : "Zhou", "given" : "Zhuojun", "non-dropping-particle" : "", "parse-names" : false, "suffix" : "" }, { "dropping-particle" : "", "family" : "Zhang", "given" : "Xiaoping", "non-dropping-particle" : "", "parse-names" : false, "suffix" : "" }, { "dropping-particle" : "", "family" : "Wang", "given" : "Haining", "non-dropping-particle" : "", "parse-names" : false, "suffix" : "" }, { "dropping-particle" : "", "family" : "Chen", "given" : "Rongjing", "non-dropping-particle" : "", "parse-names" : false, "suffix" : "" }, { "dropping-particle" : "", "family" : "Ji", "given" : "Fang", "non-dropping-particle" : "", "parse-names" : false, "suffix" : "" }, { "dropping-particle" : "", "family" : "Zhu", "given" : "Yaqin", "non-dropping-particle" : "", "parse-names" : false, "suffix" : "" } ], "container-title" : "Cellular Physiology and Biochemistry", "id" : "ITEM-1", "issue" : "5", "issued" : { "date-parts" : [ [ "2014", "1" ] ] }, "page" : "1579-90", "title" : "RECQL1 Plays an Important Role in the Development of Tongue Squamous Cell Carcinoma.", "type" : "article-journal", "volume" : "33" }, "uris" : [ "http://www.mendeley.com/documents/?uuid=5042ac45-cfc5-4da4-a24d-7a59ccae3a1d" ] } ], "mendeley" : { "formattedCitation" : "(Tao et al. 2014)", "plainTextFormattedCitation" : "(Tao et al. 2014)", "previouslyFormattedCitation" : "(Tao et al. 2014)"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(Tao et al. 2014)</w:t>
      </w:r>
      <w:r w:rsidR="00F20EC0" w:rsidRPr="00DF0680">
        <w:rPr>
          <w:rFonts w:cs="Times New Roman"/>
        </w:rPr>
        <w:fldChar w:fldCharType="end"/>
      </w:r>
      <w:r w:rsidRPr="00DF0680">
        <w:rPr>
          <w:rFonts w:cs="Times New Roman"/>
        </w:rPr>
        <w:t xml:space="preserve">, but work here suggests RECQL5 is not targeted differentially between normal bladder and bladder cancer cell lines using the 3’UTR. </w:t>
      </w:r>
    </w:p>
    <w:p w:rsidR="00E43E7C" w:rsidRPr="00DF0680" w:rsidRDefault="00E43E7C" w:rsidP="00E43E7C">
      <w:pPr>
        <w:rPr>
          <w:rFonts w:cs="Times New Roman"/>
        </w:rPr>
      </w:pPr>
      <w:r w:rsidRPr="00DF0680">
        <w:rPr>
          <w:rFonts w:cs="Times New Roman"/>
        </w:rPr>
        <w:t>Altered eIF2α phosphorylation-dependent translation initiation is a strong candidate to explain the difference in mRNA and protein levels between normal and cancer cell lines. Analysis of more mRNA-protein patterns will need to be examined to identify whether global translation is indeed in</w:t>
      </w:r>
      <w:r w:rsidR="0099278F" w:rsidRPr="00DF0680">
        <w:rPr>
          <w:rFonts w:cs="Times New Roman"/>
        </w:rPr>
        <w:t>creased in bladder cancer cells; alternatively, incorporation of S</w:t>
      </w:r>
      <w:r w:rsidR="0099278F" w:rsidRPr="00DF0680">
        <w:rPr>
          <w:rFonts w:cs="Times New Roman"/>
          <w:vertAlign w:val="superscript"/>
        </w:rPr>
        <w:t>35</w:t>
      </w:r>
      <w:r w:rsidR="0099278F" w:rsidRPr="00DF0680">
        <w:rPr>
          <w:rFonts w:cs="Times New Roman"/>
        </w:rPr>
        <w:t xml:space="preserve"> could be used to measure rates of protein synthesis between cell lines.</w:t>
      </w:r>
      <w:r w:rsidRPr="00DF0680">
        <w:rPr>
          <w:rFonts w:cs="Times New Roman"/>
        </w:rPr>
        <w:t xml:space="preserve"> Whether this is true for the primary cancers as well could be determined by investigating the levels of eIF2α phosphorylation, using IHC. However, it is difficult to determine which of the cell lines has abnormal eIF2α phosphorylation. As the cancer cells are by definition cells that have transformed from the norm, it is likely to be the cancer cells that have altered translation initiation, but the increased phosphorylation in the NHU hTERT cells suggests that it might be these cells that are under some form of stress from culturing that causes a decrease in global protein translation. It cannot be ruled out that there may be specific regulation for RECQL5 translation, such as enhancers or microRNAs targeting the 5’UTR, but the reduced eIF2α phosphorylation in bladder cancer cells, suggests that this loss of control of translation initiation </w:t>
      </w:r>
      <w:r w:rsidR="0099278F" w:rsidRPr="00DF0680">
        <w:rPr>
          <w:rFonts w:cs="Times New Roman"/>
        </w:rPr>
        <w:t>may contribute</w:t>
      </w:r>
      <w:r w:rsidRPr="00DF0680">
        <w:rPr>
          <w:rFonts w:cs="Times New Roman"/>
        </w:rPr>
        <w:t xml:space="preserve"> to the increased RECQL5 protein levels seen.</w:t>
      </w:r>
    </w:p>
    <w:p w:rsidR="000F4A2B" w:rsidRPr="00DF0680" w:rsidRDefault="000F4A2B" w:rsidP="00EB1D60">
      <w:pPr>
        <w:rPr>
          <w:rFonts w:cs="Times New Roman"/>
          <w:color w:val="auto"/>
        </w:rPr>
        <w:sectPr w:rsidR="000F4A2B" w:rsidRPr="00DF0680" w:rsidSect="000F4A2B">
          <w:headerReference w:type="default" r:id="rId43"/>
          <w:footerReference w:type="default" r:id="rId44"/>
          <w:pgSz w:w="11906" w:h="16838"/>
          <w:pgMar w:top="1440" w:right="1134" w:bottom="1440" w:left="2268" w:header="709" w:footer="709" w:gutter="0"/>
          <w:cols w:space="708"/>
          <w:docGrid w:linePitch="360"/>
        </w:sectPr>
      </w:pPr>
    </w:p>
    <w:p w:rsidR="000F4A2B" w:rsidRPr="00DF0680" w:rsidRDefault="000F4A2B" w:rsidP="00E664FC">
      <w:pPr>
        <w:pStyle w:val="Heading1"/>
      </w:pPr>
      <w:bookmarkStart w:id="611" w:name="_Toc402874345"/>
      <w:bookmarkStart w:id="612" w:name="_Toc403381473"/>
      <w:bookmarkStart w:id="613" w:name="_Toc406567660"/>
      <w:bookmarkStart w:id="614" w:name="_Toc406597601"/>
      <w:bookmarkStart w:id="615" w:name="_Toc409170762"/>
      <w:bookmarkStart w:id="616" w:name="_Toc410221375"/>
      <w:bookmarkStart w:id="617" w:name="_Toc417204194"/>
      <w:bookmarkStart w:id="618" w:name="_Toc417204727"/>
      <w:bookmarkStart w:id="619" w:name="_Toc417204787"/>
      <w:bookmarkEnd w:id="543"/>
      <w:r w:rsidRPr="00DF0680">
        <w:lastRenderedPageBreak/>
        <w:t>– The role of RECQL5 at the replication fork</w:t>
      </w:r>
      <w:bookmarkEnd w:id="611"/>
      <w:bookmarkEnd w:id="612"/>
      <w:bookmarkEnd w:id="613"/>
      <w:bookmarkEnd w:id="614"/>
      <w:bookmarkEnd w:id="615"/>
      <w:bookmarkEnd w:id="616"/>
      <w:bookmarkEnd w:id="617"/>
      <w:bookmarkEnd w:id="618"/>
      <w:bookmarkEnd w:id="619"/>
    </w:p>
    <w:sdt>
      <w:sdtPr>
        <w:rPr>
          <w:b w:val="0"/>
          <w:bCs/>
          <w:noProof w:val="0"/>
        </w:rPr>
        <w:id w:val="20040404"/>
        <w:docPartObj>
          <w:docPartGallery w:val="Table of Contents"/>
          <w:docPartUnique/>
        </w:docPartObj>
      </w:sdtPr>
      <w:sdtEndPr>
        <w:rPr>
          <w:rFonts w:cs="Times New Roman"/>
          <w:bCs w:val="0"/>
        </w:rPr>
      </w:sdtEndPr>
      <w:sdtContent>
        <w:p w:rsidR="000F4A2B" w:rsidRPr="00DF0680" w:rsidRDefault="00F20EC0" w:rsidP="00577EA5">
          <w:pPr>
            <w:pStyle w:val="TOC1"/>
            <w:rPr>
              <w:rFonts w:eastAsiaTheme="minorEastAsia"/>
              <w:noProof w:val="0"/>
              <w:sz w:val="22"/>
            </w:rPr>
          </w:pPr>
          <w:r w:rsidRPr="00DF0680">
            <w:rPr>
              <w:rFonts w:eastAsiaTheme="majorEastAsia"/>
              <w:bCs/>
              <w:noProof w:val="0"/>
              <w:color w:val="365F91" w:themeColor="accent1" w:themeShade="BF"/>
              <w:sz w:val="28"/>
              <w:szCs w:val="28"/>
            </w:rPr>
            <w:fldChar w:fldCharType="begin"/>
          </w:r>
          <w:r w:rsidR="000F4A2B" w:rsidRPr="00DF0680">
            <w:rPr>
              <w:noProof w:val="0"/>
            </w:rPr>
            <w:instrText xml:space="preserve"> TOC \o "1-3" \h \z \u </w:instrText>
          </w:r>
          <w:r w:rsidRPr="00DF0680">
            <w:rPr>
              <w:rFonts w:eastAsiaTheme="majorEastAsia"/>
              <w:bCs/>
              <w:noProof w:val="0"/>
              <w:color w:val="365F91" w:themeColor="accent1" w:themeShade="BF"/>
              <w:sz w:val="28"/>
              <w:szCs w:val="28"/>
            </w:rPr>
            <w:fldChar w:fldCharType="separate"/>
          </w:r>
        </w:p>
        <w:p w:rsidR="000F4A2B" w:rsidRPr="00DF0680" w:rsidRDefault="00F20EC0" w:rsidP="000F4A2B">
          <w:pPr>
            <w:pStyle w:val="TOC2"/>
            <w:rPr>
              <w:rFonts w:eastAsiaTheme="minorEastAsia" w:cs="Times New Roman"/>
              <w:noProof w:val="0"/>
              <w:sz w:val="22"/>
            </w:rPr>
          </w:pPr>
          <w:hyperlink w:anchor="_Toc410221376" w:history="1">
            <w:r w:rsidR="000F4A2B" w:rsidRPr="00DF0680">
              <w:rPr>
                <w:rStyle w:val="Hyperlink"/>
                <w:rFonts w:cs="Times New Roman"/>
                <w:noProof w:val="0"/>
              </w:rPr>
              <w:t>4.1</w:t>
            </w:r>
            <w:r w:rsidR="000F4A2B" w:rsidRPr="00DF0680">
              <w:rPr>
                <w:rFonts w:eastAsiaTheme="minorEastAsia" w:cs="Times New Roman"/>
                <w:noProof w:val="0"/>
                <w:sz w:val="22"/>
              </w:rPr>
              <w:tab/>
            </w:r>
            <w:r w:rsidR="000F4A2B" w:rsidRPr="00DF0680">
              <w:rPr>
                <w:rStyle w:val="Hyperlink"/>
                <w:rFonts w:cs="Times New Roman"/>
                <w:noProof w:val="0"/>
              </w:rPr>
              <w:t>Introduction</w:t>
            </w:r>
            <w:r w:rsidR="000F4A2B" w:rsidRPr="00DF0680">
              <w:rPr>
                <w:rFonts w:cs="Times New Roman"/>
                <w:noProof w:val="0"/>
                <w:webHidden/>
              </w:rPr>
              <w:tab/>
            </w:r>
            <w:r w:rsidRPr="00DF0680">
              <w:rPr>
                <w:rFonts w:cs="Times New Roman"/>
                <w:noProof w:val="0"/>
                <w:webHidden/>
              </w:rPr>
              <w:fldChar w:fldCharType="begin"/>
            </w:r>
            <w:r w:rsidR="000F4A2B" w:rsidRPr="00DF0680">
              <w:rPr>
                <w:rFonts w:cs="Times New Roman"/>
                <w:noProof w:val="0"/>
                <w:webHidden/>
              </w:rPr>
              <w:instrText xml:space="preserve"> PAGEREF _Toc410221376 \h </w:instrText>
            </w:r>
            <w:r w:rsidRPr="00DF0680">
              <w:rPr>
                <w:rFonts w:cs="Times New Roman"/>
                <w:noProof w:val="0"/>
                <w:webHidden/>
              </w:rPr>
            </w:r>
            <w:r w:rsidRPr="00DF0680">
              <w:rPr>
                <w:rFonts w:cs="Times New Roman"/>
                <w:noProof w:val="0"/>
                <w:webHidden/>
              </w:rPr>
              <w:fldChar w:fldCharType="separate"/>
            </w:r>
            <w:r w:rsidR="009801AF" w:rsidRPr="00DF0680">
              <w:rPr>
                <w:rFonts w:cs="Times New Roman"/>
                <w:noProof w:val="0"/>
                <w:webHidden/>
              </w:rPr>
              <w:t>118</w:t>
            </w:r>
            <w:r w:rsidRPr="00DF0680">
              <w:rPr>
                <w:rFonts w:cs="Times New Roman"/>
                <w:noProof w:val="0"/>
                <w:webHidden/>
              </w:rPr>
              <w:fldChar w:fldCharType="end"/>
            </w:r>
          </w:hyperlink>
        </w:p>
        <w:p w:rsidR="000F4A2B" w:rsidRPr="00DF0680" w:rsidRDefault="00F20EC0" w:rsidP="000F4A2B">
          <w:pPr>
            <w:pStyle w:val="TOC2"/>
            <w:rPr>
              <w:rFonts w:eastAsiaTheme="minorEastAsia" w:cs="Times New Roman"/>
              <w:noProof w:val="0"/>
              <w:sz w:val="22"/>
            </w:rPr>
          </w:pPr>
          <w:hyperlink w:anchor="_Toc410221377" w:history="1">
            <w:r w:rsidR="000F4A2B" w:rsidRPr="00DF0680">
              <w:rPr>
                <w:rStyle w:val="Hyperlink"/>
                <w:rFonts w:cs="Times New Roman"/>
                <w:noProof w:val="0"/>
              </w:rPr>
              <w:t>4.2</w:t>
            </w:r>
            <w:r w:rsidR="000F4A2B" w:rsidRPr="00DF0680">
              <w:rPr>
                <w:rFonts w:eastAsiaTheme="minorEastAsia" w:cs="Times New Roman"/>
                <w:noProof w:val="0"/>
                <w:sz w:val="22"/>
              </w:rPr>
              <w:tab/>
            </w:r>
            <w:r w:rsidR="000F4A2B" w:rsidRPr="00DF0680">
              <w:rPr>
                <w:rStyle w:val="Hyperlink"/>
                <w:rFonts w:cs="Times New Roman"/>
                <w:noProof w:val="0"/>
              </w:rPr>
              <w:t>Over-expressing RECQL5β increases endogenous fork speed</w:t>
            </w:r>
            <w:r w:rsidR="000F4A2B" w:rsidRPr="00DF0680">
              <w:rPr>
                <w:rFonts w:cs="Times New Roman"/>
                <w:noProof w:val="0"/>
                <w:webHidden/>
              </w:rPr>
              <w:tab/>
            </w:r>
            <w:r w:rsidRPr="00DF0680">
              <w:rPr>
                <w:rFonts w:cs="Times New Roman"/>
                <w:noProof w:val="0"/>
                <w:webHidden/>
              </w:rPr>
              <w:fldChar w:fldCharType="begin"/>
            </w:r>
            <w:r w:rsidR="000F4A2B" w:rsidRPr="00DF0680">
              <w:rPr>
                <w:rFonts w:cs="Times New Roman"/>
                <w:noProof w:val="0"/>
                <w:webHidden/>
              </w:rPr>
              <w:instrText xml:space="preserve"> PAGEREF _Toc410221377 \h </w:instrText>
            </w:r>
            <w:r w:rsidRPr="00DF0680">
              <w:rPr>
                <w:rFonts w:cs="Times New Roman"/>
                <w:noProof w:val="0"/>
                <w:webHidden/>
              </w:rPr>
            </w:r>
            <w:r w:rsidRPr="00DF0680">
              <w:rPr>
                <w:rFonts w:cs="Times New Roman"/>
                <w:noProof w:val="0"/>
                <w:webHidden/>
              </w:rPr>
              <w:fldChar w:fldCharType="separate"/>
            </w:r>
            <w:r w:rsidR="009801AF" w:rsidRPr="00DF0680">
              <w:rPr>
                <w:rFonts w:cs="Times New Roman"/>
                <w:noProof w:val="0"/>
                <w:webHidden/>
              </w:rPr>
              <w:t>119</w:t>
            </w:r>
            <w:r w:rsidRPr="00DF0680">
              <w:rPr>
                <w:rFonts w:cs="Times New Roman"/>
                <w:noProof w:val="0"/>
                <w:webHidden/>
              </w:rPr>
              <w:fldChar w:fldCharType="end"/>
            </w:r>
          </w:hyperlink>
        </w:p>
        <w:p w:rsidR="000F4A2B" w:rsidRPr="00DF0680" w:rsidRDefault="00F20EC0" w:rsidP="000F4A2B">
          <w:pPr>
            <w:pStyle w:val="TOC2"/>
            <w:rPr>
              <w:rFonts w:eastAsiaTheme="minorEastAsia" w:cs="Times New Roman"/>
              <w:noProof w:val="0"/>
              <w:sz w:val="22"/>
            </w:rPr>
          </w:pPr>
          <w:hyperlink w:anchor="_Toc410221378" w:history="1">
            <w:r w:rsidR="000F4A2B" w:rsidRPr="00DF0680">
              <w:rPr>
                <w:rStyle w:val="Hyperlink"/>
                <w:rFonts w:cs="Times New Roman"/>
                <w:noProof w:val="0"/>
              </w:rPr>
              <w:t>4.3</w:t>
            </w:r>
            <w:r w:rsidR="000F4A2B" w:rsidRPr="00DF0680">
              <w:rPr>
                <w:rFonts w:eastAsiaTheme="minorEastAsia" w:cs="Times New Roman"/>
                <w:noProof w:val="0"/>
                <w:sz w:val="22"/>
              </w:rPr>
              <w:tab/>
            </w:r>
            <w:r w:rsidR="000F4A2B" w:rsidRPr="00DF0680">
              <w:rPr>
                <w:rStyle w:val="Hyperlink"/>
                <w:rFonts w:cs="Times New Roman"/>
                <w:noProof w:val="0"/>
              </w:rPr>
              <w:t>Over-expressing RECQL5β decreases endogenous fork stalling and new origin firing......</w:t>
            </w:r>
            <w:r w:rsidR="000F4A2B" w:rsidRPr="00DF0680">
              <w:rPr>
                <w:rFonts w:cs="Times New Roman"/>
                <w:noProof w:val="0"/>
                <w:webHidden/>
              </w:rPr>
              <w:tab/>
            </w:r>
            <w:r w:rsidRPr="00DF0680">
              <w:rPr>
                <w:rFonts w:cs="Times New Roman"/>
                <w:noProof w:val="0"/>
                <w:webHidden/>
              </w:rPr>
              <w:fldChar w:fldCharType="begin"/>
            </w:r>
            <w:r w:rsidR="000F4A2B" w:rsidRPr="00DF0680">
              <w:rPr>
                <w:rFonts w:cs="Times New Roman"/>
                <w:noProof w:val="0"/>
                <w:webHidden/>
              </w:rPr>
              <w:instrText xml:space="preserve"> PAGEREF _Toc410221378 \h </w:instrText>
            </w:r>
            <w:r w:rsidRPr="00DF0680">
              <w:rPr>
                <w:rFonts w:cs="Times New Roman"/>
                <w:noProof w:val="0"/>
                <w:webHidden/>
              </w:rPr>
            </w:r>
            <w:r w:rsidRPr="00DF0680">
              <w:rPr>
                <w:rFonts w:cs="Times New Roman"/>
                <w:noProof w:val="0"/>
                <w:webHidden/>
              </w:rPr>
              <w:fldChar w:fldCharType="separate"/>
            </w:r>
            <w:r w:rsidR="009801AF" w:rsidRPr="00DF0680">
              <w:rPr>
                <w:rFonts w:cs="Times New Roman"/>
                <w:noProof w:val="0"/>
                <w:webHidden/>
              </w:rPr>
              <w:t>122</w:t>
            </w:r>
            <w:r w:rsidRPr="00DF0680">
              <w:rPr>
                <w:rFonts w:cs="Times New Roman"/>
                <w:noProof w:val="0"/>
                <w:webHidden/>
              </w:rPr>
              <w:fldChar w:fldCharType="end"/>
            </w:r>
          </w:hyperlink>
        </w:p>
        <w:p w:rsidR="000F4A2B" w:rsidRPr="00DF0680" w:rsidRDefault="00F20EC0" w:rsidP="000F4A2B">
          <w:pPr>
            <w:pStyle w:val="TOC2"/>
            <w:rPr>
              <w:rFonts w:eastAsiaTheme="minorEastAsia" w:cs="Times New Roman"/>
              <w:noProof w:val="0"/>
              <w:sz w:val="22"/>
            </w:rPr>
          </w:pPr>
          <w:hyperlink w:anchor="_Toc410221379" w:history="1">
            <w:r w:rsidR="000F4A2B" w:rsidRPr="00DF0680">
              <w:rPr>
                <w:rStyle w:val="Hyperlink"/>
                <w:rFonts w:cs="Times New Roman"/>
                <w:noProof w:val="0"/>
              </w:rPr>
              <w:t>4.4</w:t>
            </w:r>
            <w:r w:rsidR="000F4A2B" w:rsidRPr="00DF0680">
              <w:rPr>
                <w:rFonts w:eastAsiaTheme="minorEastAsia" w:cs="Times New Roman"/>
                <w:noProof w:val="0"/>
                <w:sz w:val="22"/>
              </w:rPr>
              <w:tab/>
            </w:r>
            <w:r w:rsidR="000F4A2B" w:rsidRPr="00DF0680">
              <w:rPr>
                <w:rStyle w:val="Hyperlink"/>
                <w:rFonts w:cs="Times New Roman"/>
                <w:noProof w:val="0"/>
              </w:rPr>
              <w:t>Depleting cells of RECQL5β does not alter replication fork dynamics</w:t>
            </w:r>
            <w:r w:rsidR="000F4A2B" w:rsidRPr="00DF0680">
              <w:rPr>
                <w:rFonts w:cs="Times New Roman"/>
                <w:noProof w:val="0"/>
                <w:webHidden/>
              </w:rPr>
              <w:tab/>
            </w:r>
            <w:r w:rsidRPr="00DF0680">
              <w:rPr>
                <w:rFonts w:cs="Times New Roman"/>
                <w:noProof w:val="0"/>
                <w:webHidden/>
              </w:rPr>
              <w:fldChar w:fldCharType="begin"/>
            </w:r>
            <w:r w:rsidR="000F4A2B" w:rsidRPr="00DF0680">
              <w:rPr>
                <w:rFonts w:cs="Times New Roman"/>
                <w:noProof w:val="0"/>
                <w:webHidden/>
              </w:rPr>
              <w:instrText xml:space="preserve"> PAGEREF _Toc410221379 \h </w:instrText>
            </w:r>
            <w:r w:rsidRPr="00DF0680">
              <w:rPr>
                <w:rFonts w:cs="Times New Roman"/>
                <w:noProof w:val="0"/>
                <w:webHidden/>
              </w:rPr>
            </w:r>
            <w:r w:rsidRPr="00DF0680">
              <w:rPr>
                <w:rFonts w:cs="Times New Roman"/>
                <w:noProof w:val="0"/>
                <w:webHidden/>
              </w:rPr>
              <w:fldChar w:fldCharType="separate"/>
            </w:r>
            <w:r w:rsidR="009801AF" w:rsidRPr="00DF0680">
              <w:rPr>
                <w:rFonts w:cs="Times New Roman"/>
                <w:noProof w:val="0"/>
                <w:webHidden/>
              </w:rPr>
              <w:t>124</w:t>
            </w:r>
            <w:r w:rsidRPr="00DF0680">
              <w:rPr>
                <w:rFonts w:cs="Times New Roman"/>
                <w:noProof w:val="0"/>
                <w:webHidden/>
              </w:rPr>
              <w:fldChar w:fldCharType="end"/>
            </w:r>
          </w:hyperlink>
        </w:p>
        <w:p w:rsidR="000F4A2B" w:rsidRPr="00DF0680" w:rsidRDefault="00F20EC0" w:rsidP="000F4A2B">
          <w:pPr>
            <w:pStyle w:val="TOC2"/>
            <w:rPr>
              <w:rFonts w:eastAsiaTheme="minorEastAsia" w:cs="Times New Roman"/>
              <w:noProof w:val="0"/>
              <w:sz w:val="22"/>
            </w:rPr>
          </w:pPr>
          <w:hyperlink w:anchor="_Toc410221380" w:history="1">
            <w:r w:rsidR="000F4A2B" w:rsidRPr="00DF0680">
              <w:rPr>
                <w:rStyle w:val="Hyperlink"/>
                <w:rFonts w:cs="Times New Roman"/>
                <w:noProof w:val="0"/>
              </w:rPr>
              <w:t>4.5</w:t>
            </w:r>
            <w:r w:rsidR="000F4A2B" w:rsidRPr="00DF0680">
              <w:rPr>
                <w:rFonts w:eastAsiaTheme="minorEastAsia" w:cs="Times New Roman"/>
                <w:noProof w:val="0"/>
                <w:sz w:val="22"/>
              </w:rPr>
              <w:tab/>
            </w:r>
            <w:r w:rsidR="000F4A2B" w:rsidRPr="00DF0680">
              <w:rPr>
                <w:rStyle w:val="Hyperlink"/>
                <w:rFonts w:cs="Times New Roman"/>
                <w:noProof w:val="0"/>
              </w:rPr>
              <w:t>Over-expressing RECQL5β does not influence speed of fork restart after hydroxyurea treatment</w:t>
            </w:r>
            <w:r w:rsidR="000F4A2B" w:rsidRPr="00DF0680">
              <w:rPr>
                <w:rFonts w:cs="Times New Roman"/>
                <w:noProof w:val="0"/>
                <w:webHidden/>
              </w:rPr>
              <w:tab/>
            </w:r>
            <w:r w:rsidRPr="00DF0680">
              <w:rPr>
                <w:rFonts w:cs="Times New Roman"/>
                <w:noProof w:val="0"/>
                <w:webHidden/>
              </w:rPr>
              <w:fldChar w:fldCharType="begin"/>
            </w:r>
            <w:r w:rsidR="000F4A2B" w:rsidRPr="00DF0680">
              <w:rPr>
                <w:rFonts w:cs="Times New Roman"/>
                <w:noProof w:val="0"/>
                <w:webHidden/>
              </w:rPr>
              <w:instrText xml:space="preserve"> PAGEREF _Toc410221380 \h </w:instrText>
            </w:r>
            <w:r w:rsidRPr="00DF0680">
              <w:rPr>
                <w:rFonts w:cs="Times New Roman"/>
                <w:noProof w:val="0"/>
                <w:webHidden/>
              </w:rPr>
            </w:r>
            <w:r w:rsidRPr="00DF0680">
              <w:rPr>
                <w:rFonts w:cs="Times New Roman"/>
                <w:noProof w:val="0"/>
                <w:webHidden/>
              </w:rPr>
              <w:fldChar w:fldCharType="separate"/>
            </w:r>
            <w:r w:rsidR="009801AF" w:rsidRPr="00DF0680">
              <w:rPr>
                <w:rFonts w:cs="Times New Roman"/>
                <w:noProof w:val="0"/>
                <w:webHidden/>
              </w:rPr>
              <w:t>125</w:t>
            </w:r>
            <w:r w:rsidRPr="00DF0680">
              <w:rPr>
                <w:rFonts w:cs="Times New Roman"/>
                <w:noProof w:val="0"/>
                <w:webHidden/>
              </w:rPr>
              <w:fldChar w:fldCharType="end"/>
            </w:r>
          </w:hyperlink>
        </w:p>
        <w:p w:rsidR="000F4A2B" w:rsidRPr="00DF0680" w:rsidRDefault="00F20EC0" w:rsidP="000F4A2B">
          <w:pPr>
            <w:pStyle w:val="TOC2"/>
            <w:rPr>
              <w:rFonts w:eastAsiaTheme="minorEastAsia" w:cs="Times New Roman"/>
              <w:noProof w:val="0"/>
              <w:sz w:val="22"/>
            </w:rPr>
          </w:pPr>
          <w:hyperlink w:anchor="_Toc410221381" w:history="1">
            <w:r w:rsidR="000F4A2B" w:rsidRPr="00DF0680">
              <w:rPr>
                <w:rStyle w:val="Hyperlink"/>
                <w:rFonts w:cs="Times New Roman"/>
                <w:noProof w:val="0"/>
              </w:rPr>
              <w:t>4.6</w:t>
            </w:r>
            <w:r w:rsidR="000F4A2B" w:rsidRPr="00DF0680">
              <w:rPr>
                <w:rFonts w:eastAsiaTheme="minorEastAsia" w:cs="Times New Roman"/>
                <w:noProof w:val="0"/>
                <w:sz w:val="22"/>
              </w:rPr>
              <w:tab/>
            </w:r>
            <w:r w:rsidR="000F4A2B" w:rsidRPr="00DF0680">
              <w:rPr>
                <w:rStyle w:val="Hyperlink"/>
                <w:rFonts w:cs="Times New Roman"/>
                <w:noProof w:val="0"/>
              </w:rPr>
              <w:t>RECQL5β protects replication forks from camptothecin induced fork slowing</w:t>
            </w:r>
            <w:r w:rsidR="00FE3028" w:rsidRPr="00DF0680">
              <w:rPr>
                <w:rStyle w:val="Hyperlink"/>
                <w:rFonts w:cs="Times New Roman"/>
                <w:noProof w:val="0"/>
              </w:rPr>
              <w:t>......</w:t>
            </w:r>
            <w:r w:rsidR="000F4A2B" w:rsidRPr="00DF0680">
              <w:rPr>
                <w:rFonts w:cs="Times New Roman"/>
                <w:noProof w:val="0"/>
                <w:webHidden/>
              </w:rPr>
              <w:tab/>
            </w:r>
            <w:r w:rsidRPr="00DF0680">
              <w:rPr>
                <w:rFonts w:cs="Times New Roman"/>
                <w:noProof w:val="0"/>
                <w:webHidden/>
              </w:rPr>
              <w:fldChar w:fldCharType="begin"/>
            </w:r>
            <w:r w:rsidR="000F4A2B" w:rsidRPr="00DF0680">
              <w:rPr>
                <w:rFonts w:cs="Times New Roman"/>
                <w:noProof w:val="0"/>
                <w:webHidden/>
              </w:rPr>
              <w:instrText xml:space="preserve"> PAGEREF _Toc410221381 \h </w:instrText>
            </w:r>
            <w:r w:rsidRPr="00DF0680">
              <w:rPr>
                <w:rFonts w:cs="Times New Roman"/>
                <w:noProof w:val="0"/>
                <w:webHidden/>
              </w:rPr>
            </w:r>
            <w:r w:rsidRPr="00DF0680">
              <w:rPr>
                <w:rFonts w:cs="Times New Roman"/>
                <w:noProof w:val="0"/>
                <w:webHidden/>
              </w:rPr>
              <w:fldChar w:fldCharType="separate"/>
            </w:r>
            <w:r w:rsidR="009801AF" w:rsidRPr="00DF0680">
              <w:rPr>
                <w:rFonts w:cs="Times New Roman"/>
                <w:noProof w:val="0"/>
                <w:webHidden/>
              </w:rPr>
              <w:t>128</w:t>
            </w:r>
            <w:r w:rsidRPr="00DF0680">
              <w:rPr>
                <w:rFonts w:cs="Times New Roman"/>
                <w:noProof w:val="0"/>
                <w:webHidden/>
              </w:rPr>
              <w:fldChar w:fldCharType="end"/>
            </w:r>
          </w:hyperlink>
        </w:p>
        <w:p w:rsidR="000F4A2B" w:rsidRPr="00DF0680" w:rsidRDefault="00F20EC0" w:rsidP="000F4A2B">
          <w:pPr>
            <w:pStyle w:val="TOC2"/>
            <w:rPr>
              <w:rFonts w:eastAsiaTheme="minorEastAsia" w:cs="Times New Roman"/>
              <w:noProof w:val="0"/>
              <w:sz w:val="22"/>
            </w:rPr>
          </w:pPr>
          <w:hyperlink w:anchor="_Toc410221382" w:history="1">
            <w:r w:rsidR="000F4A2B" w:rsidRPr="00DF0680">
              <w:rPr>
                <w:rStyle w:val="Hyperlink"/>
                <w:rFonts w:cs="Times New Roman"/>
                <w:noProof w:val="0"/>
              </w:rPr>
              <w:t>4.7</w:t>
            </w:r>
            <w:r w:rsidR="000F4A2B" w:rsidRPr="00DF0680">
              <w:rPr>
                <w:rFonts w:eastAsiaTheme="minorEastAsia" w:cs="Times New Roman"/>
                <w:noProof w:val="0"/>
                <w:sz w:val="22"/>
              </w:rPr>
              <w:tab/>
            </w:r>
            <w:r w:rsidR="000F4A2B" w:rsidRPr="00DF0680">
              <w:rPr>
                <w:rStyle w:val="Hyperlink"/>
                <w:rFonts w:cs="Times New Roman"/>
                <w:noProof w:val="0"/>
              </w:rPr>
              <w:t>RECQL5β protects replication forks from DRB induced fork slowing</w:t>
            </w:r>
            <w:r w:rsidR="000F4A2B" w:rsidRPr="00DF0680">
              <w:rPr>
                <w:rFonts w:cs="Times New Roman"/>
                <w:noProof w:val="0"/>
                <w:webHidden/>
              </w:rPr>
              <w:tab/>
            </w:r>
            <w:r w:rsidRPr="00DF0680">
              <w:rPr>
                <w:rFonts w:cs="Times New Roman"/>
                <w:noProof w:val="0"/>
                <w:webHidden/>
              </w:rPr>
              <w:fldChar w:fldCharType="begin"/>
            </w:r>
            <w:r w:rsidR="000F4A2B" w:rsidRPr="00DF0680">
              <w:rPr>
                <w:rFonts w:cs="Times New Roman"/>
                <w:noProof w:val="0"/>
                <w:webHidden/>
              </w:rPr>
              <w:instrText xml:space="preserve"> PAGEREF _Toc410221382 \h </w:instrText>
            </w:r>
            <w:r w:rsidRPr="00DF0680">
              <w:rPr>
                <w:rFonts w:cs="Times New Roman"/>
                <w:noProof w:val="0"/>
                <w:webHidden/>
              </w:rPr>
            </w:r>
            <w:r w:rsidRPr="00DF0680">
              <w:rPr>
                <w:rFonts w:cs="Times New Roman"/>
                <w:noProof w:val="0"/>
                <w:webHidden/>
              </w:rPr>
              <w:fldChar w:fldCharType="separate"/>
            </w:r>
            <w:r w:rsidR="009801AF" w:rsidRPr="00DF0680">
              <w:rPr>
                <w:rFonts w:cs="Times New Roman"/>
                <w:noProof w:val="0"/>
                <w:webHidden/>
              </w:rPr>
              <w:t>132</w:t>
            </w:r>
            <w:r w:rsidRPr="00DF0680">
              <w:rPr>
                <w:rFonts w:cs="Times New Roman"/>
                <w:noProof w:val="0"/>
                <w:webHidden/>
              </w:rPr>
              <w:fldChar w:fldCharType="end"/>
            </w:r>
          </w:hyperlink>
        </w:p>
        <w:p w:rsidR="000F4A2B" w:rsidRPr="00DF0680" w:rsidRDefault="00F20EC0" w:rsidP="000F4A2B">
          <w:pPr>
            <w:pStyle w:val="TOC2"/>
            <w:rPr>
              <w:rFonts w:eastAsiaTheme="minorEastAsia" w:cs="Times New Roman"/>
              <w:noProof w:val="0"/>
              <w:sz w:val="22"/>
            </w:rPr>
          </w:pPr>
          <w:hyperlink w:anchor="_Toc410221383" w:history="1">
            <w:r w:rsidR="000F4A2B" w:rsidRPr="00DF0680">
              <w:rPr>
                <w:rStyle w:val="Hyperlink"/>
                <w:rFonts w:cs="Times New Roman"/>
                <w:noProof w:val="0"/>
              </w:rPr>
              <w:t>4.8</w:t>
            </w:r>
            <w:r w:rsidR="000F4A2B" w:rsidRPr="00DF0680">
              <w:rPr>
                <w:rFonts w:eastAsiaTheme="minorEastAsia" w:cs="Times New Roman"/>
                <w:noProof w:val="0"/>
                <w:sz w:val="22"/>
              </w:rPr>
              <w:tab/>
            </w:r>
            <w:r w:rsidR="000F4A2B" w:rsidRPr="00DF0680">
              <w:rPr>
                <w:rStyle w:val="Hyperlink"/>
                <w:rFonts w:cs="Times New Roman"/>
                <w:noProof w:val="0"/>
              </w:rPr>
              <w:t>The increased fork speed in camptothecin and DRB provided by RECQL5βKR may be dependent on replication-transcription collisions</w:t>
            </w:r>
            <w:r w:rsidR="000F4A2B" w:rsidRPr="00DF0680">
              <w:rPr>
                <w:rFonts w:cs="Times New Roman"/>
                <w:noProof w:val="0"/>
                <w:webHidden/>
              </w:rPr>
              <w:tab/>
            </w:r>
            <w:r w:rsidRPr="00DF0680">
              <w:rPr>
                <w:rFonts w:cs="Times New Roman"/>
                <w:noProof w:val="0"/>
                <w:webHidden/>
              </w:rPr>
              <w:fldChar w:fldCharType="begin"/>
            </w:r>
            <w:r w:rsidR="000F4A2B" w:rsidRPr="00DF0680">
              <w:rPr>
                <w:rFonts w:cs="Times New Roman"/>
                <w:noProof w:val="0"/>
                <w:webHidden/>
              </w:rPr>
              <w:instrText xml:space="preserve"> PAGEREF _Toc410221383 \h </w:instrText>
            </w:r>
            <w:r w:rsidRPr="00DF0680">
              <w:rPr>
                <w:rFonts w:cs="Times New Roman"/>
                <w:noProof w:val="0"/>
                <w:webHidden/>
              </w:rPr>
            </w:r>
            <w:r w:rsidRPr="00DF0680">
              <w:rPr>
                <w:rFonts w:cs="Times New Roman"/>
                <w:noProof w:val="0"/>
                <w:webHidden/>
              </w:rPr>
              <w:fldChar w:fldCharType="separate"/>
            </w:r>
            <w:r w:rsidR="009801AF" w:rsidRPr="00DF0680">
              <w:rPr>
                <w:rFonts w:cs="Times New Roman"/>
                <w:noProof w:val="0"/>
                <w:webHidden/>
              </w:rPr>
              <w:t>134</w:t>
            </w:r>
            <w:r w:rsidRPr="00DF0680">
              <w:rPr>
                <w:rFonts w:cs="Times New Roman"/>
                <w:noProof w:val="0"/>
                <w:webHidden/>
              </w:rPr>
              <w:fldChar w:fldCharType="end"/>
            </w:r>
          </w:hyperlink>
        </w:p>
        <w:p w:rsidR="000F4A2B" w:rsidRPr="00DF0680" w:rsidRDefault="00F20EC0" w:rsidP="000F4A2B">
          <w:pPr>
            <w:pStyle w:val="TOC2"/>
            <w:rPr>
              <w:rFonts w:eastAsiaTheme="minorEastAsia" w:cs="Times New Roman"/>
              <w:noProof w:val="0"/>
              <w:sz w:val="22"/>
            </w:rPr>
          </w:pPr>
          <w:hyperlink w:anchor="_Toc410221384" w:history="1">
            <w:r w:rsidR="000F4A2B" w:rsidRPr="00DF0680">
              <w:rPr>
                <w:rStyle w:val="Hyperlink"/>
                <w:rFonts w:cs="Times New Roman"/>
                <w:noProof w:val="0"/>
              </w:rPr>
              <w:t>4.9</w:t>
            </w:r>
            <w:r w:rsidR="000F4A2B" w:rsidRPr="00DF0680">
              <w:rPr>
                <w:rFonts w:eastAsiaTheme="minorEastAsia" w:cs="Times New Roman"/>
                <w:noProof w:val="0"/>
                <w:sz w:val="22"/>
              </w:rPr>
              <w:tab/>
            </w:r>
            <w:r w:rsidR="000F4A2B" w:rsidRPr="00DF0680">
              <w:rPr>
                <w:rStyle w:val="Hyperlink"/>
                <w:rFonts w:cs="Times New Roman"/>
                <w:noProof w:val="0"/>
              </w:rPr>
              <w:t>Treating cells with both CPT and DRB does not reduce DNA damage signalling compared to treating with each individually</w:t>
            </w:r>
            <w:r w:rsidR="000F4A2B" w:rsidRPr="00DF0680">
              <w:rPr>
                <w:rFonts w:cs="Times New Roman"/>
                <w:noProof w:val="0"/>
                <w:webHidden/>
              </w:rPr>
              <w:tab/>
            </w:r>
            <w:r w:rsidRPr="00DF0680">
              <w:rPr>
                <w:rFonts w:cs="Times New Roman"/>
                <w:noProof w:val="0"/>
                <w:webHidden/>
              </w:rPr>
              <w:fldChar w:fldCharType="begin"/>
            </w:r>
            <w:r w:rsidR="000F4A2B" w:rsidRPr="00DF0680">
              <w:rPr>
                <w:rFonts w:cs="Times New Roman"/>
                <w:noProof w:val="0"/>
                <w:webHidden/>
              </w:rPr>
              <w:instrText xml:space="preserve"> PAGEREF _Toc410221384 \h </w:instrText>
            </w:r>
            <w:r w:rsidRPr="00DF0680">
              <w:rPr>
                <w:rFonts w:cs="Times New Roman"/>
                <w:noProof w:val="0"/>
                <w:webHidden/>
              </w:rPr>
            </w:r>
            <w:r w:rsidRPr="00DF0680">
              <w:rPr>
                <w:rFonts w:cs="Times New Roman"/>
                <w:noProof w:val="0"/>
                <w:webHidden/>
              </w:rPr>
              <w:fldChar w:fldCharType="separate"/>
            </w:r>
            <w:r w:rsidR="009801AF" w:rsidRPr="00DF0680">
              <w:rPr>
                <w:rFonts w:cs="Times New Roman"/>
                <w:noProof w:val="0"/>
                <w:webHidden/>
              </w:rPr>
              <w:t>138</w:t>
            </w:r>
            <w:r w:rsidRPr="00DF0680">
              <w:rPr>
                <w:rFonts w:cs="Times New Roman"/>
                <w:noProof w:val="0"/>
                <w:webHidden/>
              </w:rPr>
              <w:fldChar w:fldCharType="end"/>
            </w:r>
          </w:hyperlink>
        </w:p>
        <w:p w:rsidR="000F4A2B" w:rsidRPr="00DF0680" w:rsidRDefault="00F20EC0" w:rsidP="000F4A2B">
          <w:pPr>
            <w:pStyle w:val="TOC2"/>
            <w:rPr>
              <w:rFonts w:eastAsiaTheme="minorEastAsia" w:cs="Times New Roman"/>
              <w:noProof w:val="0"/>
              <w:sz w:val="22"/>
            </w:rPr>
          </w:pPr>
          <w:hyperlink w:anchor="_Toc410221385" w:history="1">
            <w:r w:rsidR="000F4A2B" w:rsidRPr="00DF0680">
              <w:rPr>
                <w:rStyle w:val="Hyperlink"/>
                <w:rFonts w:cs="Times New Roman"/>
                <w:noProof w:val="0"/>
              </w:rPr>
              <w:t>4.10</w:t>
            </w:r>
            <w:r w:rsidR="000F4A2B" w:rsidRPr="00DF0680">
              <w:rPr>
                <w:rFonts w:eastAsiaTheme="minorEastAsia" w:cs="Times New Roman"/>
                <w:noProof w:val="0"/>
                <w:sz w:val="22"/>
              </w:rPr>
              <w:tab/>
            </w:r>
            <w:r w:rsidR="000F4A2B" w:rsidRPr="00DF0680">
              <w:rPr>
                <w:rStyle w:val="Hyperlink"/>
                <w:rFonts w:cs="Times New Roman"/>
                <w:noProof w:val="0"/>
              </w:rPr>
              <w:t>Discussion</w:t>
            </w:r>
            <w:r w:rsidR="000F4A2B" w:rsidRPr="00DF0680">
              <w:rPr>
                <w:rFonts w:cs="Times New Roman"/>
                <w:noProof w:val="0"/>
                <w:webHidden/>
              </w:rPr>
              <w:tab/>
            </w:r>
            <w:r w:rsidRPr="00DF0680">
              <w:rPr>
                <w:rFonts w:cs="Times New Roman"/>
                <w:noProof w:val="0"/>
                <w:webHidden/>
              </w:rPr>
              <w:fldChar w:fldCharType="begin"/>
            </w:r>
            <w:r w:rsidR="000F4A2B" w:rsidRPr="00DF0680">
              <w:rPr>
                <w:rFonts w:cs="Times New Roman"/>
                <w:noProof w:val="0"/>
                <w:webHidden/>
              </w:rPr>
              <w:instrText xml:space="preserve"> PAGEREF _Toc410221385 \h </w:instrText>
            </w:r>
            <w:r w:rsidRPr="00DF0680">
              <w:rPr>
                <w:rFonts w:cs="Times New Roman"/>
                <w:noProof w:val="0"/>
                <w:webHidden/>
              </w:rPr>
            </w:r>
            <w:r w:rsidRPr="00DF0680">
              <w:rPr>
                <w:rFonts w:cs="Times New Roman"/>
                <w:noProof w:val="0"/>
                <w:webHidden/>
              </w:rPr>
              <w:fldChar w:fldCharType="separate"/>
            </w:r>
            <w:r w:rsidR="009801AF" w:rsidRPr="00DF0680">
              <w:rPr>
                <w:rFonts w:cs="Times New Roman"/>
                <w:noProof w:val="0"/>
                <w:webHidden/>
              </w:rPr>
              <w:t>145</w:t>
            </w:r>
            <w:r w:rsidRPr="00DF0680">
              <w:rPr>
                <w:rFonts w:cs="Times New Roman"/>
                <w:noProof w:val="0"/>
                <w:webHidden/>
              </w:rPr>
              <w:fldChar w:fldCharType="end"/>
            </w:r>
          </w:hyperlink>
        </w:p>
        <w:p w:rsidR="004D428C" w:rsidRPr="00DF0680" w:rsidRDefault="00F20EC0" w:rsidP="000F4A2B">
          <w:pPr>
            <w:rPr>
              <w:rFonts w:cs="Times New Roman"/>
            </w:rPr>
          </w:pPr>
          <w:r w:rsidRPr="00DF0680">
            <w:rPr>
              <w:rFonts w:cs="Times New Roman"/>
            </w:rPr>
            <w:fldChar w:fldCharType="end"/>
          </w:r>
        </w:p>
      </w:sdtContent>
    </w:sdt>
    <w:p w:rsidR="004D428C" w:rsidRPr="00DF0680" w:rsidRDefault="004D428C">
      <w:pPr>
        <w:spacing w:line="276" w:lineRule="auto"/>
        <w:jc w:val="left"/>
        <w:rPr>
          <w:rFonts w:cs="Times New Roman"/>
        </w:rPr>
      </w:pPr>
      <w:r w:rsidRPr="00DF0680">
        <w:rPr>
          <w:rFonts w:cs="Times New Roman"/>
        </w:rPr>
        <w:br w:type="page"/>
      </w:r>
    </w:p>
    <w:p w:rsidR="000F4A2B" w:rsidRPr="00DF0680" w:rsidRDefault="000F4A2B" w:rsidP="000F4A2B">
      <w:pPr>
        <w:pStyle w:val="TableofFigures"/>
        <w:tabs>
          <w:tab w:val="right" w:leader="dot" w:pos="8494"/>
        </w:tabs>
        <w:rPr>
          <w:rFonts w:cs="Times New Roman"/>
          <w:b/>
          <w:sz w:val="28"/>
          <w:u w:val="single"/>
        </w:rPr>
      </w:pPr>
      <w:r w:rsidRPr="00DF0680">
        <w:rPr>
          <w:rFonts w:cs="Times New Roman"/>
          <w:b/>
          <w:sz w:val="28"/>
          <w:u w:val="single"/>
        </w:rPr>
        <w:lastRenderedPageBreak/>
        <w:t>List of Figures</w:t>
      </w:r>
    </w:p>
    <w:p w:rsidR="000F4A2B" w:rsidRPr="00DF0680" w:rsidRDefault="00F20EC0" w:rsidP="000F4A2B">
      <w:pPr>
        <w:pStyle w:val="TableofFigures"/>
        <w:tabs>
          <w:tab w:val="right" w:leader="dot" w:pos="8494"/>
        </w:tabs>
        <w:rPr>
          <w:rFonts w:eastAsiaTheme="minorEastAsia" w:cs="Times New Roman"/>
          <w:sz w:val="22"/>
        </w:rPr>
      </w:pPr>
      <w:r w:rsidRPr="00DF0680">
        <w:rPr>
          <w:rFonts w:cs="Times New Roman"/>
        </w:rPr>
        <w:fldChar w:fldCharType="begin"/>
      </w:r>
      <w:r w:rsidR="000F4A2B" w:rsidRPr="00DF0680">
        <w:rPr>
          <w:rFonts w:cs="Times New Roman"/>
        </w:rPr>
        <w:instrText xml:space="preserve"> TOC \h \z \c "Figure" </w:instrText>
      </w:r>
      <w:r w:rsidRPr="00DF0680">
        <w:rPr>
          <w:rFonts w:cs="Times New Roman"/>
        </w:rPr>
        <w:fldChar w:fldCharType="separate"/>
      </w:r>
      <w:hyperlink w:anchor="_Toc410221388" w:history="1">
        <w:r w:rsidR="000F4A2B" w:rsidRPr="00DF0680">
          <w:rPr>
            <w:rStyle w:val="Hyperlink"/>
            <w:rFonts w:cs="Times New Roman"/>
          </w:rPr>
          <w:t>Figure 4.1 – Replication fork speed in MRC5 cells over-expressing RECQL5β</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_Toc410221388 \h </w:instrText>
        </w:r>
        <w:r w:rsidRPr="00DF0680">
          <w:rPr>
            <w:rFonts w:cs="Times New Roman"/>
            <w:webHidden/>
          </w:rPr>
        </w:r>
        <w:r w:rsidRPr="00DF0680">
          <w:rPr>
            <w:rFonts w:cs="Times New Roman"/>
            <w:webHidden/>
          </w:rPr>
          <w:fldChar w:fldCharType="separate"/>
        </w:r>
        <w:r w:rsidR="009801AF" w:rsidRPr="00DF0680">
          <w:rPr>
            <w:rFonts w:cs="Times New Roman"/>
            <w:webHidden/>
          </w:rPr>
          <w:t>120</w:t>
        </w:r>
        <w:r w:rsidRPr="00DF0680">
          <w:rPr>
            <w:rFonts w:cs="Times New Roman"/>
            <w:webHidden/>
          </w:rPr>
          <w:fldChar w:fldCharType="end"/>
        </w:r>
      </w:hyperlink>
    </w:p>
    <w:p w:rsidR="000F4A2B" w:rsidRPr="00DF0680" w:rsidRDefault="00F20EC0" w:rsidP="000F4A2B">
      <w:pPr>
        <w:pStyle w:val="TableofFigures"/>
        <w:tabs>
          <w:tab w:val="right" w:leader="dot" w:pos="8494"/>
        </w:tabs>
        <w:rPr>
          <w:rFonts w:eastAsiaTheme="minorEastAsia" w:cs="Times New Roman"/>
          <w:sz w:val="22"/>
        </w:rPr>
      </w:pPr>
      <w:hyperlink w:anchor="_Toc410221389" w:history="1">
        <w:r w:rsidR="000F4A2B" w:rsidRPr="00DF0680">
          <w:rPr>
            <w:rStyle w:val="Hyperlink"/>
            <w:rFonts w:cs="Times New Roman"/>
          </w:rPr>
          <w:t>Figure 4.2 – Replication fork speed in MRC5+Q5 cells with RECQL5β siRNA</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_Toc410221389 \h </w:instrText>
        </w:r>
        <w:r w:rsidRPr="00DF0680">
          <w:rPr>
            <w:rFonts w:cs="Times New Roman"/>
            <w:webHidden/>
          </w:rPr>
        </w:r>
        <w:r w:rsidRPr="00DF0680">
          <w:rPr>
            <w:rFonts w:cs="Times New Roman"/>
            <w:webHidden/>
          </w:rPr>
          <w:fldChar w:fldCharType="separate"/>
        </w:r>
        <w:r w:rsidR="009801AF" w:rsidRPr="00DF0680">
          <w:rPr>
            <w:rFonts w:cs="Times New Roman"/>
            <w:webHidden/>
          </w:rPr>
          <w:t>121</w:t>
        </w:r>
        <w:r w:rsidRPr="00DF0680">
          <w:rPr>
            <w:rFonts w:cs="Times New Roman"/>
            <w:webHidden/>
          </w:rPr>
          <w:fldChar w:fldCharType="end"/>
        </w:r>
      </w:hyperlink>
    </w:p>
    <w:p w:rsidR="000F4A2B" w:rsidRPr="00DF0680" w:rsidRDefault="00F20EC0" w:rsidP="000F4A2B">
      <w:pPr>
        <w:pStyle w:val="TableofFigures"/>
        <w:tabs>
          <w:tab w:val="right" w:leader="dot" w:pos="8494"/>
        </w:tabs>
        <w:rPr>
          <w:rFonts w:eastAsiaTheme="minorEastAsia" w:cs="Times New Roman"/>
          <w:sz w:val="22"/>
        </w:rPr>
      </w:pPr>
      <w:hyperlink w:anchor="_Toc410221390" w:history="1">
        <w:r w:rsidR="000F4A2B" w:rsidRPr="00DF0680">
          <w:rPr>
            <w:rStyle w:val="Hyperlink"/>
            <w:rFonts w:cs="Times New Roman"/>
          </w:rPr>
          <w:t>Figure 4.3 – Endogenous stalled forks and new origin firing in MRC5 cells over-expressing RECQL5β</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_Toc410221390 \h </w:instrText>
        </w:r>
        <w:r w:rsidRPr="00DF0680">
          <w:rPr>
            <w:rFonts w:cs="Times New Roman"/>
            <w:webHidden/>
          </w:rPr>
        </w:r>
        <w:r w:rsidRPr="00DF0680">
          <w:rPr>
            <w:rFonts w:cs="Times New Roman"/>
            <w:webHidden/>
          </w:rPr>
          <w:fldChar w:fldCharType="separate"/>
        </w:r>
        <w:r w:rsidR="009801AF" w:rsidRPr="00DF0680">
          <w:rPr>
            <w:rFonts w:cs="Times New Roman"/>
            <w:webHidden/>
          </w:rPr>
          <w:t>123</w:t>
        </w:r>
        <w:r w:rsidRPr="00DF0680">
          <w:rPr>
            <w:rFonts w:cs="Times New Roman"/>
            <w:webHidden/>
          </w:rPr>
          <w:fldChar w:fldCharType="end"/>
        </w:r>
      </w:hyperlink>
    </w:p>
    <w:p w:rsidR="000F4A2B" w:rsidRPr="00DF0680" w:rsidRDefault="00F20EC0" w:rsidP="000F4A2B">
      <w:pPr>
        <w:pStyle w:val="TableofFigures"/>
        <w:tabs>
          <w:tab w:val="right" w:leader="dot" w:pos="8494"/>
        </w:tabs>
        <w:rPr>
          <w:rFonts w:eastAsiaTheme="minorEastAsia" w:cs="Times New Roman"/>
          <w:sz w:val="22"/>
        </w:rPr>
      </w:pPr>
      <w:hyperlink w:anchor="_Toc410221391" w:history="1">
        <w:r w:rsidR="000F4A2B" w:rsidRPr="00DF0680">
          <w:rPr>
            <w:rStyle w:val="Hyperlink"/>
            <w:rFonts w:cs="Times New Roman"/>
          </w:rPr>
          <w:t>Figure 4.4 – Replication fork asymmetry in MRC5 cells over-expressing RECQL5β</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_Toc410221391 \h </w:instrText>
        </w:r>
        <w:r w:rsidRPr="00DF0680">
          <w:rPr>
            <w:rFonts w:cs="Times New Roman"/>
            <w:webHidden/>
          </w:rPr>
        </w:r>
        <w:r w:rsidRPr="00DF0680">
          <w:rPr>
            <w:rFonts w:cs="Times New Roman"/>
            <w:webHidden/>
          </w:rPr>
          <w:fldChar w:fldCharType="separate"/>
        </w:r>
        <w:r w:rsidR="009801AF" w:rsidRPr="00DF0680">
          <w:rPr>
            <w:rFonts w:cs="Times New Roman"/>
            <w:webHidden/>
          </w:rPr>
          <w:t>124</w:t>
        </w:r>
        <w:r w:rsidRPr="00DF0680">
          <w:rPr>
            <w:rFonts w:cs="Times New Roman"/>
            <w:webHidden/>
          </w:rPr>
          <w:fldChar w:fldCharType="end"/>
        </w:r>
      </w:hyperlink>
    </w:p>
    <w:p w:rsidR="000F4A2B" w:rsidRPr="00DF0680" w:rsidRDefault="00F20EC0" w:rsidP="000F4A2B">
      <w:pPr>
        <w:pStyle w:val="TableofFigures"/>
        <w:tabs>
          <w:tab w:val="right" w:leader="dot" w:pos="8494"/>
        </w:tabs>
        <w:rPr>
          <w:rFonts w:eastAsiaTheme="minorEastAsia" w:cs="Times New Roman"/>
          <w:sz w:val="22"/>
        </w:rPr>
      </w:pPr>
      <w:hyperlink w:anchor="_Toc410221392" w:history="1">
        <w:r w:rsidR="000F4A2B" w:rsidRPr="00DF0680">
          <w:rPr>
            <w:rStyle w:val="Hyperlink"/>
            <w:rFonts w:cs="Times New Roman"/>
          </w:rPr>
          <w:t>Figure 4.5 – Replication fork dynamics in MRC5 cells depleted of RECQL5β</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_Toc410221392 \h </w:instrText>
        </w:r>
        <w:r w:rsidRPr="00DF0680">
          <w:rPr>
            <w:rFonts w:cs="Times New Roman"/>
            <w:webHidden/>
          </w:rPr>
        </w:r>
        <w:r w:rsidRPr="00DF0680">
          <w:rPr>
            <w:rFonts w:cs="Times New Roman"/>
            <w:webHidden/>
          </w:rPr>
          <w:fldChar w:fldCharType="separate"/>
        </w:r>
        <w:r w:rsidR="009801AF" w:rsidRPr="00DF0680">
          <w:rPr>
            <w:rFonts w:cs="Times New Roman"/>
            <w:webHidden/>
          </w:rPr>
          <w:t>127</w:t>
        </w:r>
        <w:r w:rsidRPr="00DF0680">
          <w:rPr>
            <w:rFonts w:cs="Times New Roman"/>
            <w:webHidden/>
          </w:rPr>
          <w:fldChar w:fldCharType="end"/>
        </w:r>
      </w:hyperlink>
    </w:p>
    <w:p w:rsidR="000F4A2B" w:rsidRPr="00DF0680" w:rsidRDefault="00F20EC0" w:rsidP="000F4A2B">
      <w:pPr>
        <w:pStyle w:val="TableofFigures"/>
        <w:tabs>
          <w:tab w:val="right" w:leader="dot" w:pos="8494"/>
        </w:tabs>
        <w:rPr>
          <w:rFonts w:eastAsiaTheme="minorEastAsia" w:cs="Times New Roman"/>
          <w:sz w:val="22"/>
        </w:rPr>
      </w:pPr>
      <w:hyperlink w:anchor="_Toc410221393" w:history="1">
        <w:r w:rsidR="000F4A2B" w:rsidRPr="00DF0680">
          <w:rPr>
            <w:rStyle w:val="Hyperlink"/>
            <w:rFonts w:cs="Times New Roman"/>
          </w:rPr>
          <w:t>Figure 4.6 – Replication fork restart after hydroxyurea treatment</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_Toc410221393 \h </w:instrText>
        </w:r>
        <w:r w:rsidRPr="00DF0680">
          <w:rPr>
            <w:rFonts w:cs="Times New Roman"/>
            <w:webHidden/>
          </w:rPr>
        </w:r>
        <w:r w:rsidRPr="00DF0680">
          <w:rPr>
            <w:rFonts w:cs="Times New Roman"/>
            <w:webHidden/>
          </w:rPr>
          <w:fldChar w:fldCharType="separate"/>
        </w:r>
        <w:r w:rsidR="009801AF" w:rsidRPr="00DF0680">
          <w:rPr>
            <w:rFonts w:cs="Times New Roman"/>
            <w:webHidden/>
          </w:rPr>
          <w:t>129</w:t>
        </w:r>
        <w:r w:rsidRPr="00DF0680">
          <w:rPr>
            <w:rFonts w:cs="Times New Roman"/>
            <w:webHidden/>
          </w:rPr>
          <w:fldChar w:fldCharType="end"/>
        </w:r>
      </w:hyperlink>
    </w:p>
    <w:p w:rsidR="000F4A2B" w:rsidRPr="00DF0680" w:rsidRDefault="00F20EC0" w:rsidP="000F4A2B">
      <w:pPr>
        <w:pStyle w:val="TableofFigures"/>
        <w:tabs>
          <w:tab w:val="right" w:leader="dot" w:pos="8494"/>
        </w:tabs>
        <w:rPr>
          <w:rFonts w:eastAsiaTheme="minorEastAsia" w:cs="Times New Roman"/>
          <w:sz w:val="22"/>
        </w:rPr>
      </w:pPr>
      <w:hyperlink w:anchor="_Toc410221394" w:history="1">
        <w:r w:rsidR="000F4A2B" w:rsidRPr="00DF0680">
          <w:rPr>
            <w:rStyle w:val="Hyperlink"/>
            <w:rFonts w:cs="Times New Roman"/>
          </w:rPr>
          <w:t>Figure 4.7 – Replication fork dynamics in MRC5 cells over-expressing RECQL5β, during camptothecin treatment</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_Toc410221394 \h </w:instrText>
        </w:r>
        <w:r w:rsidRPr="00DF0680">
          <w:rPr>
            <w:rFonts w:cs="Times New Roman"/>
            <w:webHidden/>
          </w:rPr>
        </w:r>
        <w:r w:rsidRPr="00DF0680">
          <w:rPr>
            <w:rFonts w:cs="Times New Roman"/>
            <w:webHidden/>
          </w:rPr>
          <w:fldChar w:fldCharType="separate"/>
        </w:r>
        <w:r w:rsidR="009801AF" w:rsidRPr="00DF0680">
          <w:rPr>
            <w:rFonts w:cs="Times New Roman"/>
            <w:webHidden/>
          </w:rPr>
          <w:t>131</w:t>
        </w:r>
        <w:r w:rsidRPr="00DF0680">
          <w:rPr>
            <w:rFonts w:cs="Times New Roman"/>
            <w:webHidden/>
          </w:rPr>
          <w:fldChar w:fldCharType="end"/>
        </w:r>
      </w:hyperlink>
    </w:p>
    <w:p w:rsidR="000F4A2B" w:rsidRPr="00DF0680" w:rsidRDefault="00F20EC0" w:rsidP="000F4A2B">
      <w:pPr>
        <w:pStyle w:val="TableofFigures"/>
        <w:tabs>
          <w:tab w:val="right" w:leader="dot" w:pos="8494"/>
        </w:tabs>
        <w:rPr>
          <w:rFonts w:eastAsiaTheme="minorEastAsia" w:cs="Times New Roman"/>
          <w:sz w:val="22"/>
        </w:rPr>
      </w:pPr>
      <w:hyperlink w:anchor="_Toc410221395" w:history="1">
        <w:r w:rsidR="000F4A2B" w:rsidRPr="00DF0680">
          <w:rPr>
            <w:rStyle w:val="Hyperlink"/>
            <w:rFonts w:cs="Times New Roman"/>
          </w:rPr>
          <w:t>Figure 4.8 – Replication fork dynamics in MRC5 cells over-expressing RECQL5β, during DRB treatment</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_Toc410221395 \h </w:instrText>
        </w:r>
        <w:r w:rsidRPr="00DF0680">
          <w:rPr>
            <w:rFonts w:cs="Times New Roman"/>
            <w:webHidden/>
          </w:rPr>
        </w:r>
        <w:r w:rsidRPr="00DF0680">
          <w:rPr>
            <w:rFonts w:cs="Times New Roman"/>
            <w:webHidden/>
          </w:rPr>
          <w:fldChar w:fldCharType="separate"/>
        </w:r>
        <w:r w:rsidR="009801AF" w:rsidRPr="00DF0680">
          <w:rPr>
            <w:rFonts w:cs="Times New Roman"/>
            <w:webHidden/>
          </w:rPr>
          <w:t>134</w:t>
        </w:r>
        <w:r w:rsidRPr="00DF0680">
          <w:rPr>
            <w:rFonts w:cs="Times New Roman"/>
            <w:webHidden/>
          </w:rPr>
          <w:fldChar w:fldCharType="end"/>
        </w:r>
      </w:hyperlink>
    </w:p>
    <w:p w:rsidR="000F4A2B" w:rsidRPr="00DF0680" w:rsidRDefault="00F20EC0" w:rsidP="000F4A2B">
      <w:pPr>
        <w:pStyle w:val="TableofFigures"/>
        <w:tabs>
          <w:tab w:val="right" w:leader="dot" w:pos="8494"/>
        </w:tabs>
        <w:rPr>
          <w:rFonts w:eastAsiaTheme="minorEastAsia" w:cs="Times New Roman"/>
          <w:sz w:val="22"/>
        </w:rPr>
      </w:pPr>
      <w:hyperlink w:anchor="_Toc410221396" w:history="1">
        <w:r w:rsidR="000F4A2B" w:rsidRPr="00DF0680">
          <w:rPr>
            <w:rStyle w:val="Hyperlink"/>
            <w:rFonts w:cs="Times New Roman"/>
          </w:rPr>
          <w:t>Figure 4.9 – Altering levels of RECQL5β in MRC5 cells and testing sensitivity to DRB</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_Toc410221396 \h </w:instrText>
        </w:r>
        <w:r w:rsidRPr="00DF0680">
          <w:rPr>
            <w:rFonts w:cs="Times New Roman"/>
            <w:webHidden/>
          </w:rPr>
        </w:r>
        <w:r w:rsidRPr="00DF0680">
          <w:rPr>
            <w:rFonts w:cs="Times New Roman"/>
            <w:webHidden/>
          </w:rPr>
          <w:fldChar w:fldCharType="separate"/>
        </w:r>
        <w:r w:rsidR="009801AF" w:rsidRPr="00DF0680">
          <w:rPr>
            <w:rFonts w:cs="Times New Roman"/>
            <w:webHidden/>
          </w:rPr>
          <w:t>135</w:t>
        </w:r>
        <w:r w:rsidRPr="00DF0680">
          <w:rPr>
            <w:rFonts w:cs="Times New Roman"/>
            <w:webHidden/>
          </w:rPr>
          <w:fldChar w:fldCharType="end"/>
        </w:r>
      </w:hyperlink>
    </w:p>
    <w:p w:rsidR="000F4A2B" w:rsidRPr="00DF0680" w:rsidRDefault="00F20EC0" w:rsidP="000F4A2B">
      <w:pPr>
        <w:pStyle w:val="TableofFigures"/>
        <w:tabs>
          <w:tab w:val="right" w:leader="dot" w:pos="8494"/>
        </w:tabs>
        <w:rPr>
          <w:rFonts w:eastAsiaTheme="minorEastAsia" w:cs="Times New Roman"/>
          <w:sz w:val="22"/>
        </w:rPr>
      </w:pPr>
      <w:hyperlink w:anchor="_Toc410221397" w:history="1">
        <w:r w:rsidR="000F4A2B" w:rsidRPr="00DF0680">
          <w:rPr>
            <w:rStyle w:val="Hyperlink"/>
            <w:rFonts w:cs="Times New Roman"/>
          </w:rPr>
          <w:t>Figure 4.10 – Replication fork dynamics in MRC5 cells over-expressing RECQL5β, during camptothecin and DRB treatment</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_Toc410221397 \h </w:instrText>
        </w:r>
        <w:r w:rsidRPr="00DF0680">
          <w:rPr>
            <w:rFonts w:cs="Times New Roman"/>
            <w:webHidden/>
          </w:rPr>
        </w:r>
        <w:r w:rsidRPr="00DF0680">
          <w:rPr>
            <w:rFonts w:cs="Times New Roman"/>
            <w:webHidden/>
          </w:rPr>
          <w:fldChar w:fldCharType="separate"/>
        </w:r>
        <w:r w:rsidR="009801AF" w:rsidRPr="00DF0680">
          <w:rPr>
            <w:rFonts w:cs="Times New Roman"/>
            <w:webHidden/>
          </w:rPr>
          <w:t>137</w:t>
        </w:r>
        <w:r w:rsidRPr="00DF0680">
          <w:rPr>
            <w:rFonts w:cs="Times New Roman"/>
            <w:webHidden/>
          </w:rPr>
          <w:fldChar w:fldCharType="end"/>
        </w:r>
      </w:hyperlink>
    </w:p>
    <w:p w:rsidR="000F4A2B" w:rsidRPr="00DF0680" w:rsidRDefault="00F20EC0" w:rsidP="000F4A2B">
      <w:pPr>
        <w:pStyle w:val="TableofFigures"/>
        <w:tabs>
          <w:tab w:val="right" w:leader="dot" w:pos="8494"/>
        </w:tabs>
        <w:rPr>
          <w:rFonts w:eastAsiaTheme="minorEastAsia" w:cs="Times New Roman"/>
          <w:sz w:val="22"/>
        </w:rPr>
      </w:pPr>
      <w:hyperlink w:anchor="_Toc410221398" w:history="1">
        <w:r w:rsidR="000F4A2B" w:rsidRPr="00DF0680">
          <w:rPr>
            <w:rStyle w:val="Hyperlink"/>
            <w:rFonts w:cs="Times New Roman"/>
          </w:rPr>
          <w:t>Figure 4.11 – γH2AX foci in RECQL5β over-expressing MRC5 cells after treatment with camptothecin and DRB</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_Toc410221398 \h </w:instrText>
        </w:r>
        <w:r w:rsidRPr="00DF0680">
          <w:rPr>
            <w:rFonts w:cs="Times New Roman"/>
            <w:webHidden/>
          </w:rPr>
        </w:r>
        <w:r w:rsidRPr="00DF0680">
          <w:rPr>
            <w:rFonts w:cs="Times New Roman"/>
            <w:webHidden/>
          </w:rPr>
          <w:fldChar w:fldCharType="separate"/>
        </w:r>
        <w:r w:rsidR="009801AF" w:rsidRPr="00DF0680">
          <w:rPr>
            <w:rFonts w:cs="Times New Roman"/>
            <w:webHidden/>
          </w:rPr>
          <w:t>141</w:t>
        </w:r>
        <w:r w:rsidRPr="00DF0680">
          <w:rPr>
            <w:rFonts w:cs="Times New Roman"/>
            <w:webHidden/>
          </w:rPr>
          <w:fldChar w:fldCharType="end"/>
        </w:r>
      </w:hyperlink>
    </w:p>
    <w:p w:rsidR="000F4A2B" w:rsidRPr="00DF0680" w:rsidRDefault="00F20EC0" w:rsidP="000F4A2B">
      <w:pPr>
        <w:pStyle w:val="TableofFigures"/>
        <w:tabs>
          <w:tab w:val="right" w:leader="dot" w:pos="8494"/>
        </w:tabs>
        <w:rPr>
          <w:rFonts w:eastAsiaTheme="minorEastAsia" w:cs="Times New Roman"/>
          <w:sz w:val="22"/>
        </w:rPr>
      </w:pPr>
      <w:hyperlink w:anchor="_Toc410221399" w:history="1">
        <w:r w:rsidR="000F4A2B" w:rsidRPr="00DF0680">
          <w:rPr>
            <w:rStyle w:val="Hyperlink"/>
            <w:rFonts w:cs="Times New Roman"/>
          </w:rPr>
          <w:t>Figure 4.12 – 53BP1 foci in RECQL5β over-expressing MRC5 cells after treatment with camptothecin and DRB</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_Toc410221399 \h </w:instrText>
        </w:r>
        <w:r w:rsidRPr="00DF0680">
          <w:rPr>
            <w:rFonts w:cs="Times New Roman"/>
            <w:webHidden/>
          </w:rPr>
        </w:r>
        <w:r w:rsidRPr="00DF0680">
          <w:rPr>
            <w:rFonts w:cs="Times New Roman"/>
            <w:webHidden/>
          </w:rPr>
          <w:fldChar w:fldCharType="separate"/>
        </w:r>
        <w:r w:rsidR="009801AF" w:rsidRPr="00DF0680">
          <w:rPr>
            <w:rFonts w:cs="Times New Roman"/>
            <w:webHidden/>
          </w:rPr>
          <w:t>142</w:t>
        </w:r>
        <w:r w:rsidRPr="00DF0680">
          <w:rPr>
            <w:rFonts w:cs="Times New Roman"/>
            <w:webHidden/>
          </w:rPr>
          <w:fldChar w:fldCharType="end"/>
        </w:r>
      </w:hyperlink>
    </w:p>
    <w:p w:rsidR="000F4A2B" w:rsidRPr="00DF0680" w:rsidRDefault="00F20EC0" w:rsidP="000F4A2B">
      <w:pPr>
        <w:pStyle w:val="TableofFigures"/>
        <w:tabs>
          <w:tab w:val="right" w:leader="dot" w:pos="8494"/>
        </w:tabs>
        <w:rPr>
          <w:rFonts w:eastAsiaTheme="minorEastAsia" w:cs="Times New Roman"/>
          <w:sz w:val="22"/>
        </w:rPr>
      </w:pPr>
      <w:hyperlink w:anchor="_Toc410221400" w:history="1">
        <w:r w:rsidR="000F4A2B" w:rsidRPr="00DF0680">
          <w:rPr>
            <w:rStyle w:val="Hyperlink"/>
            <w:rFonts w:cs="Times New Roman"/>
          </w:rPr>
          <w:t>Figure 4.13 – RAD51 foci in RECQL5β over-expressing MRC5 cells after treatment with camptothecin and DRB</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_Toc410221400 \h </w:instrText>
        </w:r>
        <w:r w:rsidRPr="00DF0680">
          <w:rPr>
            <w:rFonts w:cs="Times New Roman"/>
            <w:webHidden/>
          </w:rPr>
        </w:r>
        <w:r w:rsidRPr="00DF0680">
          <w:rPr>
            <w:rFonts w:cs="Times New Roman"/>
            <w:webHidden/>
          </w:rPr>
          <w:fldChar w:fldCharType="separate"/>
        </w:r>
        <w:r w:rsidR="009801AF" w:rsidRPr="00DF0680">
          <w:rPr>
            <w:rFonts w:cs="Times New Roman"/>
            <w:webHidden/>
          </w:rPr>
          <w:t>143</w:t>
        </w:r>
        <w:r w:rsidRPr="00DF0680">
          <w:rPr>
            <w:rFonts w:cs="Times New Roman"/>
            <w:webHidden/>
          </w:rPr>
          <w:fldChar w:fldCharType="end"/>
        </w:r>
      </w:hyperlink>
    </w:p>
    <w:p w:rsidR="000F4A2B" w:rsidRPr="00DF0680" w:rsidRDefault="00F20EC0" w:rsidP="000F4A2B">
      <w:pPr>
        <w:pStyle w:val="TableofFigures"/>
        <w:tabs>
          <w:tab w:val="right" w:leader="dot" w:pos="8494"/>
        </w:tabs>
        <w:rPr>
          <w:rFonts w:eastAsiaTheme="minorEastAsia" w:cs="Times New Roman"/>
          <w:sz w:val="22"/>
        </w:rPr>
      </w:pPr>
      <w:hyperlink w:anchor="_Toc410221401" w:history="1">
        <w:r w:rsidR="000F4A2B" w:rsidRPr="00DF0680">
          <w:rPr>
            <w:rStyle w:val="Hyperlink"/>
            <w:rFonts w:cs="Times New Roman"/>
          </w:rPr>
          <w:t>Figure 4.14 – RPA foci in RECQL5β over-expressing MRC5 cells after treatment with camptothecin and DRB</w:t>
        </w:r>
        <w:r w:rsidR="000F4A2B" w:rsidRPr="00DF0680">
          <w:rPr>
            <w:rFonts w:cs="Times New Roman"/>
            <w:webHidden/>
          </w:rPr>
          <w:tab/>
        </w:r>
        <w:r w:rsidRPr="00DF0680">
          <w:rPr>
            <w:rFonts w:cs="Times New Roman"/>
            <w:webHidden/>
          </w:rPr>
          <w:fldChar w:fldCharType="begin"/>
        </w:r>
        <w:r w:rsidR="000F4A2B" w:rsidRPr="00DF0680">
          <w:rPr>
            <w:rFonts w:cs="Times New Roman"/>
            <w:webHidden/>
          </w:rPr>
          <w:instrText xml:space="preserve"> PAGEREF _Toc410221401 \h </w:instrText>
        </w:r>
        <w:r w:rsidRPr="00DF0680">
          <w:rPr>
            <w:rFonts w:cs="Times New Roman"/>
            <w:webHidden/>
          </w:rPr>
        </w:r>
        <w:r w:rsidRPr="00DF0680">
          <w:rPr>
            <w:rFonts w:cs="Times New Roman"/>
            <w:webHidden/>
          </w:rPr>
          <w:fldChar w:fldCharType="separate"/>
        </w:r>
        <w:r w:rsidR="009801AF" w:rsidRPr="00DF0680">
          <w:rPr>
            <w:rFonts w:cs="Times New Roman"/>
            <w:webHidden/>
          </w:rPr>
          <w:t>144</w:t>
        </w:r>
        <w:r w:rsidRPr="00DF0680">
          <w:rPr>
            <w:rFonts w:cs="Times New Roman"/>
            <w:webHidden/>
          </w:rPr>
          <w:fldChar w:fldCharType="end"/>
        </w:r>
      </w:hyperlink>
    </w:p>
    <w:p w:rsidR="004D428C" w:rsidRPr="00DF0680" w:rsidRDefault="00F20EC0" w:rsidP="000F4A2B">
      <w:pPr>
        <w:rPr>
          <w:rFonts w:cs="Times New Roman"/>
        </w:rPr>
      </w:pPr>
      <w:r w:rsidRPr="00DF0680">
        <w:rPr>
          <w:rFonts w:cs="Times New Roman"/>
        </w:rPr>
        <w:fldChar w:fldCharType="end"/>
      </w:r>
    </w:p>
    <w:p w:rsidR="004D428C" w:rsidRPr="00DF0680" w:rsidRDefault="004D428C">
      <w:pPr>
        <w:spacing w:line="276" w:lineRule="auto"/>
        <w:jc w:val="left"/>
        <w:rPr>
          <w:rFonts w:cs="Times New Roman"/>
        </w:rPr>
      </w:pPr>
      <w:r w:rsidRPr="00DF0680">
        <w:rPr>
          <w:rFonts w:cs="Times New Roman"/>
        </w:rPr>
        <w:br w:type="page"/>
      </w:r>
    </w:p>
    <w:p w:rsidR="000F4A2B" w:rsidRPr="00DF0680" w:rsidRDefault="000F4A2B" w:rsidP="00E664FC">
      <w:pPr>
        <w:pStyle w:val="Heading2"/>
      </w:pPr>
      <w:bookmarkStart w:id="620" w:name="_Toc410221376"/>
      <w:bookmarkStart w:id="621" w:name="_Toc417204195"/>
      <w:bookmarkStart w:id="622" w:name="_Toc417204728"/>
      <w:bookmarkStart w:id="623" w:name="_Toc417204788"/>
      <w:r w:rsidRPr="00DF0680">
        <w:lastRenderedPageBreak/>
        <w:t>Introduction</w:t>
      </w:r>
      <w:bookmarkEnd w:id="620"/>
      <w:bookmarkEnd w:id="621"/>
      <w:bookmarkEnd w:id="622"/>
      <w:bookmarkEnd w:id="623"/>
    </w:p>
    <w:p w:rsidR="000F4A2B" w:rsidRPr="00DF0680" w:rsidRDefault="000F4A2B" w:rsidP="000F4A2B">
      <w:pPr>
        <w:rPr>
          <w:rFonts w:cs="Times New Roman"/>
        </w:rPr>
      </w:pPr>
      <w:r w:rsidRPr="00DF0680">
        <w:rPr>
          <w:rFonts w:cs="Times New Roman"/>
        </w:rPr>
        <w:t xml:space="preserve">RECQL5 has been suggested to play a role at replication forks due to its association with topoisomerases </w:t>
      </w:r>
      <w:r w:rsidR="00F20EC0" w:rsidRPr="00DF0680">
        <w:rPr>
          <w:rFonts w:cs="Times New Roman"/>
        </w:rPr>
        <w:fldChar w:fldCharType="begin" w:fldLock="1"/>
      </w:r>
      <w:r w:rsidR="00332613" w:rsidRPr="00DF0680">
        <w:rPr>
          <w:rFonts w:cs="Times New Roman"/>
        </w:rPr>
        <w:instrText>ADDIN CSL_CITATION { "citationItems" : [ { "id" : "ITEM-1", "itemData" : { "ISSN" : "1362-4962", "PMID" : "10710432", "abstract" : "The RecQ helicase superfamily has been implicated in DNA repair and recombination. At least five human RecQ-related genes exist: RecQ1, BLM, WRN, RecQ4 and RecQ5. Mutations in BLM, WRN and RecQ4 are associated with Bloom, Werner and Rothmund-Thomson syndromes, respectively, involving a predisposition to malignancies and a cellular phenotype that includes increased chromosome instability. RecQ5 is small, containing only a core part of the RecQ helicase, but three isomer transcripts code for small RecQ5alpha (corresponding to the original RecQ5 with 410 amino acids), new large RecQ5beta (991 amino acids) and small RecQ5gamma (435 amino acids) proteins that contain the core helicase motifs. By determining the genomic structure, we found that the three isoforms are generated by differential splicing from the RecQ5 gene that contains at least 19 exons. Northern blot analysis using a RecQ5beta-specific probe indicates that RecQ5beta mRNA is expressed strongly in the testis. Immunocytochemical staining of three N-terminally tagged RecQ5 isomers expressed in 293EBNA cells showed that RecQ5beta migrates to the nucleus and exists exclusively in the nucleoplasm, while the small RecQ5alpha and RecQ5gamma proteins stay in the cytoplasm. Immunoprecipitation and an extended cytochemical experiment suggested that the nucleoplasmic RecQ5beta, like yeast Sgs1 DNA helicase, binds to topoisomerases 3alpha and 3beta, but not to topoisomerase 1. These results predict that RecQ5beta may have an important role in DNA metabolism and may also be related to a distinct genetic disease.", "author" : [ { "dropping-particle" : "", "family" : "Shimamoto", "given" : "a", "non-dropping-particle" : "", "parse-names" : false, "suffix" : "" }, { "dropping-particle" : "", "family" : "Nishikawa", "given" : "K", "non-dropping-particle" : "", "parse-names" : false, "suffix" : "" }, { "dropping-particle" : "", "family" : "Kitao", "given" : "S", "non-dropping-particle" : "", "parse-names" : false, "suffix" : "" }, { "dropping-particle" : "", "family" : "Furuichi", "given" : "Y", "non-dropping-particle" : "", "parse-names" : false, "suffix" : "" } ], "container-title" : "Nucleic Acids Research", "id" : "ITEM-1", "issue" : "7", "issued" : { "date-parts" : [ [ "2000", "4", "1" ] ] }, "page" : "1647-55", "title" : "Human RecQ5beta, a large isomer of RecQ5 DNA helicase, localizes in the nucleoplasm and interacts with topoisomerases 3alpha and 3beta.", "type" : "article-journal", "volume" : "28" }, "uris" : [ "http://www.mendeley.com/documents/?uuid=408234f2-1554-45e7-a4d8-f46d3df3f0cb" ] }, { "id" : "ITEM-2", "itemData" : { "DOI" : "10.1093/nar/gkr844", "ISSN" : "1362-4962", "PMID" : "22013166", "abstract" : "DNA decatenation mediated by Topoisomerase II is required to separate the interlinked sister chromatids post-replication. SGS1, a yeast homolog of the human RecQ family of helicases interacts with Topoisomerase II and plays a role in chromosome segregation, but this functional interaction has yet to be identified in higher organisms. Here, we report a physical and functional interaction of Topoisomerase II\u03b1 with RECQL5, one of five mammalian RecQ helicases, during DNA replication. Direct interaction of RECQL5 with Topoisomerase II\u03b1 stimulates the decatenation activity of Topoisomerase II\u03b1. Consistent with these observations, RECQL5 co-localizes with Topoisomerase II\u03b1 during S-phase of the cell cycle. Moreover, cells with stable depletions of RECQL5 display a slow proliferation rate, a G2/M cell cycle arrest and late S-phase cycling defects. Metaphase spreads generated from RECQL5-depleted cells exhibit undercondensed and entangled chromosomes. Further, RECQL5-depleted cells activate a G2/M checkpoint and undergo apoptosis. These phenotypes are similar to those observed when Topoisomerase II catalytic activity is inhibited. These results reveal an important role for RECQL5 in the maintenance of genomic stability and a new insight into the decatenation process.", "author" : [ { "dropping-particle" : "", "family" : "Ramamoorthy", "given" : "Mahesh", "non-dropping-particle" : "", "parse-names" : false, "suffix" : "" }, { "dropping-particle" : "", "family" : "Tadokoro", "given" : "Takashi", "non-dropping-particle" : "", "parse-names" : false, "suffix" : "" }, { "dropping-particle" : "", "family" : "Rybanska", "given" : "Ivana", "non-dropping-particle" : "", "parse-names" : false, "suffix" : "" }, { "dropping-particle" : "", "family" : "Ghosh", "given" : "Avik K", "non-dropping-particle" : "", "parse-names" : false, "suffix" : "" }, { "dropping-particle" : "", "family" : "Wersto", "given" : "Robert", "non-dropping-particle" : "", "parse-names" : false, "suffix" : "" }, { "dropping-particle" : "", "family" : "May", "given" : "Alfred", "non-dropping-particle" : "", "parse-names" : false, "suffix" : "" }, { "dropping-particle" : "", "family" : "Kulikowicz", "given" : "Tomasz", "non-dropping-particle" : "", "parse-names" : false, "suffix" : "" }, { "dropping-particle" : "", "family" : "Sykora", "given" : "Peter", "non-dropping-particle" : "", "parse-names" : false, "suffix" : "" }, { "dropping-particle" : "", "family" : "Croteau", "given" : "Deborah L", "non-dropping-particle" : "", "parse-names" : false, "suffix" : "" }, { "dropping-particle" : "", "family" : "Bohr", "given" : "Vilhelm a", "non-dropping-particle" : "", "parse-names" : false, "suffix" : "" } ], "container-title" : "Nucleic Acids Research", "id" : "ITEM-2", "issue" : "4", "issued" : { "date-parts" : [ [ "2012", "2" ] ] }, "page" : "1621-35", "title" : "RECQL5 cooperates with Topoisomerase II alpha in DNA decatenation and cell cycle progression.", "type" : "article-journal", "volume" : "40" }, "uris" : [ "http://www.mendeley.com/documents/?uuid=a954ba82-7067-44f7-869a-184b84cbec77" ] } ], "mendeley" : { "formattedCitation" : "(Shimamoto et al. 2000; Ramamoorthy et al. 2012)", "plainTextFormattedCitation" : "(Shimamoto et al. 2000; Ramamoorthy et al. 2012)", "previouslyFormattedCitation" : "(Shimamoto et al. 2000; Ramamoorthy et al. 2012)"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(Shimamoto et al. 2000; Ramamoorthy et al. 2012)</w:t>
      </w:r>
      <w:r w:rsidR="00F20EC0" w:rsidRPr="00DF0680">
        <w:rPr>
          <w:rFonts w:cs="Times New Roman"/>
        </w:rPr>
        <w:fldChar w:fldCharType="end"/>
      </w:r>
      <w:r w:rsidRPr="00DF0680">
        <w:rPr>
          <w:rFonts w:cs="Times New Roman"/>
        </w:rPr>
        <w:t xml:space="preserve">, the observed increase in sensitivity to replication stress when RECQL5 is depleted </w:t>
      </w:r>
      <w:r w:rsidR="00F20EC0" w:rsidRPr="00DF0680">
        <w:rPr>
          <w:rFonts w:cs="Times New Roman"/>
        </w:rPr>
        <w:fldChar w:fldCharType="begin" w:fldLock="1"/>
      </w:r>
      <w:r w:rsidR="00332613" w:rsidRPr="00DF0680">
        <w:rPr>
          <w:rFonts w:cs="Times New Roman"/>
        </w:rPr>
        <w:instrText>ADDIN CSL_CITATION { "citationItems" : [ { "id" : "ITEM-1", "itemData" : { "DOI" : "10.1042/BSR20100108", "ISSN" : "1573-4935", "PMID" : "21210765", "abstract" : "Camptothecins (CPTs) are an important class of effective anticancer agents that target type I topoisomerase in humans. Irinotecan and topotecan are currently used to treat various types of cancers and many CPT derivatives are being developed. However, these drugs are only effective in a small percentage of each type of cancers and the molecular underpinning for this individualized response to the drug has remained elusive. Thus, identification of the main determinants for cell survival in response to this unique class of drug should help to improve their clinical applications. In this study, we examined whether RECQL5 constituted an important determinant of CPT resistance in colon cancer cells. Specifically, RECQL5 deficient derivatives of both DDL1 and HCT116 cells, two colorectal cancer cell lines were generated by adenovirus-based somatic gene targeting experiments and the CPT sensitivity between the RECQL5 proficient parental lines and their corresponding RECQL5 deficient derivatives were examined. We found that deletion of RECQL5 from DDL1 and HCT116 both resulted in a significant enhancement in CPT sensitivity under in vitro cultured condition. More importantly, xenograft tumors derived from RECQL5 deficient HCT116 cells but not those from the parental line could be cured by a CPT-based therapy in nude mice. Thus, this study has identified RECQL5 as a major determinant for CPT resistance in colorectal cancer cells and a potential candidate as a biomarker for irinotecan-based treatment for colon cancer.", "author" : [ { "dropping-particle" : "", "family" : "Wang", "given" : "Xiaoqi", "non-dropping-particle" : "", "parse-names" : false, "suffix" : "" }, { "dropping-particle" : "", "family" : "Lu", "given" : "Xincheng", "non-dropping-particle" : "", "parse-names" : false, "suffix" : "" }, { "dropping-particle" : "", "family" : "Zhou", "given" : "Guangjin", "non-dropping-particle" : "", "parse-names" : false, "suffix" : "" }, { "dropping-particle" : "", "family" : "Lou", "given" : "Hua", "non-dropping-particle" : "", "parse-names" : false, "suffix" : "" }, { "dropping-particle" : "", "family" : "Luo", "given" : "Guangbin", "non-dropping-particle" : "", "parse-names" : false, "suffix" : "" } ], "container-title" : "Bioscience Reports", "id" : "ITEM-1", "issue" : "5", "issued" : { "date-parts" : [ [ "2011", "1", "6" ] ] }, "page" : "363-369", "title" : "RECQL5 is an important determinant for camptothecin tolerance in human colorectal cancer cells.", "type" : "article-journal", "volume" : "31" }, "uris" : [ "http://www.mendeley.com/documents/?uuid=d813dd37-89ef-43b6-8abd-e56e7edf5180" ] }, { "id" : "ITEM-2", "itemData" : { "DOI" : "10.1091/mbc.E08-06-0565", "ISSN" : "1939-4586", "PMID" : "18987339", "abstract" : "Disruption of replication can lead to loss of genome integrity and increase of cancer susceptibility in mammals. Thus, a replication impediment constitutes a formidable challenge to these organisms. Recent studies indicate that homologous recombination (HR) plays an important role in suppressing genome instability and promoting cell survival after exposure to various replication inhibitors, including a topoisomerase I inhibitor, camptothecin (CPT). Here, we report that the deletion of RecQ helicase Recql5 in mouse ES cells and embryonic fibroblast (MEF) cells resulted in a significant increase in CPT sensitivity and a profound reduction in DNA replication after the treatment with CPT, but not other DNA-damaging agents. This CPT-induced cell death is replication dependent and occurs primarily after the cells had exited the first cell cycle after CPT treatment. Furthermore, we show that Recql5 functions nonredundantly with Rad51, a key factor for HR to protect mouse ES cells from CPT-induced cytotoxicity. These new findings strongly suggest that Recql5 plays an important role in maintaining active DNA replication to prevent the collapse of replication forks and the accumulation of DSBs in order to preserve genome integrity and to prevent cell death after replication stress as a result of topoisomerase I poisoning.", "author" : [ { "dropping-particle" : "", "family" : "Hu", "given" : "Yiduo", "non-dropping-particle" : "", "parse-names" : false, "suffix" : "" }, { "dropping-particle" : "", "family" : "Lu", "given" : "Xincheng", "non-dropping-particle" : "", "parse-names" : false, "suffix" : "" }, { "dropping-particle" : "", "family" : "Zhou", "given" : "Guangjin", "non-dropping-particle" : "", "parse-names" : false, "suffix" : "" }, { "dropping-particle" : "", "family" : "Barnes", "given" : "Ellen L", "non-dropping-particle" : "", "parse-names" : false, "suffix" : "" }, { "dropping-particle" : "", "family" : "Luo", "given" : "Guangbin", "non-dropping-particle" : "", "parse-names" : false, "suffix" : "" } ], "container-title" : "Molecular Biology of the Cell", "id" : "ITEM-2", "issue" : "1", "issued" : { "date-parts" : [ [ "2009", "1" ] ] }, "page" : "114-23", "title" : "Recql5 plays an important role in DNA replication and cell survival after camptothecin treatment.", "type" : "article-journal", "volume" : "20" }, "uris" : [ "http://www.mendeley.com/documents/?uuid=acf9f23d-1453-499d-9549-0b89779a80a3" ] }, { "id" : "ITEM-3", "itemData" : { "DOI" : "10.1101/gad.1609107", "ISSN" : "0890-9369", "PMID" : "18003859", "abstract" : "Members of the RecQ helicase family play critical roles in genome maintenance. There are five RecQ homologs in mammals, and defects in three of these (BLM, WRN, and RECQL4) give rise to cancer predisposition syndromes in humans. RECQL and RECQL5 have not been associated with a human disease. Here we show that deletion of Recql5 in mice results in cancer susceptibility. Recql5-deficient cells exhibit elevated frequencies of spontaneous DNA double-strand breaks and homologous recombination (HR) as scored using a reporter that harbors a direct repeat, and are prone to gross chromosomal rearrangements in response to replication stress. To understand how RECQL5 regulates HR, we use purified proteins to demonstrate that human RECQL5 binds the Rad51 recombinase and inhibits Rad51-mediated D-loop formation. By biochemical means and electron microscopy, we show that RECQL5 displaces Rad51 from single-stranded DNA (ssDNA) in a reaction that requires ATP hydrolysis and RPA. Together, our results identify RECQL5 as an important tumor suppressor that may act by preventing inappropriate HR events via Rad51 presynaptic filament disruption.", "author" : [ { "dropping-particle" : "", "family" : "Hu", "given" : "Yiduo", "non-dropping-particle" : "", "parse-names" : false, "suffix" : "" }, { "dropping-particle" : "", "family" : "Raynard", "given" : "Steven", "non-dropping-particle" : "", "parse-names" : false, "suffix" : "" }, { "dropping-particle" : "", "family" : "Sehorn", "given" : "Michael G", "non-dropping-particle" : "", "parse-names" : false, "suffix" : "" }, { "dropping-particle" : "", "family" : "Lu", "given" : "Xincheng", "non-dropping-particle" : "", "parse-names" : false, "suffix" : "" }, { "dropping-particle" : "", "family" : "Bussen", "given" : "Wendy", "non-dropping-particle" : "", "parse-names" : false, "suffix" : "" }, { "dropping-particle" : "", "family" : "Zheng", "given" : "Lu", "non-dropping-particle" : "", "parse-names" : false, "suffix" : "" }, { "dropping-particle" : "", "family" : "Stark", "given" : "Jeremy M", "non-dropping-particle" : "", "parse-names" : false, "suffix" : "" }, { "dropping-particle" : "", "family" : "Barnes", "given" : "Ellen L", "non-dropping-particle" : "", "parse-names" : false, "suffix" : "" }, { "dropping-particle" : "", "family" : "Chi", "given" : "Peter", "non-dropping-particle" : "", "parse-names" : false, "suffix" : "" }, { "dropping-particle" : "", "family" : "Janscak", "given" : "Pavel", "non-dropping-particle" : "", "parse-names" : false, "suffix" : "" }, { "dropping-particle" : "", "family" : "Jasin", "given" : "Maria", "non-dropping-particle" : "", "parse-names" : false, "suffix" : "" }, { "dropping-particle" : "", "family" : "Vogel", "given" : "Hannes", "non-dropping-particle" : "", "parse-names" : false, "suffix" : "" }, { "dropping-particle" : "", "family" : "Sung", "given" : "Patrick", "non-dropping-particle" : "", "parse-names" : false, "suffix" : "" }, { "dropping-particle" : "", "family" : "Luo", "given" : "Guangbin", "non-dropping-particle" : "", "parse-names" : false, "suffix" : "" } ], "container-title" : "Genes &amp; Development", "id" : "ITEM-3", "issue" : "23", "issued" : { "date-parts" : [ [ "2007", "12", "1" ] ] }, "page" : "3073-84", "title" : "RECQL5/Recql5 helicase regulates homologous recombination and suppresses tumor formation via disruption of Rad51 presynaptic filaments.", "type" : "article-journal", "volume" : "21" }, "uris" : [ "http://www.mendeley.com/documents/?uuid=569f0011-a132-4c3c-8afd-04e50c78a14c" ] } ], "mendeley" : { "formattedCitation" : "(Wang et al. 2011; Hu et al. 2009; Hu et al. 2007)", "plainTextFormattedCitation" : "(Wang et al. 2011; Hu et al. 2009; Hu et al. 2007)", "previouslyFormattedCitation" : "(Wang et al. 2011; Hu et al. 2009; Hu et al. 2007)"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(Wang et al. 2011; Hu et al. 2009; Hu et al. 2007)</w:t>
      </w:r>
      <w:r w:rsidR="00F20EC0" w:rsidRPr="00DF0680">
        <w:rPr>
          <w:rFonts w:cs="Times New Roman"/>
        </w:rPr>
        <w:fldChar w:fldCharType="end"/>
      </w:r>
      <w:r w:rsidRPr="00DF0680">
        <w:rPr>
          <w:rFonts w:cs="Times New Roman"/>
        </w:rPr>
        <w:t xml:space="preserve"> and the increased resistance to replication stress when RECQL5β is over-expressed </w:t>
      </w:r>
      <w:r w:rsidR="00F20EC0" w:rsidRPr="00DF0680">
        <w:rPr>
          <w:rFonts w:cs="Times New Roman"/>
        </w:rPr>
        <w:fldChar w:fldCharType="begin" w:fldLock="1"/>
      </w:r>
      <w:r w:rsidR="00332613" w:rsidRPr="00DF0680">
        <w:rPr>
          <w:rFonts w:cs="Times New Roman"/>
        </w:rPr>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(Blundred et al. 2010)</w:t>
      </w:r>
      <w:r w:rsidR="00F20EC0" w:rsidRPr="00DF0680">
        <w:rPr>
          <w:rFonts w:cs="Times New Roman"/>
        </w:rPr>
        <w:fldChar w:fldCharType="end"/>
      </w:r>
      <w:r w:rsidRPr="00DF0680">
        <w:rPr>
          <w:rFonts w:cs="Times New Roman"/>
        </w:rPr>
        <w:t xml:space="preserve">. </w:t>
      </w:r>
    </w:p>
    <w:p w:rsidR="000F4A2B" w:rsidRPr="00DF0680" w:rsidRDefault="000F4A2B" w:rsidP="000F4A2B">
      <w:pPr>
        <w:rPr>
          <w:rFonts w:cs="Times New Roman"/>
        </w:rPr>
      </w:pPr>
      <w:r w:rsidRPr="00DF0680">
        <w:rPr>
          <w:rFonts w:cs="Times New Roman"/>
        </w:rPr>
        <w:t xml:space="preserve">Dynamics of the replication fork can be analysed using DNA fibre analysis. This involves sequentially incubating cells with two different thymidine </w:t>
      </w:r>
      <w:r w:rsidR="00FE547D" w:rsidRPr="00DF0680">
        <w:rPr>
          <w:rFonts w:cs="Times New Roman"/>
        </w:rPr>
        <w:t>analogue</w:t>
      </w:r>
      <w:r w:rsidRPr="00DF0680">
        <w:rPr>
          <w:rFonts w:cs="Times New Roman"/>
        </w:rPr>
        <w:t xml:space="preserve">s for a set amount of time and spreading the DNA fibres before visualising them on a fluorescence microscope using specific antibodies. These replication tract lengths can be measured and fork speed calculated. In addition, the percentage of forks stalled, new origins fired, and fork continuation after DNA damage can be analysed </w:t>
      </w:r>
      <w:r w:rsidR="00F20EC0" w:rsidRPr="00DF0680">
        <w:rPr>
          <w:rFonts w:cs="Times New Roman"/>
        </w:rPr>
        <w:fldChar w:fldCharType="begin" w:fldLock="1"/>
      </w:r>
      <w:r w:rsidR="00332613" w:rsidRPr="00DF0680">
        <w:rPr>
          <w:rFonts w:cs="Times New Roman"/>
        </w:rPr>
        <w:instrText>ADDIN CSL_CITATION { "citationItems" : [ { "id" : "ITEM-1", "itemData" : { "DOI" : "10.1074/jbc.M400022200", "ISBN" : "4420726938", "ISSN" : "0021-9258", "PMID" : "14982920", "abstract" : "Eukaryotic cells respond to DNA damage within the S phase by activating an intra-S checkpoint: a response that includes reducing the rate of DNA synthesis. In yeast cells this can occur via checkpoint-dependent inhibition of origin firing and stabilization of ongoing forks, together with a checkpoint-independent slowing of fork movement. In higher eukaryotes, however, the mechanism by which DNA synthesis is reduced is less clear. We have developed strategies based on DNA fiber labeling that allow the quantitative assessment of rates of replication fork movement, origin firing, and fork stalling throughout the genome by examining large numbers of individually labeled replication forks. We show that exposing S phase cells to ionizing radiation induces a transient block to origin firing but does not affect fork rate or fork stalling. Alkylation damage by methyl methane sulfonate causes a slowing of fork movement and a high rate of fork stalling, in addition to inducing a block to new origin firing. Nucleotide depletion by hydroxyurea also reduces replication fork rate and increases stalling; moreover, in contrast to a recent report, we show that hydroxyurea induces a strong block to new origin firing. The DNA fiber labeling strategy provides a powerful new approach to analyze the dynamics of DNA replication in a perturbed S phase.", "author" : [ { "dropping-particle" : "", "family" : "Merrick", "given" : "Catherine J", "non-dropping-particle" : "", "parse-names" : false, "suffix" : "" }, { "dropping-particle" : "", "family" : "Jackson", "given" : "Dean", "non-dropping-particle" : "", "parse-names" : false, "suffix" : "" }, { "dropping-particle" : "", "family" : "Diffley", "given" : "John F X", "non-dropping-particle" : "", "parse-names" : false, "suffix" : "" } ], "container-title" : "The Journal of Biological Chemistry", "id" : "ITEM-1", "issue" : "19", "issued" : { "date-parts" : [ [ "2004", "5", "7" ] ] }, "page" : "20067-75", "title" : "Visualization of altered replication dynamics after DNA damage in human cells.", "type" : "article-journal", "volume" : "279" }, "uris" : [ "http://www.mendeley.com/documents/?uuid=8da3b25c-a2cd-48d7-aec2-5c8e3f5099e9" ] }, { "id" : "ITEM-2", "itemData" : { "DOI" : "10.1016/j.jmb.2013.03.040", "ISSN" : "00222836", "author" : [ { "dropping-particle" : "", "family" : "T\u00e9cher", "given" : "Herv\u00e9", "non-dropping-particle" : "", "parse-names" : false, "suffix" : "" }, { "dropping-particle" : "", "family" : "Koundrioukoff", "given" : "St\u00e9phane", "non-dropping-particle" : "", "parse-names" : false, "suffix" : "" }, { "dropping-particle" : "", "family" : "Azar", "given" : "Dana", "non-dropping-particle" : "", "parse-names" : false, "suffix" : "" }, { "dropping-particle" : "", "family" : "Wilhelm", "given" : "Therese", "non-dropping-particle" : "", "parse-names" : false, "suffix" : "" }, { "dropping-particle" : "", "family" : "Carignon", "given" : "Sandra", "non-dropping-particle" : "", "parse-names" : false, "suffix" : "" }, { "dropping-particle" : "", "family" : "Brison", "given" : "Olivier", "non-dropping-particle" : "", "parse-names" : false, "suffix" : "" }, { "dropping-particle" : "", "family" : "Debatisse", "given" : "Michelle", "non-dropping-particle" : "", "parse-names" : false, "suffix" : "" }, { "dropping-particle" : "Le", "family" : "Tallec", "given" : "Beno\u00eet", "non-dropping-particle" : "", "parse-names" : false, "suffix" : "" } ], "container-title" : "Journal of Molecular Biology", "id" : "ITEM-2", "issue" : "23", "issued" : { "date-parts" : [ [ "2013", "4" ] ] }, "page" : "4845-55", "publisher" : "Elsevier B.V.", "title" : "Replication dynamics: Biases and robustness of DNA fiber analysis", "type" : "article-journal", "volume" : "425" }, "uris" : [ "http://www.mendeley.com/documents/?uuid=2eb128bd-f65b-4ef9-852c-67fbd1fe27eb" ] }, { "id" : "ITEM-3", "itemData" : { "DOI" : "10.1016/j.molcel.2010.01.021", "ISSN" : "1097-4164", "PMID" : "20188668", "abstract" : "Faithful DNA replication is essential to all life. Hydroxyurea (HU) depletes the cells of dNTPs, which initially results in stalled replication forks that, after prolonged treatment, collapse into DSBs. Here, we report that stalled replication forks are efficiently restarted in a RAD51-dependent process that does not trigger homologous recombination (HR). The XRCC3 protein, which is required for RAD51 foci formation, is also required for replication restart of HU-stalled forks, suggesting that RAD51-mediated strand invasion supports fork restart. In contrast, replication forks collapsed by prolonged replication blocks do not restart, and global replication is rescued by new origin firing. We find that RAD51-dependent HR is triggered for repair of collapsed replication forks, without apparent restart. In conclusion, our data suggest that restart of stalled replication forks and HR repair of collapsed replication forks require two distinct RAD51-mediated pathways.", "author" : [ { "dropping-particle" : "", "family" : "Petermann", "given" : "Eva", "non-dropping-particle" : "", "parse-names" : false, "suffix" : "" }, { "dropping-particle" : "", "family" : "Orta", "given" : "Manuel Lu\u00eds", "non-dropping-particle" : "", "parse-names" : false, "suffix" : "" }, { "dropping-particle" : "", "family" : "Issaeva", "given" : "Natalia", "non-dropping-particle" : "", "parse-names" : false, "suffix" : "" }, { "dropping-particle" : "", "family" : "Schultz", "given" : "Niklas", "non-dropping-particle" : "", "parse-names" : false, "suffix" : "" }, { "dropping-particle" : "", "family" : "Helleday", "given" : "Thomas", "non-dropping-particle" : "", "parse-names" : false, "suffix" : "" } ], "container-title" : "Molecular Cell", "id" : "ITEM-3", "issue" : "4", "issued" : { "date-parts" : [ [ "2010", "2", "26" ] ] }, "page" : "492-502", "title" : "Hydroxyurea-stalled replication forks become progressively inactivated and require two different RAD51-mediated pathways for restart and repair.", "type" : "article-journal", "volume" : "37" }, "uris" : [ "http://www.mendeley.com/documents/?uuid=5dfc892b-8fed-4943-81ae-c7b454fc57c2" ] }, { "id" : "ITEM-4", "itemData" : { "DOI" : "10.1093/nar/gkr420", "ISSN" : "1362-4962", "PMID" : "21646340", "abstract" : "Restarting stalled replication forks is vital to avoid fatal replication errors. Previously, it was demonstrated that hydroxyurea-stalled replication forks rescue replication either by an active restart mechanism or by new origin firing. To our surprise, using the DNA fibre assay, we only detect a slightly reduced fork speed on a UV-damaged template during the first hour after UV exposure, and no evidence for persistent replication fork arrest. Interestingly, no evidence for persistent UV-induced fork stalling was observed even in translesion synthesis defective, Pol\u03b7(mut) cells. In contrast, using an assay to measure DNA molecule elongation at the fork, we observe that continuous DNA elongation is severely blocked by UV irradiation, particularly in UV-damaged Pol\u03b7(mut) cells. In conclusion, our data suggest that UV-blocked replication forks restart effectively through re-priming past the lesion, leaving only a small gap opposite the lesion. This allows continuation of replication on damaged DNA. If left unfilled, the gaps may collapse into DNA double-strand breaks that are repaired by a recombination pathway, similar to the fate of replication forks collapsed after hydroxyurea treatment.", "author" : [ { "dropping-particle" : "", "family" : "Elvers", "given" : "Ingegerd", "non-dropping-particle" : "", "parse-names" : false, "suffix" : "" }, { "dropping-particle" : "", "family" : "Johansson", "given" : "Fredrik", "non-dropping-particle" : "", "parse-names" : false, "suffix" : "" }, { "dropping-particle" : "", "family" : "Groth", "given" : "Petra", "non-dropping-particle" : "", "parse-names" : false, "suffix" : "" }, { "dropping-particle" : "", "family" : "Erixon", "given" : "Klaus", "non-dropping-particle" : "", "parse-names" : false, "suffix" : "" }, { "dropping-particle" : "", "family" : "Helleday", "given" : "Thomas", "non-dropping-particle" : "", "parse-names" : false, "suffix" : "" } ], "container-title" : "Nucleic Acids Research", "id" : "ITEM-4", "issue" : "16", "issued" : { "date-parts" : [ [ "2011", "9", "1" ] ] }, "page" : "7049-57", "title" : "UV stalled replication forks restart by re-priming in human fibroblasts.", "type" : "article-journal", "volume" : "39" }, "uris" : [ "http://www.mendeley.com/documents/?uuid=d12f30be-ddef-4cdf-b0bb-67b72f98c58d" ] } ], "mendeley" : { "formattedCitation" : "(Merrick et al. 2004; T\u00e9cher et al. 2013; Petermann et al. 2010; Elvers et al. 2011)", "plainTextFormattedCitation" : "(Merrick et al. 2004; T\u00e9cher et al. 2013; Petermann et al. 2010; Elvers et al. 2011)", "previouslyFormattedCitation" : "(Merrick et al. 2004; T\u00e9cher et al. 2013; Petermann et al. 2010; Elvers et al. 2011)"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(Merrick et al. 2004; Técher et al. 2013; Petermann et al. 2010; Elvers et al. 2011)</w:t>
      </w:r>
      <w:r w:rsidR="00F20EC0" w:rsidRPr="00DF0680">
        <w:rPr>
          <w:rFonts w:cs="Times New Roman"/>
        </w:rPr>
        <w:fldChar w:fldCharType="end"/>
      </w:r>
      <w:r w:rsidRPr="00DF0680">
        <w:rPr>
          <w:rFonts w:cs="Times New Roman"/>
        </w:rPr>
        <w:t>.</w:t>
      </w:r>
    </w:p>
    <w:p w:rsidR="000F4A2B" w:rsidRPr="00DF0680" w:rsidRDefault="000F4A2B" w:rsidP="000F4A2B">
      <w:pPr>
        <w:rPr>
          <w:rFonts w:cs="Times New Roman"/>
        </w:rPr>
      </w:pPr>
      <w:r w:rsidRPr="00DF0680">
        <w:rPr>
          <w:rFonts w:cs="Times New Roman"/>
        </w:rPr>
        <w:t xml:space="preserve">Analysis of other RECQ helicases using the DNA fibre analysis method </w:t>
      </w:r>
      <w:r w:rsidR="00F20EC0" w:rsidRPr="00DF0680">
        <w:rPr>
          <w:rFonts w:cs="Times New Roman"/>
        </w:rPr>
        <w:fldChar w:fldCharType="begin" w:fldLock="1"/>
      </w:r>
      <w:r w:rsidR="00332613" w:rsidRPr="00DF0680">
        <w:rPr>
          <w:rFonts w:cs="Times New Roman"/>
        </w:rPr>
        <w:instrText>ADDIN CSL_CITATION { "citationItems" : [ { "id" : "ITEM-1", "itemData" : { "DOI" : "10.1074/jbc.M400022200", "ISBN" : "4420726938", "ISSN" : "0021-9258", "PMID" : "14982920", "abstract" : "Eukaryotic cells respond to DNA damage within the S phase by activating an intra-S checkpoint: a response that includes reducing the rate of DNA synthesis. In yeast cells this can occur via checkpoint-dependent inhibition of origin firing and stabilization of ongoing forks, together with a checkpoint-independent slowing of fork movement. In higher eukaryotes, however, the mechanism by which DNA synthesis is reduced is less clear. We have developed strategies based on DNA fiber labeling that allow the quantitative assessment of rates of replication fork movement, origin firing, and fork stalling throughout the genome by examining large numbers of individually labeled replication forks. We show that exposing S phase cells to ionizing radiation induces a transient block to origin firing but does not affect fork rate or fork stalling. Alkylation damage by methyl methane sulfonate causes a slowing of fork movement and a high rate of fork stalling, in addition to inducing a block to new origin firing. Nucleotide depletion by hydroxyurea also reduces replication fork rate and increases stalling; moreover, in contrast to a recent report, we show that hydroxyurea induces a strong block to new origin firing. The DNA fiber labeling strategy provides a powerful new approach to analyze the dynamics of DNA replication in a perturbed S phase.", "author" : [ { "dropping-particle" : "", "family" : "Merrick", "given" : "Catherine J", "non-dropping-particle" : "", "parse-names" : false, "suffix" : "" }, { "dropping-particle" : "", "family" : "Jackson", "given" : "Dean", "non-dropping-particle" : "", "parse-names" : false, "suffix" : "" }, { "dropping-particle" : "", "family" : "Diffley", "given" : "John F X", "non-dropping-particle" : "", "parse-names" : false, "suffix" : "" } ], "container-title" : "The Journal of Biological Chemistry", "id" : "ITEM-1", "issue" : "19", "issued" : { "date-parts" : [ [ "2004", "5", "7" ] ] }, "page" : "20067-75", "title" : "Visualization of altered replication dynamics after DNA damage in human cells.", "type" : "article-journal", "volume" : "279" }, "uris" : [ "http://www.mendeley.com/documents/?uuid=8da3b25c-a2cd-48d7-aec2-5c8e3f5099e9" ] } ], "mendeley" : { "formattedCitation" : "(Merrick et al. 2004)", "plainTextFormattedCitation" : "(Merrick et al. 2004)", "previouslyFormattedCitation" : "(Merrick et al. 2004)"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(Merrick et al. 2004)</w:t>
      </w:r>
      <w:r w:rsidR="00F20EC0" w:rsidRPr="00DF0680">
        <w:rPr>
          <w:rFonts w:cs="Times New Roman"/>
        </w:rPr>
        <w:fldChar w:fldCharType="end"/>
      </w:r>
      <w:r w:rsidRPr="00DF0680">
        <w:rPr>
          <w:rFonts w:cs="Times New Roman"/>
        </w:rPr>
        <w:t xml:space="preserve"> has demonstrated that WS and BLM cells replicate slower than their complemented counterparts </w:t>
      </w:r>
      <w:r w:rsidR="00F20EC0" w:rsidRPr="00DF0680">
        <w:rPr>
          <w:rFonts w:cs="Times New Roman"/>
        </w:rPr>
        <w:fldChar w:fldCharType="begin" w:fldLock="1"/>
      </w:r>
      <w:r w:rsidR="008D1D73" w:rsidRPr="00DF0680">
        <w:rPr>
          <w:rFonts w:cs="Times New Roman"/>
        </w:rPr>
        <w:instrText>ADDIN CSL_CITATION { "citationItems" : [ { "id" : "ITEM-1", "itemData" : { "DOI" : "10.1158/1541-7786.MCR-07-0028", "ISBN" : "3014965944", "ISSN" : "1541-7786", "PMID" : "17634426", "abstract" : "The Bloom syndrome helicase (BLM) is critical for genomic stability. A defect in BLM activity results in the cancer-predisposing Bloom syndrome (BS). Here, we report that BLM-deficient cell lines and primary fibroblasts display an endogenously activated DNA double-strand break checkpoint response with prominent levels of phosphorylated histone H2AX (gamma-H2AX), Chk2 (p(T68)Chk2), and ATM (p(S1981)ATM) colocalizing in nuclear foci. Interestingly, the mitotic fraction of gamma-H2AX foci did not seem to be higher in BLM-deficient cells, indicating that these lesions form transiently during interphase. Pulse labeling with iododeoxyuridine and immunofluorescence microscopy showed the colocalization of gamma-H2AX, ATM, and Chk2 together with replication foci. Those foci costained for Rad51, indicating homologous recombination at these replication sites. We therefore analyzed replication in BS cells using a single molecule approach on combed DNA fibers. In addition to a higher frequency of replication fork barriers, BS cells displayed a reduced average fork velocity and global reduction of interorigin distances indicative of an elevated frequency of origin firing. Because BS is one of the most penetrant cancer-predisposing hereditary diseases, it is likely that the lack of BLM engages the cells in a situation similar to precancerous tissues with replication stress. To our knowledge, this is the first report of high ATM-Chk2 kinase activation and its linkage to replication defects in a BS model.", "author" : [ { "dropping-particle" : "", "family" : "Rao", "given" : "V Ashutosh", "non-dropping-particle" : "", "parse-names" : false, "suffix" : "" }, { "dropping-particle" : "", "family" : "Conti", "given" : "Chiara", "non-dropping-particle" : "", "parse-names" : false, "suffix" : "" }, { "dropping-particle" : "", "family" : "Guirouilh-Barbat", "given" : "Josee", "non-dropping-particle" : "", "parse-names" : false, "suffix" : "" }, { "dropping-particle" : "", "family" : "Nakamura", "given" : "Asako", "non-dropping-particle" : "", "parse-names" : false, "suffix" : "" }, { "dropping-particle" : "", "family" : "Miao", "given" : "Ze-Hong", "non-dropping-particle" : "", "parse-names" : false, "suffix" : "" }, { "dropping-particle" : "", "family" : "Davies", "given" : "Sally L", "non-dropping-particle" : "", "parse-names" : false, "suffix" : "" }, { "dropping-particle" : "", "family" : "Sacc\u00e1", "given" : "Barbara", "non-dropping-particle" : "", "parse-names" : false, "suffix" : "" }, { "dropping-particle" : "", "family" : "Hickson", "given" : "Ian D", "non-dropping-particle" : "", "parse-names" : false, "suffix" : "" }, { "dropping-particle" : "", "family" : "Bensimon", "given" : "Aaron", "non-dropping-particle" : "", "parse-names" : false, "suffix" : "" }, { "dropping-particle" : "", "family" : "Pommier", "given" : "Yves", "non-dropping-particle" : "", "parse-names" : false, "suffix" : "" } ], "container-title" : "Molecular Cancer Research", "id" : "ITEM-1", "issue" : "7", "issued" : { "date-parts" : [ [ "2007", "7" ] ] }, "page" : "713-24", "title" : "Endogenous gamma-H2AX-ATM-Chk2 checkpoint activation in Bloom's syndrome helicase deficient cells is related to DNA replication arrested forks.", "type" : "article-journal", "volume" : "5" }, "uris" : [ "http://www.mendeley.com/documents/?uuid=ae58f9bc-cd4a-4849-a1bb-b657469c1ba7" ] }, { "id" : "ITEM-2", "itemData" : { "DOI" : "10.1093/nar/gku1022", "ISSN" : "0305-1048", "author" : [ { "dropping-particle" : "", "family" : "Basile", "given" : "G.", "non-dropping-particle" : "", "parse-names" : false, "suffix" : "" }, { "dropping-particle" : "", "family" : "Leuzzi", "given" : "G.", "non-dropping-particle" : "", "parse-names" : false, "suffix" : "" }, { "dropping-particle" : "", "family" : "Pichierri", "given" : "P", "non-dropping-particle" : "", "parse-names" : false, "suffix" : "" }, { "dropping-particle" : "", "family" : "Franchitto", "given" : "A", "non-dropping-particle" : "", "parse-names" : false, "suffix" : "" } ], "container-title" : "Nucleic Acids Research", "id" : "ITEM-2", "issue" : "20", "issued" : { "date-parts" : [ [ "2014", "10", "28" ] ] }, "page" : "12628-39", "title" : "Checkpoint-dependent and independent roles of the Werner syndrome protein in preserving genome integrity in response to mild replication stress", "type" : "article-journal", "volume" : "42" }, "uris" : [ "http://www.mendeley.com/documents/?uuid=e45d8ec3-51fb-4350-b34c-745aab6ea97f" ] }, { "id" : "ITEM-3", "itemData" : { "author" : [ { "dropping-particle" : "", "family" : "Sidorova", "given" : "JM", "non-dropping-particle" : "", "parse-names" : false, "suffix" : "" }, { "dropping-particle" : "", "family" : "Li", "given" : "Nianzhen", "non-dropping-particle" : "", "parse-names" : false, "suffix" : "" }, { "dropping-particle" : "", "family" : "Folch", "given" : "A", "non-dropping-particle" : "", "parse-names" : false, "suffix" : "" }, { "dropping-particle" : "", "family" : "Monnat Jr.", "given" : "RJ", "non-dropping-particle" : "", "parse-names" : false, "suffix" : "" } ], "container-title" : "Cell Cycle", "id" : "ITEM-3", "issue" : "6", "issued" : { "date-parts" : [ [ "2008" ] ] }, "page" : "796-807", "title" : "The RecQ helicase WRN is required for normal replication fork progression after DNA damage or replication fork arrest", "type" : "article-journal", "volume" : "7" }, "uris" : [ "http://www.mendeley.com/documents/?uuid=9ec7f294-d968-4cf0-9689-4ab76476caa3" ] }, { "id" : "ITEM-4", "itemData" : { "author" : [ { "dropping-particle" : "", "family" : "Rodr\u00edguez-L\u00f3pez", "given" : "Ana M", "non-dropping-particle" : "", "parse-names" : false, "suffix" : "" }, { "dropping-particle" : "", "family" : "Jackson", "given" : "Dean A", "non-dropping-particle" : "", "parse-names" : false, "suffix" : "" }, { "dropping-particle" : "", "family" : "Iborra", "given" : "Francisco", "non-dropping-particle" : "", "parse-names" : false, "suffix" : "" }, { "dropping-particle" : "", "family" : "Cox", "given" : "Lynne S", "non-dropping-particle" : "", "parse-names" : false, "suffix" : "" } ], "container-title" : "Aging Cell", "id" : "ITEM-4", "issue" : "1", "issued" : { "date-parts" : [ [ "2002" ] ] }, "page" : "30-39", "title" : "Asymmetry of DNA replication fork progression in Werner\u2019s syndrome", "type" : "article-journal", "volume" : "1" }, "uris" : [ "http://www.mendeley.com/documents/?uuid=ecb57a06-0a76-4e89-b16d-46545149ff0b" ] } ], "mendeley" : { "formattedCitation" : "(Rao et al. 2007; Basile et al. 2014; Sidorova et al. 2008; Rodr\u00edguez-L\u00f3pez et al. 2002)", "plainTextFormattedCitation" : "(Rao et al. 2007; Basile et al. 2014; Sidorova et al. 2008; Rodr\u00edguez-L\u00f3pez et al. 2002)", "previouslyFormattedCitation" : "(Rao et al. 2007; Basile et al. 2014; Sidorova et al. 2008; Rodr\u00edguez-L\u00f3pez et al. 2002)" }, "properties" : { "noteIndex" : 0 }, "schema" : "https://github.com/citation-style-language/schema/raw/master/csl-citation.json" }</w:instrText>
      </w:r>
      <w:r w:rsidR="00F20EC0" w:rsidRPr="00DF0680">
        <w:rPr>
          <w:rFonts w:cs="Times New Roman"/>
        </w:rPr>
        <w:fldChar w:fldCharType="separate"/>
      </w:r>
      <w:r w:rsidR="00B601B4" w:rsidRPr="00DF0680">
        <w:rPr>
          <w:rFonts w:cs="Times New Roman"/>
        </w:rPr>
        <w:t>(Rao et al. 2007; Basile et al. 2014; Sidorova et al. 2008; Rodríguez-López et al. 2002)</w:t>
      </w:r>
      <w:r w:rsidR="00F20EC0" w:rsidRPr="00DF0680">
        <w:rPr>
          <w:rFonts w:cs="Times New Roman"/>
        </w:rPr>
        <w:fldChar w:fldCharType="end"/>
      </w:r>
      <w:r w:rsidRPr="00DF0680">
        <w:rPr>
          <w:rFonts w:cs="Times New Roman"/>
        </w:rPr>
        <w:t xml:space="preserve">. RECQL1 and RECQL4 have also been shown to play a role in replication initiation using DNA fibre analysis </w:t>
      </w:r>
      <w:r w:rsidR="00F20EC0" w:rsidRPr="00DF0680">
        <w:rPr>
          <w:rFonts w:cs="Times New Roman"/>
        </w:rPr>
        <w:fldChar w:fldCharType="begin" w:fldLock="1"/>
      </w:r>
      <w:r w:rsidR="00332613" w:rsidRPr="00DF0680">
        <w:rPr>
          <w:rFonts w:cs="Times New Roman"/>
        </w:rPr>
        <w:instrText>ADDIN CSL_CITATION { "citationItems" : [ { "id" : "ITEM-1", "itemData" : { "DOI" : "10.1128/MCB.01290-09", "ISSN" : "1098-5549", "PMID" : "20065033", "abstract" : "Cellular and biochemical studies support a role for all five human RecQ helicases in DNA replication; however, their specific functions during this process are unclear. Here we investigate the in vivo association of the five human RecQ helicases with three well-characterized human replication origins. We show that only RECQ1 (also called RECQL or RECQL1) and RECQ4 (also called RECQL4) associate with replication origins in a cell cycle-regulated fashion in unperturbed cells. RECQ4 is recruited to origins at late G(1), after ORC and MCM complex assembly, while RECQ1 and additional RECQ4 are loaded at origins at the onset of S phase, when licensed origins begin firing. Both proteins are lost from origins after DNA replication initiation, indicating either disassembly or tracking with the newly formed replisome. Nascent-origin DNA synthesis and the frequency of origin firing are reduced after RECQ1 depletion and, to a greater extent, after RECQ4 depletion. Depletion of RECQ1, though not that of RECQ4, also suppresses replication fork rates in otherwise unperturbed cells. These results indicate that RECQ1 and RECQ4 are integral components of the human replication complex and play distinct roles in DNA replication initiation and replication fork progression in vivo.", "author" : [ { "dropping-particle" : "", "family" : "Thangavel", "given" : "Saravanabhavan", "non-dropping-particle" : "", "parse-names" : false, "suffix" : "" }, { "dropping-particle" : "", "family" : "Mendoza-Maldonado", "given" : "Ramiro", "non-dropping-particle" : "", "parse-names" : false, "suffix" : "" }, { "dropping-particle" : "", "family" : "Tissino", "given" : "Erika", "non-dropping-particle" : "", "parse-names" : false, "suffix" : "" }, { "dropping-particle" : "", "family" : "Sidorova", "given" : "Julia M", "non-dropping-particle" : "", "parse-names" : false, "suffix" : "" }, { "dropping-particle" : "", "family" : "Yin", "given" : "Jinhu", "non-dropping-particle" : "", "parse-names" : false, "suffix" : "" }, { "dropping-particle" : "", "family" : "Wang", "given" : "Weidong", "non-dropping-particle" : "", "parse-names" : false, "suffix" : "" }, { "dropping-particle" : "", "family" : "Monnat", "given" : "Raymond J", "non-dropping-particle" : "", "parse-names" : false, "suffix" : "" }, { "dropping-particle" : "", "family" : "Falaschi", "given" : "Arturo", "non-dropping-particle" : "", "parse-names" : false, "suffix" : "" }, { "dropping-particle" : "", "family" : "Vindigni", "given" : "Alessandro", "non-dropping-particle" : "", "parse-names" : false, "suffix" : "" } ], "container-title" : "Molecular and Cellular Biology", "id" : "ITEM-1", "issue" : "6", "issued" : { "date-parts" : [ [ "2010", "3" ] ] }, "page" : "1382-96", "title" : "Human RECQ1 and RECQ4 helicases play distinct roles in DNA replication initiation.", "type" : "article-journal", "volume" : "30" }, "uris" : [ "http://www.mendeley.com/documents/?uuid=376ba441-3b7a-4c10-8395-3c3f1b390d1c" ] } ], "mendeley" : { "formattedCitation" : "(Thangavel et al. 2010)", "plainTextFormattedCitation" : "(Thangavel et al. 2010)", "previouslyFormattedCitation" : "(Thangavel et al. 2010)"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(Thangavel et al. 2010)</w:t>
      </w:r>
      <w:r w:rsidR="00F20EC0" w:rsidRPr="00DF0680">
        <w:rPr>
          <w:rFonts w:cs="Times New Roman"/>
        </w:rPr>
        <w:fldChar w:fldCharType="end"/>
      </w:r>
      <w:r w:rsidRPr="00DF0680">
        <w:rPr>
          <w:rFonts w:cs="Times New Roman"/>
        </w:rPr>
        <w:t xml:space="preserve">. Furthermore, RECQL1 has been shown to be involved in restart of forks stalled by camptothecin, in a manner that is inhibited by PARP </w:t>
      </w:r>
      <w:r w:rsidR="00F20EC0" w:rsidRPr="00DF0680">
        <w:rPr>
          <w:rFonts w:cs="Times New Roman"/>
        </w:rPr>
        <w:fldChar w:fldCharType="begin" w:fldLock="1"/>
      </w:r>
      <w:r w:rsidR="00332613" w:rsidRPr="00DF0680">
        <w:rPr>
          <w:rFonts w:cs="Times New Roman"/>
        </w:rPr>
        <w:instrText>ADDIN CSL_CITATION { "citationItems" : [ { "id" : "ITEM-1", "itemData" : { "DOI" : "10.1038/nsmb.2501", "ISSN" : "1545-9993", "author" : [ { "dropping-particle" : "", "family" : "Berti", "given" : "Matteo", "non-dropping-particle" : "", "parse-names" : false, "suffix" : "" }, { "dropping-particle" : "", "family" : "Chaudhuri", "given" : "Arnab Ray", "non-dropping-particle" : "", "parse-names" : false, "suffix" : "" }, { "dropping-particle" : "", "family" : "Thangavel", "given" : "Saravanabhavan", "non-dropping-particle" : "", "parse-names" : false, "suffix" : "" }, { "dropping-particle" : "", "family" : "Gomathinayagam", "given" : "Shivasankari", "non-dropping-particle" : "", "parse-names" : false, "suffix" : "" }, { "dropping-particle" : "", "family" : "Kenig", "given" : "Sasa", "non-dropping-particle" : "", "parse-names" : false, "suffix" : "" }, { "dropping-particle" : "", "family" : "Vujanovic", "given" : "Marko", "non-dropping-particle" : "", "parse-names" : false, "suffix" : "" }, { "dropping-particle" : "", "family" : "Odreman", "given" : "Federico", "non-dropping-particle" : "", "parse-names" : false, "suffix" : "" }, { "dropping-particle" : "", "family" : "Glatter", "given" : "Timo", "non-dropping-particle" : "", "parse-names" : false, "suffix" : "" }, { "dropping-particle" : "", "family" : "Graziano", "given" : "Simona", "non-dropping-particle" : "", "parse-names" : false, "suffix" : "" }, { "dropping-particle" : "", "family" : "Mendoza-maldonado", "given" : "Ramiro", "non-dropping-particle" : "", "parse-names" : false, "suffix" : "" }, { "dropping-particle" : "", "family" : "Marino", "given" : "Francesca", "non-dropping-particle" : "", "parse-names" : false, "suffix" : "" }, { "dropping-particle" : "", "family" : "Lucic", "given" : "Bojana", "non-dropping-particle" : "", "parse-names" : false, "suffix" : "" }, { "dropping-particle" : "", "family" : "Biasin", "given" : "Valentina", "non-dropping-particle" : "", "parse-names" : false, "suffix" : "" }, { "dropping-particle" : "", "family" : "Gstaiger", "given" : "Matthias", "non-dropping-particle" : "", "parse-names" : false, "suffix" : "" }, { "dropping-particle" : "", "family" : "Aebersold", "given" : "Ruedi", "non-dropping-particle" : "", "parse-names" : false, "suffix" : "" }, { "dropping-particle" : "", "family" : "Sidorova", "given" : "Julia M", "non-dropping-particle" : "", "parse-names" : false, "suffix" : "" }, { "dropping-particle" : "", "family" : "Jr", "given" : "Raymond J Monnat", "non-dropping-particle" : "", "parse-names" : false, "suffix" : "" }, { "dropping-particle" : "", "family" : "Lopes", "given" : "Massimo", "non-dropping-particle" : "", "parse-names" : false, "suffix" : "" }, { "dropping-particle" : "", "family" : "Vindigni", "given" : "Alessandro", "non-dropping-particle" : "", "parse-names" : false, "suffix" : "" } ], "container-title" : "Nature Structural &amp; Molecular Biology", "id" : "ITEM-1", "issue" : "3", "issued" : { "date-parts" : [ [ "2013" ] ] }, "page" : "347-54", "publisher" : "Nature Publishing Group", "title" : "Human RECQ1 promotes restart of replication forks reversed by DNA topoisomerase I inhibition", "type" : "article-journal", "volume" : "20" }, "uris" : [ "http://www.mendeley.com/documents/?uuid=a3e9684b-af40-4523-a6e7-8cecec349e86" ] } ], "mendeley" : { "formattedCitation" : "(Berti et al. 2013)", "plainTextFormattedCitation" : "(Berti et al. 2013)", "previouslyFormattedCitation" : "(Berti et al. 2013)"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(Berti et al. 2013)</w:t>
      </w:r>
      <w:r w:rsidR="00F20EC0" w:rsidRPr="00DF0680">
        <w:rPr>
          <w:rFonts w:cs="Times New Roman"/>
        </w:rPr>
        <w:fldChar w:fldCharType="end"/>
      </w:r>
      <w:r w:rsidRPr="00DF0680">
        <w:rPr>
          <w:rFonts w:cs="Times New Roman"/>
        </w:rPr>
        <w:t xml:space="preserve">. </w:t>
      </w:r>
    </w:p>
    <w:p w:rsidR="000F4A2B" w:rsidRPr="00DF0680" w:rsidRDefault="000F4A2B" w:rsidP="000F4A2B">
      <w:pPr>
        <w:rPr>
          <w:rFonts w:cs="Times New Roman"/>
        </w:rPr>
      </w:pPr>
      <w:r w:rsidRPr="00DF0680">
        <w:rPr>
          <w:rFonts w:cs="Times New Roman"/>
        </w:rPr>
        <w:t>Here, RECQL5 helicase protein levels have been depleted using siRNA, and increased by stable over-expression in cell lines, and DNA fibres analysed to investigate RECQL5’s role at the replication fork endogenously and during, or post, replication stress. As well as using agents that directly cause replication stress, the transcription inhibitor DRB has been used to investigate fork dynamics when the transcription machinery is compromised. Immunofluorescence was also used to analyse how DNA damage signalling is linked to the replication fork changes seen at a single fork level.</w:t>
      </w:r>
    </w:p>
    <w:p w:rsidR="00B601B4" w:rsidRPr="00DF0680" w:rsidRDefault="00B601B4" w:rsidP="000F4A2B">
      <w:pPr>
        <w:rPr>
          <w:rFonts w:cs="Times New Roman"/>
        </w:rPr>
      </w:pPr>
    </w:p>
    <w:p w:rsidR="000F4A2B" w:rsidRPr="00DF0680" w:rsidRDefault="000F4A2B" w:rsidP="00E664FC">
      <w:pPr>
        <w:pStyle w:val="Heading2"/>
      </w:pPr>
      <w:bookmarkStart w:id="624" w:name="_Toc410221377"/>
      <w:bookmarkStart w:id="625" w:name="_Toc417204196"/>
      <w:bookmarkStart w:id="626" w:name="_Toc417204729"/>
      <w:bookmarkStart w:id="627" w:name="_Toc417204789"/>
      <w:r w:rsidRPr="00DF0680">
        <w:lastRenderedPageBreak/>
        <w:t>Over-expressing RECQL5β increases endogenous fork speed</w:t>
      </w:r>
      <w:bookmarkEnd w:id="624"/>
      <w:bookmarkEnd w:id="625"/>
      <w:bookmarkEnd w:id="626"/>
      <w:bookmarkEnd w:id="627"/>
    </w:p>
    <w:p w:rsidR="000F4A2B" w:rsidRPr="00DF0680" w:rsidRDefault="000F4A2B" w:rsidP="000F4A2B">
      <w:pPr>
        <w:rPr>
          <w:rFonts w:cs="Times New Roman"/>
        </w:rPr>
      </w:pPr>
      <w:r w:rsidRPr="00DF0680">
        <w:rPr>
          <w:rFonts w:cs="Times New Roman"/>
        </w:rPr>
        <w:t xml:space="preserve">As increasing RECQL5β protein levels can provide resistance to thymidine induced death and cell cycle slowing </w:t>
      </w:r>
      <w:r w:rsidR="00F20EC0" w:rsidRPr="00DF0680">
        <w:rPr>
          <w:rFonts w:cs="Times New Roman"/>
        </w:rPr>
        <w:fldChar w:fldCharType="begin" w:fldLock="1"/>
      </w:r>
      <w:r w:rsidR="00332613" w:rsidRPr="00DF0680">
        <w:rPr>
          <w:rFonts w:cs="Times New Roman"/>
        </w:rPr>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(Blundred et al. 2010)</w:t>
      </w:r>
      <w:r w:rsidR="00F20EC0" w:rsidRPr="00DF0680">
        <w:rPr>
          <w:rFonts w:cs="Times New Roman"/>
        </w:rPr>
        <w:fldChar w:fldCharType="end"/>
      </w:r>
      <w:r w:rsidRPr="00DF0680">
        <w:rPr>
          <w:rFonts w:cs="Times New Roman"/>
        </w:rPr>
        <w:t xml:space="preserve">, it was hypothesised that differences in replication fork speed would be seen in over-expressing cells. Using the same </w:t>
      </w:r>
      <w:r w:rsidR="00471D18" w:rsidRPr="00DF0680">
        <w:rPr>
          <w:rFonts w:cs="Times New Roman"/>
        </w:rPr>
        <w:t>MRC5V2</w:t>
      </w:r>
      <w:r w:rsidRPr="00DF0680">
        <w:rPr>
          <w:rFonts w:cs="Times New Roman"/>
        </w:rPr>
        <w:t xml:space="preserve"> RECQL5β over-expressing cells used by Blundred et al., DNA fibre analysis was performed and endogenous fork speed was measured. With both the CldU and the IdU label, it could be seen that the replication fork was quicker in the cells over-expressing the full-length RECQL5β (CldU and IdU, Student’s t-test, p value </w:t>
      </w:r>
      <w:r w:rsidR="00B601B4" w:rsidRPr="00DF0680">
        <w:rPr>
          <w:rFonts w:cs="Times New Roman"/>
        </w:rPr>
        <w:t>&lt; 0.0001</w:t>
      </w:r>
      <w:r w:rsidRPr="00DF0680">
        <w:rPr>
          <w:rFonts w:cs="Times New Roman"/>
        </w:rPr>
        <w:t>) (Figure 4.1). Cells over-expressing the helicase-dead RECQL5β did not replicate any faster than the wild-type cells</w:t>
      </w:r>
      <w:r w:rsidR="00B601B4" w:rsidRPr="00DF0680">
        <w:rPr>
          <w:rFonts w:cs="Times New Roman"/>
        </w:rPr>
        <w:t xml:space="preserve"> when measured by CldU but did so for</w:t>
      </w:r>
      <w:r w:rsidRPr="00DF0680">
        <w:rPr>
          <w:rFonts w:cs="Times New Roman"/>
        </w:rPr>
        <w:t xml:space="preserve"> IdU</w:t>
      </w:r>
      <w:r w:rsidR="00B601B4" w:rsidRPr="00DF0680">
        <w:rPr>
          <w:rFonts w:cs="Times New Roman"/>
        </w:rPr>
        <w:t xml:space="preserve"> (Student’s t-test, p value &lt; 0.0001)</w:t>
      </w:r>
      <w:r w:rsidRPr="00DF0680">
        <w:rPr>
          <w:rFonts w:cs="Times New Roman"/>
        </w:rPr>
        <w:t xml:space="preserve">. </w:t>
      </w:r>
      <w:r w:rsidR="00C307C6" w:rsidRPr="00DF0680">
        <w:rPr>
          <w:rFonts w:cs="Times New Roman"/>
        </w:rPr>
        <w:t xml:space="preserve">In order to out-compete the CldU for integration into the DNA, IdU has to be put onto the cells at a much higher concentration. This may cause increased replication stress on the cells (as we see when treating with thymidine), possibly being the cause of the slower fork speeds that we see when measuring using IdU tracts. </w:t>
      </w:r>
      <w:r w:rsidRPr="00DF0680">
        <w:rPr>
          <w:rFonts w:cs="Times New Roman"/>
        </w:rPr>
        <w:t>For all experiments after this, CldU is shown in the main text an</w:t>
      </w:r>
      <w:r w:rsidR="00C307C6" w:rsidRPr="00DF0680">
        <w:rPr>
          <w:rFonts w:cs="Times New Roman"/>
        </w:rPr>
        <w:t>d IdU is shown in the Appendix.</w:t>
      </w:r>
    </w:p>
    <w:p w:rsidR="000F4A2B" w:rsidRPr="00DF0680" w:rsidRDefault="000F4A2B" w:rsidP="000F4A2B">
      <w:pPr>
        <w:rPr>
          <w:rFonts w:cs="Times New Roman"/>
        </w:rPr>
      </w:pPr>
      <w:r w:rsidRPr="00DF0680">
        <w:rPr>
          <w:rFonts w:cs="Times New Roman"/>
        </w:rPr>
        <w:t xml:space="preserve">This increased replication fork speed phenotype was rescued by depleting RECQL5β protein levels in RECQL5β over-expressing </w:t>
      </w:r>
      <w:r w:rsidR="00471D18" w:rsidRPr="00DF0680">
        <w:rPr>
          <w:rFonts w:cs="Times New Roman"/>
        </w:rPr>
        <w:t>MRC5V2</w:t>
      </w:r>
      <w:r w:rsidRPr="00DF0680">
        <w:rPr>
          <w:rFonts w:cs="Times New Roman"/>
        </w:rPr>
        <w:t xml:space="preserve"> cells using siRNA targeting RECQL5β which decreased fork speed to wild-type le</w:t>
      </w:r>
      <w:r w:rsidR="00C307C6" w:rsidRPr="00DF0680">
        <w:rPr>
          <w:rFonts w:cs="Times New Roman"/>
        </w:rPr>
        <w:t>vels (Student’s t-test, p value &lt;0.0001</w:t>
      </w:r>
      <w:r w:rsidRPr="00DF0680">
        <w:rPr>
          <w:rFonts w:cs="Times New Roman"/>
        </w:rPr>
        <w:t xml:space="preserve">) (Figure 4.2 C). Using siRNA targeting all 3 isoforms of RECQL5 </w:t>
      </w:r>
      <w:r w:rsidR="00C307C6" w:rsidRPr="00DF0680">
        <w:rPr>
          <w:rFonts w:cs="Times New Roman"/>
        </w:rPr>
        <w:t xml:space="preserve">also </w:t>
      </w:r>
      <w:r w:rsidRPr="00DF0680">
        <w:rPr>
          <w:rFonts w:cs="Times New Roman"/>
        </w:rPr>
        <w:t>significantly reduce</w:t>
      </w:r>
      <w:r w:rsidR="00C307C6" w:rsidRPr="00DF0680">
        <w:rPr>
          <w:rFonts w:cs="Times New Roman"/>
        </w:rPr>
        <w:t>d</w:t>
      </w:r>
      <w:r w:rsidRPr="00DF0680">
        <w:rPr>
          <w:rFonts w:cs="Times New Roman"/>
        </w:rPr>
        <w:t xml:space="preserve"> replication fork speed </w:t>
      </w:r>
      <w:r w:rsidR="00C307C6" w:rsidRPr="00DF0680">
        <w:rPr>
          <w:rFonts w:cs="Times New Roman"/>
        </w:rPr>
        <w:t xml:space="preserve">(Student’s t-test, p value &lt;0.0001) </w:t>
      </w:r>
      <w:r w:rsidRPr="00DF0680">
        <w:rPr>
          <w:rFonts w:cs="Times New Roman"/>
        </w:rPr>
        <w:t xml:space="preserve">but this is only the result from two repeats. </w:t>
      </w:r>
      <w:r w:rsidR="00C307C6" w:rsidRPr="00DF0680">
        <w:rPr>
          <w:rFonts w:cs="Times New Roman"/>
        </w:rPr>
        <w:t>There was no significant different in speeds when comparing fibres from cells treated with siRNA targeting all three RECQL5 isoforms and those treated with siRNA targeting RECQL5β.</w:t>
      </w:r>
    </w:p>
    <w:p w:rsidR="00543277" w:rsidRPr="00DF0680" w:rsidRDefault="000F4A2B" w:rsidP="000F4A2B">
      <w:pPr>
        <w:rPr>
          <w:rFonts w:cs="Times New Roman"/>
        </w:rPr>
      </w:pPr>
      <w:r w:rsidRPr="00DF0680">
        <w:rPr>
          <w:rFonts w:cs="Times New Roman"/>
        </w:rPr>
        <w:t xml:space="preserve">Together, these data suggest that RECQL5β promotes increased endogenous replication fork speed in a helicase dependent manner. </w:t>
      </w:r>
      <w:r w:rsidR="00C307C6" w:rsidRPr="00DF0680">
        <w:rPr>
          <w:rFonts w:cs="Times New Roman"/>
        </w:rPr>
        <w:t>As there was faster IdU measured fork rates in MRC5V2 cells over-expressing helicase-dead RECQL5 compared to wild-type MRC5V2 cells, the helicase-dead RECQL5 may promote increased fork speeds in the presence of the increased replication stress caused by IdU.</w:t>
      </w:r>
    </w:p>
    <w:p w:rsidR="00543277" w:rsidRPr="00DF0680" w:rsidRDefault="00543277">
      <w:pPr>
        <w:spacing w:line="276" w:lineRule="auto"/>
        <w:jc w:val="left"/>
        <w:rPr>
          <w:rFonts w:cs="Times New Roman"/>
        </w:rPr>
      </w:pPr>
      <w:r w:rsidRPr="00DF0680">
        <w:rPr>
          <w:rFonts w:cs="Times New Roman"/>
        </w:rPr>
        <w:br w:type="page"/>
      </w:r>
    </w:p>
    <w:p w:rsidR="000F4A2B" w:rsidRPr="00DF0680" w:rsidRDefault="0064164B" w:rsidP="00543277">
      <w:pPr>
        <w:keepNext/>
        <w:spacing w:after="0"/>
        <w:rPr>
          <w:rFonts w:cs="Times New Roman"/>
        </w:rPr>
      </w:pPr>
      <w:r w:rsidRPr="00DF0680">
        <w:lastRenderedPageBreak/>
        <w:drawing>
          <wp:inline distT="0" distB="0" distL="0" distR="0">
            <wp:extent cx="13335" cy="81915"/>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13335" cy="81915"/>
                    </a:xfrm>
                    <a:prstGeom prst="rect">
                      <a:avLst/>
                    </a:prstGeom>
                    <a:noFill/>
                    <a:ln w="9525">
                      <a:noFill/>
                      <a:miter lim="800000"/>
                      <a:headEnd/>
                      <a:tailEnd/>
                    </a:ln>
                  </pic:spPr>
                </pic:pic>
              </a:graphicData>
            </a:graphic>
          </wp:inline>
        </w:drawing>
      </w:r>
      <w:r w:rsidRPr="00DF0680">
        <w:drawing>
          <wp:inline distT="0" distB="0" distL="0" distR="0">
            <wp:extent cx="5400040" cy="5985361"/>
            <wp:effectExtent l="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srcRect/>
                    <a:stretch>
                      <a:fillRect/>
                    </a:stretch>
                  </pic:blipFill>
                  <pic:spPr bwMode="auto">
                    <a:xfrm>
                      <a:off x="0" y="0"/>
                      <a:ext cx="5400040" cy="5985361"/>
                    </a:xfrm>
                    <a:prstGeom prst="rect">
                      <a:avLst/>
                    </a:prstGeom>
                    <a:noFill/>
                    <a:ln w="9525">
                      <a:noFill/>
                      <a:miter lim="800000"/>
                      <a:headEnd/>
                      <a:tailEnd/>
                    </a:ln>
                  </pic:spPr>
                </pic:pic>
              </a:graphicData>
            </a:graphic>
          </wp:inline>
        </w:drawing>
      </w:r>
    </w:p>
    <w:p w:rsidR="000F4A2B" w:rsidRPr="00DF0680" w:rsidRDefault="000F4A2B" w:rsidP="00543277">
      <w:pPr>
        <w:pStyle w:val="Caption"/>
        <w:spacing w:after="0"/>
      </w:pPr>
      <w:bookmarkStart w:id="628" w:name="_Toc410221388"/>
      <w:bookmarkStart w:id="629" w:name="_Toc417813901"/>
      <w:r w:rsidRPr="00DF0680">
        <w:t xml:space="preserve">Figure </w:t>
      </w:r>
      <w:fldSimple w:instr=" STYLEREF 1 \s ">
        <w:r w:rsidR="006119E3">
          <w:rPr>
            <w:noProof/>
          </w:rPr>
          <w:t>4</w:t>
        </w:r>
      </w:fldSimple>
      <w:r w:rsidR="006119E3">
        <w:t>.</w:t>
      </w:r>
      <w:fldSimple w:instr=" SEQ Figure \* ARABIC \s 1 ">
        <w:r w:rsidR="006119E3">
          <w:rPr>
            <w:noProof/>
          </w:rPr>
          <w:t>1</w:t>
        </w:r>
      </w:fldSimple>
      <w:r w:rsidRPr="00DF0680">
        <w:t xml:space="preserve"> – Replication fork speed in </w:t>
      </w:r>
      <w:r w:rsidR="00471D18" w:rsidRPr="00DF0680">
        <w:t>MRC5V2</w:t>
      </w:r>
      <w:r w:rsidRPr="00DF0680">
        <w:t xml:space="preserve"> cells over-expressing RECQL5β</w:t>
      </w:r>
      <w:bookmarkEnd w:id="628"/>
      <w:bookmarkEnd w:id="629"/>
      <w:r w:rsidRPr="00DF0680">
        <w:t xml:space="preserve"> </w:t>
      </w:r>
    </w:p>
    <w:p w:rsidR="006E2676" w:rsidRPr="00DF0680" w:rsidRDefault="000F4A2B" w:rsidP="006E2676">
      <w:pPr>
        <w:spacing w:after="0" w:line="266" w:lineRule="auto"/>
      </w:pPr>
      <w:r w:rsidRPr="00DF0680">
        <w:t xml:space="preserve">(A) Lysates from wild-type </w:t>
      </w:r>
      <w:r w:rsidR="00471D18" w:rsidRPr="00DF0680">
        <w:t>MRC5V2</w:t>
      </w:r>
      <w:r w:rsidRPr="00DF0680">
        <w:t xml:space="preserve">, RECQL5β over-expressing </w:t>
      </w:r>
      <w:r w:rsidR="00471D18" w:rsidRPr="00DF0680">
        <w:t>MRC5V2</w:t>
      </w:r>
      <w:r w:rsidRPr="00DF0680">
        <w:t xml:space="preserve"> cells (</w:t>
      </w:r>
      <w:r w:rsidR="00471D18" w:rsidRPr="00DF0680">
        <w:t>MRC5V2</w:t>
      </w:r>
      <w:r w:rsidRPr="00DF0680">
        <w:t>+Q5), and helicase-dead RECQL5β over expressing cells (</w:t>
      </w:r>
      <w:r w:rsidR="00471D18" w:rsidRPr="00DF0680">
        <w:t>MRC5V2</w:t>
      </w:r>
      <w:r w:rsidRPr="00DF0680">
        <w:t>+Q5KR) were run on a Western blot to analyse RECQL5β protein levels. (B) Diagram showing the exposure of cells to thy</w:t>
      </w:r>
      <w:r w:rsidR="00CB075E" w:rsidRPr="00DF0680">
        <w:t xml:space="preserve">midine </w:t>
      </w:r>
      <w:r w:rsidR="00FE547D" w:rsidRPr="00DF0680">
        <w:t>analogue</w:t>
      </w:r>
      <w:r w:rsidR="00CB075E" w:rsidRPr="00DF0680">
        <w:t>s CldU and IdU (5-chloro-2′-deoxyuridine and 5-i</w:t>
      </w:r>
      <w:r w:rsidRPr="00DF0680">
        <w:t xml:space="preserve">odo-2′-deoxyuridine) for the DNA fibre analysis experiment including a sample image of a continuous DNA replication fibre. (C + D) </w:t>
      </w:r>
      <w:r w:rsidR="00CB075E" w:rsidRPr="00DF0680">
        <w:t>T</w:t>
      </w:r>
      <w:r w:rsidRPr="00DF0680">
        <w:t>he fork speed</w:t>
      </w:r>
      <w:r w:rsidR="00CB075E" w:rsidRPr="00DF0680">
        <w:t>s</w:t>
      </w:r>
      <w:r w:rsidRPr="00DF0680">
        <w:t xml:space="preserve"> from 3 independent experiments using the CldU and IdU label respectively. </w:t>
      </w:r>
      <w:r w:rsidR="00543277" w:rsidRPr="00DF0680">
        <w:t>M</w:t>
      </w:r>
      <w:r w:rsidR="00CB075E" w:rsidRPr="00DF0680">
        <w:t xml:space="preserve">easured fork speeds </w:t>
      </w:r>
      <w:r w:rsidR="00543277" w:rsidRPr="00DF0680">
        <w:t>between the 10</w:t>
      </w:r>
      <w:r w:rsidR="00543277" w:rsidRPr="00DF0680">
        <w:rPr>
          <w:vertAlign w:val="superscript"/>
        </w:rPr>
        <w:t>th</w:t>
      </w:r>
      <w:r w:rsidR="00543277" w:rsidRPr="00DF0680">
        <w:t xml:space="preserve"> and 90</w:t>
      </w:r>
      <w:r w:rsidR="00543277" w:rsidRPr="00DF0680">
        <w:rPr>
          <w:vertAlign w:val="superscript"/>
        </w:rPr>
        <w:t>th</w:t>
      </w:r>
      <w:r w:rsidR="00543277" w:rsidRPr="00DF0680">
        <w:t xml:space="preserve"> percentiles </w:t>
      </w:r>
      <w:r w:rsidR="00CB075E" w:rsidRPr="00DF0680">
        <w:t>are shown in a box and whisker diagra</w:t>
      </w:r>
      <w:r w:rsidR="00543277" w:rsidRPr="00DF0680">
        <w:t>m with all other speeds indicated as dots</w:t>
      </w:r>
      <w:r w:rsidRPr="00DF0680">
        <w:t>.</w:t>
      </w:r>
      <w:r w:rsidR="00543277" w:rsidRPr="00DF0680">
        <w:t xml:space="preserve"> A total of 750 forks for each cell line were counted (250 from each of 3 independent repeats).</w:t>
      </w:r>
      <w:r w:rsidRPr="00DF0680">
        <w:t xml:space="preserve"> *</w:t>
      </w:r>
      <w:r w:rsidR="00543277" w:rsidRPr="00DF0680">
        <w:t>, ** and *** indicate</w:t>
      </w:r>
      <w:r w:rsidRPr="00DF0680">
        <w:t xml:space="preserve"> a Student’s t-test p v</w:t>
      </w:r>
      <w:r w:rsidR="00543277" w:rsidRPr="00DF0680">
        <w:t>alue of &lt;0.05, &lt;0.001 and &lt;0.0001 respectively.</w:t>
      </w:r>
      <w:r w:rsidRPr="00DF0680">
        <w:t xml:space="preserve"> (E+F) Distribution of forks speeds from DNA fibre analysis for CldU and IdU labels respectivel</w:t>
      </w:r>
      <w:r w:rsidR="00543277" w:rsidRPr="00DF0680">
        <w:t xml:space="preserve">y. Mean and standard deviation </w:t>
      </w:r>
      <w:r w:rsidRPr="00DF0680">
        <w:t>f</w:t>
      </w:r>
      <w:r w:rsidR="00543277" w:rsidRPr="00DF0680">
        <w:t>rom</w:t>
      </w:r>
      <w:r w:rsidRPr="00DF0680">
        <w:t xml:space="preserve"> three independent repeats are shown. </w:t>
      </w:r>
      <w:r w:rsidR="006E2676" w:rsidRPr="00DF0680">
        <w:br w:type="page"/>
      </w:r>
    </w:p>
    <w:p w:rsidR="000F4A2B" w:rsidRPr="00DF0680" w:rsidRDefault="000F4A2B" w:rsidP="006E2676">
      <w:pPr>
        <w:spacing w:after="0" w:line="266" w:lineRule="auto"/>
        <w:rPr>
          <w:rFonts w:cs="Times New Roman"/>
        </w:rPr>
      </w:pPr>
    </w:p>
    <w:p w:rsidR="000F4A2B" w:rsidRPr="00DF0680" w:rsidRDefault="0064164B" w:rsidP="0064164B">
      <w:pPr>
        <w:keepNext/>
      </w:pPr>
      <w:r w:rsidRPr="00DF0680">
        <w:drawing>
          <wp:inline distT="0" distB="0" distL="0" distR="0">
            <wp:extent cx="5400040" cy="4655506"/>
            <wp:effectExtent l="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5400040" cy="4655506"/>
                    </a:xfrm>
                    <a:prstGeom prst="rect">
                      <a:avLst/>
                    </a:prstGeom>
                    <a:noFill/>
                    <a:ln w="9525">
                      <a:noFill/>
                      <a:miter lim="800000"/>
                      <a:headEnd/>
                      <a:tailEnd/>
                    </a:ln>
                  </pic:spPr>
                </pic:pic>
              </a:graphicData>
            </a:graphic>
          </wp:inline>
        </w:drawing>
      </w:r>
    </w:p>
    <w:p w:rsidR="000F4A2B" w:rsidRPr="00DF0680" w:rsidRDefault="000F4A2B" w:rsidP="00D94477">
      <w:pPr>
        <w:pStyle w:val="Caption"/>
      </w:pPr>
      <w:bookmarkStart w:id="630" w:name="_Toc410221389"/>
      <w:bookmarkStart w:id="631" w:name="_Toc417813902"/>
      <w:r w:rsidRPr="00DF0680">
        <w:t xml:space="preserve">Figure </w:t>
      </w:r>
      <w:fldSimple w:instr=" STYLEREF 1 \s ">
        <w:r w:rsidR="006119E3">
          <w:rPr>
            <w:noProof/>
          </w:rPr>
          <w:t>4</w:t>
        </w:r>
      </w:fldSimple>
      <w:r w:rsidR="006119E3">
        <w:t>.</w:t>
      </w:r>
      <w:fldSimple w:instr=" SEQ Figure \* ARABIC \s 1 ">
        <w:r w:rsidR="006119E3">
          <w:rPr>
            <w:noProof/>
          </w:rPr>
          <w:t>2</w:t>
        </w:r>
      </w:fldSimple>
      <w:r w:rsidRPr="00DF0680">
        <w:t xml:space="preserve"> – Replication fork speed in </w:t>
      </w:r>
      <w:r w:rsidR="00471D18" w:rsidRPr="00DF0680">
        <w:t>MRC5V2</w:t>
      </w:r>
      <w:r w:rsidRPr="00DF0680">
        <w:t>+Q5 cells with RECQL5β siRNA</w:t>
      </w:r>
      <w:bookmarkEnd w:id="630"/>
      <w:bookmarkEnd w:id="631"/>
      <w:r w:rsidRPr="00DF0680">
        <w:t xml:space="preserve"> </w:t>
      </w:r>
    </w:p>
    <w:p w:rsidR="006E2676" w:rsidRPr="00DF0680" w:rsidRDefault="000F4A2B" w:rsidP="006E2676">
      <w:pPr>
        <w:spacing w:line="276" w:lineRule="auto"/>
      </w:pPr>
      <w:r w:rsidRPr="00DF0680">
        <w:t xml:space="preserve">(A) </w:t>
      </w:r>
      <w:r w:rsidR="00471D18" w:rsidRPr="00DF0680">
        <w:t>MRC5V2</w:t>
      </w:r>
      <w:r w:rsidRPr="00DF0680">
        <w:t xml:space="preserve"> cells over-expressing RECQL5β (</w:t>
      </w:r>
      <w:r w:rsidR="00471D18" w:rsidRPr="00DF0680">
        <w:t>MRC5V2</w:t>
      </w:r>
      <w:r w:rsidRPr="00DF0680">
        <w:t>+Q5) were depleted of RECQL5β</w:t>
      </w:r>
      <w:r w:rsidR="00543277" w:rsidRPr="00DF0680">
        <w:t xml:space="preserve"> using a pool of 2 siRNA</w:t>
      </w:r>
      <w:r w:rsidRPr="00DF0680">
        <w:t xml:space="preserve">s targeting all three isoforms of RECQL5 (Q5), RECQL5β (Q5β) or transfected with a non-targeting control (Con). Lysates were analysed using Western blotting. (B) </w:t>
      </w:r>
      <w:r w:rsidR="00543277" w:rsidRPr="00DF0680">
        <w:t>T</w:t>
      </w:r>
      <w:r w:rsidRPr="00DF0680">
        <w:t xml:space="preserve">he </w:t>
      </w:r>
      <w:r w:rsidR="00FE547D" w:rsidRPr="00DF0680">
        <w:t>analogue</w:t>
      </w:r>
      <w:r w:rsidR="00543277" w:rsidRPr="00DF0680">
        <w:t xml:space="preserve"> incubations for </w:t>
      </w:r>
      <w:r w:rsidRPr="00DF0680">
        <w:t xml:space="preserve">DNA fibre analysis performed on RECQL5 depleted and control transfected cells </w:t>
      </w:r>
      <w:r w:rsidR="00543277" w:rsidRPr="00DF0680">
        <w:t>for fork speed measurement</w:t>
      </w:r>
      <w:r w:rsidRPr="00DF0680">
        <w:t xml:space="preserve">. (C) </w:t>
      </w:r>
      <w:r w:rsidR="00543277" w:rsidRPr="00DF0680">
        <w:t>The fork speeds from 3 independent experiments using the CldU label. Measured fork speeds between the 10</w:t>
      </w:r>
      <w:r w:rsidR="00543277" w:rsidRPr="00DF0680">
        <w:rPr>
          <w:vertAlign w:val="superscript"/>
        </w:rPr>
        <w:t>th</w:t>
      </w:r>
      <w:r w:rsidR="00543277" w:rsidRPr="00DF0680">
        <w:t xml:space="preserve"> and 90</w:t>
      </w:r>
      <w:r w:rsidR="00543277" w:rsidRPr="00DF0680">
        <w:rPr>
          <w:vertAlign w:val="superscript"/>
        </w:rPr>
        <w:t>th</w:t>
      </w:r>
      <w:r w:rsidR="00543277" w:rsidRPr="00DF0680">
        <w:t xml:space="preserve"> percentiles are shown in a box and whisker diagram with all other speeds indicated as dots. A total of 750 forks for each cell line were counted (250 from each of 3 independent repeats</w:t>
      </w:r>
      <w:r w:rsidR="006E2676" w:rsidRPr="00DF0680">
        <w:t xml:space="preserve"> [Q5 RNAi data is only from two repeats, therefore only 500 fork speeds were counted]</w:t>
      </w:r>
      <w:r w:rsidR="00543277" w:rsidRPr="00DF0680">
        <w:t>). ** and *** indicate a Student’s t-test p value of &lt;0.001 and &lt;0.0001 respectively</w:t>
      </w:r>
      <w:r w:rsidRPr="00DF0680">
        <w:t xml:space="preserve">. (D) Distribution of replication fork speeds in control transfected and RECQL5β siRNA transfected cells. </w:t>
      </w:r>
      <w:r w:rsidR="006E2676" w:rsidRPr="00DF0680">
        <w:br w:type="page"/>
      </w:r>
    </w:p>
    <w:p w:rsidR="000F4A2B" w:rsidRPr="00DF0680" w:rsidRDefault="000F4A2B" w:rsidP="00E664FC">
      <w:pPr>
        <w:pStyle w:val="Heading2"/>
      </w:pPr>
      <w:bookmarkStart w:id="632" w:name="_Toc410221378"/>
      <w:bookmarkStart w:id="633" w:name="_Toc417204197"/>
      <w:bookmarkStart w:id="634" w:name="_Toc417204730"/>
      <w:bookmarkStart w:id="635" w:name="_Toc417204790"/>
      <w:r w:rsidRPr="00DF0680">
        <w:lastRenderedPageBreak/>
        <w:t>Over-expressing RECQL5β decreases endogenous fork stalling and new origin firing</w:t>
      </w:r>
      <w:bookmarkEnd w:id="632"/>
      <w:bookmarkEnd w:id="633"/>
      <w:bookmarkEnd w:id="634"/>
      <w:bookmarkEnd w:id="635"/>
    </w:p>
    <w:p w:rsidR="000F4A2B" w:rsidRPr="00DF0680" w:rsidRDefault="000F4A2B" w:rsidP="000F4A2B">
      <w:pPr>
        <w:rPr>
          <w:rFonts w:cs="Times New Roman"/>
        </w:rPr>
      </w:pPr>
      <w:r w:rsidRPr="00DF0680">
        <w:rPr>
          <w:rFonts w:cs="Times New Roman"/>
        </w:rPr>
        <w:t xml:space="preserve">If a replication fork arrests in the first 20 minutes of the </w:t>
      </w:r>
      <w:r w:rsidR="00FE547D" w:rsidRPr="00DF0680">
        <w:rPr>
          <w:rFonts w:cs="Times New Roman"/>
        </w:rPr>
        <w:t>analogue</w:t>
      </w:r>
      <w:r w:rsidRPr="00DF0680">
        <w:rPr>
          <w:rFonts w:cs="Times New Roman"/>
        </w:rPr>
        <w:t xml:space="preserve"> incubation step, it can be visualised as a single red fibre, unattached to any green fibres (Figure 4.3 A). As well as natural fork arrest (when the replication comes to the end of</w:t>
      </w:r>
      <w:r w:rsidR="005922AD" w:rsidRPr="00DF0680">
        <w:rPr>
          <w:rFonts w:cs="Times New Roman"/>
        </w:rPr>
        <w:t xml:space="preserve"> its </w:t>
      </w:r>
      <w:r w:rsidRPr="00DF0680">
        <w:rPr>
          <w:rFonts w:cs="Times New Roman"/>
        </w:rPr>
        <w:t xml:space="preserve">cycle), red only fibres can represent stalled forks that have not finished replicating DNA and have been stopped by replication stress. When the percentage of endogenous stalled/arrested forks was measured in the RECQL5 over-expressing cell lines, there were significantly less than in the wild-type and the helicase-dead expressing lines (Student’s t-test, p value = </w:t>
      </w:r>
      <w:r w:rsidR="00A03A7A" w:rsidRPr="00DF0680">
        <w:rPr>
          <w:rFonts w:cs="Times New Roman"/>
        </w:rPr>
        <w:t>0.024</w:t>
      </w:r>
      <w:r w:rsidRPr="00DF0680">
        <w:rPr>
          <w:rFonts w:cs="Times New Roman"/>
        </w:rPr>
        <w:t xml:space="preserve"> and </w:t>
      </w:r>
      <w:r w:rsidR="00A03A7A" w:rsidRPr="00DF0680">
        <w:rPr>
          <w:rFonts w:cs="Times New Roman"/>
        </w:rPr>
        <w:t>0.0</w:t>
      </w:r>
      <w:r w:rsidRPr="00DF0680">
        <w:rPr>
          <w:rFonts w:cs="Times New Roman"/>
        </w:rPr>
        <w:t xml:space="preserve">23 respectively) (Figure 4.3 B). This again suggests that RECQL5β mediated protection of cells from endogenous fork stalling is a helicase-dependent mechanism. </w:t>
      </w:r>
    </w:p>
    <w:p w:rsidR="000F4A2B" w:rsidRPr="00DF0680" w:rsidRDefault="000F4A2B" w:rsidP="000F4A2B">
      <w:pPr>
        <w:rPr>
          <w:rFonts w:cs="Times New Roman"/>
        </w:rPr>
      </w:pPr>
      <w:r w:rsidRPr="00DF0680">
        <w:rPr>
          <w:rFonts w:cs="Times New Roman"/>
        </w:rPr>
        <w:t xml:space="preserve">Replication origins are sequences of DNA used to start replication during S phase </w:t>
      </w:r>
      <w:r w:rsidR="00F20EC0" w:rsidRPr="00DF0680">
        <w:rPr>
          <w:rFonts w:cs="Times New Roman"/>
        </w:rPr>
        <w:fldChar w:fldCharType="begin" w:fldLock="1"/>
      </w:r>
      <w:r w:rsidR="00332613" w:rsidRPr="00DF0680">
        <w:rPr>
          <w:rFonts w:cs="Times New Roman"/>
        </w:rPr>
        <w:instrText>ADDIN CSL_CITATION { "citationItems" : [ { "id" : "ITEM-1", "itemData" : { "DOI" : "10.1128/MCB.01392-06", "ISSN" : "0270-7306", "PMID" : "16954389", "abstract" : "Metazoan genomes contain thousands of replication origins, but only a limited number have been characterized so far. We developed a two-step origin-trapping assay in which human chromatin fragments associated with origin recognition complex (ORC) in vivo were first enriched by chromatin immunoprecipitation. In a second step, these fragments were screened for transient replication competence in a plasmid-based assay utilizing the Epstein-Barr virus latent origin oriP. oriP contains two elements, an origin (dyad symmetry element [DS]) and the family of repeats, that when associated with the viral protein EBNA1 facilitate extrachromosomal stability. Insertion of the ORC-binding human DNA fragments in oriP plasmids in place of DS enabled us to screen functionally for their abilities to restore replication. Using the origin-trapping assay, we isolated and characterized five previously unknown human origins. The assay was validated with nascent strand abundance assays that confirm these origins as active initiation sites in their native chromosomal contexts. Furthermore, ORC and MCM2-7 components localized at these origins during G(1) phase of the cell cycle but were not detected during mitosis. This finding extends the current understanding of origin-ORC dynamics by suggesting that replication origins must be reestablished during the early stages of each cell division cycle and that ORC itself participates in this process.", "author" : [ { "dropping-particle" : "", "family" : "Gerhardt", "given" : "Jeannine", "non-dropping-particle" : "", "parse-names" : false, "suffix" : "" }, { "dropping-particle" : "", "family" : "Jafar", "given" : "Samira", "non-dropping-particle" : "", "parse-names" : false, "suffix" : "" }, { "dropping-particle" : "", "family" : "Spindler", "given" : "Mark-Peter", "non-dropping-particle" : "", "parse-names" : false, "suffix" : "" }, { "dropping-particle" : "", "family" : "Ott", "given" : "Elisabeth", "non-dropping-particle" : "", "parse-names" : false, "suffix" : "" }, { "dropping-particle" : "", "family" : "Schepers", "given" : "Aloys", "non-dropping-particle" : "", "parse-names" : false, "suffix" : "" } ], "container-title" : "Molecular and Cellular Biology", "id" : "ITEM-1", "issue" : "20", "issued" : { "date-parts" : [ [ "2006", "10" ] ] }, "page" : "7731-46", "title" : "Identification of new human origins of DNA replication by an origin-trapping assay.", "type" : "article-journal", "volume" : "26" }, "uris" : [ "http://www.mendeley.com/documents/?uuid=8497d7f0-e7cc-4889-9d3e-9b1c99a70f25" ] } ], "mendeley" : { "formattedCitation" : "(Gerhardt et al. 2006)", "plainTextFormattedCitation" : "(Gerhardt et al. 2006)", "previouslyFormattedCitation" : "(Gerhardt et al. 2006)"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(Gerhardt et al. 2006)</w:t>
      </w:r>
      <w:r w:rsidR="00F20EC0" w:rsidRPr="00DF0680">
        <w:rPr>
          <w:rFonts w:cs="Times New Roman"/>
        </w:rPr>
        <w:fldChar w:fldCharType="end"/>
      </w:r>
      <w:r w:rsidRPr="00DF0680">
        <w:rPr>
          <w:rFonts w:cs="Times New Roman"/>
        </w:rPr>
        <w:t xml:space="preserve">. As replication forks stall during replication stress, dormant replication origins can be fired in order to complete replication and survive replication stress </w:t>
      </w:r>
      <w:r w:rsidR="00F20EC0" w:rsidRPr="00DF0680">
        <w:rPr>
          <w:rFonts w:cs="Times New Roman"/>
        </w:rPr>
        <w:fldChar w:fldCharType="begin" w:fldLock="1"/>
      </w:r>
      <w:r w:rsidR="00332613" w:rsidRPr="00DF0680">
        <w:rPr>
          <w:rFonts w:cs="Times New Roman"/>
        </w:rPr>
        <w:instrText>ADDIN CSL_CITATION { "citationItems" : [ { "id" : "ITEM-1", "itemData" : { "DOI" : "10.1101/gad.457807", "ISBN" : "4413833880", "ISSN" : "0890-9369", "PMID" : "18079179", "abstract" : "In late mitosis and early G1, Mcm2-7 complexes are loaded onto DNA to license replication origins for use in the upcoming S phase. However, the amount of Mcm2-7 loaded is in significant excess over the number of origins normally used. We show here that in human cells, excess chromatin-bound Mcm2-7 license dormant replication origins that do not fire during normal DNA replication, in part due to checkpoint activity. Dormant origins were activated within active replicon clusters if replication fork progression was inhibited, despite the activation of S-phase checkpoints. After lowering levels of chromatin-bound Mcm2-7 in human cells by RNA interference (RNAi), the use of dormant origins was suppressed in response to replicative stress. Although cells with lowered chromatin-bound Mcm2-7 replicated at normal rates, when challenged with replication inhibitors they had dramatically reduced rates of DNA synthesis and reduced viability. These results suggest that the use of dormant origins licensed by excess Mcm2-7 is a new and physiologically important mechanism that cells utilize to maintain DNA replication rates under conditions of replicative stress. We propose that checkpoint kinase activity can preferentially suppress initiation within inactive replicon clusters, thereby directing new initiation events toward active clusters that are experiencing replication problems.", "author" : [ { "dropping-particle" : "", "family" : "Ge", "given" : "Xin Quan", "non-dropping-particle" : "", "parse-names" : false, "suffix" : "" }, { "dropping-particle" : "", "family" : "Jackson", "given" : "Dean a", "non-dropping-particle" : "", "parse-names" : false, "suffix" : "" }, { "dropping-particle" : "", "family" : "Blow", "given" : "J Julian", "non-dropping-particle" : "", "parse-names" : false, "suffix" : "" } ], "container-title" : "Genes &amp; Development", "id" : "ITEM-1", "issue" : "24", "issued" : { "date-parts" : [ [ "2007", "12", "15" ] ] }, "page" : "3331-41", "title" : "Dormant origins licensed by excess Mcm2-7 are required for human cells to survive replicative stress.", "type" : "article-journal", "volume" : "21" }, "uris" : [ "http://www.mendeley.com/documents/?uuid=89919521-2ecd-4781-b89a-9aecdfa6a94f" ] } ], "mendeley" : { "formattedCitation" : "(Ge et al. 2007)", "plainTextFormattedCitation" : "(Ge et al. 2007)", "previouslyFormattedCitation" : "(Ge et al. 2007)"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(Ge et al. 2007)</w:t>
      </w:r>
      <w:r w:rsidR="00F20EC0" w:rsidRPr="00DF0680">
        <w:rPr>
          <w:rFonts w:cs="Times New Roman"/>
        </w:rPr>
        <w:fldChar w:fldCharType="end"/>
      </w:r>
      <w:r w:rsidRPr="00DF0680">
        <w:rPr>
          <w:rFonts w:cs="Times New Roman"/>
        </w:rPr>
        <w:t xml:space="preserve">. The number of new origins fired can be measured using DNA fibre analysis. Any new replication origins fired in the second 20 minutes of </w:t>
      </w:r>
      <w:r w:rsidR="00FE547D" w:rsidRPr="00DF0680">
        <w:rPr>
          <w:rFonts w:cs="Times New Roman"/>
        </w:rPr>
        <w:t>analogue</w:t>
      </w:r>
      <w:r w:rsidRPr="00DF0680">
        <w:rPr>
          <w:rFonts w:cs="Times New Roman"/>
        </w:rPr>
        <w:t xml:space="preserve"> incubation can be visualised as green only fibres rather than fibres that have red and green, which resemble continued forks (Figure 4.3 A). The RECQL5β over-expressing cells showed significantly less new origin firing than wild-type and helicase-dead expressing cells (Student’s t-test, p value = </w:t>
      </w:r>
      <w:r w:rsidR="00A03A7A" w:rsidRPr="00DF0680">
        <w:rPr>
          <w:rFonts w:cs="Times New Roman"/>
        </w:rPr>
        <w:t>0.00</w:t>
      </w:r>
      <w:r w:rsidRPr="00DF0680">
        <w:rPr>
          <w:rFonts w:cs="Times New Roman"/>
        </w:rPr>
        <w:t xml:space="preserve">87 and </w:t>
      </w:r>
      <w:r w:rsidR="00A03A7A" w:rsidRPr="00DF0680">
        <w:rPr>
          <w:rFonts w:cs="Times New Roman"/>
        </w:rPr>
        <w:t>0.0</w:t>
      </w:r>
      <w:r w:rsidRPr="00DF0680">
        <w:rPr>
          <w:rFonts w:cs="Times New Roman"/>
        </w:rPr>
        <w:t>24</w:t>
      </w:r>
      <w:r w:rsidR="00A03A7A" w:rsidRPr="00DF0680">
        <w:rPr>
          <w:rFonts w:cs="Times New Roman"/>
        </w:rPr>
        <w:t xml:space="preserve"> </w:t>
      </w:r>
      <w:r w:rsidRPr="00DF0680">
        <w:rPr>
          <w:rFonts w:cs="Times New Roman"/>
        </w:rPr>
        <w:t xml:space="preserve">respectively), and although over-expressing the helicase-dead protein did significantly reduce firing compared to the wild-type (Student’s t-test, p value = </w:t>
      </w:r>
      <w:r w:rsidR="00A03A7A" w:rsidRPr="00DF0680">
        <w:rPr>
          <w:rFonts w:cs="Times New Roman"/>
        </w:rPr>
        <w:t>0.0</w:t>
      </w:r>
      <w:r w:rsidRPr="00DF0680">
        <w:rPr>
          <w:rFonts w:cs="Times New Roman"/>
        </w:rPr>
        <w:t xml:space="preserve">15), this was intermediate between wild-type and RECQL5β over-expressing cells which suggests the helicase function is not solely responsible for this decrease in new origin firing (Figure 4.3 C). </w:t>
      </w:r>
    </w:p>
    <w:p w:rsidR="000F4A2B" w:rsidRPr="00DF0680" w:rsidRDefault="000F4A2B" w:rsidP="000F4A2B">
      <w:pPr>
        <w:rPr>
          <w:rFonts w:cs="Times New Roman"/>
        </w:rPr>
      </w:pPr>
      <w:r w:rsidRPr="00DF0680">
        <w:rPr>
          <w:rFonts w:cs="Times New Roman"/>
        </w:rPr>
        <w:t>siRNA was used to rescue the reduced number of stalled forks and new origins fired in the RECQL5β over-expressing cells. When RECQL5β was depleted, there was a trend showing both increased stalled forks and new origins fired compared to untransfected (Figure 4.3 B+C) but this also occurred with the control siRNA. Transfection with siRNA may be causing the increase in stalled forks and new origin firing in the control cells, or, RECQL5 depletion caused cells to overcome the RECQL5 induced changes seen in over-expressing cells.</w:t>
      </w:r>
    </w:p>
    <w:p w:rsidR="000F4A2B" w:rsidRPr="00DF0680" w:rsidRDefault="006E2676" w:rsidP="000F4A2B">
      <w:pPr>
        <w:keepNext/>
        <w:rPr>
          <w:rFonts w:cs="Times New Roman"/>
        </w:rPr>
      </w:pPr>
      <w:r w:rsidRPr="00DF0680">
        <w:lastRenderedPageBreak/>
        <w:drawing>
          <wp:inline distT="0" distB="0" distL="0" distR="0">
            <wp:extent cx="5400040" cy="5677770"/>
            <wp:effectExtent l="0" t="0" r="0" b="0"/>
            <wp:docPr id="10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srcRect/>
                    <a:stretch>
                      <a:fillRect/>
                    </a:stretch>
                  </pic:blipFill>
                  <pic:spPr bwMode="auto">
                    <a:xfrm>
                      <a:off x="0" y="0"/>
                      <a:ext cx="5400040" cy="5677770"/>
                    </a:xfrm>
                    <a:prstGeom prst="rect">
                      <a:avLst/>
                    </a:prstGeom>
                    <a:noFill/>
                    <a:ln w="9525">
                      <a:noFill/>
                      <a:miter lim="800000"/>
                      <a:headEnd/>
                      <a:tailEnd/>
                    </a:ln>
                  </pic:spPr>
                </pic:pic>
              </a:graphicData>
            </a:graphic>
          </wp:inline>
        </w:drawing>
      </w:r>
    </w:p>
    <w:p w:rsidR="000F4A2B" w:rsidRPr="00DF0680" w:rsidRDefault="000F4A2B" w:rsidP="006E2676">
      <w:pPr>
        <w:pStyle w:val="Caption"/>
        <w:spacing w:after="60"/>
      </w:pPr>
      <w:bookmarkStart w:id="636" w:name="_Toc410221390"/>
      <w:bookmarkStart w:id="637" w:name="_Toc417813903"/>
      <w:r w:rsidRPr="00DF0680">
        <w:t xml:space="preserve">Figure </w:t>
      </w:r>
      <w:fldSimple w:instr=" STYLEREF 1 \s ">
        <w:r w:rsidR="006119E3">
          <w:rPr>
            <w:noProof/>
          </w:rPr>
          <w:t>4</w:t>
        </w:r>
      </w:fldSimple>
      <w:r w:rsidR="006119E3">
        <w:t>.</w:t>
      </w:r>
      <w:fldSimple w:instr=" SEQ Figure \* ARABIC \s 1 ">
        <w:r w:rsidR="006119E3">
          <w:rPr>
            <w:noProof/>
          </w:rPr>
          <w:t>3</w:t>
        </w:r>
      </w:fldSimple>
      <w:r w:rsidRPr="00DF0680">
        <w:t xml:space="preserve"> – Endogenous stalled forks and new origin firing in </w:t>
      </w:r>
      <w:r w:rsidR="00471D18" w:rsidRPr="00DF0680">
        <w:t>MRC5V2</w:t>
      </w:r>
      <w:r w:rsidRPr="00DF0680">
        <w:t xml:space="preserve"> cells over-expressing RECQL5β</w:t>
      </w:r>
      <w:bookmarkEnd w:id="636"/>
      <w:bookmarkEnd w:id="637"/>
      <w:r w:rsidRPr="00DF0680">
        <w:t xml:space="preserve"> </w:t>
      </w:r>
    </w:p>
    <w:p w:rsidR="000F4A2B" w:rsidRPr="00DF0680" w:rsidRDefault="000F4A2B" w:rsidP="006E2676">
      <w:pPr>
        <w:pStyle w:val="Caption"/>
        <w:spacing w:line="264" w:lineRule="auto"/>
        <w:rPr>
          <w:b w:val="0"/>
        </w:rPr>
      </w:pPr>
      <w:r w:rsidRPr="00DF0680">
        <w:rPr>
          <w:b w:val="0"/>
        </w:rPr>
        <w:t xml:space="preserve">(A) Diagram of </w:t>
      </w:r>
      <w:r w:rsidR="00FE547D" w:rsidRPr="00DF0680">
        <w:rPr>
          <w:b w:val="0"/>
        </w:rPr>
        <w:t>analogue</w:t>
      </w:r>
      <w:r w:rsidRPr="00DF0680">
        <w:rPr>
          <w:b w:val="0"/>
        </w:rPr>
        <w:t xml:space="preserve"> incubation times and example fibres of a </w:t>
      </w:r>
      <w:r w:rsidR="006E2676" w:rsidRPr="00DF0680">
        <w:rPr>
          <w:b w:val="0"/>
        </w:rPr>
        <w:t xml:space="preserve">continued fork, a </w:t>
      </w:r>
      <w:r w:rsidRPr="00DF0680">
        <w:rPr>
          <w:b w:val="0"/>
        </w:rPr>
        <w:t xml:space="preserve">stalled replication fork and a newly fired origin. (B) Number of stalled forks (red fibres alone) was counted and divided by the number of stalled forks plus the number of continuous forks (fibres of red and green). This gave a percentage of endogenous stalled forks for </w:t>
      </w:r>
      <w:r w:rsidR="00471D18" w:rsidRPr="00DF0680">
        <w:rPr>
          <w:b w:val="0"/>
        </w:rPr>
        <w:t>MRC5V2</w:t>
      </w:r>
      <w:r w:rsidRPr="00DF0680">
        <w:rPr>
          <w:b w:val="0"/>
        </w:rPr>
        <w:t xml:space="preserve"> cells. (C) Percentage of new origins fired (purely green fibres) was calculated by dividing the number of new origins by the number of new origins plus continuous forks. </w:t>
      </w:r>
      <w:r w:rsidR="00471D18" w:rsidRPr="00DF0680">
        <w:rPr>
          <w:b w:val="0"/>
        </w:rPr>
        <w:t>MRC5V2</w:t>
      </w:r>
      <w:r w:rsidRPr="00DF0680">
        <w:rPr>
          <w:b w:val="0"/>
        </w:rPr>
        <w:t xml:space="preserve"> cells over-expressing RECQL5β (</w:t>
      </w:r>
      <w:r w:rsidR="00471D18" w:rsidRPr="00DF0680">
        <w:rPr>
          <w:b w:val="0"/>
        </w:rPr>
        <w:t>MRC5V2</w:t>
      </w:r>
      <w:r w:rsidRPr="00DF0680">
        <w:rPr>
          <w:b w:val="0"/>
        </w:rPr>
        <w:t>+Q5) were transfected with siRNA targeting all 3 isoforms of Q5 (Q5) and RECQL5β alone (Q5β) along with a non-targeting control (Con). Percentages of stalled forks (D) and new origins fired (E) were determined using DNA fibre analysis. There were no significant differences between transfected cells. Averages and standard deviations of three independent repeats are shown (Q5 RNAi data is only from two repeats).</w:t>
      </w:r>
      <w:r w:rsidR="00FA0B22" w:rsidRPr="00DF0680">
        <w:rPr>
          <w:b w:val="0"/>
        </w:rPr>
        <w:t xml:space="preserve"> 500 forks were counted for each repeat.</w:t>
      </w:r>
      <w:r w:rsidRPr="00DF0680">
        <w:rPr>
          <w:b w:val="0"/>
        </w:rPr>
        <w:t xml:space="preserve"> * indicates a Student’s t-test p value of &lt;0.05. </w:t>
      </w:r>
    </w:p>
    <w:p w:rsidR="000F4A2B" w:rsidRPr="00DF0680" w:rsidRDefault="000F4A2B" w:rsidP="005A40B3">
      <w:pPr>
        <w:spacing w:line="348" w:lineRule="auto"/>
        <w:rPr>
          <w:rFonts w:cs="Times New Roman"/>
        </w:rPr>
      </w:pPr>
      <w:r w:rsidRPr="00DF0680">
        <w:rPr>
          <w:rFonts w:cs="Times New Roman"/>
        </w:rPr>
        <w:lastRenderedPageBreak/>
        <w:t xml:space="preserve">Fork asymmetry is interpreted as a measurement of fork pausing </w:t>
      </w:r>
      <w:r w:rsidR="00F20EC0" w:rsidRPr="00DF0680">
        <w:rPr>
          <w:rFonts w:cs="Times New Roman"/>
        </w:rPr>
        <w:fldChar w:fldCharType="begin" w:fldLock="1"/>
      </w:r>
      <w:r w:rsidRPr="00DF0680">
        <w:rPr>
          <w:rFonts w:cs="Times New Roman"/>
        </w:rPr>
        <w:instrText>ADDIN CSL_CITATION { "citationItems" : [ { "id" : "ITEM-1", "itemData" : { "DOI" : "10.1038/nature09745", "ISSN" : "1476-4687", "PMID" : "21258320", "abstract" : "Common fragile sites have long been identified by cytogeneticists as chromosomal regions prone to breakage upon replication stress. They are increasingly recognized to be preferential targets for oncogene-induced DNA damage in pre-neoplastic lesions and hotspots for chromosomal rearrangements in various cancers. Common fragile site instability was attributed to the fact that they contain sequences prone to form secondary structures that may impair replication fork movement, possibly leading to fork collapse resulting in DNA breaks. Here we show, in contrast to this view, that the fragility of FRA3B--the most active common fragile site in human lymphocytes--does not rely on fork slowing or stalling but on a paucity of initiation events. Indeed, in lymphoblastoid cells, but not in fibroblasts, initiation events are excluded from a FRA3B core extending approximately 700 kilobases, which forces forks coming from flanking regions to cover long distances in order to complete replication. We also show that origins of the flanking regions fire in mid-S phase, leaving the site incompletely replicated upon fork slowing. Notably, FRA3B instability is specific to cells showing this particular initiation pattern. The fact that both origin setting and replication timing are highly plastic in mammalian cells explains the tissue specificity of common fragile site instability we observed. Thus, we propose that common fragile sites correspond to the latest initiation-poor regions to complete replication in a given cell type. For historical reasons, common fragile sites have been essentially mapped in lymphocytes. Therefore, common fragile site contribution to chromosomal rearrangements in tumours should be reassessed after mapping fragile sites in the cell type from which each tumour originates.", "author" : [ { "dropping-particle" : "", "family" : "Letessier", "given" : "Anne", "non-dropping-particle" : "", "parse-names" : false, "suffix" : "" }, { "dropping-particle" : "", "family" : "Millot", "given" : "Ga\u00ebl a", "non-dropping-particle" : "", "parse-names" : false, "suffix" : "" }, { "dropping-particle" : "", "family" : "Koundrioukoff", "given" : "St\u00e9phane", "non-dropping-particle" : "", "parse-names" : false, "suffix" : "" }, { "dropping-particle" : "", "family" : "Lachag\u00e8s", "given" : "Anne-Marie", "non-dropping-particle" : "", "parse-names" : false, "suffix" : "" }, { "dropping-particle" : "", "family" : "Vogt", "given" : "Nicolas", "non-dropping-particle" : "", "parse-names" : false, "suffix" : "" }, { "dropping-particle" : "", "family" : "Hansen", "given" : "R Scott", "non-dropping-particle" : "", "parse-names" : false, "suffix" : "" }, { "dropping-particle" : "", "family" : "Malfoy", "given" : "Bernard", "non-dropping-particle" : "", "parse-names" : false, "suffix" : "" }, { "dropping-particle" : "", "family" : "Brison", "given" : "Olivier", "non-dropping-particle" : "", "parse-names" : false, "suffix" : "" }, { "dropping-particle" : "", "family" : "Debatisse", "given" : "Michelle", "non-dropping-particle" : "", "parse-names" : false, "suffix" : "" } ], "container-title" : "Nature", "id" : "ITEM-1", "issue" : "7332", "issued" : { "date-parts" : [ [ "2011", "2", "3" ] ] }, "page" : "120-3", "title" : "Cell-type-specific replication initiation programs set fragility of the FRA3B fragile site.", "type" : "article-journal", "volume" : "470" }, "uris" : [ "http://www.mendeley.com/documents/?uuid=5ebba7cb-2659-4694-88d1-bb707d50078e" ] } ], "mendeley" : { "formattedCitation" : "(Letessier et al. 2011)", "plainTextFormattedCitation" : "(Letessier et al. 2011)", "previouslyFormattedCitation" : "(Letessier et al. 2011)"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(Letessier et al. 2011)</w:t>
      </w:r>
      <w:r w:rsidR="00F20EC0" w:rsidRPr="00DF0680">
        <w:rPr>
          <w:rFonts w:cs="Times New Roman"/>
        </w:rPr>
        <w:fldChar w:fldCharType="end"/>
      </w:r>
      <w:r w:rsidRPr="00DF0680">
        <w:rPr>
          <w:rFonts w:cs="Times New Roman"/>
        </w:rPr>
        <w:t xml:space="preserve">. It is calculated by working out the ratio of the </w:t>
      </w:r>
      <w:r w:rsidR="00FE547D" w:rsidRPr="00DF0680">
        <w:rPr>
          <w:rFonts w:cs="Times New Roman"/>
        </w:rPr>
        <w:t>shortest</w:t>
      </w:r>
      <w:r w:rsidRPr="00DF0680">
        <w:rPr>
          <w:rFonts w:cs="Times New Roman"/>
        </w:rPr>
        <w:t xml:space="preserve"> strand to the </w:t>
      </w:r>
      <w:r w:rsidR="00FE547D" w:rsidRPr="00DF0680">
        <w:rPr>
          <w:rFonts w:cs="Times New Roman"/>
        </w:rPr>
        <w:t>longes</w:t>
      </w:r>
      <w:r w:rsidRPr="00DF0680">
        <w:rPr>
          <w:rFonts w:cs="Times New Roman"/>
        </w:rPr>
        <w:t xml:space="preserve">t strand of IdU, stemming from opposite sides of the same CldU strand (Figure 4.4 A). Over-expressing RECQL5β </w:t>
      </w:r>
      <w:r w:rsidR="00FE547D" w:rsidRPr="00DF0680">
        <w:rPr>
          <w:rFonts w:cs="Times New Roman"/>
        </w:rPr>
        <w:t>shifted the distribution of symmetry</w:t>
      </w:r>
      <w:r w:rsidR="00982080" w:rsidRPr="00DF0680">
        <w:rPr>
          <w:rFonts w:cs="Times New Roman"/>
        </w:rPr>
        <w:t xml:space="preserve"> (Figure 4.4B). The wild-type MRC5V2 cells had the increasing numbers of forks in each group as the symmetry increases with the most in &lt;100% but RECQL5 over-expressing cells had</w:t>
      </w:r>
      <w:r w:rsidR="00FE547D" w:rsidRPr="00DF0680">
        <w:rPr>
          <w:rFonts w:cs="Times New Roman"/>
        </w:rPr>
        <w:t xml:space="preserve"> forks equally spread </w:t>
      </w:r>
      <w:r w:rsidR="00982080" w:rsidRPr="00DF0680">
        <w:rPr>
          <w:rFonts w:cs="Times New Roman"/>
        </w:rPr>
        <w:t xml:space="preserve">in the groups </w:t>
      </w:r>
      <w:r w:rsidR="00FE547D" w:rsidRPr="00DF0680">
        <w:rPr>
          <w:rFonts w:cs="Times New Roman"/>
        </w:rPr>
        <w:t xml:space="preserve">between &lt;20% and &lt;100% symmetry. </w:t>
      </w:r>
      <w:r w:rsidR="00982080" w:rsidRPr="00DF0680">
        <w:rPr>
          <w:rFonts w:cs="Times New Roman"/>
        </w:rPr>
        <w:t>H</w:t>
      </w:r>
      <w:r w:rsidRPr="00DF0680">
        <w:rPr>
          <w:rFonts w:cs="Times New Roman"/>
        </w:rPr>
        <w:t xml:space="preserve">elicase-dead RECQL5β </w:t>
      </w:r>
      <w:r w:rsidR="00982080" w:rsidRPr="00DF0680">
        <w:rPr>
          <w:rFonts w:cs="Times New Roman"/>
        </w:rPr>
        <w:t xml:space="preserve">over-expressing cells also had a slight shift in symmetry distribution </w:t>
      </w:r>
      <w:r w:rsidRPr="00DF0680">
        <w:rPr>
          <w:rFonts w:cs="Times New Roman"/>
        </w:rPr>
        <w:t xml:space="preserve">when compared to the wild-type </w:t>
      </w:r>
      <w:r w:rsidR="00471D18" w:rsidRPr="00DF0680">
        <w:rPr>
          <w:rFonts w:cs="Times New Roman"/>
        </w:rPr>
        <w:t>MRC5V2</w:t>
      </w:r>
      <w:r w:rsidRPr="00DF0680">
        <w:rPr>
          <w:rFonts w:cs="Times New Roman"/>
        </w:rPr>
        <w:t xml:space="preserve"> cells</w:t>
      </w:r>
      <w:r w:rsidR="00982080" w:rsidRPr="00DF0680">
        <w:rPr>
          <w:rFonts w:cs="Times New Roman"/>
        </w:rPr>
        <w:t>, with the most frequent group of fork having &lt;80% symmetry rather than 100%.</w:t>
      </w:r>
      <w:r w:rsidRPr="00DF0680">
        <w:rPr>
          <w:rFonts w:cs="Times New Roman"/>
        </w:rPr>
        <w:t xml:space="preserve"> </w:t>
      </w:r>
      <w:r w:rsidR="00982080" w:rsidRPr="00DF0680">
        <w:rPr>
          <w:rFonts w:cs="Times New Roman"/>
        </w:rPr>
        <w:t xml:space="preserve">This suggests that increasing the amount of RECQL5 increases fork pausing with the </w:t>
      </w:r>
      <w:r w:rsidR="005A40B3" w:rsidRPr="00DF0680">
        <w:rPr>
          <w:rFonts w:cs="Times New Roman"/>
        </w:rPr>
        <w:t xml:space="preserve">active </w:t>
      </w:r>
      <w:r w:rsidR="00982080" w:rsidRPr="00DF0680">
        <w:rPr>
          <w:rFonts w:cs="Times New Roman"/>
        </w:rPr>
        <w:t xml:space="preserve">helicase providing </w:t>
      </w:r>
      <w:r w:rsidR="005A40B3" w:rsidRPr="00DF0680">
        <w:rPr>
          <w:rFonts w:cs="Times New Roman"/>
        </w:rPr>
        <w:t xml:space="preserve">more </w:t>
      </w:r>
      <w:r w:rsidR="00982080" w:rsidRPr="00DF0680">
        <w:rPr>
          <w:rFonts w:cs="Times New Roman"/>
        </w:rPr>
        <w:t>pausing</w:t>
      </w:r>
      <w:r w:rsidR="005A40B3" w:rsidRPr="00DF0680">
        <w:rPr>
          <w:rFonts w:cs="Times New Roman"/>
        </w:rPr>
        <w:t xml:space="preserve"> than expressing the protein without helicase function</w:t>
      </w:r>
      <w:r w:rsidR="00982080" w:rsidRPr="00DF0680">
        <w:rPr>
          <w:rFonts w:cs="Times New Roman"/>
        </w:rPr>
        <w:t>. However, these analyses were based on only 61, 65 and 58 forks and more will need to be counted to verify these data.</w:t>
      </w:r>
    </w:p>
    <w:p w:rsidR="000F4A2B" w:rsidRPr="00DF0680" w:rsidRDefault="0064164B" w:rsidP="000F4A2B">
      <w:pPr>
        <w:keepNext/>
        <w:jc w:val="center"/>
        <w:rPr>
          <w:rFonts w:cs="Times New Roman"/>
        </w:rPr>
      </w:pPr>
      <w:r w:rsidRPr="00DF0680">
        <w:drawing>
          <wp:inline distT="0" distB="0" distL="0" distR="0">
            <wp:extent cx="2722386" cy="3248527"/>
            <wp:effectExtent l="0" t="0" r="0" b="0"/>
            <wp:docPr id="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srcRect/>
                    <a:stretch>
                      <a:fillRect/>
                    </a:stretch>
                  </pic:blipFill>
                  <pic:spPr bwMode="auto">
                    <a:xfrm>
                      <a:off x="0" y="0"/>
                      <a:ext cx="2723411" cy="3249750"/>
                    </a:xfrm>
                    <a:prstGeom prst="rect">
                      <a:avLst/>
                    </a:prstGeom>
                    <a:noFill/>
                    <a:ln w="9525">
                      <a:noFill/>
                      <a:miter lim="800000"/>
                      <a:headEnd/>
                      <a:tailEnd/>
                    </a:ln>
                  </pic:spPr>
                </pic:pic>
              </a:graphicData>
            </a:graphic>
          </wp:inline>
        </w:drawing>
      </w:r>
    </w:p>
    <w:p w:rsidR="000F4A2B" w:rsidRPr="00DF0680" w:rsidRDefault="000F4A2B" w:rsidP="005A40B3">
      <w:pPr>
        <w:pStyle w:val="Caption"/>
        <w:spacing w:after="60" w:line="240" w:lineRule="auto"/>
      </w:pPr>
      <w:bookmarkStart w:id="638" w:name="_Toc410221391"/>
      <w:bookmarkStart w:id="639" w:name="_Toc417813904"/>
      <w:r w:rsidRPr="00DF0680">
        <w:t xml:space="preserve">Figure </w:t>
      </w:r>
      <w:fldSimple w:instr=" STYLEREF 1 \s ">
        <w:r w:rsidR="006119E3">
          <w:rPr>
            <w:noProof/>
          </w:rPr>
          <w:t>4</w:t>
        </w:r>
      </w:fldSimple>
      <w:r w:rsidR="006119E3">
        <w:t>.</w:t>
      </w:r>
      <w:fldSimple w:instr=" SEQ Figure \* ARABIC \s 1 ">
        <w:r w:rsidR="006119E3">
          <w:rPr>
            <w:noProof/>
          </w:rPr>
          <w:t>4</w:t>
        </w:r>
      </w:fldSimple>
      <w:r w:rsidRPr="00DF0680">
        <w:t xml:space="preserve"> – Replication fork asymmetry in </w:t>
      </w:r>
      <w:r w:rsidR="00471D18" w:rsidRPr="00DF0680">
        <w:t>MRC5V2</w:t>
      </w:r>
      <w:r w:rsidRPr="00DF0680">
        <w:t xml:space="preserve"> cells over-expressing RECQL5β</w:t>
      </w:r>
      <w:bookmarkEnd w:id="638"/>
      <w:bookmarkEnd w:id="639"/>
      <w:r w:rsidRPr="00DF0680">
        <w:t xml:space="preserve"> </w:t>
      </w:r>
    </w:p>
    <w:p w:rsidR="00A26FAA" w:rsidRPr="00DF0680" w:rsidRDefault="000F4A2B" w:rsidP="005A40B3">
      <w:pPr>
        <w:spacing w:after="60" w:line="269" w:lineRule="auto"/>
        <w:rPr>
          <w:bCs/>
          <w:color w:val="auto"/>
          <w:szCs w:val="18"/>
        </w:rPr>
      </w:pPr>
      <w:r w:rsidRPr="00DF0680">
        <w:t xml:space="preserve">(A) Diagram of </w:t>
      </w:r>
      <w:r w:rsidR="00FE547D" w:rsidRPr="00DF0680">
        <w:t>analogue</w:t>
      </w:r>
      <w:r w:rsidRPr="00DF0680">
        <w:t xml:space="preserve"> incubation times and an example of a symmetric and an asymmetric fork. (B) Fork asymmetry was calculated by measuring the length of IdU tracts from divergent forks</w:t>
      </w:r>
      <w:r w:rsidR="00D1164C" w:rsidRPr="00DF0680">
        <w:t xml:space="preserve"> from fibres of MRC5V2 cells, RECQL5 over-expressing MRC5V2 cells (MRC5V2+Q5) and RECQL5 helicase-dead over-expressing MRC5V2 cells (MRC5V2+Q5KR)</w:t>
      </w:r>
      <w:r w:rsidRPr="00DF0680">
        <w:t xml:space="preserve">. </w:t>
      </w:r>
      <w:bookmarkStart w:id="640" w:name="_Toc410221379"/>
      <w:bookmarkStart w:id="641" w:name="_Toc417204198"/>
      <w:bookmarkStart w:id="642" w:name="_Toc417204731"/>
      <w:bookmarkStart w:id="643" w:name="_Toc417204791"/>
      <w:r w:rsidR="00D1164C" w:rsidRPr="00DF0680">
        <w:t>The shorter tract was divided by the longer tract and this taken as a percentage of symmetry (equal IdU tracts either side of a CldU tract are 100% symmetrical). The frequency of different fork symmetries is shown (n=61, 65 and 58 for MRC5V2, MRC5V2+Q5 and MRC5V2+Q5KR respectively).</w:t>
      </w:r>
      <w:r w:rsidR="00A26FAA" w:rsidRPr="00DF0680">
        <w:br w:type="page"/>
      </w:r>
    </w:p>
    <w:p w:rsidR="000F4A2B" w:rsidRPr="00DF0680" w:rsidRDefault="000F4A2B" w:rsidP="00A26FAA">
      <w:pPr>
        <w:pStyle w:val="Heading2"/>
      </w:pPr>
      <w:r w:rsidRPr="00DF0680">
        <w:lastRenderedPageBreak/>
        <w:t>Depleting cells of RECQL5β does not alter replication fork dynamics</w:t>
      </w:r>
      <w:bookmarkEnd w:id="640"/>
      <w:bookmarkEnd w:id="641"/>
      <w:bookmarkEnd w:id="642"/>
      <w:bookmarkEnd w:id="643"/>
    </w:p>
    <w:p w:rsidR="000F4A2B" w:rsidRPr="00DF0680" w:rsidRDefault="000F4A2B" w:rsidP="000F4A2B">
      <w:pPr>
        <w:rPr>
          <w:rFonts w:cs="Times New Roman"/>
        </w:rPr>
      </w:pPr>
      <w:r w:rsidRPr="00DF0680">
        <w:rPr>
          <w:rFonts w:cs="Times New Roman"/>
        </w:rPr>
        <w:t xml:space="preserve">As cells depleted of WRN, BLM, RECQL4 and RECQL1 all yielded endogenous differences in fork dynamics </w:t>
      </w:r>
      <w:r w:rsidR="00F20EC0" w:rsidRPr="00DF0680">
        <w:rPr>
          <w:rFonts w:cs="Times New Roman"/>
        </w:rPr>
        <w:fldChar w:fldCharType="begin" w:fldLock="1"/>
      </w:r>
      <w:r w:rsidR="00CD2053" w:rsidRPr="00DF0680">
        <w:rPr>
          <w:rFonts w:cs="Times New Roman"/>
        </w:rPr>
        <w:instrText>ADDIN CSL_CITATION { "citationItems" : [ { "id" : "ITEM-1", "itemData" : { "DOI" : "10.1158/1541-7786.MCR-07-0028", "ISBN" : "3014965944", "ISSN" : "1541-7786", "PMID" : "17634426", "abstract" : "The Bloom syndrome helicase (BLM) is critical for genomic stability. A defect in BLM activity results in the cancer-predisposing Bloom syndrome (BS). Here, we report that BLM-deficient cell lines and primary fibroblasts display an endogenously activated DNA double-strand break checkpoint response with prominent levels of phosphorylated histone H2AX (gamma-H2AX), Chk2 (p(T68)Chk2), and ATM (p(S1981)ATM) colocalizing in nuclear foci. Interestingly, the mitotic fraction of gamma-H2AX foci did not seem to be higher in BLM-deficient cells, indicating that these lesions form transiently during interphase. Pulse labeling with iododeoxyuridine and immunofluorescence microscopy showed the colocalization of gamma-H2AX, ATM, and Chk2 together with replication foci. Those foci costained for Rad51, indicating homologous recombination at these replication sites. We therefore analyzed replication in BS cells using a single molecule approach on combed DNA fibers. In addition to a higher frequency of replication fork barriers, BS cells displayed a reduced average fork velocity and global reduction of interorigin distances indicative of an elevated frequency of origin firing. Because BS is one of the most penetrant cancer-predisposing hereditary diseases, it is likely that the lack of BLM engages the cells in a situation similar to precancerous tissues with replication stress. To our knowledge, this is the first report of high ATM-Chk2 kinase activation and its linkage to replication defects in a BS model.", "author" : [ { "dropping-particle" : "", "family" : "Rao", "given" : "V Ashutosh", "non-dropping-particle" : "", "parse-names" : false, "suffix" : "" }, { "dropping-particle" : "", "family" : "Conti", "given" : "Chiara", "non-dropping-particle" : "", "parse-names" : false, "suffix" : "" }, { "dropping-particle" : "", "family" : "Guirouilh-Barbat", "given" : "Josee", "non-dropping-particle" : "", "parse-names" : false, "suffix" : "" }, { "dropping-particle" : "", "family" : "Nakamura", "given" : "Asako", "non-dropping-particle" : "", "parse-names" : false, "suffix" : "" }, { "dropping-particle" : "", "family" : "Miao", "given" : "Ze-Hong", "non-dropping-particle" : "", "parse-names" : false, "suffix" : "" }, { "dropping-particle" : "", "family" : "Davies", "given" : "Sally L", "non-dropping-particle" : "", "parse-names" : false, "suffix" : "" }, { "dropping-particle" : "", "family" : "Sacc\u00e1", "given" : "Barbara", "non-dropping-particle" : "", "parse-names" : false, "suffix" : "" }, { "dropping-particle" : "", "family" : "Hickson", "given" : "Ian D", "non-dropping-particle" : "", "parse-names" : false, "suffix" : "" }, { "dropping-particle" : "", "family" : "Bensimon", "given" : "Aaron", "non-dropping-particle" : "", "parse-names" : false, "suffix" : "" }, { "dropping-particle" : "", "family" : "Pommier", "given" : "Yves", "non-dropping-particle" : "", "parse-names" : false, "suffix" : "" } ], "container-title" : "Molecular Cancer Research", "id" : "ITEM-1", "issue" : "7", "issued" : { "date-parts" : [ [ "2007", "7" ] ] }, "page" : "713-24", "title" : "Endogenous gamma-H2AX-ATM-Chk2 checkpoint activation in Bloom's syndrome helicase deficient cells is related to DNA replication arrested forks.", "type" : "article-journal", "volume" : "5" }, "uris" : [ "http://www.mendeley.com/documents/?uuid=ae58f9bc-cd4a-4849-a1bb-b657469c1ba7" ] }, { "id" : "ITEM-2", "itemData" : { "DOI" : "10.1093/nar/gku1022", "ISSN" : "0305-1048", "author" : [ { "dropping-particle" : "", "family" : "Basile", "given" : "G.", "non-dropping-particle" : "", "parse-names" : false, "suffix" : "" }, { "dropping-particle" : "", "family" : "Leuzzi", "given" : "G.", "non-dropping-particle" : "", "parse-names" : false, "suffix" : "" }, { "dropping-particle" : "", "family" : "Pichierri", "given" : "P", "non-dropping-particle" : "", "parse-names" : false, "suffix" : "" }, { "dropping-particle" : "", "family" : "Franchitto", "given" : "A", "non-dropping-particle" : "", "parse-names" : false, "suffix" : "" } ], "container-title" : "Nucleic Acids Research", "id" : "ITEM-2", "issue" : "20", "issued" : { "date-parts" : [ [ "2014", "10", "28" ] ] }, "page" : "12628-39", "title" : "Checkpoint-dependent and independent roles of the Werner syndrome protein in preserving genome integrity in response to mild replication stress", "type" : "article-journal", "volume" : "42" }, "uris" : [ "http://www.mendeley.com/documents/?uuid=e45d8ec3-51fb-4350-b34c-745aab6ea97f" ] }, { "id" : "ITEM-3", "itemData" : { "DOI" : "10.1128/MCB.01290-09", "ISSN" : "1098-5549", "PMID" : "20065033", "abstract" : "Cellular and biochemical studies support a role for all five human RecQ helicases in DNA replication; however, their specific functions during this process are unclear. Here we investigate the in vivo association of the five human RecQ helicases with three well-characterized human replication origins. We show that only RECQ1 (also called RECQL or RECQL1) and RECQ4 (also called RECQL4) associate with replication origins in a cell cycle-regulated fashion in unperturbed cells. RECQ4 is recruited to origins at late G(1), after ORC and MCM complex assembly, while RECQ1 and additional RECQ4 are loaded at origins at the onset of S phase, when licensed origins begin firing. Both proteins are lost from origins after DNA replication initiation, indicating either disassembly or tracking with the newly formed replisome. Nascent-origin DNA synthesis and the frequency of origin firing are reduced after RECQ1 depletion and, to a greater extent, after RECQ4 depletion. Depletion of RECQ1, though not that of RECQ4, also suppresses replication fork rates in otherwise unperturbed cells. These results indicate that RECQ1 and RECQ4 are integral components of the human replication complex and play distinct roles in DNA replication initiation and replication fork progression in vivo.", "author" : [ { "dropping-particle" : "", "family" : "Thangavel", "given" : "Saravanabhavan", "non-dropping-particle" : "", "parse-names" : false, "suffix" : "" }, { "dropping-particle" : "", "family" : "Mendoza-Maldonado", "given" : "Ramiro", "non-dropping-particle" : "", "parse-names" : false, "suffix" : "" }, { "dropping-particle" : "", "family" : "Tissino", "given" : "Erika", "non-dropping-particle" : "", "parse-names" : false, "suffix" : "" }, { "dropping-particle" : "", "family" : "Sidorova", "given" : "Julia M", "non-dropping-particle" : "", "parse-names" : false, "suffix" : "" }, { "dropping-particle" : "", "family" : "Yin", "given" : "Jinhu", "non-dropping-particle" : "", "parse-names" : false, "suffix" : "" }, { "dropping-particle" : "", "family" : "Wang", "given" : "Weidong", "non-dropping-particle" : "", "parse-names" : false, "suffix" : "" }, { "dropping-particle" : "", "family" : "Monnat", "given" : "Raymond J", "non-dropping-particle" : "", "parse-names" : false, "suffix" : "" }, { "dropping-particle" : "", "family" : "Falaschi", "given" : "Arturo", "non-dropping-particle" : "", "parse-names" : false, "suffix" : "" }, { "dropping-particle" : "", "family" : "Vindigni", "given" : "Alessandro", "non-dropping-particle" : "", "parse-names" : false, "suffix" : "" } ], "container-title" : "Molecular and Cellular Biology", "id" : "ITEM-3", "issue" : "6", "issued" : { "date-parts" : [ [ "2010", "3" ] ] }, "page" : "1382-96", "title" : "Human RECQ1 and RECQ4 helicases play distinct roles in DNA replication initiation.", "type" : "article-journal", "volume" : "30" }, "uris" : [ "http://www.mendeley.com/documents/?uuid=376ba441-3b7a-4c10-8395-3c3f1b390d1c" ] }, { "id" : "ITEM-4", "itemData" : { "author" : [ { "dropping-particle" : "", "family" : "Rodr\u00edguez-L\u00f3pez", "given" : "Ana M", "non-dropping-particle" : "", "parse-names" : false, "suffix" : "" }, { "dropping-particle" : "", "family" : "Jackson", "given" : "Dean A", "non-dropping-particle" : "", "parse-names" : false, "suffix" : "" }, { "dropping-particle" : "", "family" : "Iborra", "given" : "Francisco", "non-dropping-particle" : "", "parse-names" : false, "suffix" : "" }, { "dropping-particle" : "", "family" : "Cox", "given" : "Lynne S", "non-dropping-particle" : "", "parse-names" : false, "suffix" : "" } ], "container-title" : "Aging Cell", "id" : "ITEM-4", "issue" : "1", "issued" : { "date-parts" : [ [ "2002" ] ] }, "page" : "30-39", "title" : "Asymmetry of DNA replication fork progression in Werner\u2019s syndrome", "type" : "article-journal", "volume" : "1" }, "uris" : [ "http://www.mendeley.com/documents/?uuid=ecb57a06-0a76-4e89-b16d-46545149ff0b" ] } ], "mendeley" : { "formattedCitation" : "(Rao et al. 2007; Basile et al. 2014; Thangavel et al. 2010; Rodr\u00edguez-L\u00f3pez et al. 2002)", "plainTextFormattedCitation" : "(Rao et al. 2007; Basile et al. 2014; Thangavel et al. 2010; Rodr\u00edguez-L\u00f3pez et al. 2002)", "previouslyFormattedCitation" : "(Rao et al. 2007; Basile et al. 2014; Thangavel et al. 2010; Rodr\u00edguez-L\u00f3pez et al. 2002)" }, "properties" : { "noteIndex" : 0 }, "schema" : "https://github.com/citation-style-language/schema/raw/master/csl-citation.json" }</w:instrText>
      </w:r>
      <w:r w:rsidR="00F20EC0" w:rsidRPr="00DF0680">
        <w:rPr>
          <w:rFonts w:cs="Times New Roman"/>
        </w:rPr>
        <w:fldChar w:fldCharType="separate"/>
      </w:r>
      <w:r w:rsidR="008D1D73" w:rsidRPr="00DF0680">
        <w:rPr>
          <w:rFonts w:cs="Times New Roman"/>
        </w:rPr>
        <w:t>(Rao et al. 2007; Basile et al. 2014; Thangavel et al. 2010; Rodríguez-López et al. 2002)</w:t>
      </w:r>
      <w:r w:rsidR="00F20EC0" w:rsidRPr="00DF0680">
        <w:rPr>
          <w:rFonts w:cs="Times New Roman"/>
        </w:rPr>
        <w:fldChar w:fldCharType="end"/>
      </w:r>
      <w:r w:rsidRPr="00DF0680">
        <w:rPr>
          <w:rFonts w:cs="Times New Roman"/>
        </w:rPr>
        <w:t xml:space="preserve">, it was hypothesised that cells depleted of RECQL5β would show a phenotype at a molecular level. </w:t>
      </w:r>
      <w:r w:rsidR="00471D18" w:rsidRPr="00DF0680">
        <w:rPr>
          <w:rFonts w:cs="Times New Roman"/>
        </w:rPr>
        <w:t>MRC5V2</w:t>
      </w:r>
      <w:r w:rsidRPr="00DF0680">
        <w:rPr>
          <w:rFonts w:cs="Times New Roman"/>
        </w:rPr>
        <w:t xml:space="preserve"> cells were depleted of RECQL5β using siRNA and DNA fibres analysed for any differences. Replication fork speed remained unchanged compared to control transfected cells, as did the percentage of stalled forks, the percentage of new origins fired, and fork asymmetry (Figure 4.5).</w:t>
      </w:r>
    </w:p>
    <w:p w:rsidR="000F4A2B" w:rsidRPr="00DF0680" w:rsidRDefault="000F4A2B" w:rsidP="000F4A2B">
      <w:pPr>
        <w:rPr>
          <w:rFonts w:cs="Times New Roman"/>
        </w:rPr>
      </w:pPr>
      <w:r w:rsidRPr="00DF0680">
        <w:rPr>
          <w:rFonts w:cs="Times New Roman"/>
        </w:rPr>
        <w:t>This suggests that there may be redundancy between RECQ helicases in terms of replication fork maintenance. Alternatively, our method of depleting cells of RECQL5β (through siRNA transfection) may not be effective enough to see a difference in DNA replication fork dynamics. Depletion of RECQL5 protein levels through shRNA or gene deletions may yield changes in replication fork speed.</w:t>
      </w:r>
    </w:p>
    <w:p w:rsidR="00CD2053" w:rsidRPr="00DF0680" w:rsidRDefault="00CD2053" w:rsidP="000F4A2B">
      <w:pPr>
        <w:rPr>
          <w:rFonts w:cs="Times New Roman"/>
        </w:rPr>
      </w:pPr>
    </w:p>
    <w:p w:rsidR="000F4A2B" w:rsidRPr="00DF0680" w:rsidRDefault="000F4A2B" w:rsidP="00E664FC">
      <w:pPr>
        <w:pStyle w:val="Heading2"/>
      </w:pPr>
      <w:bookmarkStart w:id="644" w:name="_Toc410221380"/>
      <w:bookmarkStart w:id="645" w:name="_Toc417204199"/>
      <w:bookmarkStart w:id="646" w:name="_Toc417204732"/>
      <w:bookmarkStart w:id="647" w:name="_Toc417204792"/>
      <w:r w:rsidRPr="00DF0680">
        <w:t>Over-expressing RECQL5β does not influence speed of fork restart after hydroxyurea treatment</w:t>
      </w:r>
      <w:bookmarkEnd w:id="644"/>
      <w:bookmarkEnd w:id="645"/>
      <w:bookmarkEnd w:id="646"/>
      <w:bookmarkEnd w:id="647"/>
    </w:p>
    <w:p w:rsidR="000F4A2B" w:rsidRPr="00DF0680" w:rsidRDefault="000F4A2B" w:rsidP="005252E2">
      <w:pPr>
        <w:spacing w:after="0"/>
        <w:rPr>
          <w:rFonts w:cs="Times New Roman"/>
        </w:rPr>
      </w:pPr>
      <w:r w:rsidRPr="00DF0680">
        <w:rPr>
          <w:rFonts w:cs="Times New Roman"/>
        </w:rPr>
        <w:t>As increasing the amount of RECQL5β protein increased the replication fork speed endogenously, it warranted investigation as to whether this was still the case during or following replication stress. Replication forks were arrested after 20 minutes of CldU incubation using 2</w:t>
      </w:r>
      <w:r w:rsidR="00257595" w:rsidRPr="00DF0680">
        <w:rPr>
          <w:rFonts w:cs="Times New Roman"/>
        </w:rPr>
        <w:t xml:space="preserve"> </w:t>
      </w:r>
      <w:r w:rsidRPr="00DF0680">
        <w:rPr>
          <w:rFonts w:cs="Times New Roman"/>
        </w:rPr>
        <w:t xml:space="preserve">mM hydroxyurea for 2 hours. </w:t>
      </w:r>
      <w:r w:rsidR="00CD2053" w:rsidRPr="00DF0680">
        <w:rPr>
          <w:rFonts w:cs="Times New Roman"/>
        </w:rPr>
        <w:t xml:space="preserve">Hydroxyurea changes the nucleotide pool by inhibiting ribonucleotide reductase and 2 hours of treatment causes more fork stalling, rather than fork collapse (associated with 24 hours of treatment) </w:t>
      </w:r>
      <w:r w:rsidR="00F20EC0" w:rsidRPr="00DF0680">
        <w:rPr>
          <w:rFonts w:cs="Times New Roman"/>
        </w:rPr>
        <w:fldChar w:fldCharType="begin" w:fldLock="1"/>
      </w:r>
      <w:r w:rsidR="00341643" w:rsidRPr="00DF0680">
        <w:rPr>
          <w:rFonts w:cs="Times New Roman"/>
        </w:rPr>
        <w:instrText>ADDIN CSL_CITATION { "citationItems" : [ { "id" : "ITEM-1", "itemData" : { "DOI" : "10.1016/j.molcel.2010.01.021", "ISSN" : "1097-4164", "PMID" : "20188668", "abstract" : "Faithful DNA replication is essential to all life. Hydroxyurea (HU) depletes the cells of dNTPs, which initially results in stalled replication forks that, after prolonged treatment, collapse into DSBs. Here, we report that stalled replication forks are efficiently restarted in a RAD51-dependent process that does not trigger homologous recombination (HR). The XRCC3 protein, which is required for RAD51 foci formation, is also required for replication restart of HU-stalled forks, suggesting that RAD51-mediated strand invasion supports fork restart. In contrast, replication forks collapsed by prolonged replication blocks do not restart, and global replication is rescued by new origin firing. We find that RAD51-dependent HR is triggered for repair of collapsed replication forks, without apparent restart. In conclusion, our data suggest that restart of stalled replication forks and HR repair of collapsed replication forks require two distinct RAD51-mediated pathways.", "author" : [ { "dropping-particle" : "", "family" : "Petermann", "given" : "Eva", "non-dropping-particle" : "", "parse-names" : false, "suffix" : "" }, { "dropping-particle" : "", "family" : "Orta", "given" : "Manuel Lu\u00eds", "non-dropping-particle" : "", "parse-names" : false, "suffix" : "" }, { "dropping-particle" : "", "family" : "Issaeva", "given" : "Natalia", "non-dropping-particle" : "", "parse-names" : false, "suffix" : "" }, { "dropping-particle" : "", "family" : "Schultz", "given" : "Niklas", "non-dropping-particle" : "", "parse-names" : false, "suffix" : "" }, { "dropping-particle" : "", "family" : "Helleday", "given" : "Thomas", "non-dropping-particle" : "", "parse-names" : false, "suffix" : "" } ], "container-title" : "Molecular Cell", "id" : "ITEM-1", "issue" : "4", "issued" : { "date-parts" : [ [ "2010", "2", "26" ] ] }, "page" : "492-502", "title" : "Hydroxyurea-stalled replication forks become progressively inactivated and require two different RAD51-mediated pathways for restart and repair.", "type" : "article-journal", "volume" : "37" }, "uris" : [ "http://www.mendeley.com/documents/?uuid=5dfc892b-8fed-4943-81ae-c7b454fc57c2" ] } ], "mendeley" : { "formattedCitation" : "(Petermann et al. 2010)", "plainTextFormattedCitation" : "(Petermann et al. 2010)", "previouslyFormattedCitation" : "(Petermann et al. 2010)" }, "properties" : { "noteIndex" : 0 }, "schema" : "https://github.com/citation-style-language/schema/raw/master/csl-citation.json" }</w:instrText>
      </w:r>
      <w:r w:rsidR="00F20EC0" w:rsidRPr="00DF0680">
        <w:rPr>
          <w:rFonts w:cs="Times New Roman"/>
        </w:rPr>
        <w:fldChar w:fldCharType="separate"/>
      </w:r>
      <w:r w:rsidR="00CD2053" w:rsidRPr="00DF0680">
        <w:rPr>
          <w:rFonts w:cs="Times New Roman"/>
        </w:rPr>
        <w:t>(Petermann et al. 2010)</w:t>
      </w:r>
      <w:r w:rsidR="00F20EC0" w:rsidRPr="00DF0680">
        <w:rPr>
          <w:rFonts w:cs="Times New Roman"/>
        </w:rPr>
        <w:fldChar w:fldCharType="end"/>
      </w:r>
      <w:r w:rsidR="00CD2053" w:rsidRPr="00DF0680">
        <w:rPr>
          <w:rFonts w:cs="Times New Roman"/>
        </w:rPr>
        <w:t xml:space="preserve">. </w:t>
      </w:r>
      <w:r w:rsidRPr="00DF0680">
        <w:rPr>
          <w:rFonts w:cs="Times New Roman"/>
        </w:rPr>
        <w:t xml:space="preserve">This was followed by 1 hour of IdU to identify any forks that could restart after hydroxyurea-induced stalling (Figure 4.6 A). </w:t>
      </w:r>
      <w:r w:rsidR="00471D18" w:rsidRPr="00DF0680">
        <w:rPr>
          <w:rFonts w:cs="Times New Roman"/>
        </w:rPr>
        <w:t>MRC5V2</w:t>
      </w:r>
      <w:r w:rsidRPr="00DF0680">
        <w:rPr>
          <w:rFonts w:cs="Times New Roman"/>
        </w:rPr>
        <w:t xml:space="preserve"> cells over-expressing helicase or helicase-dead RECQL5β did not have any more or less stalled forks after hydroxyurea treatment (Figure 4.6 C). Although the percentage of new origins was decreased in the cells that expressed the helicase-dead RECQL5β, this was not significant (Student’s t-test, p = </w:t>
      </w:r>
      <w:r w:rsidR="008E09D3" w:rsidRPr="00DF0680">
        <w:rPr>
          <w:rFonts w:cs="Times New Roman"/>
        </w:rPr>
        <w:t>0.07</w:t>
      </w:r>
      <w:r w:rsidRPr="00DF0680">
        <w:rPr>
          <w:rFonts w:cs="Times New Roman"/>
        </w:rPr>
        <w:t xml:space="preserve">7) (Figure 4.6 D). There were no differences in the percentage of continued forks (Figure 4.6 B). </w:t>
      </w:r>
    </w:p>
    <w:p w:rsidR="005252E2" w:rsidRPr="00DF0680" w:rsidRDefault="000F4A2B" w:rsidP="005252E2">
      <w:pPr>
        <w:spacing w:after="0"/>
        <w:rPr>
          <w:rFonts w:cs="Times New Roman"/>
        </w:rPr>
      </w:pPr>
      <w:r w:rsidRPr="00DF0680">
        <w:rPr>
          <w:rFonts w:cs="Times New Roman"/>
        </w:rPr>
        <w:lastRenderedPageBreak/>
        <w:t xml:space="preserve">Along with the number of continuous forks, stalled forks, and new origins fired, the speed at which the forks recovered from hydroxyurea-induced replication stress was calculated. This was done by measuring the length of the IdU tracts. </w:t>
      </w:r>
      <w:r w:rsidR="00CD2053" w:rsidRPr="00DF0680">
        <w:rPr>
          <w:rFonts w:cs="Times New Roman"/>
        </w:rPr>
        <w:t xml:space="preserve">MRC5V2 cells over-expressing </w:t>
      </w:r>
      <w:r w:rsidR="006B4827" w:rsidRPr="00DF0680">
        <w:rPr>
          <w:rFonts w:cs="Times New Roman"/>
        </w:rPr>
        <w:t xml:space="preserve">RECQL5 or helicase-dead RECQL5 both had quicker fork rates than wild-type MRC5V2 cells (Student’s t-test , p&lt;0.0001) but there was no significant difference between the two </w:t>
      </w:r>
      <w:r w:rsidRPr="00DF0680">
        <w:rPr>
          <w:rFonts w:cs="Times New Roman"/>
        </w:rPr>
        <w:t xml:space="preserve">(Figure 4.6 E). </w:t>
      </w:r>
      <w:r w:rsidR="005252E2" w:rsidRPr="00DF0680">
        <w:rPr>
          <w:rFonts w:cs="Times New Roman"/>
        </w:rPr>
        <w:t>This suggests that RECQL5 may play a role in the speed of recovery from hydroxyurea-induced stalled forks in a helicase independent manner. RECQL5β’s function at replication forks may be different following different types of replication stress. Although we see a difference during endogenous replication stress in the number of stalled forks and new origins fired, we do not see a difference during or following hydroxyurea induced stress. However, we do see an increase in the percentage of stalled forks in hydroxyurea treated compared to untreated cells (Figure 4.3 B</w:t>
      </w:r>
      <w:r w:rsidR="00F820EE" w:rsidRPr="00DF0680">
        <w:rPr>
          <w:rFonts w:cs="Times New Roman"/>
        </w:rPr>
        <w:t xml:space="preserve"> and 4.6 C</w:t>
      </w:r>
      <w:r w:rsidR="005252E2" w:rsidRPr="00DF0680">
        <w:rPr>
          <w:rFonts w:cs="Times New Roman"/>
        </w:rPr>
        <w:t xml:space="preserve">) (4-8 % to 15-20 %). There may be a function for RECQL5β at new origin firing after replication fork stalling (Figure 4.6 C), and this could be clarified using an alternative source of replication stress. </w:t>
      </w:r>
    </w:p>
    <w:p w:rsidR="005252E2" w:rsidRPr="00DF0680" w:rsidRDefault="005252E2">
      <w:pPr>
        <w:spacing w:line="276" w:lineRule="auto"/>
        <w:jc w:val="left"/>
        <w:rPr>
          <w:rFonts w:cs="Times New Roman"/>
        </w:rPr>
      </w:pPr>
      <w:r w:rsidRPr="00DF0680">
        <w:rPr>
          <w:rFonts w:cs="Times New Roman"/>
        </w:rPr>
        <w:br w:type="page"/>
      </w:r>
    </w:p>
    <w:p w:rsidR="000F4A2B" w:rsidRPr="00DF0680" w:rsidRDefault="000F4A2B" w:rsidP="005252E2">
      <w:pPr>
        <w:spacing w:after="0"/>
        <w:rPr>
          <w:rFonts w:cs="Times New Roman"/>
        </w:rPr>
      </w:pPr>
    </w:p>
    <w:p w:rsidR="000F4A2B" w:rsidRPr="00DF0680" w:rsidRDefault="00D1164C" w:rsidP="00F14457">
      <w:pPr>
        <w:keepNext/>
        <w:spacing w:after="120"/>
        <w:jc w:val="center"/>
        <w:rPr>
          <w:rFonts w:cs="Times New Roman"/>
        </w:rPr>
      </w:pPr>
      <w:r w:rsidRPr="00DF0680">
        <w:drawing>
          <wp:inline distT="0" distB="0" distL="0" distR="0">
            <wp:extent cx="5399433" cy="5546302"/>
            <wp:effectExtent l="0" t="0" r="0" b="0"/>
            <wp:docPr id="1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cstate="print"/>
                    <a:srcRect t="1663" b="1808"/>
                    <a:stretch>
                      <a:fillRect/>
                    </a:stretch>
                  </pic:blipFill>
                  <pic:spPr bwMode="auto">
                    <a:xfrm>
                      <a:off x="0" y="0"/>
                      <a:ext cx="5399433" cy="5546302"/>
                    </a:xfrm>
                    <a:prstGeom prst="rect">
                      <a:avLst/>
                    </a:prstGeom>
                    <a:noFill/>
                    <a:ln w="9525">
                      <a:noFill/>
                      <a:miter lim="800000"/>
                      <a:headEnd/>
                      <a:tailEnd/>
                    </a:ln>
                  </pic:spPr>
                </pic:pic>
              </a:graphicData>
            </a:graphic>
          </wp:inline>
        </w:drawing>
      </w:r>
    </w:p>
    <w:p w:rsidR="005252E2" w:rsidRPr="00DF0680" w:rsidRDefault="005252E2" w:rsidP="00F14457">
      <w:pPr>
        <w:pStyle w:val="Caption"/>
        <w:spacing w:after="40" w:line="264" w:lineRule="auto"/>
      </w:pPr>
      <w:bookmarkStart w:id="648" w:name="_Toc410221392"/>
      <w:bookmarkStart w:id="649" w:name="_Toc417813905"/>
    </w:p>
    <w:p w:rsidR="000F4A2B" w:rsidRPr="00DF0680" w:rsidRDefault="000F4A2B" w:rsidP="00F14457">
      <w:pPr>
        <w:pStyle w:val="Caption"/>
        <w:spacing w:after="40" w:line="264" w:lineRule="auto"/>
      </w:pPr>
      <w:r w:rsidRPr="00DF0680">
        <w:t xml:space="preserve">Figure </w:t>
      </w:r>
      <w:fldSimple w:instr=" STYLEREF 1 \s ">
        <w:r w:rsidR="006119E3">
          <w:rPr>
            <w:noProof/>
          </w:rPr>
          <w:t>4</w:t>
        </w:r>
      </w:fldSimple>
      <w:r w:rsidR="006119E3">
        <w:t>.</w:t>
      </w:r>
      <w:fldSimple w:instr=" SEQ Figure \* ARABIC \s 1 ">
        <w:r w:rsidR="006119E3">
          <w:rPr>
            <w:noProof/>
          </w:rPr>
          <w:t>5</w:t>
        </w:r>
      </w:fldSimple>
      <w:r w:rsidRPr="00DF0680">
        <w:t xml:space="preserve"> – Replication fork dynamics in </w:t>
      </w:r>
      <w:r w:rsidR="00471D18" w:rsidRPr="00DF0680">
        <w:t>MRC5V2</w:t>
      </w:r>
      <w:r w:rsidRPr="00DF0680">
        <w:t xml:space="preserve"> cells depleted of RECQL5β</w:t>
      </w:r>
      <w:bookmarkEnd w:id="648"/>
      <w:bookmarkEnd w:id="649"/>
      <w:r w:rsidRPr="00DF0680">
        <w:t xml:space="preserve"> </w:t>
      </w:r>
    </w:p>
    <w:p w:rsidR="00D1164C" w:rsidRPr="00DF0680" w:rsidRDefault="005252E2" w:rsidP="00F14457">
      <w:pPr>
        <w:pStyle w:val="Caption"/>
        <w:spacing w:line="264" w:lineRule="auto"/>
        <w:rPr>
          <w:rFonts w:cs="Times New Roman"/>
          <w:bCs w:val="0"/>
        </w:rPr>
      </w:pPr>
      <w:r w:rsidRPr="00DF0680">
        <w:rPr>
          <w:rFonts w:cs="Times New Roman"/>
          <w:b w:val="0"/>
        </w:rPr>
        <w:t xml:space="preserve">Fork dynamics were measured using DNA fibre analysis techniques using the analogues and times shown (A). </w:t>
      </w:r>
      <w:r w:rsidR="00471D18" w:rsidRPr="00DF0680">
        <w:rPr>
          <w:rFonts w:cs="Times New Roman"/>
          <w:b w:val="0"/>
        </w:rPr>
        <w:t>MRC5V2</w:t>
      </w:r>
      <w:r w:rsidR="000F4A2B" w:rsidRPr="00DF0680">
        <w:rPr>
          <w:rFonts w:cs="Times New Roman"/>
          <w:b w:val="0"/>
        </w:rPr>
        <w:t xml:space="preserve"> cells were depleted of </w:t>
      </w:r>
      <w:r w:rsidR="00336FBD">
        <w:rPr>
          <w:rFonts w:cs="Times New Roman"/>
          <w:b w:val="0"/>
        </w:rPr>
        <w:t>RECQL5β using a pool of 2 siRNA</w:t>
      </w:r>
      <w:r w:rsidR="000F4A2B" w:rsidRPr="00DF0680">
        <w:rPr>
          <w:rFonts w:cs="Times New Roman"/>
          <w:b w:val="0"/>
        </w:rPr>
        <w:t>s targeting RECQL5β (Q5β) or transfected with a non-targeting control (Con) and an</w:t>
      </w:r>
      <w:r w:rsidRPr="00DF0680">
        <w:rPr>
          <w:rFonts w:cs="Times New Roman"/>
          <w:b w:val="0"/>
        </w:rPr>
        <w:t>alysed using Western blotting (B</w:t>
      </w:r>
      <w:r w:rsidR="000F4A2B" w:rsidRPr="00DF0680">
        <w:rPr>
          <w:rFonts w:cs="Times New Roman"/>
          <w:b w:val="0"/>
        </w:rPr>
        <w:t xml:space="preserve">). </w:t>
      </w:r>
      <w:r w:rsidR="00F14457" w:rsidRPr="00DF0680">
        <w:rPr>
          <w:rFonts w:cs="Times New Roman"/>
          <w:b w:val="0"/>
        </w:rPr>
        <w:t>Fork speeds of CldU tracts between the 10</w:t>
      </w:r>
      <w:r w:rsidR="00F14457" w:rsidRPr="00DF0680">
        <w:rPr>
          <w:rFonts w:cs="Times New Roman"/>
          <w:b w:val="0"/>
          <w:vertAlign w:val="superscript"/>
        </w:rPr>
        <w:t>th</w:t>
      </w:r>
      <w:r w:rsidR="00F14457" w:rsidRPr="00DF0680">
        <w:rPr>
          <w:rFonts w:cs="Times New Roman"/>
          <w:b w:val="0"/>
        </w:rPr>
        <w:t xml:space="preserve"> and 90</w:t>
      </w:r>
      <w:r w:rsidR="00F14457" w:rsidRPr="00DF0680">
        <w:rPr>
          <w:rFonts w:cs="Times New Roman"/>
          <w:b w:val="0"/>
          <w:vertAlign w:val="superscript"/>
        </w:rPr>
        <w:t>th</w:t>
      </w:r>
      <w:r w:rsidR="00F14457" w:rsidRPr="00DF0680">
        <w:rPr>
          <w:rFonts w:cs="Times New Roman"/>
          <w:b w:val="0"/>
        </w:rPr>
        <w:t xml:space="preserve"> percentiles are shown in a box and whisker diagram with all other speeds indicated as dots. A total of 750 forks for each </w:t>
      </w:r>
      <w:r w:rsidRPr="00DF0680">
        <w:rPr>
          <w:rFonts w:cs="Times New Roman"/>
          <w:b w:val="0"/>
        </w:rPr>
        <w:t xml:space="preserve">treatment </w:t>
      </w:r>
      <w:r w:rsidR="00F14457" w:rsidRPr="00DF0680">
        <w:rPr>
          <w:rFonts w:cs="Times New Roman"/>
          <w:b w:val="0"/>
        </w:rPr>
        <w:t>were counted (250 from each of 3 independent repeats)</w:t>
      </w:r>
      <w:r w:rsidRPr="00DF0680">
        <w:rPr>
          <w:rFonts w:cs="Times New Roman"/>
          <w:b w:val="0"/>
        </w:rPr>
        <w:t xml:space="preserve"> (C)</w:t>
      </w:r>
      <w:r w:rsidR="00F14457" w:rsidRPr="00DF0680">
        <w:rPr>
          <w:rFonts w:cs="Times New Roman"/>
          <w:b w:val="0"/>
        </w:rPr>
        <w:t xml:space="preserve">. </w:t>
      </w:r>
      <w:r w:rsidR="000F4A2B" w:rsidRPr="00DF0680">
        <w:rPr>
          <w:rFonts w:cs="Times New Roman"/>
          <w:b w:val="0"/>
        </w:rPr>
        <w:t>For each graph, averages and standard deviations from three independent repeats are shown</w:t>
      </w:r>
      <w:r w:rsidR="00F14457" w:rsidRPr="00DF0680">
        <w:rPr>
          <w:rFonts w:cs="Times New Roman"/>
          <w:b w:val="0"/>
        </w:rPr>
        <w:t xml:space="preserve"> for fork speed distribution (D), percentage of stalled forks (E) and new origins fired (F)</w:t>
      </w:r>
      <w:r w:rsidR="000F4A2B" w:rsidRPr="00DF0680">
        <w:rPr>
          <w:rFonts w:cs="Times New Roman"/>
          <w:b w:val="0"/>
        </w:rPr>
        <w:t xml:space="preserve">. </w:t>
      </w:r>
      <w:r w:rsidR="00F14457" w:rsidRPr="00DF0680">
        <w:rPr>
          <w:rFonts w:cs="Times New Roman"/>
          <w:b w:val="0"/>
        </w:rPr>
        <w:t xml:space="preserve">Fork asymmetry (G) was measured as previously described (n=75 and 68 for Con and Q5β respectively). </w:t>
      </w:r>
      <w:r w:rsidR="000F4A2B" w:rsidRPr="00DF0680">
        <w:rPr>
          <w:rFonts w:cs="Times New Roman"/>
          <w:b w:val="0"/>
        </w:rPr>
        <w:t xml:space="preserve">There were no significant differences in fork dynamics between control and RECQL5β depleted cells. </w:t>
      </w:r>
      <w:r w:rsidR="00D1164C" w:rsidRPr="00DF0680">
        <w:rPr>
          <w:rFonts w:cs="Times New Roman"/>
          <w:b w:val="0"/>
        </w:rPr>
        <w:br w:type="page"/>
      </w:r>
    </w:p>
    <w:p w:rsidR="000F4A2B" w:rsidRPr="00DF0680" w:rsidRDefault="000F4A2B" w:rsidP="00E664FC">
      <w:pPr>
        <w:pStyle w:val="Heading2"/>
      </w:pPr>
      <w:bookmarkStart w:id="650" w:name="_Toc410221381"/>
      <w:bookmarkStart w:id="651" w:name="_Toc417204200"/>
      <w:bookmarkStart w:id="652" w:name="_Toc417204733"/>
      <w:bookmarkStart w:id="653" w:name="_Toc417204793"/>
      <w:r w:rsidRPr="00DF0680">
        <w:lastRenderedPageBreak/>
        <w:t>RECQL5β protects replication forks from camptothecin induced fork slowing</w:t>
      </w:r>
      <w:bookmarkEnd w:id="650"/>
      <w:bookmarkEnd w:id="651"/>
      <w:bookmarkEnd w:id="652"/>
      <w:bookmarkEnd w:id="653"/>
    </w:p>
    <w:p w:rsidR="000F4A2B" w:rsidRPr="00DF0680" w:rsidRDefault="00D418C6" w:rsidP="000F4A2B">
      <w:pPr>
        <w:rPr>
          <w:rFonts w:cs="Times New Roman"/>
        </w:rPr>
      </w:pPr>
      <w:r w:rsidRPr="00DF0680">
        <w:rPr>
          <w:rFonts w:cs="Times New Roman"/>
        </w:rPr>
        <w:t>As RECQL5-</w:t>
      </w:r>
      <w:r w:rsidR="000F4A2B" w:rsidRPr="00DF0680">
        <w:rPr>
          <w:rFonts w:cs="Times New Roman"/>
        </w:rPr>
        <w:t xml:space="preserve">depleted cells are more sensitive to camptothecin </w:t>
      </w:r>
      <w:r w:rsidR="00F20EC0" w:rsidRPr="00DF0680">
        <w:rPr>
          <w:rFonts w:cs="Times New Roman"/>
        </w:rPr>
        <w:fldChar w:fldCharType="begin" w:fldLock="1"/>
      </w:r>
      <w:r w:rsidR="00332613" w:rsidRPr="00DF0680">
        <w:rPr>
          <w:rFonts w:cs="Times New Roman"/>
        </w:rPr>
        <w:instrText>ADDIN CSL_CITATION { "citationItems" : [ { "id" : "ITEM-1", "itemData" : { "DOI" : "10.1101/gad.1609107", "ISSN" : "0890-9369", "PMID" : "18003859", "abstract" : "Members of the RecQ helicase family play critical roles in genome maintenance. There are five RecQ homologs in mammals, and defects in three of these (BLM, WRN, and RECQL4) give rise to cancer predisposition syndromes in humans. RECQL and RECQL5 have not been associated with a human disease. Here we show that deletion of Recql5 in mice results in cancer susceptibility. Recql5-deficient cells exhibit elevated frequencies of spontaneous DNA double-strand breaks and homologous recombination (HR) as scored using a reporter that harbors a direct repeat, and are prone to gross chromosomal rearrangements in response to replication stress. To understand how RECQL5 regulates HR, we use purified proteins to demonstrate that human RECQL5 binds the Rad51 recombinase and inhibits Rad51-mediated D-loop formation. By biochemical means and electron microscopy, we show that RECQL5 displaces Rad51 from single-stranded DNA (ssDNA) in a reaction that requires ATP hydrolysis and RPA. Together, our results identify RECQL5 as an important tumor suppressor that may act by preventing inappropriate HR events via Rad51 presynaptic filament disruption.", "author" : [ { "dropping-particle" : "", "family" : "Hu", "given" : "Yiduo", "non-dropping-particle" : "", "parse-names" : false, "suffix" : "" }, { "dropping-particle" : "", "family" : "Raynard", "given" : "Steven", "non-dropping-particle" : "", "parse-names" : false, "suffix" : "" }, { "dropping-particle" : "", "family" : "Sehorn", "given" : "Michael G", "non-dropping-particle" : "", "parse-names" : false, "suffix" : "" }, { "dropping-particle" : "", "family" : "Lu", "given" : "Xincheng", "non-dropping-particle" : "", "parse-names" : false, "suffix" : "" }, { "dropping-particle" : "", "family" : "Bussen", "given" : "Wendy", "non-dropping-particle" : "", "parse-names" : false, "suffix" : "" }, { "dropping-particle" : "", "family" : "Zheng", "given" : "Lu", "non-dropping-particle" : "", "parse-names" : false, "suffix" : "" }, { "dropping-particle" : "", "family" : "Stark", "given" : "Jeremy M", "non-dropping-particle" : "", "parse-names" : false, "suffix" : "" }, { "dropping-particle" : "", "family" : "Barnes", "given" : "Ellen L", "non-dropping-particle" : "", "parse-names" : false, "suffix" : "" }, { "dropping-particle" : "", "family" : "Chi", "given" : "Peter", "non-dropping-particle" : "", "parse-names" : false, "suffix" : "" }, { "dropping-particle" : "", "family" : "Janscak", "given" : "Pavel", "non-dropping-particle" : "", "parse-names" : false, "suffix" : "" }, { "dropping-particle" : "", "family" : "Jasin", "given" : "Maria", "non-dropping-particle" : "", "parse-names" : false, "suffix" : "" }, { "dropping-particle" : "", "family" : "Vogel", "given" : "Hannes", "non-dropping-particle" : "", "parse-names" : false, "suffix" : "" }, { "dropping-particle" : "", "family" : "Sung", "given" : "Patrick", "non-dropping-particle" : "", "parse-names" : false, "suffix" : "" }, { "dropping-particle" : "", "family" : "Luo", "given" : "Guangbin", "non-dropping-particle" : "", "parse-names" : false, "suffix" : "" } ], "container-title" : "Genes &amp; Development", "id" : "ITEM-1", "issue" : "23", "issued" : { "date-parts" : [ [ "2007", "12", "1" ] ] }, "page" : "3073-84", "title" : "RECQL5/Recql5 helicase regulates homologous recombination and suppresses tumor formation via disruption of Rad51 presynaptic filaments.", "type" : "article-journal", "volume" : "21" }, "uris" : [ "http://www.mendeley.com/documents/?uuid=569f0011-a132-4c3c-8afd-04e50c78a14c" ] }, { "id" : "ITEM-2", "itemData" : { "DOI" : "10.1091/mbc.E08-06-0565", "ISSN" : "1939-4586", "PMID" : "18987339", "abstract" : "Disruption of replication can lead to loss of genome integrity and increase of cancer susceptibility in mammals. Thus, a replication impediment constitutes a formidable challenge to these organisms. Recent studies indicate that homologous recombination (HR) plays an important role in suppressing genome instability and promoting cell survival after exposure to various replication inhibitors, including a topoisomerase I inhibitor, camptothecin (CPT). Here, we report that the deletion of RecQ helicase Recql5 in mouse ES cells and embryonic fibroblast (MEF) cells resulted in a significant increase in CPT sensitivity and a profound reduction in DNA replication after the treatment with CPT, but not other DNA-damaging agents. This CPT-induced cell death is replication dependent and occurs primarily after the cells had exited the first cell cycle after CPT treatment. Furthermore, we show that Recql5 functions nonredundantly with Rad51, a key factor for HR to protect mouse ES cells from CPT-induced cytotoxicity. These new findings strongly suggest that Recql5 plays an important role in maintaining active DNA replication to prevent the collapse of replication forks and the accumulation of DSBs in order to preserve genome integrity and to prevent cell death after replication stress as a result of topoisomerase I poisoning.", "author" : [ { "dropping-particle" : "", "family" : "Hu", "given" : "Yiduo", "non-dropping-particle" : "", "parse-names" : false, "suffix" : "" }, { "dropping-particle" : "", "family" : "Lu", "given" : "Xincheng", "non-dropping-particle" : "", "parse-names" : false, "suffix" : "" }, { "dropping-particle" : "", "family" : "Zhou", "given" : "Guangjin", "non-dropping-particle" : "", "parse-names" : false, "suffix" : "" }, { "dropping-particle" : "", "family" : "Barnes", "given" : "Ellen L", "non-dropping-particle" : "", "parse-names" : false, "suffix" : "" }, { "dropping-particle" : "", "family" : "Luo", "given" : "Guangbin", "non-dropping-particle" : "", "parse-names" : false, "suffix" : "" } ], "container-title" : "Molecular Biology of the Cell", "id" : "ITEM-2", "issue" : "1", "issued" : { "date-parts" : [ [ "2009", "1" ] ] }, "page" : "114-23", "title" : "Recql5 plays an important role in DNA replication and cell survival after camptothecin treatment.", "type" : "article-journal", "volume" : "20" }, "uris" : [ "http://www.mendeley.com/documents/?uuid=acf9f23d-1453-499d-9549-0b89779a80a3" ] } ], "mendeley" : { "formattedCitation" : "(Hu et al. 2007; Hu et al. 2009)", "plainTextFormattedCitation" : "(Hu et al. 2007; Hu et al. 2009)", "previouslyFormattedCitation" : "(Hu et al. 2007; Hu et al. 2009)" }, "properties" : { "noteIndex" : 0 }, "schema" : "https://github.com/citation-style-language/schema/raw/master/csl-citation.json" }</w:instrText>
      </w:r>
      <w:r w:rsidR="00F20EC0" w:rsidRPr="00DF0680">
        <w:rPr>
          <w:rFonts w:cs="Times New Roman"/>
        </w:rPr>
        <w:fldChar w:fldCharType="separate"/>
      </w:r>
      <w:r w:rsidR="000F4A2B" w:rsidRPr="00DF0680">
        <w:rPr>
          <w:rFonts w:cs="Times New Roman"/>
        </w:rPr>
        <w:t>(Hu et al. 2007; Hu et al. 2009)</w:t>
      </w:r>
      <w:r w:rsidR="00F20EC0" w:rsidRPr="00DF0680">
        <w:rPr>
          <w:rFonts w:cs="Times New Roman"/>
        </w:rPr>
        <w:fldChar w:fldCharType="end"/>
      </w:r>
      <w:r w:rsidR="000F4A2B" w:rsidRPr="00DF0680">
        <w:rPr>
          <w:rFonts w:cs="Times New Roman"/>
        </w:rPr>
        <w:t xml:space="preserve">, it was investigated whether RECQL5β over-expression could rescue wild-type cells from camptothecin-induced replication stress. </w:t>
      </w:r>
    </w:p>
    <w:p w:rsidR="000F4A2B" w:rsidRPr="00DF0680" w:rsidRDefault="000F4A2B" w:rsidP="000F4A2B">
      <w:pPr>
        <w:rPr>
          <w:rFonts w:cs="Times New Roman"/>
        </w:rPr>
      </w:pPr>
      <w:r w:rsidRPr="00DF0680">
        <w:rPr>
          <w:rFonts w:cs="Times New Roman"/>
        </w:rPr>
        <w:t xml:space="preserve">Camptothecin was added to cells an hour before thymidine </w:t>
      </w:r>
      <w:r w:rsidR="00FE547D" w:rsidRPr="00DF0680">
        <w:rPr>
          <w:rFonts w:cs="Times New Roman"/>
        </w:rPr>
        <w:t>analogue</w:t>
      </w:r>
      <w:r w:rsidRPr="00DF0680">
        <w:rPr>
          <w:rFonts w:cs="Times New Roman"/>
        </w:rPr>
        <w:t xml:space="preserve"> incubation and left on for the duration </w:t>
      </w:r>
      <w:r w:rsidR="00D418C6" w:rsidRPr="00DF0680">
        <w:rPr>
          <w:rFonts w:cs="Times New Roman"/>
        </w:rPr>
        <w:t xml:space="preserve">of the experiment </w:t>
      </w:r>
      <w:r w:rsidRPr="00DF0680">
        <w:rPr>
          <w:rFonts w:cs="Times New Roman"/>
        </w:rPr>
        <w:t xml:space="preserve">(Figure 4.7 A). As expected, camptothecin significantly slowed replication fork speed in wild-type cells (Student’s t-test, p value = </w:t>
      </w:r>
      <w:r w:rsidR="00A03A7A" w:rsidRPr="00DF0680">
        <w:rPr>
          <w:rFonts w:cs="Times New Roman"/>
        </w:rPr>
        <w:t>0.0075</w:t>
      </w:r>
      <w:r w:rsidRPr="00DF0680">
        <w:rPr>
          <w:rFonts w:cs="Times New Roman"/>
        </w:rPr>
        <w:t xml:space="preserve">) (Figure 4.7 B + C) </w:t>
      </w:r>
      <w:r w:rsidR="00F20EC0" w:rsidRPr="00DF0680">
        <w:rPr>
          <w:rFonts w:cs="Times New Roman"/>
        </w:rPr>
        <w:fldChar w:fldCharType="begin" w:fldLock="1"/>
      </w:r>
      <w:r w:rsidR="00332613" w:rsidRPr="00DF0680">
        <w:rPr>
          <w:rFonts w:cs="Times New Roman"/>
        </w:rPr>
        <w:instrText>ADDIN CSL_CITATION { "citationItems" : [ { "id" : "ITEM-1", "itemData" : { "DOI" : "10.1038/ncb1984", "ISSN" : "1476-4679", "PMID" : "19838172", "abstract" : "Topoisomerase I (Top1) is a key enzyme in functioning at the interface between DNA replication, transcription and mRNA maturation. Here, we show that Top1 suppresses genomic instability in mammalian cells by preventing a conflict between transcription and DNA replication. Using DNA combing and ChIP (chromatin immunoprecipitation)-on-chip, we found that Top1-deficient cells accumulate stalled replication forks and chromosome breaks in S phase, and that breaks occur preferentially at gene-rich regions of the genome. Notably, these phenotypes were suppressed by preventing the formation of RNA-DNA hybrids (R-loops) during transcription. Moreover, these defects could be mimicked by depletion of the splicing factor ASF/SF2 (alternative splicing factor/splicing factor 2), which interacts functionally with Top1. Taken together, these data indicate that Top1 prevents replication fork collapse by suppressing the formation of R-loops in an ASF/SF2-dependent manner. We propose that interference between replication and transcription represents a major source of spontaneous replication stress, which could drive genomic instability during the early stages of tumorigenesis.", "author" : [ { "dropping-particle" : "", "family" : "Tuduri", "given" : "Sandie", "non-dropping-particle" : "", "parse-names" : false, "suffix" : "" }, { "dropping-particle" : "", "family" : "Crabb\u00e9", "given" : "Laure", "non-dropping-particle" : "", "parse-names" : false, "suffix" : "" }, { "dropping-particle" : "", "family" : "Conti", "given" : "Chiara", "non-dropping-particle" : "", "parse-names" : false, "suffix" : "" }, { "dropping-particle" : "", "family" : "Tourri\u00e8re", "given" : "H\u00e9l\u00e8ne", "non-dropping-particle" : "", "parse-names" : false, "suffix" : "" }, { "dropping-particle" : "", "family" : "Holtgreve-Grez", "given" : "Heidi", "non-dropping-particle" : "", "parse-names" : false, "suffix" : "" }, { "dropping-particle" : "", "family" : "Jauch", "given" : "Anna", "non-dropping-particle" : "", "parse-names" : false, "suffix" : "" }, { "dropping-particle" : "", "family" : "Pantesco", "given" : "V\u00e9ronique", "non-dropping-particle" : "", "parse-names" : false, "suffix" : "" }, { "dropping-particle" : "", "family" : "Vos", "given" : "John", "non-dropping-particle" : "De", "parse-names" : false, "suffix" : "" }, { "dropping-particle" : "", "family" : "Thomas", "given" : "Aubin", "non-dropping-particle" : "", "parse-names" : false, "suffix" : "" }, { "dropping-particle" : "", "family" : "Theillet", "given" : "Charles", "non-dropping-particle" : "", "parse-names" : false, "suffix" : "" }, { "dropping-particle" : "", "family" : "Pommier", "given" : "Yves", "non-dropping-particle" : "", "parse-names" : false, "suffix" : "" }, { "dropping-particle" : "", "family" : "Tazi", "given" : "Jamal", "non-dropping-particle" : "", "parse-names" : false, "suffix" : "" }, { "dropping-particle" : "", "family" : "Coquelle", "given" : "Arnaud", "non-dropping-particle" : "", "parse-names" : false, "suffix" : "" }, { "dropping-particle" : "", "family" : "Pasero", "given" : "Philippe", "non-dropping-particle" : "", "parse-names" : false, "suffix" : "" } ], "container-title" : "Nature Cell Biology", "id" : "ITEM-1", "issue" : "11", "issued" : { "date-parts" : [ [ "2009", "11" ] ] }, "page" : "1315-24", "publisher" : "Nature Publishing Group", "title" : "Topoisomerase I suppresses genomic instability by preventing interference between replication and transcription.", "type" : "article-journal", "volume" : "11" }, "uris" : [ "http://www.mendeley.com/documents/?uuid=9ae73ee5-6720-44a5-8de1-8c35ffff99e8" ] } ], "mendeley" : { "formattedCitation" : "(Tuduri et al. 2009)", "plainTextFormattedCitation" : "(Tuduri et al. 2009)", "previouslyFormattedCitation" : "(Tuduri et al. 2009)"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(Tuduri et al. 2009)</w:t>
      </w:r>
      <w:r w:rsidR="00F20EC0" w:rsidRPr="00DF0680">
        <w:rPr>
          <w:rFonts w:cs="Times New Roman"/>
        </w:rPr>
        <w:fldChar w:fldCharType="end"/>
      </w:r>
      <w:r w:rsidRPr="00DF0680">
        <w:rPr>
          <w:rFonts w:cs="Times New Roman"/>
        </w:rPr>
        <w:t xml:space="preserve">. When RECQL5β was over-expressed, camptothecin treatment no longer slowed replication forks and the increased speed seen endogenously when compared to wild-type, was maintained (Figure 4.7 B + D). When the helicase-dead RECQL5β was expressed, cells were protected from camptothecin induced fork slowing and interestingly, fork speed was significantly increased compared to untreated cells, to level similar to </w:t>
      </w:r>
      <w:r w:rsidR="00471D18" w:rsidRPr="00DF0680">
        <w:rPr>
          <w:rFonts w:cs="Times New Roman"/>
        </w:rPr>
        <w:t>MRC5V2</w:t>
      </w:r>
      <w:r w:rsidRPr="00DF0680">
        <w:rPr>
          <w:rFonts w:cs="Times New Roman"/>
        </w:rPr>
        <w:t xml:space="preserve">+Q5 (Student’s t-test, p value </w:t>
      </w:r>
      <w:r w:rsidR="00A03A7A" w:rsidRPr="00DF0680">
        <w:rPr>
          <w:rFonts w:cs="Times New Roman"/>
        </w:rPr>
        <w:t>&lt;0.0001</w:t>
      </w:r>
      <w:r w:rsidR="000E299D" w:rsidRPr="00DF0680">
        <w:rPr>
          <w:rFonts w:cs="Times New Roman"/>
        </w:rPr>
        <w:t>) (Figure 4.7 B + E).</w:t>
      </w:r>
    </w:p>
    <w:p w:rsidR="000F4A2B" w:rsidRPr="00DF0680" w:rsidRDefault="000F4A2B" w:rsidP="000F4A2B">
      <w:pPr>
        <w:rPr>
          <w:rFonts w:cs="Times New Roman"/>
        </w:rPr>
      </w:pPr>
      <w:r w:rsidRPr="00DF0680">
        <w:rPr>
          <w:rFonts w:cs="Times New Roman"/>
        </w:rPr>
        <w:t xml:space="preserve">Only </w:t>
      </w:r>
      <w:r w:rsidR="00471D18" w:rsidRPr="00DF0680">
        <w:rPr>
          <w:rFonts w:cs="Times New Roman"/>
        </w:rPr>
        <w:t>MRC5V2</w:t>
      </w:r>
      <w:r w:rsidRPr="00DF0680">
        <w:rPr>
          <w:rFonts w:cs="Times New Roman"/>
        </w:rPr>
        <w:t xml:space="preserve">+Q5 cells saw a significant increase in the percentage of stalled forks when treated with camptothecin (Student’s t-test, p value = </w:t>
      </w:r>
      <w:r w:rsidR="00A03A7A" w:rsidRPr="00DF0680">
        <w:rPr>
          <w:rFonts w:cs="Times New Roman"/>
        </w:rPr>
        <w:t>0.0</w:t>
      </w:r>
      <w:r w:rsidRPr="00DF0680">
        <w:rPr>
          <w:rFonts w:cs="Times New Roman"/>
        </w:rPr>
        <w:t xml:space="preserve">47) (Figure 4.7 F). There were no differences in fork stalling between cell lines treated with camptothecin. The percentage of endogenous and camptothecin induced stalled forks was slightly increased when compared to previous endogenous fork data (Figure 4.3 B) (4-8 % to 12 %) but there was still a significant decrease in endogenous stalled forks cells over-expressing RECQL5β compared to wild-type cells (Student’s t-test, p value = </w:t>
      </w:r>
      <w:r w:rsidR="00A03A7A" w:rsidRPr="00DF0680">
        <w:rPr>
          <w:rFonts w:cs="Times New Roman"/>
        </w:rPr>
        <w:t>0.0</w:t>
      </w:r>
      <w:r w:rsidRPr="00DF0680">
        <w:rPr>
          <w:rFonts w:cs="Times New Roman"/>
        </w:rPr>
        <w:t xml:space="preserve">29). </w:t>
      </w:r>
    </w:p>
    <w:p w:rsidR="000F4A2B" w:rsidRPr="00DF0680" w:rsidRDefault="000F4A2B" w:rsidP="000F4A2B">
      <w:pPr>
        <w:rPr>
          <w:rFonts w:cs="Times New Roman"/>
        </w:rPr>
      </w:pPr>
    </w:p>
    <w:p w:rsidR="000F4A2B" w:rsidRPr="00DF0680" w:rsidRDefault="001F0601" w:rsidP="000F4A2B">
      <w:pPr>
        <w:keepNext/>
        <w:rPr>
          <w:rFonts w:cs="Times New Roman"/>
        </w:rPr>
      </w:pPr>
      <w:r w:rsidRPr="00DF0680">
        <w:lastRenderedPageBreak/>
        <w:drawing>
          <wp:inline distT="0" distB="0" distL="0" distR="0">
            <wp:extent cx="5400040" cy="5832695"/>
            <wp:effectExtent l="0" t="0" r="0" b="0"/>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srcRect/>
                    <a:stretch>
                      <a:fillRect/>
                    </a:stretch>
                  </pic:blipFill>
                  <pic:spPr bwMode="auto">
                    <a:xfrm>
                      <a:off x="0" y="0"/>
                      <a:ext cx="5400040" cy="5832695"/>
                    </a:xfrm>
                    <a:prstGeom prst="rect">
                      <a:avLst/>
                    </a:prstGeom>
                    <a:noFill/>
                    <a:ln w="9525">
                      <a:noFill/>
                      <a:miter lim="800000"/>
                      <a:headEnd/>
                      <a:tailEnd/>
                    </a:ln>
                  </pic:spPr>
                </pic:pic>
              </a:graphicData>
            </a:graphic>
          </wp:inline>
        </w:drawing>
      </w:r>
    </w:p>
    <w:p w:rsidR="000F4A2B" w:rsidRPr="00DF0680" w:rsidRDefault="000F4A2B" w:rsidP="00D94477">
      <w:pPr>
        <w:pStyle w:val="Caption"/>
      </w:pPr>
      <w:bookmarkStart w:id="654" w:name="_Toc410221393"/>
      <w:bookmarkStart w:id="655" w:name="_Toc417813906"/>
      <w:r w:rsidRPr="00DF0680">
        <w:t xml:space="preserve">Figure </w:t>
      </w:r>
      <w:fldSimple w:instr=" STYLEREF 1 \s ">
        <w:r w:rsidR="006119E3">
          <w:rPr>
            <w:noProof/>
          </w:rPr>
          <w:t>4</w:t>
        </w:r>
      </w:fldSimple>
      <w:r w:rsidR="006119E3">
        <w:t>.</w:t>
      </w:r>
      <w:fldSimple w:instr=" SEQ Figure \* ARABIC \s 1 ">
        <w:r w:rsidR="006119E3">
          <w:rPr>
            <w:noProof/>
          </w:rPr>
          <w:t>6</w:t>
        </w:r>
      </w:fldSimple>
      <w:r w:rsidRPr="00DF0680">
        <w:t xml:space="preserve"> – Replication fork restart after hydroxyurea treatment</w:t>
      </w:r>
      <w:bookmarkEnd w:id="654"/>
      <w:bookmarkEnd w:id="655"/>
      <w:r w:rsidRPr="00DF0680">
        <w:t xml:space="preserve"> </w:t>
      </w:r>
    </w:p>
    <w:p w:rsidR="000F4A2B" w:rsidRPr="00DF0680" w:rsidRDefault="000F4A2B" w:rsidP="00D94477">
      <w:pPr>
        <w:pStyle w:val="Caption"/>
        <w:rPr>
          <w:b w:val="0"/>
        </w:rPr>
      </w:pPr>
      <w:r w:rsidRPr="00DF0680">
        <w:rPr>
          <w:b w:val="0"/>
        </w:rPr>
        <w:t xml:space="preserve">Wild-type </w:t>
      </w:r>
      <w:r w:rsidR="00471D18" w:rsidRPr="00DF0680">
        <w:rPr>
          <w:b w:val="0"/>
        </w:rPr>
        <w:t>MRC5V2</w:t>
      </w:r>
      <w:r w:rsidRPr="00DF0680">
        <w:rPr>
          <w:b w:val="0"/>
        </w:rPr>
        <w:t xml:space="preserve"> cells and those over-expressing RECQL5 (</w:t>
      </w:r>
      <w:r w:rsidR="00471D18" w:rsidRPr="00DF0680">
        <w:rPr>
          <w:b w:val="0"/>
        </w:rPr>
        <w:t>MRC5V2</w:t>
      </w:r>
      <w:r w:rsidRPr="00DF0680">
        <w:rPr>
          <w:b w:val="0"/>
        </w:rPr>
        <w:t>+Q5) and helicase-dead RECQL5 (</w:t>
      </w:r>
      <w:r w:rsidR="00471D18" w:rsidRPr="00DF0680">
        <w:rPr>
          <w:b w:val="0"/>
        </w:rPr>
        <w:t>MRC5V2</w:t>
      </w:r>
      <w:r w:rsidRPr="00DF0680">
        <w:rPr>
          <w:b w:val="0"/>
        </w:rPr>
        <w:t xml:space="preserve">+Q5KR) were incubated with both thymidine </w:t>
      </w:r>
      <w:r w:rsidR="00FE547D" w:rsidRPr="00DF0680">
        <w:rPr>
          <w:b w:val="0"/>
        </w:rPr>
        <w:t>analogue</w:t>
      </w:r>
      <w:r w:rsidRPr="00DF0680">
        <w:rPr>
          <w:b w:val="0"/>
        </w:rPr>
        <w:t xml:space="preserve">s separated by a 2 hour treatment with 2 mM hydroxyurea (A). Percentage of continued forks (B), percentage of stalled forks (C) and new origins fired (D) were calculated. </w:t>
      </w:r>
      <w:r w:rsidR="00EB056B" w:rsidRPr="00DF0680">
        <w:rPr>
          <w:b w:val="0"/>
        </w:rPr>
        <w:t>F</w:t>
      </w:r>
      <w:r w:rsidRPr="00DF0680">
        <w:rPr>
          <w:b w:val="0"/>
        </w:rPr>
        <w:t>ork speed</w:t>
      </w:r>
      <w:r w:rsidR="00EB056B" w:rsidRPr="00DF0680">
        <w:rPr>
          <w:b w:val="0"/>
        </w:rPr>
        <w:t>s were</w:t>
      </w:r>
      <w:r w:rsidRPr="00DF0680">
        <w:rPr>
          <w:b w:val="0"/>
        </w:rPr>
        <w:t xml:space="preserve"> calculated from IdU tracts (E). </w:t>
      </w:r>
      <w:r w:rsidR="00EB056B" w:rsidRPr="00DF0680">
        <w:rPr>
          <w:b w:val="0"/>
        </w:rPr>
        <w:t xml:space="preserve">Speeds </w:t>
      </w:r>
      <w:r w:rsidR="00EB056B" w:rsidRPr="00DF0680">
        <w:rPr>
          <w:rFonts w:cs="Times New Roman"/>
          <w:b w:val="0"/>
        </w:rPr>
        <w:t>between the 10</w:t>
      </w:r>
      <w:r w:rsidR="00EB056B" w:rsidRPr="00DF0680">
        <w:rPr>
          <w:rFonts w:cs="Times New Roman"/>
          <w:b w:val="0"/>
          <w:vertAlign w:val="superscript"/>
        </w:rPr>
        <w:t>th</w:t>
      </w:r>
      <w:r w:rsidR="00EB056B" w:rsidRPr="00DF0680">
        <w:rPr>
          <w:rFonts w:cs="Times New Roman"/>
          <w:b w:val="0"/>
        </w:rPr>
        <w:t xml:space="preserve"> and 90</w:t>
      </w:r>
      <w:r w:rsidR="00EB056B" w:rsidRPr="00DF0680">
        <w:rPr>
          <w:rFonts w:cs="Times New Roman"/>
          <w:b w:val="0"/>
          <w:vertAlign w:val="superscript"/>
        </w:rPr>
        <w:t>th</w:t>
      </w:r>
      <w:r w:rsidR="00EB056B" w:rsidRPr="00DF0680">
        <w:rPr>
          <w:rFonts w:cs="Times New Roman"/>
          <w:b w:val="0"/>
        </w:rPr>
        <w:t xml:space="preserve"> percentiles are shown in a box and whisker diagram with all other speeds indicated as dots. A total of 750 forks for each cell line were counted (250 from each of 3 independent repeats).</w:t>
      </w:r>
      <w:r w:rsidR="00EB056B" w:rsidRPr="00DF0680">
        <w:rPr>
          <w:b w:val="0"/>
        </w:rPr>
        <w:t xml:space="preserve"> </w:t>
      </w:r>
      <w:r w:rsidRPr="00DF0680">
        <w:rPr>
          <w:b w:val="0"/>
        </w:rPr>
        <w:t>(F) Distribution of fork speed</w:t>
      </w:r>
      <w:r w:rsidR="00EB056B" w:rsidRPr="00DF0680">
        <w:rPr>
          <w:b w:val="0"/>
        </w:rPr>
        <w:t>s after hydroxyurea treatment is</w:t>
      </w:r>
      <w:r w:rsidRPr="00DF0680">
        <w:rPr>
          <w:b w:val="0"/>
        </w:rPr>
        <w:t xml:space="preserve"> s</w:t>
      </w:r>
      <w:r w:rsidR="00EB056B" w:rsidRPr="00DF0680">
        <w:rPr>
          <w:b w:val="0"/>
        </w:rPr>
        <w:t>hown</w:t>
      </w:r>
      <w:r w:rsidRPr="00DF0680">
        <w:rPr>
          <w:b w:val="0"/>
        </w:rPr>
        <w:t xml:space="preserve"> </w:t>
      </w:r>
      <w:r w:rsidR="00EB056B" w:rsidRPr="00DF0680">
        <w:rPr>
          <w:b w:val="0"/>
        </w:rPr>
        <w:t>(a</w:t>
      </w:r>
      <w:r w:rsidRPr="00DF0680">
        <w:rPr>
          <w:b w:val="0"/>
        </w:rPr>
        <w:t>verages and standard deviations of three independent repeats</w:t>
      </w:r>
      <w:r w:rsidR="00EB056B" w:rsidRPr="00DF0680">
        <w:rPr>
          <w:b w:val="0"/>
        </w:rPr>
        <w:t>)</w:t>
      </w:r>
      <w:r w:rsidRPr="00DF0680">
        <w:rPr>
          <w:b w:val="0"/>
        </w:rPr>
        <w:t xml:space="preserve">. </w:t>
      </w:r>
      <w:r w:rsidR="00EB056B" w:rsidRPr="00DF0680">
        <w:rPr>
          <w:b w:val="0"/>
        </w:rPr>
        <w:t>*** indicates a Student’s t test p value of &lt;0.0001.</w:t>
      </w:r>
      <w:r w:rsidRPr="00DF0680">
        <w:rPr>
          <w:b w:val="0"/>
        </w:rPr>
        <w:t xml:space="preserve"> </w:t>
      </w:r>
    </w:p>
    <w:p w:rsidR="000F4A2B" w:rsidRPr="00DF0680" w:rsidRDefault="000F4A2B" w:rsidP="000F4A2B">
      <w:pPr>
        <w:rPr>
          <w:rFonts w:cs="Times New Roman"/>
        </w:rPr>
      </w:pPr>
      <w:r w:rsidRPr="00DF0680">
        <w:rPr>
          <w:rFonts w:cs="Times New Roman"/>
        </w:rPr>
        <w:lastRenderedPageBreak/>
        <w:t xml:space="preserve">Only </w:t>
      </w:r>
      <w:r w:rsidR="00471D18" w:rsidRPr="00DF0680">
        <w:rPr>
          <w:rFonts w:cs="Times New Roman"/>
        </w:rPr>
        <w:t>MRC5V2</w:t>
      </w:r>
      <w:r w:rsidRPr="00DF0680">
        <w:rPr>
          <w:rFonts w:cs="Times New Roman"/>
        </w:rPr>
        <w:t xml:space="preserve"> showed a significant increase in the number of new origins fired when treated with camptothecin (Student’s t-test, p value = </w:t>
      </w:r>
      <w:r w:rsidR="000E299D" w:rsidRPr="00DF0680">
        <w:rPr>
          <w:rFonts w:cs="Times New Roman"/>
        </w:rPr>
        <w:t>0.0</w:t>
      </w:r>
      <w:r w:rsidRPr="00DF0680">
        <w:rPr>
          <w:rFonts w:cs="Times New Roman"/>
        </w:rPr>
        <w:t>22) (Figure 4.7 G). There were no differences in new origin firing between cell lines treated with camptothecin. Percentages of new origins fire</w:t>
      </w:r>
      <w:r w:rsidR="000E299D" w:rsidRPr="00DF0680">
        <w:rPr>
          <w:rFonts w:cs="Times New Roman"/>
        </w:rPr>
        <w:t>d in untreated and camptothecin-</w:t>
      </w:r>
      <w:r w:rsidRPr="00DF0680">
        <w:rPr>
          <w:rFonts w:cs="Times New Roman"/>
        </w:rPr>
        <w:t xml:space="preserve">treated </w:t>
      </w:r>
      <w:r w:rsidR="00471D18" w:rsidRPr="00DF0680">
        <w:rPr>
          <w:rFonts w:cs="Times New Roman"/>
        </w:rPr>
        <w:t>MRC5V2</w:t>
      </w:r>
      <w:r w:rsidRPr="00DF0680">
        <w:rPr>
          <w:rFonts w:cs="Times New Roman"/>
        </w:rPr>
        <w:t xml:space="preserve">+Q5 and </w:t>
      </w:r>
      <w:r w:rsidR="00471D18" w:rsidRPr="00DF0680">
        <w:rPr>
          <w:rFonts w:cs="Times New Roman"/>
        </w:rPr>
        <w:t>MRC5V2</w:t>
      </w:r>
      <w:r w:rsidRPr="00DF0680">
        <w:rPr>
          <w:rFonts w:cs="Times New Roman"/>
        </w:rPr>
        <w:t xml:space="preserve">+Q5KR cells were increased compared to previous endogenous fork data (Figure 4.3 C). In this experiment, untreated </w:t>
      </w:r>
      <w:r w:rsidR="00471D18" w:rsidRPr="00DF0680">
        <w:rPr>
          <w:rFonts w:cs="Times New Roman"/>
        </w:rPr>
        <w:t>MRC5V2</w:t>
      </w:r>
      <w:r w:rsidRPr="00DF0680">
        <w:rPr>
          <w:rFonts w:cs="Times New Roman"/>
        </w:rPr>
        <w:t>+Q5 cells showed a significant increase in new origin firing compared to wild-type, the opposite to the result shown earlier (Figure 4.3 C). This may reflect changes in fork dynamics after significant cell passaging</w:t>
      </w:r>
      <w:r w:rsidR="000E299D" w:rsidRPr="00DF0680">
        <w:rPr>
          <w:rFonts w:cs="Times New Roman"/>
        </w:rPr>
        <w:t xml:space="preserve"> due to acquired mutations</w:t>
      </w:r>
      <w:r w:rsidRPr="00DF0680">
        <w:rPr>
          <w:rFonts w:cs="Times New Roman"/>
        </w:rPr>
        <w:t xml:space="preserve">. </w:t>
      </w:r>
    </w:p>
    <w:p w:rsidR="000F4A2B" w:rsidRPr="00DF0680" w:rsidRDefault="001F0601" w:rsidP="000F4A2B">
      <w:pPr>
        <w:rPr>
          <w:rFonts w:cs="Times New Roman"/>
        </w:rPr>
      </w:pPr>
      <w:r w:rsidRPr="00DF0680">
        <w:drawing>
          <wp:inline distT="0" distB="0" distL="0" distR="0">
            <wp:extent cx="5400040" cy="5675813"/>
            <wp:effectExtent l="0" t="0" r="0" b="0"/>
            <wp:docPr id="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srcRect/>
                    <a:stretch>
                      <a:fillRect/>
                    </a:stretch>
                  </pic:blipFill>
                  <pic:spPr bwMode="auto">
                    <a:xfrm>
                      <a:off x="0" y="0"/>
                      <a:ext cx="5400040" cy="5675813"/>
                    </a:xfrm>
                    <a:prstGeom prst="rect">
                      <a:avLst/>
                    </a:prstGeom>
                    <a:noFill/>
                    <a:ln w="9525">
                      <a:noFill/>
                      <a:miter lim="800000"/>
                      <a:headEnd/>
                      <a:tailEnd/>
                    </a:ln>
                  </pic:spPr>
                </pic:pic>
              </a:graphicData>
            </a:graphic>
          </wp:inline>
        </w:drawing>
      </w:r>
    </w:p>
    <w:p w:rsidR="000F4A2B" w:rsidRPr="00DF0680" w:rsidRDefault="000F4A2B" w:rsidP="000F4A2B">
      <w:pPr>
        <w:jc w:val="right"/>
        <w:rPr>
          <w:rFonts w:cs="Times New Roman"/>
          <w:sz w:val="22"/>
        </w:rPr>
      </w:pPr>
      <w:r w:rsidRPr="00DF0680">
        <w:rPr>
          <w:rFonts w:cs="Times New Roman"/>
          <w:sz w:val="22"/>
        </w:rPr>
        <w:t>(Figure continues on the next page)</w:t>
      </w:r>
    </w:p>
    <w:p w:rsidR="000F4A2B" w:rsidRPr="00DF0680" w:rsidRDefault="001F0601" w:rsidP="000F4A2B">
      <w:pPr>
        <w:keepNext/>
        <w:rPr>
          <w:rFonts w:cs="Times New Roman"/>
        </w:rPr>
      </w:pPr>
      <w:r w:rsidRPr="00DF0680">
        <w:lastRenderedPageBreak/>
        <w:drawing>
          <wp:inline distT="0" distB="0" distL="0" distR="0">
            <wp:extent cx="5400040" cy="2337258"/>
            <wp:effectExtent l="0" t="0" r="0" b="0"/>
            <wp:docPr id="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a:stretch>
                      <a:fillRect/>
                    </a:stretch>
                  </pic:blipFill>
                  <pic:spPr bwMode="auto">
                    <a:xfrm>
                      <a:off x="0" y="0"/>
                      <a:ext cx="5400040" cy="2337258"/>
                    </a:xfrm>
                    <a:prstGeom prst="rect">
                      <a:avLst/>
                    </a:prstGeom>
                    <a:noFill/>
                    <a:ln w="9525">
                      <a:noFill/>
                      <a:miter lim="800000"/>
                      <a:headEnd/>
                      <a:tailEnd/>
                    </a:ln>
                  </pic:spPr>
                </pic:pic>
              </a:graphicData>
            </a:graphic>
          </wp:inline>
        </w:drawing>
      </w:r>
    </w:p>
    <w:p w:rsidR="000F4A2B" w:rsidRPr="00DF0680" w:rsidRDefault="000F4A2B" w:rsidP="00D94477">
      <w:pPr>
        <w:pStyle w:val="Caption"/>
      </w:pPr>
      <w:bookmarkStart w:id="656" w:name="_Toc410221394"/>
      <w:bookmarkStart w:id="657" w:name="_Toc417813907"/>
      <w:r w:rsidRPr="00DF0680">
        <w:t xml:space="preserve">Figure </w:t>
      </w:r>
      <w:fldSimple w:instr=" STYLEREF 1 \s ">
        <w:r w:rsidR="006119E3">
          <w:rPr>
            <w:noProof/>
          </w:rPr>
          <w:t>4</w:t>
        </w:r>
      </w:fldSimple>
      <w:r w:rsidR="006119E3">
        <w:t>.</w:t>
      </w:r>
      <w:fldSimple w:instr=" SEQ Figure \* ARABIC \s 1 ">
        <w:r w:rsidR="006119E3">
          <w:rPr>
            <w:noProof/>
          </w:rPr>
          <w:t>7</w:t>
        </w:r>
      </w:fldSimple>
      <w:r w:rsidRPr="00DF0680">
        <w:t xml:space="preserve"> – Replication fork dynamics in </w:t>
      </w:r>
      <w:r w:rsidR="00471D18" w:rsidRPr="00DF0680">
        <w:t>MRC5V2</w:t>
      </w:r>
      <w:r w:rsidRPr="00DF0680">
        <w:t xml:space="preserve"> cells over-expressing RECQL5β, during camptothecin treatment</w:t>
      </w:r>
      <w:bookmarkEnd w:id="656"/>
      <w:bookmarkEnd w:id="657"/>
    </w:p>
    <w:p w:rsidR="000F4A2B" w:rsidRPr="00DF0680" w:rsidRDefault="000F4A2B" w:rsidP="00D94477">
      <w:pPr>
        <w:pStyle w:val="Caption"/>
        <w:rPr>
          <w:b w:val="0"/>
        </w:rPr>
      </w:pPr>
      <w:r w:rsidRPr="00DF0680">
        <w:rPr>
          <w:b w:val="0"/>
        </w:rPr>
        <w:t xml:space="preserve">Wild-type </w:t>
      </w:r>
      <w:r w:rsidR="00471D18" w:rsidRPr="00DF0680">
        <w:rPr>
          <w:b w:val="0"/>
        </w:rPr>
        <w:t>MRC5V2</w:t>
      </w:r>
      <w:r w:rsidRPr="00DF0680">
        <w:rPr>
          <w:b w:val="0"/>
        </w:rPr>
        <w:t xml:space="preserve"> cells and those over-expressing RECQL5β (</w:t>
      </w:r>
      <w:r w:rsidR="00471D18" w:rsidRPr="00DF0680">
        <w:rPr>
          <w:b w:val="0"/>
        </w:rPr>
        <w:t>MRC5V2</w:t>
      </w:r>
      <w:r w:rsidRPr="00DF0680">
        <w:rPr>
          <w:b w:val="0"/>
        </w:rPr>
        <w:t>+Q5) and helicase-dead RECQL5β (</w:t>
      </w:r>
      <w:r w:rsidR="00471D18" w:rsidRPr="00DF0680">
        <w:rPr>
          <w:b w:val="0"/>
        </w:rPr>
        <w:t>MRC5V2</w:t>
      </w:r>
      <w:r w:rsidRPr="00DF0680">
        <w:rPr>
          <w:b w:val="0"/>
        </w:rPr>
        <w:t xml:space="preserve">+Q5KR) were incubated with both thymidine </w:t>
      </w:r>
      <w:r w:rsidR="00FE547D" w:rsidRPr="00DF0680">
        <w:rPr>
          <w:b w:val="0"/>
        </w:rPr>
        <w:t>analogue</w:t>
      </w:r>
      <w:r w:rsidRPr="00DF0680">
        <w:rPr>
          <w:b w:val="0"/>
        </w:rPr>
        <w:t xml:space="preserve">s in the presence of 10 nM CPT (A). (B) </w:t>
      </w:r>
      <w:r w:rsidR="004843C1" w:rsidRPr="00DF0680">
        <w:rPr>
          <w:b w:val="0"/>
        </w:rPr>
        <w:t>F</w:t>
      </w:r>
      <w:r w:rsidRPr="00DF0680">
        <w:rPr>
          <w:b w:val="0"/>
        </w:rPr>
        <w:t>ork speed</w:t>
      </w:r>
      <w:r w:rsidR="004843C1" w:rsidRPr="00DF0680">
        <w:rPr>
          <w:b w:val="0"/>
        </w:rPr>
        <w:t>s were</w:t>
      </w:r>
      <w:r w:rsidRPr="00DF0680">
        <w:rPr>
          <w:b w:val="0"/>
        </w:rPr>
        <w:t xml:space="preserve"> calculated from CldU tracts</w:t>
      </w:r>
      <w:r w:rsidR="004843C1" w:rsidRPr="00DF0680">
        <w:rPr>
          <w:b w:val="0"/>
        </w:rPr>
        <w:t xml:space="preserve"> and those </w:t>
      </w:r>
      <w:r w:rsidR="004843C1" w:rsidRPr="00DF0680">
        <w:rPr>
          <w:rFonts w:cs="Times New Roman"/>
          <w:b w:val="0"/>
        </w:rPr>
        <w:t>between the 10</w:t>
      </w:r>
      <w:r w:rsidR="004843C1" w:rsidRPr="00DF0680">
        <w:rPr>
          <w:rFonts w:cs="Times New Roman"/>
          <w:b w:val="0"/>
          <w:vertAlign w:val="superscript"/>
        </w:rPr>
        <w:t>th</w:t>
      </w:r>
      <w:r w:rsidR="004843C1" w:rsidRPr="00DF0680">
        <w:rPr>
          <w:rFonts w:cs="Times New Roman"/>
          <w:b w:val="0"/>
        </w:rPr>
        <w:t xml:space="preserve"> and 90</w:t>
      </w:r>
      <w:r w:rsidR="004843C1" w:rsidRPr="00DF0680">
        <w:rPr>
          <w:rFonts w:cs="Times New Roman"/>
          <w:b w:val="0"/>
          <w:vertAlign w:val="superscript"/>
        </w:rPr>
        <w:t>th</w:t>
      </w:r>
      <w:r w:rsidR="004843C1" w:rsidRPr="00DF0680">
        <w:rPr>
          <w:rFonts w:cs="Times New Roman"/>
          <w:b w:val="0"/>
        </w:rPr>
        <w:t xml:space="preserve"> percentiles are shown in a box and whisker diagram with all other speeds indicated as dots. A total of 750 forks for each cell line and treatment were counted (250 from each of 3 independent repeats)</w:t>
      </w:r>
      <w:r w:rsidRPr="00DF0680">
        <w:rPr>
          <w:b w:val="0"/>
        </w:rPr>
        <w:t xml:space="preserve"> (B). Distribution of for</w:t>
      </w:r>
      <w:r w:rsidR="004843C1" w:rsidRPr="00DF0680">
        <w:rPr>
          <w:b w:val="0"/>
        </w:rPr>
        <w:t>k speeds during CPT treatment is</w:t>
      </w:r>
      <w:r w:rsidRPr="00DF0680">
        <w:rPr>
          <w:b w:val="0"/>
        </w:rPr>
        <w:t xml:space="preserve"> shown for CldU in wild-type (C), RECQL5β over-expressing (D), and helicase-dead RECQL5β over-expressing</w:t>
      </w:r>
      <w:r w:rsidR="004843C1" w:rsidRPr="00DF0680">
        <w:rPr>
          <w:b w:val="0"/>
        </w:rPr>
        <w:t xml:space="preserve"> MRC5V2</w:t>
      </w:r>
      <w:r w:rsidRPr="00DF0680">
        <w:rPr>
          <w:b w:val="0"/>
        </w:rPr>
        <w:t xml:space="preserve"> cells (E). Percentages of stalled forks and new origins fired were calculated (F+G). Averages and standard deviations of three independent repeats are shown. *</w:t>
      </w:r>
      <w:r w:rsidR="004843C1" w:rsidRPr="00DF0680">
        <w:rPr>
          <w:b w:val="0"/>
        </w:rPr>
        <w:t xml:space="preserve"> and *** indicate</w:t>
      </w:r>
      <w:r w:rsidRPr="00DF0680">
        <w:rPr>
          <w:b w:val="0"/>
        </w:rPr>
        <w:t xml:space="preserve"> a Student’s t-test p value of &lt;0.05</w:t>
      </w:r>
      <w:r w:rsidR="004843C1" w:rsidRPr="00DF0680">
        <w:rPr>
          <w:b w:val="0"/>
        </w:rPr>
        <w:t xml:space="preserve"> and &lt;0.0001 respectively</w:t>
      </w:r>
      <w:r w:rsidRPr="00DF0680">
        <w:rPr>
          <w:b w:val="0"/>
        </w:rPr>
        <w:t xml:space="preserve">. </w:t>
      </w:r>
    </w:p>
    <w:p w:rsidR="000F4A2B" w:rsidRPr="00DF0680" w:rsidRDefault="000F4A2B" w:rsidP="00D94477">
      <w:pPr>
        <w:pStyle w:val="Caption"/>
      </w:pPr>
    </w:p>
    <w:p w:rsidR="00DB3E5C" w:rsidRPr="00DF0680" w:rsidRDefault="000E299D" w:rsidP="000F4A2B">
      <w:pPr>
        <w:rPr>
          <w:rFonts w:cs="Times New Roman"/>
        </w:rPr>
      </w:pPr>
      <w:r w:rsidRPr="00DF0680">
        <w:rPr>
          <w:rFonts w:cs="Times New Roman"/>
        </w:rPr>
        <w:t>The</w:t>
      </w:r>
      <w:r w:rsidR="000F4A2B" w:rsidRPr="00DF0680">
        <w:rPr>
          <w:rFonts w:cs="Times New Roman"/>
        </w:rPr>
        <w:t>s</w:t>
      </w:r>
      <w:r w:rsidRPr="00DF0680">
        <w:rPr>
          <w:rFonts w:cs="Times New Roman"/>
        </w:rPr>
        <w:t>e data suggest</w:t>
      </w:r>
      <w:r w:rsidR="000F4A2B" w:rsidRPr="00DF0680">
        <w:rPr>
          <w:rFonts w:cs="Times New Roman"/>
        </w:rPr>
        <w:t xml:space="preserve"> that RECQL5β has a helicase independent mechanism for protecting replication fork speeds </w:t>
      </w:r>
      <w:r w:rsidRPr="00DF0680">
        <w:rPr>
          <w:rFonts w:cs="Times New Roman"/>
        </w:rPr>
        <w:t>in the presence of camptothecin while functional</w:t>
      </w:r>
      <w:r w:rsidR="000F4A2B" w:rsidRPr="00DF0680">
        <w:rPr>
          <w:rFonts w:cs="Times New Roman"/>
        </w:rPr>
        <w:t xml:space="preserve"> RECQL5β does not seem to have a role in protecting forks from stalling or in new origin firing in the presence of camptothecin. However, as there is not a significant increase in fork stalling and new origin firing in all cells when treated with camptothecin, the treatment is not extensive enough to see differences. </w:t>
      </w:r>
    </w:p>
    <w:p w:rsidR="00DB3E5C" w:rsidRPr="00DF0680" w:rsidRDefault="00DB3E5C">
      <w:pPr>
        <w:spacing w:line="276" w:lineRule="auto"/>
        <w:jc w:val="left"/>
        <w:rPr>
          <w:rFonts w:cs="Times New Roman"/>
        </w:rPr>
      </w:pPr>
      <w:r w:rsidRPr="00DF0680">
        <w:rPr>
          <w:rFonts w:cs="Times New Roman"/>
        </w:rPr>
        <w:br w:type="page"/>
      </w:r>
    </w:p>
    <w:p w:rsidR="000F4A2B" w:rsidRPr="00DF0680" w:rsidRDefault="000F4A2B" w:rsidP="00E664FC">
      <w:pPr>
        <w:pStyle w:val="Heading2"/>
      </w:pPr>
      <w:bookmarkStart w:id="658" w:name="_Toc410221382"/>
      <w:bookmarkStart w:id="659" w:name="_Toc417204201"/>
      <w:bookmarkStart w:id="660" w:name="_Toc417204734"/>
      <w:bookmarkStart w:id="661" w:name="_Toc417204794"/>
      <w:r w:rsidRPr="00DF0680">
        <w:lastRenderedPageBreak/>
        <w:t>RECQL5β protects replication forks from DRB induced fork slowing</w:t>
      </w:r>
      <w:bookmarkEnd w:id="658"/>
      <w:bookmarkEnd w:id="659"/>
      <w:bookmarkEnd w:id="660"/>
      <w:bookmarkEnd w:id="661"/>
    </w:p>
    <w:p w:rsidR="000F4A2B" w:rsidRPr="00DF0680" w:rsidRDefault="000F4A2B" w:rsidP="000F4A2B">
      <w:pPr>
        <w:rPr>
          <w:rFonts w:cs="Times New Roman"/>
        </w:rPr>
      </w:pPr>
      <w:r w:rsidRPr="00DF0680">
        <w:rPr>
          <w:rFonts w:cs="Times New Roman"/>
        </w:rPr>
        <w:t xml:space="preserve">RECQL5β is the only RECQ helicase to interact with and bind to RNA Polymerase II subunit RPB1 </w:t>
      </w:r>
      <w:r w:rsidR="00F20EC0" w:rsidRPr="00DF0680">
        <w:rPr>
          <w:rFonts w:cs="Times New Roman"/>
        </w:rPr>
        <w:fldChar w:fldCharType="begin" w:fldLock="1"/>
      </w:r>
      <w:r w:rsidRPr="00DF0680">
        <w:rPr>
          <w:rFonts w:cs="Times New Roman"/>
        </w:rPr>
        <w:instrText>ADDIN CSL_CITATION { "citationItems" : [ { "id" : "ITEM-1", "itemData" : { "DOI" : "10.1073/pnas.0804424105", "ISSN" : "1091-6490", "PMID" : "18562274", "abstract" : "Although the active forms of factors involved in DNA-related processes such as DNA replication, repair, and transcription are associated with chromatin, proteins are rarely purified from this source. Here, we describe a protocol for the isolation of chromatin-associated factors and use it to identify proteins interacting with human RNA polymerase II (RNAPII). Our data establish RECQ5 helicase as a bona fide RNAPII-associated protein. The RECQ5-RNAPII interaction is direct and is mediated by the RPB1 subunit of RNAPII, and RECQ5 appears to be the only member of the human RECQ family of helicases that associates with RNAPII. These data suggest an unexpected role for RECQ5 helicase at the interface of transcription and genomic stability.", "author" : [ { "dropping-particle" : "", "family" : "Ayg\u00fcn", "given" : "Ozan", "non-dropping-particle" : "", "parse-names" : false, "suffix" : "" }, { "dropping-particle" : "", "family" : "Svejstrup", "given" : "Jesper", "non-dropping-particle" : "", "parse-names" : false, "suffix" : "" }, { "dropping-particle" : "", "family" : "Liu", "given" : "Yilun", "non-dropping-particle" : "", "parse-names" : false, "suffix" : "" } ], "container-title" : "Proceedings of the National Academy of Sciences", "id" : "ITEM-1", "issue" : "25", "issued" : { "date-parts" : [ [ "2008", "6", "24" ] ] }, "page" : "8580-4", "title" : "A RECQ5-RNA polymerase II association identified by targeted proteomic analysis of human chromatin.", "type" : "article-journal", "volume" : "105" }, "uris" : [ "http://www.mendeley.com/documents/?uuid=9b2350a4-753b-4c52-8b72-641f5c2a4488" ] } ], "mendeley" : { "formattedCitation" : "(Ayg\u00fcn et al. 2008)", "plainTextFormattedCitation" : "(Ayg\u00fcn et al. 2008)", "previouslyFormattedCitation" : "(Ayg\u00fcn et al. 2008)"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(Aygün et al. 2008)</w:t>
      </w:r>
      <w:r w:rsidR="00F20EC0" w:rsidRPr="00DF0680">
        <w:rPr>
          <w:rFonts w:cs="Times New Roman"/>
        </w:rPr>
        <w:fldChar w:fldCharType="end"/>
      </w:r>
      <w:r w:rsidRPr="00DF0680">
        <w:rPr>
          <w:rFonts w:cs="Times New Roman"/>
        </w:rPr>
        <w:t xml:space="preserve">. RECQL5β also inhibits transcription through this interaction </w:t>
      </w:r>
      <w:r w:rsidR="00F20EC0" w:rsidRPr="00DF0680">
        <w:rPr>
          <w:rFonts w:cs="Times New Roman"/>
        </w:rPr>
        <w:fldChar w:fldCharType="begin" w:fldLock="1"/>
      </w:r>
      <w:r w:rsidR="00332613" w:rsidRPr="00DF0680">
        <w:rPr>
          <w:rFonts w:cs="Times New Roman"/>
        </w:rPr>
        <w:instrText>ADDIN CSL_CITATION { "citationItems" : [ { "id" : "ITEM-1", "itemData" : { "DOI" : "10.1093/nar/gkq697", "ISSN" : "1362-4962", "PMID" : "20705653", "abstract" : "It is known that transcription can induce DNA recombination, thus compromising genomic stability. RECQ5 DNA helicase promotes genomic stability by regulating homologous recombination. Recent studies have shown that RECQ5 forms a stable complex with RNA polymerase II (RNAPII) in human cells, but the cellular role of this association is not understood. Here, we provide evidence that RECQ5 specifically binds to the Ser2,5-phosphorylated C-terminal repeat domain (CTD) of the largest subunit of RNAPII, RPB1, by means of a Set2-Rpb1-interacting (SRI) motif located at the C-terminus of RECQ5. We also show that RECQ5 associates with RNAPII-transcribed genes in a manner dependent on the SRI motif. Notably, RECQ5 density on transcribed genes correlates with the density of Ser2-CTD phosphorylation, which is associated with the productive elongation phase of transcription. Furthermore, we show that RECQ5 negatively affects cell viability upon inhibition of spliceosome assembly, which can lead to the formation of mutagenic R-loop structures. These data indicate that RECQ5 binds to the elongating RNAPII complex and support the idea that RECQ5 plays a role in the maintenance of genomic stability during transcription.", "author" : [ { "dropping-particle" : "", "family" : "Kanagaraj", "given" : "Radhakrishnan", "non-dropping-particle" : "", "parse-names" : false, "suffix" : "" }, { "dropping-particle" : "", "family" : "Huehn", "given" : "Daniela", "non-dropping-particle" : "", "parse-names" : false, "suffix" : "" }, { "dropping-particle" : "", "family" : "MacKellar", "given" : "April", "non-dropping-particle" : "", "parse-names" : false, "suffix" : "" }, { "dropping-particle" : "", "family" : "Menigatti", "given" : "Mirco", "non-dropping-particle" : "", "parse-names" : false, "suffix" : "" }, { "dropping-particle" : "", "family" : "Zheng", "given" : "Lu", "non-dropping-particle" : "", "parse-names" : false, "suffix" : "" }, { "dropping-particle" : "", "family" : "Urban", "given" : "Vaclav", "non-dropping-particle" : "", "parse-names" : false, "suffix" : "" }, { "dropping-particle" : "", "family" : "Shevelev", "given" : "Igor", "non-dropping-particle" : "", "parse-names" : false, "suffix" : "" }, { "dropping-particle" : "", "family" : "Greenleaf", "given" : "Arno L", "non-dropping-particle" : "", "parse-names" : false, "suffix" : "" }, { "dropping-particle" : "", "family" : "Janscak", "given" : "Pavel", "non-dropping-particle" : "", "parse-names" : false, "suffix" : "" } ], "container-title" : "Nucleic Acids Research", "id" : "ITEM-1", "issue" : "22", "issued" : { "date-parts" : [ [ "2010", "12" ] ] }, "page" : "8131-40", "title" : "RECQ5 helicase associates with the C-terminal repeat domain of RNA polymerase II during productive elongation phase of transcription.", "type" : "article-journal", "volume" : "38" }, "uris" : [ "http://www.mendeley.com/documents/?uuid=522c9559-c382-45eb-b974-fd10624080ef" ] }, { "id" : "ITEM-2", "itemData" : { "DOI" : "10.1016/j.cell.2014.03.048", "ISSN" : "1097-4172", "PMID" : "24836610", "abstract" : "RECQL5 is the sole member of the RECQ family of helicases associated with RNA polymerase II (RNAPII). We now show that RECQL5 is a general elongation factor that is important for preserving genome stability during transcription. Depletion or overexpression of RECQL5 results in corresponding shifts in the genome-wide RNAPII density profile. Elongation is particularly affected, with RECQL5 depletion causing a striking increase in the average rate, concurrent with increased stalling, pausing, arrest, and/or backtracking (transcription stress). RECQL5 therefore controls the movement of RNAPII across genes. Loss of RECQL5 also results in the loss or gain of genomic regions, with the breakpoints of lost regions located in genes and common fragile sites. The chromosomal breakpoints overlap with areas of elevated transcription stress, suggesting that RECQL5 suppresses such stress and its detrimental effects, and thereby prevents genome instability in the transcribed region of genes.", "author" : [ { "dropping-particle" : "", "family" : "Saponaro", "given" : "Marco", "non-dropping-particle" : "", "parse-names" : false, "suffix" : "" }, { "dropping-particle" : "", "family" : "Kantidakis", "given" : "Theodoros", "non-dropping-particle" : "", "parse-names" : false, "suffix" : "" }, { "dropping-particle" : "", "family" : "Mitter", "given" : "Richard", "non-dropping-particle" : "", "parse-names" : false, "suffix" : "" }, { "dropping-particle" : "", "family" : "Kelly", "given" : "Gavin P", "non-dropping-particle" : "", "parse-names" : false, "suffix" : "" }, { "dropping-particle" : "", "family" : "Heron", "given" : "Mark", "non-dropping-particle" : "", "parse-names" : false, "suffix" : "" }, { "dropping-particle" : "", "family" : "Williams", "given" : "Hannah", "non-dropping-particle" : "", "parse-names" : false, "suffix" : "" }, { "dropping-particle" : "", "family" : "S\u00f6ding", "given" : "Johannes", "non-dropping-particle" : "", "parse-names" : false, "suffix" : "" }, { "dropping-particle" : "", "family" : "Stewart", "given" : "Aengus", "non-dropping-particle" : "", "parse-names" : false, "suffix" : "" }, { "dropping-particle" : "", "family" : "Svejstrup", "given" : "Jesper Q", "non-dropping-particle" : "", "parse-names" : false, "suffix" : "" } ], "container-title" : "Cell", "id" : "ITEM-2", "issue" : "5", "issued" : { "date-parts" : [ [ "2014", "5", "14" ] ] }, "page" : "1037-1049", "title" : "RECQL5 Controls Transcript Elongation and Suppresses Genome Instability Associated with Transcription Stress.", "type" : "article-journal", "volume" : "157" }, "uris" : [ "http://www.mendeley.com/documents/?uuid=ae7d68fc-366a-46fc-ba2b-41a985d31baf" ] } ], "mendeley" : { "formattedCitation" : "(Kanagaraj et al. 2010; Saponaro et al. 2014)", "plainTextFormattedCitation" : "(Kanagaraj et al. 2010; Saponaro et al. 2014)", "previouslyFormattedCitation" : "(Kanagaraj et al. 2010; Saponaro et al. 2014)"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(Kanagaraj et al. 2010; Saponaro et al. 2014)</w:t>
      </w:r>
      <w:r w:rsidR="00F20EC0" w:rsidRPr="00DF0680">
        <w:rPr>
          <w:rFonts w:cs="Times New Roman"/>
        </w:rPr>
        <w:fldChar w:fldCharType="end"/>
      </w:r>
      <w:r w:rsidRPr="00DF0680">
        <w:rPr>
          <w:rFonts w:cs="Times New Roman"/>
        </w:rPr>
        <w:t xml:space="preserve">, and the increased DNA damage induced when RECQL5 is depleted is rescued when the transcription inhibitor DRB is added </w:t>
      </w:r>
      <w:r w:rsidR="00F20EC0" w:rsidRPr="00DF0680">
        <w:rPr>
          <w:rFonts w:cs="Times New Roman"/>
        </w:rPr>
        <w:fldChar w:fldCharType="begin" w:fldLock="1"/>
      </w:r>
      <w:r w:rsidR="00332613" w:rsidRPr="00DF0680">
        <w:rPr>
          <w:rFonts w:cs="Times New Roman"/>
        </w:rPr>
        <w:instrText>ADDIN CSL_CITATION { "citationItems" : [ { "id" : "ITEM-1", "itemData" : { "DOI" : "10.1128/MCB.01137-10", "ISSN" : "1098-5549", "PMID" : "21402780", "abstract" : "The conserved RECQ5 DNA helicase is a tumor suppressor in mammalian cells. Defects in RECQ5 lead to the accumulation of spontaneous DNA double-stranded breaks (DSBs) during replication, despite the fact that these cells are proficient in DSB repair by homologous recombination (HR). The reason for this is unknown. Here, we demonstrate that these DSBs are linked to RNA polymerase II (RNAPII)-dependent transcription. In human RECQ5-depleted cells, active RNAPII accumulates on chromatin, and DNA breaks are associated with an RNAPII-dependent transcribed locus. Hence, transcription inhibition eliminates both active RNAPII and spontaneous DSB formation. In addition, the regulatory effect of RECQ5 on transcription and its interaction with RNAPII are enhanced in S-phase cells, supporting a role for RECQ5 in preventing transcription-associated DSBs during replication. Finally, we show that the SET2-RPB1 interaction (SRI) domain of human RECQ5 is important for suppressing spontaneous DSBs and the p53-dependent transcription stress response caused by the stalling of active RNAPII on DNA. Thus, our studies provide novel insights into a mechanism by which RECQ5 regulates the transcription machinery via its dynamic interaction with RNAPII, thereby preventing genome instability.", "author" : [ { "dropping-particle" : "", "family" : "Li", "given" : "Min", "non-dropping-particle" : "", "parse-names" : false, "suffix" : "" }, { "dropping-particle" : "", "family" : "Xu", "given" : "Xiaohua", "non-dropping-particle" : "", "parse-names" : false, "suffix" : "" }, { "dropping-particle" : "", "family" : "Liu", "given" : "Yilun", "non-dropping-particle" : "", "parse-names" : false, "suffix" : "" } ], "container-title" : "Molecular and Cellular Biology", "id" : "ITEM-1", "issue" : "10", "issued" : { "date-parts" : [ [ "2011", "5" ] ] }, "page" : "2090-9", "title" : "The SET2-RPB1 interaction domain of human RECQ5 is important for transcription-associated genome stability.", "type" : "article-journal", "volume" : "31" }, "uris" : [ "http://www.mendeley.com/documents/?uuid=d85024d5-b596-4ac4-bbf7-6e648a3c5bef" ] } ], "mendeley" : { "formattedCitation" : "(Li et al. 2011)", "plainTextFormattedCitation" : "(Li et al. 2011)", "previouslyFormattedCitation" : "(Li et al. 2011)"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(Li et al. 2011)</w:t>
      </w:r>
      <w:r w:rsidR="00F20EC0" w:rsidRPr="00DF0680">
        <w:rPr>
          <w:rFonts w:cs="Times New Roman"/>
        </w:rPr>
        <w:fldChar w:fldCharType="end"/>
      </w:r>
      <w:r w:rsidRPr="00DF0680">
        <w:rPr>
          <w:rFonts w:cs="Times New Roman"/>
        </w:rPr>
        <w:t xml:space="preserve">. Together, this suggests that RECQL5β plays a role in preventing and / or repairing transcription-associated DNA damage by inhibiting </w:t>
      </w:r>
      <w:r w:rsidR="00577EA5" w:rsidRPr="00DF0680">
        <w:rPr>
          <w:rFonts w:cs="Times New Roman"/>
        </w:rPr>
        <w:t>RNA Pol II</w:t>
      </w:r>
      <w:r w:rsidRPr="00DF0680">
        <w:rPr>
          <w:rFonts w:cs="Times New Roman"/>
        </w:rPr>
        <w:t xml:space="preserve">. In addition, the work here shows that camptothecin, which is a topoisomerase I inhibitor, altered replication fork speed in a manner moderated by RECQL5. As topoisomerase I has been shown to play a role in suppressing transcription-associated DNA damage, using DNA fibre analysis, </w:t>
      </w:r>
      <w:r w:rsidR="00F20EC0" w:rsidRPr="00DF0680">
        <w:rPr>
          <w:rFonts w:cs="Times New Roman"/>
        </w:rPr>
        <w:fldChar w:fldCharType="begin" w:fldLock="1"/>
      </w:r>
      <w:r w:rsidR="00332613" w:rsidRPr="00DF0680">
        <w:rPr>
          <w:rFonts w:cs="Times New Roman"/>
        </w:rPr>
        <w:instrText>ADDIN CSL_CITATION { "citationItems" : [ { "id" : "ITEM-1", "itemData" : { "DOI" : "10.1038/ncb1984", "ISSN" : "1476-4679", "PMID" : "19838172", "abstract" : "Topoisomerase I (Top1) is a key enzyme in functioning at the interface between DNA replication, transcription and mRNA maturation. Here, we show that Top1 suppresses genomic instability in mammalian cells by preventing a conflict between transcription and DNA replication. Using DNA combing and ChIP (chromatin immunoprecipitation)-on-chip, we found that Top1-deficient cells accumulate stalled replication forks and chromosome breaks in S phase, and that breaks occur preferentially at gene-rich regions of the genome. Notably, these phenotypes were suppressed by preventing the formation of RNA-DNA hybrids (R-loops) during transcription. Moreover, these defects could be mimicked by depletion of the splicing factor ASF/SF2 (alternative splicing factor/splicing factor 2), which interacts functionally with Top1. Taken together, these data indicate that Top1 prevents replication fork collapse by suppressing the formation of R-loops in an ASF/SF2-dependent manner. We propose that interference between replication and transcription represents a major source of spontaneous replication stress, which could drive genomic instability during the early stages of tumorigenesis.", "author" : [ { "dropping-particle" : "", "family" : "Tuduri", "given" : "Sandie", "non-dropping-particle" : "", "parse-names" : false, "suffix" : "" }, { "dropping-particle" : "", "family" : "Crabb\u00e9", "given" : "Laure", "non-dropping-particle" : "", "parse-names" : false, "suffix" : "" }, { "dropping-particle" : "", "family" : "Conti", "given" : "Chiara", "non-dropping-particle" : "", "parse-names" : false, "suffix" : "" }, { "dropping-particle" : "", "family" : "Tourri\u00e8re", "given" : "H\u00e9l\u00e8ne", "non-dropping-particle" : "", "parse-names" : false, "suffix" : "" }, { "dropping-particle" : "", "family" : "Holtgreve-Grez", "given" : "Heidi", "non-dropping-particle" : "", "parse-names" : false, "suffix" : "" }, { "dropping-particle" : "", "family" : "Jauch", "given" : "Anna", "non-dropping-particle" : "", "parse-names" : false, "suffix" : "" }, { "dropping-particle" : "", "family" : "Pantesco", "given" : "V\u00e9ronique", "non-dropping-particle" : "", "parse-names" : false, "suffix" : "" }, { "dropping-particle" : "", "family" : "Vos", "given" : "John", "non-dropping-particle" : "De", "parse-names" : false, "suffix" : "" }, { "dropping-particle" : "", "family" : "Thomas", "given" : "Aubin", "non-dropping-particle" : "", "parse-names" : false, "suffix" : "" }, { "dropping-particle" : "", "family" : "Theillet", "given" : "Charles", "non-dropping-particle" : "", "parse-names" : false, "suffix" : "" }, { "dropping-particle" : "", "family" : "Pommier", "given" : "Yves", "non-dropping-particle" : "", "parse-names" : false, "suffix" : "" }, { "dropping-particle" : "", "family" : "Tazi", "given" : "Jamal", "non-dropping-particle" : "", "parse-names" : false, "suffix" : "" }, { "dropping-particle" : "", "family" : "Coquelle", "given" : "Arnaud", "non-dropping-particle" : "", "parse-names" : false, "suffix" : "" }, { "dropping-particle" : "", "family" : "Pasero", "given" : "Philippe", "non-dropping-particle" : "", "parse-names" : false, "suffix" : "" } ], "container-title" : "Nature Cell Biology", "id" : "ITEM-1", "issue" : "11", "issued" : { "date-parts" : [ [ "2009", "11" ] ] }, "page" : "1315-24", "publisher" : "Nature Publishing Group", "title" : "Topoisomerase I suppresses genomic instability by preventing interference between replication and transcription.", "type" : "article-journal", "volume" : "11" }, "uris" : [ "http://www.mendeley.com/documents/?uuid=9ae73ee5-6720-44a5-8de1-8c35ffff99e8" ] } ], "mendeley" : { "formattedCitation" : "(Tuduri et al. 2009)", "plainTextFormattedCitation" : "(Tuduri et al. 2009)", "previouslyFormattedCitation" : "(Tuduri et al. 2009)"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(Tuduri et al. 2009)</w:t>
      </w:r>
      <w:r w:rsidR="00F20EC0" w:rsidRPr="00DF0680">
        <w:rPr>
          <w:rFonts w:cs="Times New Roman"/>
        </w:rPr>
        <w:fldChar w:fldCharType="end"/>
      </w:r>
      <w:r w:rsidRPr="00DF0680">
        <w:rPr>
          <w:rFonts w:cs="Times New Roman"/>
        </w:rPr>
        <w:t xml:space="preserve">, we hypothesised that RECQL5 would play a role in transcription-associated DNA damage, and that this could be seen using DNA fibre analysis. </w:t>
      </w:r>
    </w:p>
    <w:p w:rsidR="001A4D11" w:rsidRPr="00DF0680" w:rsidRDefault="000F4A2B" w:rsidP="000F4A2B">
      <w:pPr>
        <w:rPr>
          <w:rFonts w:cs="Times New Roman"/>
        </w:rPr>
      </w:pPr>
      <w:r w:rsidRPr="00DF0680">
        <w:rPr>
          <w:rFonts w:cs="Times New Roman"/>
        </w:rPr>
        <w:t xml:space="preserve">Cells were incubated for 12 hours with the transcription inhibitor DRB before adding the thymidine </w:t>
      </w:r>
      <w:r w:rsidR="00FE547D" w:rsidRPr="00DF0680">
        <w:rPr>
          <w:rFonts w:cs="Times New Roman"/>
        </w:rPr>
        <w:t>analogue</w:t>
      </w:r>
      <w:r w:rsidRPr="00DF0680">
        <w:rPr>
          <w:rFonts w:cs="Times New Roman"/>
        </w:rPr>
        <w:t xml:space="preserve">s (Figure 4.8 A). </w:t>
      </w:r>
      <w:r w:rsidR="001A4D11" w:rsidRPr="00DF0680">
        <w:rPr>
          <w:rFonts w:cs="Times New Roman"/>
        </w:rPr>
        <w:t xml:space="preserve">The </w:t>
      </w:r>
      <w:r w:rsidRPr="00DF0680">
        <w:rPr>
          <w:rFonts w:cs="Times New Roman"/>
        </w:rPr>
        <w:t xml:space="preserve">same trend seen with camptothecin </w:t>
      </w:r>
      <w:r w:rsidR="001A4D11" w:rsidRPr="00DF0680">
        <w:rPr>
          <w:rFonts w:cs="Times New Roman"/>
        </w:rPr>
        <w:t xml:space="preserve">treatment was seen in the fork dynamics of DRB treated cells </w:t>
      </w:r>
      <w:r w:rsidRPr="00DF0680">
        <w:rPr>
          <w:rFonts w:cs="Times New Roman"/>
        </w:rPr>
        <w:t xml:space="preserve">(Figure 4.8 B). Adding DRB to wild-type </w:t>
      </w:r>
      <w:r w:rsidR="00471D18" w:rsidRPr="00DF0680">
        <w:rPr>
          <w:rFonts w:cs="Times New Roman"/>
        </w:rPr>
        <w:t>MRC5V2</w:t>
      </w:r>
      <w:r w:rsidR="001A4D11" w:rsidRPr="00DF0680">
        <w:rPr>
          <w:rFonts w:cs="Times New Roman"/>
        </w:rPr>
        <w:t xml:space="preserve"> cells</w:t>
      </w:r>
      <w:r w:rsidRPr="00DF0680">
        <w:rPr>
          <w:rFonts w:cs="Times New Roman"/>
        </w:rPr>
        <w:t xml:space="preserve"> slowed replication fork speeds (Student’s t-test, p value </w:t>
      </w:r>
      <w:r w:rsidR="001A4D11" w:rsidRPr="00DF0680">
        <w:rPr>
          <w:rFonts w:cs="Times New Roman"/>
        </w:rPr>
        <w:t>&lt;0.0001</w:t>
      </w:r>
      <w:r w:rsidRPr="00DF0680">
        <w:rPr>
          <w:rFonts w:cs="Times New Roman"/>
        </w:rPr>
        <w:t xml:space="preserve">). When DRB was added to RECQL5β over-expressing cells, no difference in replication fork speed was seen. Finally, there was an increase in fork speed when DRB was added to </w:t>
      </w:r>
      <w:r w:rsidR="00471D18" w:rsidRPr="00DF0680">
        <w:rPr>
          <w:rFonts w:cs="Times New Roman"/>
        </w:rPr>
        <w:t>MRC5V2</w:t>
      </w:r>
      <w:r w:rsidRPr="00DF0680">
        <w:rPr>
          <w:rFonts w:cs="Times New Roman"/>
        </w:rPr>
        <w:t xml:space="preserve"> cells expressing the helicase dead protein (Student’s t-test, p value</w:t>
      </w:r>
      <w:r w:rsidR="001A4D11" w:rsidRPr="00DF0680">
        <w:rPr>
          <w:rFonts w:cs="Times New Roman"/>
        </w:rPr>
        <w:t xml:space="preserve"> &lt;0.0001</w:t>
      </w:r>
      <w:r w:rsidRPr="00DF0680">
        <w:rPr>
          <w:rFonts w:cs="Times New Roman"/>
        </w:rPr>
        <w:t xml:space="preserve">) (Figure 4.8C). </w:t>
      </w:r>
    </w:p>
    <w:p w:rsidR="000F4A2B" w:rsidRPr="00DF0680" w:rsidRDefault="000F4A2B" w:rsidP="000F4A2B">
      <w:pPr>
        <w:rPr>
          <w:rFonts w:cs="Times New Roman"/>
        </w:rPr>
      </w:pPr>
      <w:r w:rsidRPr="00DF0680">
        <w:rPr>
          <w:rFonts w:cs="Times New Roman"/>
        </w:rPr>
        <w:t>DRB did not increase the number of stalled forks or new origins fired when compared to untreated cells. As with camptothecin, there was no difference in the number of stalled forks or new origins fired between cell lines in the presence of DRB (Figure 4.8 F+G).</w:t>
      </w:r>
    </w:p>
    <w:p w:rsidR="000F4A2B" w:rsidRPr="00DF0680" w:rsidRDefault="00C876FE" w:rsidP="000F4A2B">
      <w:pPr>
        <w:rPr>
          <w:rFonts w:cs="Times New Roman"/>
        </w:rPr>
      </w:pPr>
      <w:r w:rsidRPr="00DF0680">
        <w:rPr>
          <w:rFonts w:cs="Times New Roman"/>
        </w:rPr>
        <w:t>In order to investigate the long term effects of DRB treatment in MRC5V2 cells, clonogenic survival assays were performed.</w:t>
      </w:r>
      <w:r w:rsidR="000F4A2B" w:rsidRPr="00DF0680">
        <w:rPr>
          <w:rFonts w:cs="Times New Roman"/>
        </w:rPr>
        <w:t xml:space="preserve"> </w:t>
      </w:r>
      <w:r w:rsidRPr="00DF0680">
        <w:rPr>
          <w:rFonts w:cs="Times New Roman"/>
        </w:rPr>
        <w:t>T</w:t>
      </w:r>
      <w:r w:rsidR="000F4A2B" w:rsidRPr="00DF0680">
        <w:rPr>
          <w:rFonts w:cs="Times New Roman"/>
        </w:rPr>
        <w:t xml:space="preserve">he </w:t>
      </w:r>
      <w:r w:rsidR="00471D18" w:rsidRPr="00DF0680">
        <w:rPr>
          <w:rFonts w:cs="Times New Roman"/>
        </w:rPr>
        <w:t>MRC5V2</w:t>
      </w:r>
      <w:r w:rsidR="000F4A2B" w:rsidRPr="00DF0680">
        <w:rPr>
          <w:rFonts w:cs="Times New Roman"/>
        </w:rPr>
        <w:t xml:space="preserve"> cells over-expressing either the fully functional or the helicase dead RECQL5β were more sensitive to DRB at higher concentrations compared to wild-type </w:t>
      </w:r>
      <w:r w:rsidR="00471D18" w:rsidRPr="00DF0680">
        <w:rPr>
          <w:rFonts w:cs="Times New Roman"/>
        </w:rPr>
        <w:t>MRC5V2</w:t>
      </w:r>
      <w:r w:rsidR="000F4A2B" w:rsidRPr="00DF0680">
        <w:rPr>
          <w:rFonts w:cs="Times New Roman"/>
        </w:rPr>
        <w:t xml:space="preserve"> cells (Student’s t-test, p value = </w:t>
      </w:r>
      <w:r w:rsidRPr="00DF0680">
        <w:rPr>
          <w:rFonts w:cs="Times New Roman"/>
        </w:rPr>
        <w:t>0.00</w:t>
      </w:r>
      <w:r w:rsidR="000F4A2B" w:rsidRPr="00DF0680">
        <w:rPr>
          <w:rFonts w:cs="Times New Roman"/>
        </w:rPr>
        <w:t xml:space="preserve">61 and </w:t>
      </w:r>
      <w:r w:rsidRPr="00DF0680">
        <w:rPr>
          <w:rFonts w:cs="Times New Roman"/>
        </w:rPr>
        <w:t>0.00</w:t>
      </w:r>
      <w:r w:rsidR="000F4A2B" w:rsidRPr="00DF0680">
        <w:rPr>
          <w:rFonts w:cs="Times New Roman"/>
        </w:rPr>
        <w:t xml:space="preserve">23 respectively) (Figure 4.9 A + B). However, when RECQL5β was </w:t>
      </w:r>
      <w:r w:rsidR="000F4A2B" w:rsidRPr="00DF0680">
        <w:rPr>
          <w:rFonts w:cs="Times New Roman"/>
        </w:rPr>
        <w:lastRenderedPageBreak/>
        <w:t xml:space="preserve">depleted using RNAi in the wild-type cells there was no increase or decrease in sensitivity to DRB (Figure 4.9 C + D). </w:t>
      </w:r>
    </w:p>
    <w:p w:rsidR="000F4A2B" w:rsidRPr="00DF0680" w:rsidRDefault="00C876FE" w:rsidP="000F4A2B">
      <w:pPr>
        <w:rPr>
          <w:rFonts w:cs="Times New Roman"/>
        </w:rPr>
      </w:pPr>
      <w:r w:rsidRPr="00DF0680">
        <w:rPr>
          <w:rFonts w:cs="Times New Roman"/>
        </w:rPr>
        <w:t>These data suggest</w:t>
      </w:r>
      <w:r w:rsidR="000F4A2B" w:rsidRPr="00DF0680">
        <w:rPr>
          <w:rFonts w:cs="Times New Roman"/>
        </w:rPr>
        <w:t xml:space="preserve"> that RECQL5 may play a role in protecting cells from transcription induced replication stress. As the treatment with DRB did not induce any additional fork stalling, it cannot be determined whether RECQL5 prevents fork stalling in transcription stress, but the fork speed data suggests it may maintain fork progression. However, this </w:t>
      </w:r>
      <w:r w:rsidRPr="00DF0680">
        <w:rPr>
          <w:rFonts w:cs="Times New Roman"/>
        </w:rPr>
        <w:t xml:space="preserve">does not seem to be </w:t>
      </w:r>
      <w:r w:rsidR="000F4A2B" w:rsidRPr="00DF0680">
        <w:rPr>
          <w:rFonts w:cs="Times New Roman"/>
        </w:rPr>
        <w:t>beneficial for the cell as treatment with DRB over longer periods of time was more toxic to cells with over-expressed RECQL5β or helicase-dead RECQL5β (Figure 4.9).</w:t>
      </w:r>
    </w:p>
    <w:p w:rsidR="000F4A2B" w:rsidRPr="00DF0680" w:rsidRDefault="001F0601" w:rsidP="001F0601">
      <w:pPr>
        <w:jc w:val="right"/>
        <w:rPr>
          <w:rFonts w:cs="Times New Roman"/>
          <w:sz w:val="22"/>
        </w:rPr>
      </w:pPr>
      <w:r w:rsidRPr="00DF0680">
        <w:drawing>
          <wp:inline distT="0" distB="0" distL="0" distR="0">
            <wp:extent cx="5390865" cy="5663821"/>
            <wp:effectExtent l="0" t="0" r="0" b="0"/>
            <wp:docPr id="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srcRect t="5437"/>
                    <a:stretch>
                      <a:fillRect/>
                    </a:stretch>
                  </pic:blipFill>
                  <pic:spPr bwMode="auto">
                    <a:xfrm>
                      <a:off x="0" y="0"/>
                      <a:ext cx="5390865" cy="5663821"/>
                    </a:xfrm>
                    <a:prstGeom prst="rect">
                      <a:avLst/>
                    </a:prstGeom>
                    <a:noFill/>
                    <a:ln w="9525">
                      <a:noFill/>
                      <a:miter lim="800000"/>
                      <a:headEnd/>
                      <a:tailEnd/>
                    </a:ln>
                  </pic:spPr>
                </pic:pic>
              </a:graphicData>
            </a:graphic>
          </wp:inline>
        </w:drawing>
      </w:r>
      <w:r w:rsidR="000F4A2B" w:rsidRPr="00DF0680">
        <w:rPr>
          <w:rFonts w:cs="Times New Roman"/>
          <w:sz w:val="22"/>
        </w:rPr>
        <w:t>(Figure continues on the next page)</w:t>
      </w:r>
    </w:p>
    <w:p w:rsidR="000F4A2B" w:rsidRPr="00DF0680" w:rsidRDefault="001F0601" w:rsidP="008C6A44">
      <w:r w:rsidRPr="00DF0680">
        <w:lastRenderedPageBreak/>
        <w:drawing>
          <wp:inline distT="0" distB="0" distL="0" distR="0">
            <wp:extent cx="5400040" cy="2404718"/>
            <wp:effectExtent l="0" t="0" r="0" b="0"/>
            <wp:docPr id="8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srcRect/>
                    <a:stretch>
                      <a:fillRect/>
                    </a:stretch>
                  </pic:blipFill>
                  <pic:spPr bwMode="auto">
                    <a:xfrm>
                      <a:off x="0" y="0"/>
                      <a:ext cx="5400040" cy="2404718"/>
                    </a:xfrm>
                    <a:prstGeom prst="rect">
                      <a:avLst/>
                    </a:prstGeom>
                    <a:noFill/>
                    <a:ln w="9525">
                      <a:noFill/>
                      <a:miter lim="800000"/>
                      <a:headEnd/>
                      <a:tailEnd/>
                    </a:ln>
                  </pic:spPr>
                </pic:pic>
              </a:graphicData>
            </a:graphic>
          </wp:inline>
        </w:drawing>
      </w:r>
    </w:p>
    <w:p w:rsidR="000F4A2B" w:rsidRPr="00DF0680" w:rsidRDefault="000F4A2B" w:rsidP="00D94477">
      <w:pPr>
        <w:pStyle w:val="Caption"/>
      </w:pPr>
      <w:bookmarkStart w:id="662" w:name="_Toc410221395"/>
      <w:bookmarkStart w:id="663" w:name="_Toc417813908"/>
      <w:r w:rsidRPr="00DF0680">
        <w:t xml:space="preserve">Figure </w:t>
      </w:r>
      <w:fldSimple w:instr=" STYLEREF 1 \s ">
        <w:r w:rsidR="006119E3">
          <w:rPr>
            <w:noProof/>
          </w:rPr>
          <w:t>4</w:t>
        </w:r>
      </w:fldSimple>
      <w:r w:rsidR="006119E3">
        <w:t>.</w:t>
      </w:r>
      <w:fldSimple w:instr=" SEQ Figure \* ARABIC \s 1 ">
        <w:r w:rsidR="006119E3">
          <w:rPr>
            <w:noProof/>
          </w:rPr>
          <w:t>8</w:t>
        </w:r>
      </w:fldSimple>
      <w:r w:rsidRPr="00DF0680">
        <w:t xml:space="preserve"> – Replication fork dynamics in </w:t>
      </w:r>
      <w:r w:rsidR="00471D18" w:rsidRPr="00DF0680">
        <w:t>MRC5V2</w:t>
      </w:r>
      <w:r w:rsidRPr="00DF0680">
        <w:t xml:space="preserve"> cells over-expressing RECQL5β, during DRB treatment</w:t>
      </w:r>
      <w:bookmarkEnd w:id="662"/>
      <w:bookmarkEnd w:id="663"/>
    </w:p>
    <w:p w:rsidR="00DB3E5C" w:rsidRPr="00DF0680" w:rsidRDefault="000F4A2B" w:rsidP="00DB3E5C">
      <w:pPr>
        <w:pStyle w:val="Caption"/>
        <w:rPr>
          <w:b w:val="0"/>
        </w:rPr>
      </w:pPr>
      <w:r w:rsidRPr="00DF0680">
        <w:rPr>
          <w:b w:val="0"/>
        </w:rPr>
        <w:t xml:space="preserve">Wild-type </w:t>
      </w:r>
      <w:r w:rsidR="00471D18" w:rsidRPr="00DF0680">
        <w:rPr>
          <w:b w:val="0"/>
        </w:rPr>
        <w:t>MRC5V2</w:t>
      </w:r>
      <w:r w:rsidRPr="00DF0680">
        <w:rPr>
          <w:b w:val="0"/>
        </w:rPr>
        <w:t xml:space="preserve"> cells and those over-expressing RECQL5β (</w:t>
      </w:r>
      <w:r w:rsidR="00471D18" w:rsidRPr="00DF0680">
        <w:rPr>
          <w:b w:val="0"/>
        </w:rPr>
        <w:t>MRC5V2</w:t>
      </w:r>
      <w:r w:rsidRPr="00DF0680">
        <w:rPr>
          <w:b w:val="0"/>
        </w:rPr>
        <w:t>+Q5) and helicase-dead RECQL5β (</w:t>
      </w:r>
      <w:r w:rsidR="00471D18" w:rsidRPr="00DF0680">
        <w:rPr>
          <w:b w:val="0"/>
        </w:rPr>
        <w:t>MRC5V2</w:t>
      </w:r>
      <w:r w:rsidRPr="00DF0680">
        <w:rPr>
          <w:b w:val="0"/>
        </w:rPr>
        <w:t xml:space="preserve">+Q5KR) were incubated with both thymidine </w:t>
      </w:r>
      <w:r w:rsidR="00FE547D" w:rsidRPr="00DF0680">
        <w:rPr>
          <w:b w:val="0"/>
        </w:rPr>
        <w:t>analogue</w:t>
      </w:r>
      <w:r w:rsidRPr="00DF0680">
        <w:rPr>
          <w:b w:val="0"/>
        </w:rPr>
        <w:t xml:space="preserve">s in the presence of 10 nM DRB (A). </w:t>
      </w:r>
      <w:r w:rsidR="00DB3E5C" w:rsidRPr="00DF0680">
        <w:rPr>
          <w:b w:val="0"/>
        </w:rPr>
        <w:t xml:space="preserve">(B) Fork speeds were calculated from CldU tracts and those </w:t>
      </w:r>
      <w:r w:rsidR="00DB3E5C" w:rsidRPr="00DF0680">
        <w:rPr>
          <w:rFonts w:cs="Times New Roman"/>
          <w:b w:val="0"/>
        </w:rPr>
        <w:t>between the 10</w:t>
      </w:r>
      <w:r w:rsidR="00DB3E5C" w:rsidRPr="00DF0680">
        <w:rPr>
          <w:rFonts w:cs="Times New Roman"/>
          <w:b w:val="0"/>
          <w:vertAlign w:val="superscript"/>
        </w:rPr>
        <w:t>th</w:t>
      </w:r>
      <w:r w:rsidR="00DB3E5C" w:rsidRPr="00DF0680">
        <w:rPr>
          <w:rFonts w:cs="Times New Roman"/>
          <w:b w:val="0"/>
        </w:rPr>
        <w:t xml:space="preserve"> and 90</w:t>
      </w:r>
      <w:r w:rsidR="00DB3E5C" w:rsidRPr="00DF0680">
        <w:rPr>
          <w:rFonts w:cs="Times New Roman"/>
          <w:b w:val="0"/>
          <w:vertAlign w:val="superscript"/>
        </w:rPr>
        <w:t>th</w:t>
      </w:r>
      <w:r w:rsidR="00DB3E5C" w:rsidRPr="00DF0680">
        <w:rPr>
          <w:rFonts w:cs="Times New Roman"/>
          <w:b w:val="0"/>
        </w:rPr>
        <w:t xml:space="preserve"> percentiles are shown in a box and whisker diagram with all other speeds indicated as dots. A total of 750 forks for each cell line and treatment were counted (250 from each of 3 independent repeats)</w:t>
      </w:r>
      <w:r w:rsidR="00DB3E5C" w:rsidRPr="00DF0680">
        <w:rPr>
          <w:b w:val="0"/>
        </w:rPr>
        <w:t xml:space="preserve"> (B). Distribution of fork speeds during DRB treatment is shown for CldU in wild-type (C), RECQL5β over-expressing (D), and helicase-dead RECQL5β over-expressing MRC5V2 cells (E). Percentages of stalled forks and new origins fired were calculated (F+G). Averages and standard deviations of three independent repeats are shown. * and *** indicate a Student’s t-test p value of &lt;0.05 and &lt;0.0001 respectively. </w:t>
      </w:r>
    </w:p>
    <w:p w:rsidR="000F4A2B" w:rsidRPr="00DF0680" w:rsidRDefault="000F4A2B" w:rsidP="00D94477">
      <w:pPr>
        <w:pStyle w:val="Caption"/>
      </w:pPr>
    </w:p>
    <w:p w:rsidR="000F4A2B" w:rsidRPr="00DF0680" w:rsidRDefault="000F4A2B" w:rsidP="00E664FC">
      <w:pPr>
        <w:pStyle w:val="Heading2"/>
      </w:pPr>
      <w:bookmarkStart w:id="664" w:name="_Toc410221383"/>
      <w:bookmarkStart w:id="665" w:name="_Toc417204202"/>
      <w:bookmarkStart w:id="666" w:name="_Toc417204735"/>
      <w:bookmarkStart w:id="667" w:name="_Toc417204795"/>
      <w:r w:rsidRPr="00DF0680">
        <w:t>The increased fork speed in camptothecin and DRB provided by RECQL5βKR may be dependent on replication-transcription collisions</w:t>
      </w:r>
      <w:bookmarkEnd w:id="664"/>
      <w:bookmarkEnd w:id="665"/>
      <w:bookmarkEnd w:id="666"/>
      <w:bookmarkEnd w:id="667"/>
    </w:p>
    <w:p w:rsidR="000F4A2B" w:rsidRPr="00DF0680" w:rsidRDefault="000F4A2B" w:rsidP="000F4A2B">
      <w:pPr>
        <w:rPr>
          <w:rFonts w:cs="Times New Roman"/>
        </w:rPr>
      </w:pPr>
      <w:r w:rsidRPr="00DF0680">
        <w:rPr>
          <w:rFonts w:cs="Times New Roman"/>
        </w:rPr>
        <w:t xml:space="preserve">If the decrease in fork speed in wild-type cells seen when either camptothecin or DRB are added to cells is through the same pathway, then adding both together should not decrease the speed any further. If their mechanism for fork slowing is through different pathways, then a further increase may be seen. To investigate this, both camptothecin and DRB were added to the cells and thymidine </w:t>
      </w:r>
      <w:r w:rsidR="00FE547D" w:rsidRPr="00DF0680">
        <w:rPr>
          <w:rFonts w:cs="Times New Roman"/>
        </w:rPr>
        <w:t>analogue</w:t>
      </w:r>
      <w:r w:rsidRPr="00DF0680">
        <w:rPr>
          <w:rFonts w:cs="Times New Roman"/>
        </w:rPr>
        <w:t xml:space="preserve">s were added (Figure 4.10 A). </w:t>
      </w:r>
    </w:p>
    <w:p w:rsidR="000F4A2B" w:rsidRPr="00DF0680" w:rsidRDefault="000F4A2B" w:rsidP="000F4A2B">
      <w:pPr>
        <w:rPr>
          <w:rFonts w:cs="Times New Roman"/>
        </w:rPr>
      </w:pPr>
      <w:r w:rsidRPr="00DF0680">
        <w:rPr>
          <w:rFonts w:cs="Times New Roman"/>
        </w:rPr>
        <w:t xml:space="preserve">Compared to untreated, adding both drugs together in </w:t>
      </w:r>
      <w:r w:rsidR="00471D18" w:rsidRPr="00DF0680">
        <w:rPr>
          <w:rFonts w:cs="Times New Roman"/>
        </w:rPr>
        <w:t>MRC5V2</w:t>
      </w:r>
      <w:r w:rsidRPr="00DF0680">
        <w:rPr>
          <w:rFonts w:cs="Times New Roman"/>
        </w:rPr>
        <w:t xml:space="preserve"> cells did not significantly change the fork speed (Figure 4.10 B). Compared to DRB alone, adding </w:t>
      </w:r>
      <w:r w:rsidRPr="00DF0680">
        <w:rPr>
          <w:rFonts w:cs="Times New Roman"/>
        </w:rPr>
        <w:lastRenderedPageBreak/>
        <w:t>camptothecin and DRB significantly increased the fork speed back to untreated levels (Student’s t-test, p value = 6.6 x 10</w:t>
      </w:r>
      <w:r w:rsidRPr="00DF0680">
        <w:rPr>
          <w:rFonts w:cs="Times New Roman"/>
          <w:vertAlign w:val="superscript"/>
        </w:rPr>
        <w:t>-3</w:t>
      </w:r>
      <w:r w:rsidRPr="00DF0680">
        <w:rPr>
          <w:rFonts w:cs="Times New Roman"/>
        </w:rPr>
        <w:t xml:space="preserve">). This suggests that the decreases in fork speed that we see when inhibiting replication or transcription, are dependent on each other. </w:t>
      </w:r>
    </w:p>
    <w:p w:rsidR="000F4A2B" w:rsidRPr="00DF0680" w:rsidRDefault="001F0601" w:rsidP="000F4A2B">
      <w:pPr>
        <w:keepNext/>
        <w:rPr>
          <w:rFonts w:cs="Times New Roman"/>
        </w:rPr>
      </w:pPr>
      <w:r w:rsidRPr="00DF0680">
        <w:drawing>
          <wp:inline distT="0" distB="0" distL="0" distR="0">
            <wp:extent cx="5400040" cy="4810281"/>
            <wp:effectExtent l="0" t="0" r="0" b="0"/>
            <wp:docPr id="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srcRect/>
                    <a:stretch>
                      <a:fillRect/>
                    </a:stretch>
                  </pic:blipFill>
                  <pic:spPr bwMode="auto">
                    <a:xfrm>
                      <a:off x="0" y="0"/>
                      <a:ext cx="5400040" cy="4810281"/>
                    </a:xfrm>
                    <a:prstGeom prst="rect">
                      <a:avLst/>
                    </a:prstGeom>
                    <a:noFill/>
                    <a:ln w="9525">
                      <a:noFill/>
                      <a:miter lim="800000"/>
                      <a:headEnd/>
                      <a:tailEnd/>
                    </a:ln>
                  </pic:spPr>
                </pic:pic>
              </a:graphicData>
            </a:graphic>
          </wp:inline>
        </w:drawing>
      </w:r>
    </w:p>
    <w:p w:rsidR="000F4A2B" w:rsidRPr="00DF0680" w:rsidRDefault="000F4A2B" w:rsidP="00D94477">
      <w:pPr>
        <w:pStyle w:val="Caption"/>
      </w:pPr>
      <w:bookmarkStart w:id="668" w:name="_Toc410221396"/>
      <w:bookmarkStart w:id="669" w:name="_Toc417813909"/>
      <w:r w:rsidRPr="00DF0680">
        <w:t xml:space="preserve">Figure </w:t>
      </w:r>
      <w:fldSimple w:instr=" STYLEREF 1 \s ">
        <w:r w:rsidR="006119E3">
          <w:rPr>
            <w:noProof/>
          </w:rPr>
          <w:t>4</w:t>
        </w:r>
      </w:fldSimple>
      <w:r w:rsidR="006119E3">
        <w:t>.</w:t>
      </w:r>
      <w:fldSimple w:instr=" SEQ Figure \* ARABIC \s 1 ">
        <w:r w:rsidR="006119E3">
          <w:rPr>
            <w:noProof/>
          </w:rPr>
          <w:t>9</w:t>
        </w:r>
      </w:fldSimple>
      <w:r w:rsidRPr="00DF0680">
        <w:t xml:space="preserve"> – Altering levels of RECQL5β in </w:t>
      </w:r>
      <w:r w:rsidR="00471D18" w:rsidRPr="00DF0680">
        <w:t>MRC5V2</w:t>
      </w:r>
      <w:r w:rsidRPr="00DF0680">
        <w:t xml:space="preserve"> cells and testing sensitivity to DRB</w:t>
      </w:r>
      <w:bookmarkEnd w:id="668"/>
      <w:bookmarkEnd w:id="669"/>
    </w:p>
    <w:p w:rsidR="000F4A2B" w:rsidRPr="00DF0680" w:rsidRDefault="000F4A2B" w:rsidP="00D94477">
      <w:pPr>
        <w:pStyle w:val="Caption"/>
        <w:rPr>
          <w:b w:val="0"/>
        </w:rPr>
      </w:pPr>
      <w:r w:rsidRPr="00DF0680">
        <w:rPr>
          <w:b w:val="0"/>
        </w:rPr>
        <w:t xml:space="preserve">(A) RECQL5β over-expressing </w:t>
      </w:r>
      <w:r w:rsidR="00471D18" w:rsidRPr="00DF0680">
        <w:rPr>
          <w:b w:val="0"/>
        </w:rPr>
        <w:t>MRC5V2</w:t>
      </w:r>
      <w:r w:rsidRPr="00DF0680">
        <w:rPr>
          <w:b w:val="0"/>
        </w:rPr>
        <w:t xml:space="preserve"> cells (</w:t>
      </w:r>
      <w:r w:rsidR="00471D18" w:rsidRPr="00DF0680">
        <w:rPr>
          <w:b w:val="0"/>
        </w:rPr>
        <w:t>MRC5V2</w:t>
      </w:r>
      <w:r w:rsidRPr="00DF0680">
        <w:rPr>
          <w:b w:val="0"/>
        </w:rPr>
        <w:t xml:space="preserve">+Q5) were plated into clonogenic toxicity assays with wild-type </w:t>
      </w:r>
      <w:r w:rsidR="00DB3E5C" w:rsidRPr="00DF0680">
        <w:rPr>
          <w:b w:val="0"/>
        </w:rPr>
        <w:t xml:space="preserve">(MRC5V2) </w:t>
      </w:r>
      <w:r w:rsidRPr="00DF0680">
        <w:rPr>
          <w:b w:val="0"/>
        </w:rPr>
        <w:t>and helicase-dead RECQL5β over-expressing cells (</w:t>
      </w:r>
      <w:r w:rsidR="00471D18" w:rsidRPr="00DF0680">
        <w:rPr>
          <w:b w:val="0"/>
        </w:rPr>
        <w:t>MRC5V2</w:t>
      </w:r>
      <w:r w:rsidRPr="00DF0680">
        <w:rPr>
          <w:b w:val="0"/>
        </w:rPr>
        <w:t xml:space="preserve">+Q5KR) and exposed to increasing concentrations of DRB. (B) Toxicity at 30 μM </w:t>
      </w:r>
      <w:r w:rsidR="00DB3E5C" w:rsidRPr="00DF0680">
        <w:rPr>
          <w:b w:val="0"/>
        </w:rPr>
        <w:t xml:space="preserve">is </w:t>
      </w:r>
      <w:r w:rsidRPr="00DF0680">
        <w:rPr>
          <w:b w:val="0"/>
        </w:rPr>
        <w:t xml:space="preserve">represented as a bar chart. </w:t>
      </w:r>
      <w:r w:rsidR="00471D18" w:rsidRPr="00DF0680">
        <w:rPr>
          <w:b w:val="0"/>
        </w:rPr>
        <w:t>MRC5V2</w:t>
      </w:r>
      <w:r w:rsidRPr="00DF0680">
        <w:rPr>
          <w:b w:val="0"/>
        </w:rPr>
        <w:t xml:space="preserve"> cells were depleted of RECQL5β (Q5β) using siRNA, or transfected with a non-targeting control, re-plated into a clonogenic toxicity assay and exposed to concentrations of DRB. Survival was calculated relative to untreated cells and survival fraction shown (C). Averages and standard deviations of three independent repeats are shown. ** and *** indicate a Student’s t-test p value of &lt;0.01 and </w:t>
      </w:r>
      <w:r w:rsidR="00DB3E5C" w:rsidRPr="00DF0680">
        <w:rPr>
          <w:b w:val="0"/>
        </w:rPr>
        <w:t>&lt;</w:t>
      </w:r>
      <w:r w:rsidRPr="00DF0680">
        <w:rPr>
          <w:b w:val="0"/>
        </w:rPr>
        <w:t xml:space="preserve">0.005 respectively. </w:t>
      </w:r>
    </w:p>
    <w:p w:rsidR="000F4A2B" w:rsidRPr="00DF0680" w:rsidRDefault="000F4A2B" w:rsidP="00D94477">
      <w:pPr>
        <w:pStyle w:val="Caption"/>
      </w:pPr>
    </w:p>
    <w:p w:rsidR="000F4A2B" w:rsidRPr="00DF0680" w:rsidRDefault="000F4A2B" w:rsidP="000F4A2B">
      <w:pPr>
        <w:rPr>
          <w:rFonts w:cs="Times New Roman"/>
        </w:rPr>
      </w:pPr>
      <w:r w:rsidRPr="00DF0680">
        <w:rPr>
          <w:rFonts w:cs="Times New Roman"/>
        </w:rPr>
        <w:lastRenderedPageBreak/>
        <w:t xml:space="preserve">To test whether this was true for the increases seen in fork speed in </w:t>
      </w:r>
      <w:r w:rsidR="00471D18" w:rsidRPr="00DF0680">
        <w:rPr>
          <w:rFonts w:cs="Times New Roman"/>
        </w:rPr>
        <w:t>MRC5V2</w:t>
      </w:r>
      <w:r w:rsidRPr="00DF0680">
        <w:rPr>
          <w:rFonts w:cs="Times New Roman"/>
        </w:rPr>
        <w:t xml:space="preserve">+Q5KR cells, camptothecin and DRB were added to these cells and DNA fibre dynamics analysed. Adding both drugs together in </w:t>
      </w:r>
      <w:r w:rsidR="00471D18" w:rsidRPr="00DF0680">
        <w:rPr>
          <w:rFonts w:cs="Times New Roman"/>
        </w:rPr>
        <w:t>MRC5V2</w:t>
      </w:r>
      <w:r w:rsidRPr="00DF0680">
        <w:rPr>
          <w:rFonts w:cs="Times New Roman"/>
        </w:rPr>
        <w:t>+Q5KR cells did not significantly change the fork speed compared to untreated (Figure 4.10 B). Compared to DRB or CPT alone, adding camptothecin and DRB significantly decreased the fork speed back to untreated levels (Student’s t-test, p value = 3.3 x 10</w:t>
      </w:r>
      <w:r w:rsidRPr="00DF0680">
        <w:rPr>
          <w:rFonts w:cs="Times New Roman"/>
          <w:vertAlign w:val="superscript"/>
        </w:rPr>
        <w:t>-2</w:t>
      </w:r>
      <w:r w:rsidRPr="00DF0680">
        <w:rPr>
          <w:rFonts w:cs="Times New Roman"/>
        </w:rPr>
        <w:t xml:space="preserve">). This suggests that the mechanism for causing increased fork speed with these drugs is not through the same pathway and in fact, the changing of the fork speed is dependent on the pathway inhibited by the other drug. This explains why there is no difference when both drugs are used. Over-expression of RECQL5β protects cells from fork slowing by camptothecin and DRB, and there is no difference in speed whether these drugs are added individually or together (Figure 4.10 B). </w:t>
      </w:r>
    </w:p>
    <w:p w:rsidR="000F4A2B" w:rsidRPr="00DF0680" w:rsidRDefault="001F0601" w:rsidP="001F0601">
      <w:pPr>
        <w:jc w:val="center"/>
        <w:rPr>
          <w:rFonts w:cs="Times New Roman"/>
        </w:rPr>
      </w:pPr>
      <w:r w:rsidRPr="00DF0680">
        <w:drawing>
          <wp:inline distT="0" distB="0" distL="0" distR="0">
            <wp:extent cx="4845979" cy="4716379"/>
            <wp:effectExtent l="0" t="0" r="0" b="0"/>
            <wp:docPr id="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srcRect/>
                    <a:stretch>
                      <a:fillRect/>
                    </a:stretch>
                  </pic:blipFill>
                  <pic:spPr bwMode="auto">
                    <a:xfrm>
                      <a:off x="0" y="0"/>
                      <a:ext cx="4865597" cy="4735472"/>
                    </a:xfrm>
                    <a:prstGeom prst="rect">
                      <a:avLst/>
                    </a:prstGeom>
                    <a:noFill/>
                    <a:ln w="9525">
                      <a:noFill/>
                      <a:miter lim="800000"/>
                      <a:headEnd/>
                      <a:tailEnd/>
                    </a:ln>
                  </pic:spPr>
                </pic:pic>
              </a:graphicData>
            </a:graphic>
          </wp:inline>
        </w:drawing>
      </w:r>
    </w:p>
    <w:p w:rsidR="000F4A2B" w:rsidRPr="00DF0680" w:rsidRDefault="000F4A2B" w:rsidP="000F4A2B">
      <w:pPr>
        <w:jc w:val="right"/>
        <w:rPr>
          <w:rFonts w:cs="Times New Roman"/>
          <w:sz w:val="22"/>
        </w:rPr>
      </w:pPr>
      <w:r w:rsidRPr="00DF0680">
        <w:rPr>
          <w:rFonts w:cs="Times New Roman"/>
          <w:sz w:val="22"/>
        </w:rPr>
        <w:t>(Figure continues on the next page)</w:t>
      </w:r>
    </w:p>
    <w:p w:rsidR="000F4A2B" w:rsidRPr="00DF0680" w:rsidRDefault="001F0601" w:rsidP="000F4A2B">
      <w:pPr>
        <w:keepNext/>
        <w:jc w:val="center"/>
        <w:rPr>
          <w:rFonts w:cs="Times New Roman"/>
        </w:rPr>
      </w:pPr>
      <w:r w:rsidRPr="00DF0680">
        <w:lastRenderedPageBreak/>
        <w:drawing>
          <wp:inline distT="0" distB="0" distL="0" distR="0">
            <wp:extent cx="5245735" cy="5847080"/>
            <wp:effectExtent l="0" t="0" r="0" b="0"/>
            <wp:docPr id="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srcRect/>
                    <a:stretch>
                      <a:fillRect/>
                    </a:stretch>
                  </pic:blipFill>
                  <pic:spPr bwMode="auto">
                    <a:xfrm>
                      <a:off x="0" y="0"/>
                      <a:ext cx="5245735" cy="5847080"/>
                    </a:xfrm>
                    <a:prstGeom prst="rect">
                      <a:avLst/>
                    </a:prstGeom>
                    <a:noFill/>
                    <a:ln w="9525">
                      <a:noFill/>
                      <a:miter lim="800000"/>
                      <a:headEnd/>
                      <a:tailEnd/>
                    </a:ln>
                  </pic:spPr>
                </pic:pic>
              </a:graphicData>
            </a:graphic>
          </wp:inline>
        </w:drawing>
      </w:r>
    </w:p>
    <w:p w:rsidR="000F4A2B" w:rsidRPr="00DF0680" w:rsidRDefault="000F4A2B" w:rsidP="00D94477">
      <w:pPr>
        <w:pStyle w:val="Caption"/>
      </w:pPr>
      <w:bookmarkStart w:id="670" w:name="_Toc410221397"/>
      <w:bookmarkStart w:id="671" w:name="_Toc417813910"/>
      <w:r w:rsidRPr="00DF0680">
        <w:t xml:space="preserve">Figure </w:t>
      </w:r>
      <w:fldSimple w:instr=" STYLEREF 1 \s ">
        <w:r w:rsidR="006119E3">
          <w:rPr>
            <w:noProof/>
          </w:rPr>
          <w:t>4</w:t>
        </w:r>
      </w:fldSimple>
      <w:r w:rsidR="006119E3">
        <w:t>.</w:t>
      </w:r>
      <w:fldSimple w:instr=" SEQ Figure \* ARABIC \s 1 ">
        <w:r w:rsidR="006119E3">
          <w:rPr>
            <w:noProof/>
          </w:rPr>
          <w:t>10</w:t>
        </w:r>
      </w:fldSimple>
      <w:r w:rsidRPr="00DF0680">
        <w:t xml:space="preserve"> – Replication fork dynamics in </w:t>
      </w:r>
      <w:r w:rsidR="00471D18" w:rsidRPr="00DF0680">
        <w:t>MRC5V2</w:t>
      </w:r>
      <w:r w:rsidRPr="00DF0680">
        <w:t xml:space="preserve"> cells over-expressing RECQL5β, during camptothecin and DRB treatment</w:t>
      </w:r>
      <w:bookmarkEnd w:id="670"/>
      <w:bookmarkEnd w:id="671"/>
    </w:p>
    <w:p w:rsidR="000F4A2B" w:rsidRPr="00DF0680" w:rsidRDefault="000F4A2B" w:rsidP="00D94477">
      <w:pPr>
        <w:pStyle w:val="Caption"/>
      </w:pPr>
      <w:r w:rsidRPr="00DF0680">
        <w:rPr>
          <w:b w:val="0"/>
        </w:rPr>
        <w:t xml:space="preserve">Wild-type </w:t>
      </w:r>
      <w:r w:rsidR="00471D18" w:rsidRPr="00DF0680">
        <w:rPr>
          <w:b w:val="0"/>
        </w:rPr>
        <w:t>MRC5V2</w:t>
      </w:r>
      <w:r w:rsidRPr="00DF0680">
        <w:rPr>
          <w:b w:val="0"/>
        </w:rPr>
        <w:t xml:space="preserve"> cells and those over-expressing RECQL5β (</w:t>
      </w:r>
      <w:r w:rsidR="00471D18" w:rsidRPr="00DF0680">
        <w:rPr>
          <w:b w:val="0"/>
        </w:rPr>
        <w:t>MRC5V2</w:t>
      </w:r>
      <w:r w:rsidRPr="00DF0680">
        <w:rPr>
          <w:b w:val="0"/>
        </w:rPr>
        <w:t>+Q5) and helicase-dead RECQL5β (</w:t>
      </w:r>
      <w:r w:rsidR="00471D18" w:rsidRPr="00DF0680">
        <w:rPr>
          <w:b w:val="0"/>
        </w:rPr>
        <w:t>MRC5V2</w:t>
      </w:r>
      <w:r w:rsidRPr="00DF0680">
        <w:rPr>
          <w:b w:val="0"/>
        </w:rPr>
        <w:t xml:space="preserve">+Q5KR) were incubated with both thymidine </w:t>
      </w:r>
      <w:r w:rsidR="00FE547D" w:rsidRPr="00DF0680">
        <w:rPr>
          <w:b w:val="0"/>
        </w:rPr>
        <w:t>analogue</w:t>
      </w:r>
      <w:r w:rsidRPr="00DF0680">
        <w:rPr>
          <w:b w:val="0"/>
        </w:rPr>
        <w:t xml:space="preserve">s in the presence of 10 nM DRB and 10 nM CPT (A). </w:t>
      </w:r>
      <w:r w:rsidR="00746E68" w:rsidRPr="00DF0680">
        <w:rPr>
          <w:b w:val="0"/>
        </w:rPr>
        <w:t xml:space="preserve">(B) Fork speeds were calculated from CldU tracts and those </w:t>
      </w:r>
      <w:r w:rsidR="00746E68" w:rsidRPr="00DF0680">
        <w:rPr>
          <w:rFonts w:cs="Times New Roman"/>
          <w:b w:val="0"/>
        </w:rPr>
        <w:t>between the 10</w:t>
      </w:r>
      <w:r w:rsidR="00746E68" w:rsidRPr="00DF0680">
        <w:rPr>
          <w:rFonts w:cs="Times New Roman"/>
          <w:b w:val="0"/>
          <w:vertAlign w:val="superscript"/>
        </w:rPr>
        <w:t>th</w:t>
      </w:r>
      <w:r w:rsidR="00746E68" w:rsidRPr="00DF0680">
        <w:rPr>
          <w:rFonts w:cs="Times New Roman"/>
          <w:b w:val="0"/>
        </w:rPr>
        <w:t xml:space="preserve"> and 90</w:t>
      </w:r>
      <w:r w:rsidR="00746E68" w:rsidRPr="00DF0680">
        <w:rPr>
          <w:rFonts w:cs="Times New Roman"/>
          <w:b w:val="0"/>
          <w:vertAlign w:val="superscript"/>
        </w:rPr>
        <w:t>th</w:t>
      </w:r>
      <w:r w:rsidR="00746E68" w:rsidRPr="00DF0680">
        <w:rPr>
          <w:rFonts w:cs="Times New Roman"/>
          <w:b w:val="0"/>
        </w:rPr>
        <w:t xml:space="preserve"> percentiles are shown in a box and whisker diagram with all other speeds indicated as dots. A total of 750 forks for each cell line and treatment were counted (250 from each of 3 independent repeats)</w:t>
      </w:r>
      <w:r w:rsidR="00746E68" w:rsidRPr="00DF0680">
        <w:rPr>
          <w:b w:val="0"/>
        </w:rPr>
        <w:t xml:space="preserve"> (B). Percentages of stalled forks and new origins fired were calculated (C+D). Averages and standard deviations of three independent repeats are shown. * and *** indicate a Student’s t-test p value of &lt;0.05 and &lt;0.0001 respectively.</w:t>
      </w:r>
    </w:p>
    <w:p w:rsidR="000F4A2B" w:rsidRPr="00DF0680" w:rsidRDefault="000F4A2B" w:rsidP="000F4A2B">
      <w:pPr>
        <w:rPr>
          <w:rFonts w:cs="Times New Roman"/>
        </w:rPr>
      </w:pPr>
      <w:r w:rsidRPr="00DF0680">
        <w:rPr>
          <w:rFonts w:cs="Times New Roman"/>
        </w:rPr>
        <w:lastRenderedPageBreak/>
        <w:t>Cells treated with both camptothecin and DRB did not have any differences in stalled forks or new origins fired when compared to untreated cells. Like camptothecin and DRB individually, there were no differences in the number of stalled forks or new origins fired between cell lines when fibres were analysed after camptothecin and DRB treatment (Figure 4.10 C + D).</w:t>
      </w:r>
    </w:p>
    <w:p w:rsidR="000F4A2B" w:rsidRPr="00DF0680" w:rsidRDefault="000F4A2B" w:rsidP="000F4A2B">
      <w:pPr>
        <w:rPr>
          <w:rFonts w:cs="Times New Roman"/>
        </w:rPr>
      </w:pPr>
      <w:r w:rsidRPr="00DF0680">
        <w:rPr>
          <w:rFonts w:cs="Times New Roman"/>
        </w:rPr>
        <w:t>As the differences seen in fork speed are dependent on either replication or transcription, this data may suggest that these differences are due to replication-transcription collisions. As over-expressing RECQL5β protected cells from this replication-transcription collision dependent slowing, in a helicase independent manner, it may be that RECQL5β pr</w:t>
      </w:r>
      <w:r w:rsidR="00C876FE" w:rsidRPr="00DF0680">
        <w:rPr>
          <w:rFonts w:cs="Times New Roman"/>
        </w:rPr>
        <w:t xml:space="preserve">events collisions occurring, </w:t>
      </w:r>
      <w:r w:rsidRPr="00DF0680">
        <w:rPr>
          <w:rFonts w:cs="Times New Roman"/>
        </w:rPr>
        <w:t>repairs the da</w:t>
      </w:r>
      <w:r w:rsidR="00C876FE" w:rsidRPr="00DF0680">
        <w:rPr>
          <w:rFonts w:cs="Times New Roman"/>
        </w:rPr>
        <w:t>mage caused by these collisions or acts as a platform for recruiting factors that protect fork speed or repair the damage</w:t>
      </w:r>
      <w:r w:rsidR="00644679" w:rsidRPr="00DF0680">
        <w:rPr>
          <w:rFonts w:cs="Times New Roman"/>
        </w:rPr>
        <w:t>.</w:t>
      </w:r>
    </w:p>
    <w:p w:rsidR="000F4A2B" w:rsidRPr="00DF0680" w:rsidRDefault="000F4A2B" w:rsidP="000F4A2B">
      <w:pPr>
        <w:rPr>
          <w:rFonts w:cs="Times New Roman"/>
        </w:rPr>
      </w:pPr>
    </w:p>
    <w:p w:rsidR="000F4A2B" w:rsidRPr="00DF0680" w:rsidRDefault="000F4A2B" w:rsidP="00E664FC">
      <w:pPr>
        <w:pStyle w:val="Heading2"/>
      </w:pPr>
      <w:bookmarkStart w:id="672" w:name="_Toc410221384"/>
      <w:bookmarkStart w:id="673" w:name="_Toc417204203"/>
      <w:bookmarkStart w:id="674" w:name="_Toc417204736"/>
      <w:bookmarkStart w:id="675" w:name="_Toc417204796"/>
      <w:r w:rsidRPr="00DF0680">
        <w:t>Treating cells with both CPT and DRB does not reduce DNA damage signalling compared to treating with each individually</w:t>
      </w:r>
      <w:bookmarkEnd w:id="672"/>
      <w:bookmarkEnd w:id="673"/>
      <w:bookmarkEnd w:id="674"/>
      <w:bookmarkEnd w:id="675"/>
    </w:p>
    <w:p w:rsidR="000F4A2B" w:rsidRPr="00DF0680" w:rsidRDefault="000F4A2B" w:rsidP="000F4A2B">
      <w:pPr>
        <w:rPr>
          <w:rFonts w:cs="Times New Roman"/>
        </w:rPr>
      </w:pPr>
      <w:r w:rsidRPr="00DF0680">
        <w:rPr>
          <w:rFonts w:cs="Times New Roman"/>
        </w:rPr>
        <w:t xml:space="preserve">In wild-type </w:t>
      </w:r>
      <w:r w:rsidR="00644679" w:rsidRPr="00DF0680">
        <w:rPr>
          <w:rFonts w:cs="Times New Roman"/>
        </w:rPr>
        <w:t xml:space="preserve">MRC5V2 </w:t>
      </w:r>
      <w:r w:rsidRPr="00DF0680">
        <w:rPr>
          <w:rFonts w:cs="Times New Roman"/>
        </w:rPr>
        <w:t xml:space="preserve">cells, adding both CPT and DRB together increased fork speed when compared to adding each drug individually. It was then investigated whether this was caused by changes in DNA damage in the form of strand breaks, by replication stress seen by stretches of single stranded DNA, or whether repair of these possible collisions could be seen as RAD51 foci.  </w:t>
      </w:r>
    </w:p>
    <w:p w:rsidR="000F4A2B" w:rsidRPr="00DF0680" w:rsidRDefault="000F4A2B" w:rsidP="000F4A2B">
      <w:pPr>
        <w:rPr>
          <w:rFonts w:cs="Times New Roman"/>
        </w:rPr>
      </w:pPr>
      <w:r w:rsidRPr="00DF0680">
        <w:rPr>
          <w:rFonts w:cs="Times New Roman"/>
        </w:rPr>
        <w:t xml:space="preserve">In </w:t>
      </w:r>
      <w:r w:rsidR="00471D18" w:rsidRPr="00DF0680">
        <w:rPr>
          <w:rFonts w:cs="Times New Roman"/>
        </w:rPr>
        <w:t>MRC5V2</w:t>
      </w:r>
      <w:r w:rsidRPr="00DF0680">
        <w:rPr>
          <w:rFonts w:cs="Times New Roman"/>
        </w:rPr>
        <w:t xml:space="preserve">, </w:t>
      </w:r>
      <w:r w:rsidR="00471D18" w:rsidRPr="00DF0680">
        <w:rPr>
          <w:rFonts w:cs="Times New Roman"/>
        </w:rPr>
        <w:t>MRC5V2</w:t>
      </w:r>
      <w:r w:rsidRPr="00DF0680">
        <w:rPr>
          <w:rFonts w:cs="Times New Roman"/>
        </w:rPr>
        <w:t xml:space="preserve">+Q5 and </w:t>
      </w:r>
      <w:r w:rsidR="00471D18" w:rsidRPr="00DF0680">
        <w:rPr>
          <w:rFonts w:cs="Times New Roman"/>
        </w:rPr>
        <w:t>MRC5V2</w:t>
      </w:r>
      <w:r w:rsidRPr="00DF0680">
        <w:rPr>
          <w:rFonts w:cs="Times New Roman"/>
        </w:rPr>
        <w:t>+Q5KR cells, camptothecin and DRB were added, individually and together in the same concentrations and treatment length as the DNA fibre assay</w:t>
      </w:r>
      <w:r w:rsidR="00644679" w:rsidRPr="00DF0680">
        <w:rPr>
          <w:rFonts w:cs="Times New Roman"/>
        </w:rPr>
        <w:t xml:space="preserve"> (Figure 4.10)</w:t>
      </w:r>
      <w:r w:rsidRPr="00DF0680">
        <w:rPr>
          <w:rFonts w:cs="Times New Roman"/>
        </w:rPr>
        <w:t xml:space="preserve">. The amount of DNA damage was visualised using immunofluorescence with antibodies for γH2AX, 53BP1, RAD51 and RPA. </w:t>
      </w:r>
    </w:p>
    <w:p w:rsidR="000F4A2B" w:rsidRPr="00DF0680" w:rsidRDefault="00644679" w:rsidP="000F4A2B">
      <w:pPr>
        <w:rPr>
          <w:rFonts w:cs="Times New Roman"/>
        </w:rPr>
      </w:pPr>
      <w:r w:rsidRPr="00DF0680">
        <w:rPr>
          <w:rFonts w:cs="Times New Roman"/>
        </w:rPr>
        <w:t>DNA damage, seen as</w:t>
      </w:r>
      <w:r w:rsidR="000F4A2B" w:rsidRPr="00DF0680">
        <w:rPr>
          <w:rFonts w:cs="Times New Roman"/>
        </w:rPr>
        <w:t xml:space="preserve"> γH2AX foci, showed no significant differences between cell lines when cells were left untreated but all lines saw increases when camptothecin was added. DRB treatment </w:t>
      </w:r>
      <w:r w:rsidRPr="00DF0680">
        <w:rPr>
          <w:rFonts w:cs="Times New Roman"/>
        </w:rPr>
        <w:t xml:space="preserve">did not </w:t>
      </w:r>
      <w:r w:rsidR="000F4A2B" w:rsidRPr="00DF0680">
        <w:rPr>
          <w:rFonts w:cs="Times New Roman"/>
        </w:rPr>
        <w:t xml:space="preserve">increase foci compared to untreated and when both CPT and DRB was added, the number of cells with more than 10 foci remained the same as when treated with CPT alone (Figure 4.11). There was a small but significant decrease in the </w:t>
      </w:r>
      <w:r w:rsidR="000F4A2B" w:rsidRPr="00DF0680">
        <w:rPr>
          <w:rFonts w:cs="Times New Roman"/>
        </w:rPr>
        <w:lastRenderedPageBreak/>
        <w:t xml:space="preserve">number of </w:t>
      </w:r>
      <w:r w:rsidR="00471D18" w:rsidRPr="00DF0680">
        <w:rPr>
          <w:rFonts w:cs="Times New Roman"/>
        </w:rPr>
        <w:t>MRC5V2</w:t>
      </w:r>
      <w:r w:rsidR="000F4A2B" w:rsidRPr="00DF0680">
        <w:rPr>
          <w:rFonts w:cs="Times New Roman"/>
        </w:rPr>
        <w:t xml:space="preserve">+Q5 cells positive for foci compared to </w:t>
      </w:r>
      <w:r w:rsidR="00471D18" w:rsidRPr="00DF0680">
        <w:rPr>
          <w:rFonts w:cs="Times New Roman"/>
        </w:rPr>
        <w:t>MRC5V2</w:t>
      </w:r>
      <w:r w:rsidR="000F4A2B" w:rsidRPr="00DF0680">
        <w:rPr>
          <w:rFonts w:cs="Times New Roman"/>
        </w:rPr>
        <w:t xml:space="preserve">+Q5KR when treated with both CPT and DRB (Student’s t-test, p value = </w:t>
      </w:r>
      <w:r w:rsidRPr="00DF0680">
        <w:rPr>
          <w:rFonts w:cs="Times New Roman"/>
        </w:rPr>
        <w:t>0.0</w:t>
      </w:r>
      <w:r w:rsidR="000F4A2B" w:rsidRPr="00DF0680">
        <w:rPr>
          <w:rFonts w:cs="Times New Roman"/>
        </w:rPr>
        <w:t xml:space="preserve">38). When both replication and transcription are inhibited, it appears that there is less overall DNA damage signalling, in the cells over-expressing RECQL5β than those expressing </w:t>
      </w:r>
      <w:r w:rsidRPr="00DF0680">
        <w:rPr>
          <w:rFonts w:cs="Times New Roman"/>
        </w:rPr>
        <w:t>helicase-dead RECQL5β. There were</w:t>
      </w:r>
      <w:r w:rsidR="000F4A2B" w:rsidRPr="00DF0680">
        <w:rPr>
          <w:rFonts w:cs="Times New Roman"/>
        </w:rPr>
        <w:t xml:space="preserve"> no significant differences in percentage of γH2AX foci positive cells in any of the cell lines between camptothecin treatment and treatment with camptothecin and DRB.</w:t>
      </w:r>
      <w:r w:rsidR="000E6C51" w:rsidRPr="00DF0680">
        <w:rPr>
          <w:rFonts w:cs="Times New Roman"/>
        </w:rPr>
        <w:t xml:space="preserve"> However, caution must be used when interpreting these results due to the high amount of background γH2AX staining in the untreated samples (approximately 30% of cells with more than 10 foci). </w:t>
      </w:r>
    </w:p>
    <w:p w:rsidR="000F4A2B" w:rsidRPr="00DF0680" w:rsidRDefault="000F4A2B" w:rsidP="000F4A2B">
      <w:pPr>
        <w:rPr>
          <w:rFonts w:cs="Times New Roman"/>
        </w:rPr>
      </w:pPr>
      <w:r w:rsidRPr="00DF0680">
        <w:rPr>
          <w:rFonts w:cs="Times New Roman"/>
        </w:rPr>
        <w:t xml:space="preserve">Analysing of double-strand breaks through staining for 53BP1, showed a similar pattern as γH2AX with camptothecin showing an increase in signalling, DRB treatment showing no difference to untreated, and when both camptothecin and DRB are added together, signalling is the same level as camptothecin alone (Figure 4.12). There was no difference in cells with 53BP1 foci between camptothecin alone and camptothecin and DRB together. There was a significant decrease in 53BP1 signalling in the presence of DRB in </w:t>
      </w:r>
      <w:r w:rsidR="00471D18" w:rsidRPr="00DF0680">
        <w:rPr>
          <w:rFonts w:cs="Times New Roman"/>
        </w:rPr>
        <w:t>MRC5V2</w:t>
      </w:r>
      <w:r w:rsidRPr="00DF0680">
        <w:rPr>
          <w:rFonts w:cs="Times New Roman"/>
        </w:rPr>
        <w:t>+Q5KR cells compared to wild-type cells (Student’s t-test, p value = 3.8 x 10</w:t>
      </w:r>
      <w:r w:rsidRPr="00DF0680">
        <w:rPr>
          <w:rFonts w:cs="Times New Roman"/>
          <w:vertAlign w:val="superscript"/>
        </w:rPr>
        <w:t>-2</w:t>
      </w:r>
      <w:r w:rsidRPr="00DF0680">
        <w:rPr>
          <w:rFonts w:cs="Times New Roman"/>
        </w:rPr>
        <w:t xml:space="preserve">). This suggests helicase-dead RECQL5β prevents DSBs forming when transcription is inhibited. </w:t>
      </w:r>
    </w:p>
    <w:p w:rsidR="000F4A2B" w:rsidRPr="00DF0680" w:rsidRDefault="000F4A2B" w:rsidP="000F4A2B">
      <w:pPr>
        <w:rPr>
          <w:rFonts w:cs="Times New Roman"/>
        </w:rPr>
      </w:pPr>
      <w:r w:rsidRPr="00DF0680">
        <w:rPr>
          <w:rFonts w:cs="Times New Roman"/>
        </w:rPr>
        <w:t xml:space="preserve">Staining for RAD51 was used </w:t>
      </w:r>
      <w:r w:rsidR="00BB2CC4" w:rsidRPr="00DF0680">
        <w:rPr>
          <w:rFonts w:cs="Times New Roman"/>
        </w:rPr>
        <w:t xml:space="preserve">as a proxy </w:t>
      </w:r>
      <w:r w:rsidRPr="00DF0680">
        <w:rPr>
          <w:rFonts w:cs="Times New Roman"/>
        </w:rPr>
        <w:t xml:space="preserve">to measure the amount of homologous recombination after treatment with the replication and transcription inhibitors. Camptothecin induced homologous recombination in all three cells lines and this was not significantly reduced when DRB was added. DRB did not significantly change the number of cells with RAD51 foci in any of the cell lines but, like 53BP1, when treated with DRB, </w:t>
      </w:r>
      <w:r w:rsidR="00471D18" w:rsidRPr="00DF0680">
        <w:rPr>
          <w:rFonts w:cs="Times New Roman"/>
        </w:rPr>
        <w:t>MRC5V2</w:t>
      </w:r>
      <w:r w:rsidRPr="00DF0680">
        <w:rPr>
          <w:rFonts w:cs="Times New Roman"/>
        </w:rPr>
        <w:t xml:space="preserve">+Q5KR cells had </w:t>
      </w:r>
      <w:r w:rsidR="00BB2CC4" w:rsidRPr="00DF0680">
        <w:rPr>
          <w:rFonts w:cs="Times New Roman"/>
        </w:rPr>
        <w:t>fewer</w:t>
      </w:r>
      <w:r w:rsidRPr="00DF0680">
        <w:rPr>
          <w:rFonts w:cs="Times New Roman"/>
        </w:rPr>
        <w:t xml:space="preserve"> RAD51 foci positive cells than </w:t>
      </w:r>
      <w:r w:rsidR="00471D18" w:rsidRPr="00DF0680">
        <w:rPr>
          <w:rFonts w:cs="Times New Roman"/>
        </w:rPr>
        <w:t>MRC5V2</w:t>
      </w:r>
      <w:r w:rsidRPr="00DF0680">
        <w:rPr>
          <w:rFonts w:cs="Times New Roman"/>
        </w:rPr>
        <w:t xml:space="preserve"> (Student’s t-test, p value = 3.2 x 10</w:t>
      </w:r>
      <w:r w:rsidRPr="00DF0680">
        <w:rPr>
          <w:rFonts w:cs="Times New Roman"/>
          <w:vertAlign w:val="superscript"/>
        </w:rPr>
        <w:t>-2</w:t>
      </w:r>
      <w:r w:rsidRPr="00DF0680">
        <w:rPr>
          <w:rFonts w:cs="Times New Roman"/>
        </w:rPr>
        <w:t>) (Figure 4.13). As the same difference is seen with double-strand break signalling</w:t>
      </w:r>
      <w:r w:rsidR="00BB2CC4" w:rsidRPr="00DF0680">
        <w:rPr>
          <w:rFonts w:cs="Times New Roman"/>
        </w:rPr>
        <w:t xml:space="preserve"> (i.e. 53BP1)</w:t>
      </w:r>
      <w:r w:rsidRPr="00DF0680">
        <w:rPr>
          <w:rFonts w:cs="Times New Roman"/>
        </w:rPr>
        <w:t xml:space="preserve">, it would suggest that these are being repaired by homologous recombination and as there are less DSBs in </w:t>
      </w:r>
      <w:r w:rsidR="00471D18" w:rsidRPr="00DF0680">
        <w:rPr>
          <w:rFonts w:cs="Times New Roman"/>
        </w:rPr>
        <w:t>MRC5V2</w:t>
      </w:r>
      <w:r w:rsidRPr="00DF0680">
        <w:rPr>
          <w:rFonts w:cs="Times New Roman"/>
        </w:rPr>
        <w:t>+Q5KR with DRB, there is less repair.</w:t>
      </w:r>
    </w:p>
    <w:p w:rsidR="000F4A2B" w:rsidRPr="00DF0680" w:rsidRDefault="000F4A2B" w:rsidP="000F4A2B">
      <w:pPr>
        <w:rPr>
          <w:rFonts w:cs="Times New Roman"/>
        </w:rPr>
      </w:pPr>
      <w:r w:rsidRPr="00DF0680">
        <w:rPr>
          <w:rFonts w:cs="Times New Roman"/>
        </w:rPr>
        <w:t xml:space="preserve">To quantify the amount of replication stress in the cell, antibodies for RPA were used </w:t>
      </w:r>
      <w:r w:rsidR="00BB2CC4" w:rsidRPr="00DF0680">
        <w:rPr>
          <w:rFonts w:cs="Times New Roman"/>
        </w:rPr>
        <w:t>to examine</w:t>
      </w:r>
      <w:r w:rsidRPr="00DF0680">
        <w:rPr>
          <w:rFonts w:cs="Times New Roman"/>
        </w:rPr>
        <w:t xml:space="preserve"> foci formed after replication and transcription inhibition. Looking at the percentage of cells with </w:t>
      </w:r>
      <w:r w:rsidR="00BB2CC4" w:rsidRPr="00DF0680">
        <w:rPr>
          <w:rFonts w:cs="Times New Roman"/>
        </w:rPr>
        <w:t xml:space="preserve">RPA </w:t>
      </w:r>
      <w:r w:rsidRPr="00DF0680">
        <w:rPr>
          <w:rFonts w:cs="Times New Roman"/>
        </w:rPr>
        <w:t xml:space="preserve">foci did not show any significant changes between drug treatments or between cell lines, but there was a trend for increased replication stress in </w:t>
      </w:r>
      <w:r w:rsidRPr="00DF0680">
        <w:rPr>
          <w:rFonts w:cs="Times New Roman"/>
        </w:rPr>
        <w:lastRenderedPageBreak/>
        <w:t>wild-type and over-expressing cells when treated with CPT, DRB, or CPT and DRB. When the percentages were quantified relative to respective untreated, it can be seen that over-expressing helicase or helicase-dead RECQL5β significantly decreases the RPA signalling in CPT (Student’s t-test, p value = 3.2 x 10</w:t>
      </w:r>
      <w:r w:rsidRPr="00DF0680">
        <w:rPr>
          <w:rFonts w:cs="Times New Roman"/>
          <w:vertAlign w:val="superscript"/>
        </w:rPr>
        <w:t>-2</w:t>
      </w:r>
      <w:r w:rsidRPr="00DF0680">
        <w:rPr>
          <w:rFonts w:cs="Times New Roman"/>
        </w:rPr>
        <w:t xml:space="preserve"> and 7.3 x 10</w:t>
      </w:r>
      <w:r w:rsidRPr="00DF0680">
        <w:rPr>
          <w:rFonts w:cs="Times New Roman"/>
          <w:vertAlign w:val="superscript"/>
        </w:rPr>
        <w:t>-3</w:t>
      </w:r>
      <w:r w:rsidRPr="00DF0680">
        <w:rPr>
          <w:rFonts w:cs="Times New Roman"/>
        </w:rPr>
        <w:t xml:space="preserve"> respectively) and the same trend is seen when treated with DRB, and CPT with DRB, but this is not significant (Figure 4.14). However, as this is relative number of foci, it may be that the higher levels of RPA foci in </w:t>
      </w:r>
      <w:r w:rsidR="00471D18" w:rsidRPr="00DF0680">
        <w:rPr>
          <w:rFonts w:cs="Times New Roman"/>
        </w:rPr>
        <w:t>MRC5V2</w:t>
      </w:r>
      <w:r w:rsidRPr="00DF0680">
        <w:rPr>
          <w:rFonts w:cs="Times New Roman"/>
        </w:rPr>
        <w:t xml:space="preserve">+Q5 and </w:t>
      </w:r>
      <w:r w:rsidR="00471D18" w:rsidRPr="00DF0680">
        <w:rPr>
          <w:rFonts w:cs="Times New Roman"/>
        </w:rPr>
        <w:t>MRC5V2</w:t>
      </w:r>
      <w:r w:rsidRPr="00DF0680">
        <w:rPr>
          <w:rFonts w:cs="Times New Roman"/>
        </w:rPr>
        <w:t>+Q5KR untreated cells are skewing the results.</w:t>
      </w:r>
    </w:p>
    <w:p w:rsidR="000F4A2B" w:rsidRPr="00DF0680" w:rsidRDefault="001F0601" w:rsidP="00A1220D">
      <w:pPr>
        <w:keepNext/>
        <w:spacing w:after="120" w:line="240" w:lineRule="auto"/>
        <w:jc w:val="center"/>
        <w:rPr>
          <w:rFonts w:cs="Times New Roman"/>
        </w:rPr>
      </w:pPr>
      <w:r w:rsidRPr="00DF0680">
        <w:lastRenderedPageBreak/>
        <w:drawing>
          <wp:inline distT="0" distB="0" distL="0" distR="0">
            <wp:extent cx="4932680" cy="6858000"/>
            <wp:effectExtent l="0" t="0" r="1270" b="0"/>
            <wp:docPr id="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srcRect/>
                    <a:stretch>
                      <a:fillRect/>
                    </a:stretch>
                  </pic:blipFill>
                  <pic:spPr bwMode="auto">
                    <a:xfrm>
                      <a:off x="0" y="0"/>
                      <a:ext cx="4932680" cy="6858000"/>
                    </a:xfrm>
                    <a:prstGeom prst="rect">
                      <a:avLst/>
                    </a:prstGeom>
                    <a:noFill/>
                    <a:ln w="9525">
                      <a:noFill/>
                      <a:miter lim="800000"/>
                      <a:headEnd/>
                      <a:tailEnd/>
                    </a:ln>
                  </pic:spPr>
                </pic:pic>
              </a:graphicData>
            </a:graphic>
          </wp:inline>
        </w:drawing>
      </w:r>
    </w:p>
    <w:p w:rsidR="000F4A2B" w:rsidRPr="00DF0680" w:rsidRDefault="000F4A2B" w:rsidP="00A1220D">
      <w:pPr>
        <w:pStyle w:val="Caption"/>
        <w:spacing w:after="60"/>
      </w:pPr>
      <w:bookmarkStart w:id="676" w:name="_Toc410221398"/>
      <w:bookmarkStart w:id="677" w:name="_Toc417813911"/>
      <w:r w:rsidRPr="00DF0680">
        <w:t xml:space="preserve">Figure </w:t>
      </w:r>
      <w:fldSimple w:instr=" STYLEREF 1 \s ">
        <w:r w:rsidR="006119E3">
          <w:rPr>
            <w:noProof/>
          </w:rPr>
          <w:t>4</w:t>
        </w:r>
      </w:fldSimple>
      <w:r w:rsidR="006119E3">
        <w:t>.</w:t>
      </w:r>
      <w:fldSimple w:instr=" SEQ Figure \* ARABIC \s 1 ">
        <w:r w:rsidR="006119E3">
          <w:rPr>
            <w:noProof/>
          </w:rPr>
          <w:t>11</w:t>
        </w:r>
      </w:fldSimple>
      <w:r w:rsidRPr="00DF0680">
        <w:t xml:space="preserve"> – γH2AX foci in RECQL5β over-expressing </w:t>
      </w:r>
      <w:r w:rsidR="00471D18" w:rsidRPr="00DF0680">
        <w:t>MRC5V2</w:t>
      </w:r>
      <w:r w:rsidRPr="00DF0680">
        <w:t xml:space="preserve"> cells after treatment with camptothecin and DRB</w:t>
      </w:r>
      <w:bookmarkEnd w:id="676"/>
      <w:bookmarkEnd w:id="677"/>
    </w:p>
    <w:p w:rsidR="000F4A2B" w:rsidRPr="00DF0680" w:rsidRDefault="000F4A2B" w:rsidP="00A1220D">
      <w:pPr>
        <w:pStyle w:val="Caption"/>
        <w:spacing w:line="269" w:lineRule="auto"/>
        <w:rPr>
          <w:b w:val="0"/>
        </w:rPr>
      </w:pPr>
      <w:r w:rsidRPr="00DF0680">
        <w:rPr>
          <w:b w:val="0"/>
        </w:rPr>
        <w:t xml:space="preserve">Wild-type </w:t>
      </w:r>
      <w:r w:rsidR="00471D18" w:rsidRPr="00DF0680">
        <w:rPr>
          <w:b w:val="0"/>
        </w:rPr>
        <w:t>MRC5V2</w:t>
      </w:r>
      <w:r w:rsidRPr="00DF0680">
        <w:rPr>
          <w:b w:val="0"/>
        </w:rPr>
        <w:t xml:space="preserve"> cells and those over-expressing RECQL5β (</w:t>
      </w:r>
      <w:r w:rsidR="00471D18" w:rsidRPr="00DF0680">
        <w:rPr>
          <w:b w:val="0"/>
        </w:rPr>
        <w:t>MRC5V2</w:t>
      </w:r>
      <w:r w:rsidRPr="00DF0680">
        <w:rPr>
          <w:b w:val="0"/>
        </w:rPr>
        <w:t>+Q5) and helicase-dead RECQL5β (</w:t>
      </w:r>
      <w:r w:rsidR="00471D18" w:rsidRPr="00DF0680">
        <w:rPr>
          <w:b w:val="0"/>
        </w:rPr>
        <w:t>MRC5V2</w:t>
      </w:r>
      <w:r w:rsidRPr="00DF0680">
        <w:rPr>
          <w:b w:val="0"/>
        </w:rPr>
        <w:t xml:space="preserve">+Q5KR) were exposed to the same treatments as with the DNA fibre analysis but cells were fixed and stained for γH2AX (A). (B) Percentage of cells with greater than 10 γH2AX foci was calculated. Averages and standard deviations of three independent repeats are shown. * indicates a Student’s t-test p value of &lt;0.05 between indicated samples. </w:t>
      </w:r>
      <w:r w:rsidR="00A1220D" w:rsidRPr="00DF0680">
        <w:rPr>
          <w:b w:val="0"/>
        </w:rPr>
        <w:t>200 cells were counted for each of 3 independent repeats.</w:t>
      </w:r>
      <w:r w:rsidR="000E6C51" w:rsidRPr="00DF0680">
        <w:rPr>
          <w:b w:val="0"/>
        </w:rPr>
        <w:t xml:space="preserve"> Images were taken at a magnification of x 60. </w:t>
      </w:r>
    </w:p>
    <w:p w:rsidR="000F4A2B" w:rsidRPr="00DF0680" w:rsidRDefault="001F0601" w:rsidP="000F4A2B">
      <w:pPr>
        <w:keepNext/>
        <w:jc w:val="center"/>
        <w:rPr>
          <w:rFonts w:cs="Times New Roman"/>
        </w:rPr>
      </w:pPr>
      <w:r w:rsidRPr="00DF0680">
        <w:lastRenderedPageBreak/>
        <w:drawing>
          <wp:inline distT="0" distB="0" distL="0" distR="0">
            <wp:extent cx="5173345" cy="6906260"/>
            <wp:effectExtent l="0" t="0" r="0" b="0"/>
            <wp:docPr id="8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srcRect/>
                    <a:stretch>
                      <a:fillRect/>
                    </a:stretch>
                  </pic:blipFill>
                  <pic:spPr bwMode="auto">
                    <a:xfrm>
                      <a:off x="0" y="0"/>
                      <a:ext cx="5173345" cy="6906260"/>
                    </a:xfrm>
                    <a:prstGeom prst="rect">
                      <a:avLst/>
                    </a:prstGeom>
                    <a:noFill/>
                    <a:ln w="9525">
                      <a:noFill/>
                      <a:miter lim="800000"/>
                      <a:headEnd/>
                      <a:tailEnd/>
                    </a:ln>
                  </pic:spPr>
                </pic:pic>
              </a:graphicData>
            </a:graphic>
          </wp:inline>
        </w:drawing>
      </w:r>
    </w:p>
    <w:p w:rsidR="000F4A2B" w:rsidRPr="00DF0680" w:rsidRDefault="000F4A2B" w:rsidP="00106F45">
      <w:pPr>
        <w:pStyle w:val="Caption"/>
        <w:spacing w:after="60" w:line="240" w:lineRule="auto"/>
        <w:contextualSpacing/>
      </w:pPr>
      <w:bookmarkStart w:id="678" w:name="_Toc410221399"/>
      <w:bookmarkStart w:id="679" w:name="_Toc417813912"/>
      <w:r w:rsidRPr="00DF0680">
        <w:t xml:space="preserve">Figure </w:t>
      </w:r>
      <w:fldSimple w:instr=" STYLEREF 1 \s ">
        <w:r w:rsidR="006119E3">
          <w:rPr>
            <w:noProof/>
          </w:rPr>
          <w:t>4</w:t>
        </w:r>
      </w:fldSimple>
      <w:r w:rsidR="006119E3">
        <w:t>.</w:t>
      </w:r>
      <w:fldSimple w:instr=" SEQ Figure \* ARABIC \s 1 ">
        <w:r w:rsidR="006119E3">
          <w:rPr>
            <w:noProof/>
          </w:rPr>
          <w:t>12</w:t>
        </w:r>
      </w:fldSimple>
      <w:r w:rsidRPr="00DF0680">
        <w:t xml:space="preserve"> – 53BP1 foci in RECQL5β over-expressing </w:t>
      </w:r>
      <w:r w:rsidR="00471D18" w:rsidRPr="00DF0680">
        <w:t>MRC5V2</w:t>
      </w:r>
      <w:r w:rsidRPr="00DF0680">
        <w:t xml:space="preserve"> cells after treatment with camptothecin and DRB</w:t>
      </w:r>
      <w:bookmarkEnd w:id="678"/>
      <w:bookmarkEnd w:id="679"/>
    </w:p>
    <w:p w:rsidR="000F4A2B" w:rsidRPr="00DF0680" w:rsidRDefault="000F4A2B" w:rsidP="00D94477">
      <w:pPr>
        <w:pStyle w:val="Caption"/>
        <w:rPr>
          <w:b w:val="0"/>
        </w:rPr>
      </w:pPr>
      <w:r w:rsidRPr="00DF0680">
        <w:rPr>
          <w:b w:val="0"/>
        </w:rPr>
        <w:t xml:space="preserve">Wild-type </w:t>
      </w:r>
      <w:r w:rsidR="00471D18" w:rsidRPr="00DF0680">
        <w:rPr>
          <w:b w:val="0"/>
        </w:rPr>
        <w:t>MRC5V2</w:t>
      </w:r>
      <w:r w:rsidRPr="00DF0680">
        <w:rPr>
          <w:b w:val="0"/>
        </w:rPr>
        <w:t xml:space="preserve"> cells and those over-expressing RECQL5β (</w:t>
      </w:r>
      <w:r w:rsidR="00471D18" w:rsidRPr="00DF0680">
        <w:rPr>
          <w:b w:val="0"/>
        </w:rPr>
        <w:t>MRC5V2</w:t>
      </w:r>
      <w:r w:rsidRPr="00DF0680">
        <w:rPr>
          <w:b w:val="0"/>
        </w:rPr>
        <w:t>+Q5) and helicase-dead RECQL5β (</w:t>
      </w:r>
      <w:r w:rsidR="00471D18" w:rsidRPr="00DF0680">
        <w:rPr>
          <w:b w:val="0"/>
        </w:rPr>
        <w:t>MRC5V2</w:t>
      </w:r>
      <w:r w:rsidRPr="00DF0680">
        <w:rPr>
          <w:b w:val="0"/>
        </w:rPr>
        <w:t xml:space="preserve">+Q5KR) were exposed to the same treatments as with the DNA fibre analysis but cells were fixed and stained for 53BP1 (A). (B) Percentage of cells with greater than 10 53BP1 foci was calculated. Averages and standard deviations of three independent repeats are shown. * indicates a Student’s t-test p value of &lt;0.05 between indicated samples. </w:t>
      </w:r>
      <w:r w:rsidR="00106F45" w:rsidRPr="00DF0680">
        <w:rPr>
          <w:b w:val="0"/>
        </w:rPr>
        <w:t>200 cells were counted for each of 3 independent repeats.</w:t>
      </w:r>
      <w:r w:rsidR="000E6C51" w:rsidRPr="00DF0680">
        <w:rPr>
          <w:b w:val="0"/>
        </w:rPr>
        <w:t xml:space="preserve"> Images were taken at a magnification of x 60.</w:t>
      </w:r>
    </w:p>
    <w:p w:rsidR="000F4A2B" w:rsidRPr="00DF0680" w:rsidRDefault="001F0601" w:rsidP="00106F45">
      <w:pPr>
        <w:keepNext/>
        <w:spacing w:after="120"/>
        <w:jc w:val="center"/>
        <w:rPr>
          <w:rFonts w:cs="Times New Roman"/>
        </w:rPr>
      </w:pPr>
      <w:r w:rsidRPr="00DF0680">
        <w:lastRenderedPageBreak/>
        <w:drawing>
          <wp:inline distT="0" distB="0" distL="0" distR="0">
            <wp:extent cx="5167591" cy="6882063"/>
            <wp:effectExtent l="0" t="0" r="0" b="0"/>
            <wp:docPr id="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srcRect/>
                    <a:stretch>
                      <a:fillRect/>
                    </a:stretch>
                  </pic:blipFill>
                  <pic:spPr bwMode="auto">
                    <a:xfrm>
                      <a:off x="0" y="0"/>
                      <a:ext cx="5169549" cy="6884670"/>
                    </a:xfrm>
                    <a:prstGeom prst="rect">
                      <a:avLst/>
                    </a:prstGeom>
                    <a:noFill/>
                    <a:ln w="9525">
                      <a:noFill/>
                      <a:miter lim="800000"/>
                      <a:headEnd/>
                      <a:tailEnd/>
                    </a:ln>
                  </pic:spPr>
                </pic:pic>
              </a:graphicData>
            </a:graphic>
          </wp:inline>
        </w:drawing>
      </w:r>
    </w:p>
    <w:p w:rsidR="000F4A2B" w:rsidRPr="00DF0680" w:rsidRDefault="000F4A2B" w:rsidP="00106F45">
      <w:pPr>
        <w:pStyle w:val="Caption"/>
        <w:spacing w:after="60"/>
      </w:pPr>
      <w:bookmarkStart w:id="680" w:name="_Toc410221400"/>
      <w:bookmarkStart w:id="681" w:name="_Toc417813913"/>
      <w:r w:rsidRPr="00DF0680">
        <w:t xml:space="preserve">Figure </w:t>
      </w:r>
      <w:fldSimple w:instr=" STYLEREF 1 \s ">
        <w:r w:rsidR="006119E3">
          <w:rPr>
            <w:noProof/>
          </w:rPr>
          <w:t>4</w:t>
        </w:r>
      </w:fldSimple>
      <w:r w:rsidR="006119E3">
        <w:t>.</w:t>
      </w:r>
      <w:fldSimple w:instr=" SEQ Figure \* ARABIC \s 1 ">
        <w:r w:rsidR="006119E3">
          <w:rPr>
            <w:noProof/>
          </w:rPr>
          <w:t>13</w:t>
        </w:r>
      </w:fldSimple>
      <w:r w:rsidRPr="00DF0680">
        <w:t xml:space="preserve"> – RAD51 foci in RECQL5β over-expressing </w:t>
      </w:r>
      <w:r w:rsidR="00471D18" w:rsidRPr="00DF0680">
        <w:t>MRC5V2</w:t>
      </w:r>
      <w:r w:rsidRPr="00DF0680">
        <w:t xml:space="preserve"> cells after treatment with camptothecin and DRB</w:t>
      </w:r>
      <w:bookmarkEnd w:id="680"/>
      <w:bookmarkEnd w:id="681"/>
    </w:p>
    <w:p w:rsidR="000F4A2B" w:rsidRPr="00DF0680" w:rsidRDefault="000F4A2B" w:rsidP="00106F45">
      <w:pPr>
        <w:pStyle w:val="Caption"/>
        <w:spacing w:line="269" w:lineRule="auto"/>
        <w:rPr>
          <w:b w:val="0"/>
        </w:rPr>
      </w:pPr>
      <w:r w:rsidRPr="00DF0680">
        <w:rPr>
          <w:b w:val="0"/>
        </w:rPr>
        <w:t xml:space="preserve">Wild-type </w:t>
      </w:r>
      <w:r w:rsidR="00471D18" w:rsidRPr="00DF0680">
        <w:rPr>
          <w:b w:val="0"/>
        </w:rPr>
        <w:t>MRC5V2</w:t>
      </w:r>
      <w:r w:rsidRPr="00DF0680">
        <w:rPr>
          <w:b w:val="0"/>
        </w:rPr>
        <w:t xml:space="preserve"> cells and those over-expressing RECQL5β (</w:t>
      </w:r>
      <w:r w:rsidR="00471D18" w:rsidRPr="00DF0680">
        <w:rPr>
          <w:b w:val="0"/>
        </w:rPr>
        <w:t>MRC5V2</w:t>
      </w:r>
      <w:r w:rsidRPr="00DF0680">
        <w:rPr>
          <w:b w:val="0"/>
        </w:rPr>
        <w:t>+Q5) and helicase-dead RECQL5β (</w:t>
      </w:r>
      <w:r w:rsidR="00471D18" w:rsidRPr="00DF0680">
        <w:rPr>
          <w:b w:val="0"/>
        </w:rPr>
        <w:t>MRC5V2</w:t>
      </w:r>
      <w:r w:rsidRPr="00DF0680">
        <w:rPr>
          <w:b w:val="0"/>
        </w:rPr>
        <w:t xml:space="preserve">+Q5KR) were exposed to the same treatments as with the DNA fibre analysis but cells were fixed and stained for RAD51 (A). (B) Percentage of cells with greater than 10 RAD51 foci was calculated. Averages and standard deviations of three independent repeats are shown. * indicates a Student’s t-test p value of &lt;0.05 between indicated samples. </w:t>
      </w:r>
      <w:r w:rsidR="00106F45" w:rsidRPr="00DF0680">
        <w:rPr>
          <w:b w:val="0"/>
        </w:rPr>
        <w:t>200 cells were counted for each of 3 independent repeats.</w:t>
      </w:r>
      <w:r w:rsidR="00741039" w:rsidRPr="00DF0680">
        <w:rPr>
          <w:b w:val="0"/>
        </w:rPr>
        <w:t xml:space="preserve"> Images were taken at a magnification of x 60.</w:t>
      </w:r>
    </w:p>
    <w:p w:rsidR="000F4A2B" w:rsidRPr="00DF0680" w:rsidRDefault="000F4A2B" w:rsidP="00D94477">
      <w:pPr>
        <w:pStyle w:val="Caption"/>
      </w:pPr>
    </w:p>
    <w:p w:rsidR="000F4A2B" w:rsidRPr="00DF0680" w:rsidRDefault="00980433" w:rsidP="000F4A2B">
      <w:pPr>
        <w:keepNext/>
        <w:rPr>
          <w:rFonts w:cs="Times New Roman"/>
        </w:rPr>
      </w:pPr>
      <w:r w:rsidRPr="00DF0680">
        <w:drawing>
          <wp:inline distT="0" distB="0" distL="0" distR="0">
            <wp:extent cx="5400040" cy="5908601"/>
            <wp:effectExtent l="0" t="0" r="0" b="0"/>
            <wp:docPr id="9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srcRect/>
                    <a:stretch>
                      <a:fillRect/>
                    </a:stretch>
                  </pic:blipFill>
                  <pic:spPr bwMode="auto">
                    <a:xfrm>
                      <a:off x="0" y="0"/>
                      <a:ext cx="5400040" cy="5908601"/>
                    </a:xfrm>
                    <a:prstGeom prst="rect">
                      <a:avLst/>
                    </a:prstGeom>
                    <a:noFill/>
                    <a:ln w="9525">
                      <a:noFill/>
                      <a:miter lim="800000"/>
                      <a:headEnd/>
                      <a:tailEnd/>
                    </a:ln>
                  </pic:spPr>
                </pic:pic>
              </a:graphicData>
            </a:graphic>
          </wp:inline>
        </w:drawing>
      </w:r>
    </w:p>
    <w:p w:rsidR="000F4A2B" w:rsidRPr="00DF0680" w:rsidRDefault="000F4A2B" w:rsidP="00D94477">
      <w:pPr>
        <w:pStyle w:val="Caption"/>
      </w:pPr>
      <w:bookmarkStart w:id="682" w:name="_Toc410221401"/>
      <w:bookmarkStart w:id="683" w:name="_Toc417813914"/>
      <w:r w:rsidRPr="00DF0680">
        <w:t xml:space="preserve">Figure </w:t>
      </w:r>
      <w:fldSimple w:instr=" STYLEREF 1 \s ">
        <w:r w:rsidR="006119E3">
          <w:rPr>
            <w:noProof/>
          </w:rPr>
          <w:t>4</w:t>
        </w:r>
      </w:fldSimple>
      <w:r w:rsidR="006119E3">
        <w:t>.</w:t>
      </w:r>
      <w:fldSimple w:instr=" SEQ Figure \* ARABIC \s 1 ">
        <w:r w:rsidR="006119E3">
          <w:rPr>
            <w:noProof/>
          </w:rPr>
          <w:t>14</w:t>
        </w:r>
      </w:fldSimple>
      <w:r w:rsidRPr="00DF0680">
        <w:t xml:space="preserve"> – RPA foci in RECQL5β over-expressing </w:t>
      </w:r>
      <w:r w:rsidR="00471D18" w:rsidRPr="00DF0680">
        <w:t>MRC5V2</w:t>
      </w:r>
      <w:r w:rsidRPr="00DF0680">
        <w:t xml:space="preserve"> cells after treatment with camptothecin and DRB</w:t>
      </w:r>
      <w:bookmarkEnd w:id="682"/>
      <w:bookmarkEnd w:id="683"/>
    </w:p>
    <w:p w:rsidR="00980433" w:rsidRPr="00DF0680" w:rsidRDefault="000F4A2B" w:rsidP="00741039">
      <w:pPr>
        <w:pStyle w:val="Caption"/>
        <w:rPr>
          <w:rFonts w:cs="Times New Roman"/>
        </w:rPr>
      </w:pPr>
      <w:r w:rsidRPr="00DF0680">
        <w:rPr>
          <w:b w:val="0"/>
        </w:rPr>
        <w:t xml:space="preserve">Wild-type </w:t>
      </w:r>
      <w:r w:rsidR="00471D18" w:rsidRPr="00DF0680">
        <w:rPr>
          <w:b w:val="0"/>
        </w:rPr>
        <w:t>MRC5V2</w:t>
      </w:r>
      <w:r w:rsidRPr="00DF0680">
        <w:rPr>
          <w:b w:val="0"/>
        </w:rPr>
        <w:t xml:space="preserve"> cells and those over-expressing RECQL5β (</w:t>
      </w:r>
      <w:r w:rsidR="00471D18" w:rsidRPr="00DF0680">
        <w:rPr>
          <w:b w:val="0"/>
        </w:rPr>
        <w:t>MRC5V2</w:t>
      </w:r>
      <w:r w:rsidRPr="00DF0680">
        <w:rPr>
          <w:b w:val="0"/>
        </w:rPr>
        <w:t>+Q5) and helicase-dead RECQL5β (</w:t>
      </w:r>
      <w:r w:rsidR="00471D18" w:rsidRPr="00DF0680">
        <w:rPr>
          <w:b w:val="0"/>
        </w:rPr>
        <w:t>MRC5V2</w:t>
      </w:r>
      <w:r w:rsidRPr="00DF0680">
        <w:rPr>
          <w:b w:val="0"/>
        </w:rPr>
        <w:t>+Q5KR) were exposed to the same treatments as with the DNA fibre analysis but cells were fixed and stained for RPA (A). (B) Percenta</w:t>
      </w:r>
      <w:r w:rsidR="008F3157" w:rsidRPr="00DF0680">
        <w:rPr>
          <w:b w:val="0"/>
        </w:rPr>
        <w:t>ge of cells with greater than 5</w:t>
      </w:r>
      <w:r w:rsidRPr="00DF0680">
        <w:rPr>
          <w:b w:val="0"/>
        </w:rPr>
        <w:t xml:space="preserve"> RPA foci was calculated. Averages and standard deviations of three independent repeats are shown.</w:t>
      </w:r>
      <w:r w:rsidR="00741039" w:rsidRPr="00DF0680">
        <w:rPr>
          <w:b w:val="0"/>
        </w:rPr>
        <w:t xml:space="preserve"> (C) Relative number of cells with greater than 5 RPA foci was calculated by normalising the percentages to the untreated sample of the respective cell line.</w:t>
      </w:r>
      <w:r w:rsidRPr="00DF0680">
        <w:rPr>
          <w:b w:val="0"/>
        </w:rPr>
        <w:t xml:space="preserve"> * indicates a Student’s t-test p value of &lt;0.05 between indicated samples. </w:t>
      </w:r>
      <w:r w:rsidR="00106F45" w:rsidRPr="00DF0680">
        <w:rPr>
          <w:b w:val="0"/>
        </w:rPr>
        <w:t>200 cells were counted for each of 3 independent repeats.</w:t>
      </w:r>
      <w:r w:rsidR="00741039" w:rsidRPr="00DF0680">
        <w:rPr>
          <w:b w:val="0"/>
        </w:rPr>
        <w:t xml:space="preserve"> Images were taken at a magnification of x 60.</w:t>
      </w:r>
      <w:r w:rsidR="00980433" w:rsidRPr="00DF0680">
        <w:rPr>
          <w:rFonts w:cs="Times New Roman"/>
        </w:rPr>
        <w:br w:type="page"/>
      </w:r>
    </w:p>
    <w:p w:rsidR="000F4A2B" w:rsidRPr="00DF0680" w:rsidRDefault="000F4A2B" w:rsidP="000F4A2B">
      <w:pPr>
        <w:rPr>
          <w:rFonts w:cs="Times New Roman"/>
        </w:rPr>
      </w:pPr>
      <w:r w:rsidRPr="00DF0680">
        <w:rPr>
          <w:rFonts w:cs="Times New Roman"/>
        </w:rPr>
        <w:lastRenderedPageBreak/>
        <w:t xml:space="preserve">Taken together, the immunofluorescence foci data show a different pattern to that seen with the DNA fibre data. Although the fibre data suggests that the changes in fork speed are dependent on transcription or replication, the damage caused by camptothecin is not rescued by transcription inhibition. The data here suggests that a helicase-dead RECQL5 may play a role in reducing double strand breaks </w:t>
      </w:r>
      <w:r w:rsidR="00106F45" w:rsidRPr="00DF0680">
        <w:rPr>
          <w:rFonts w:cs="Times New Roman"/>
        </w:rPr>
        <w:t>in cells treated with</w:t>
      </w:r>
      <w:r w:rsidRPr="00DF0680">
        <w:rPr>
          <w:rFonts w:cs="Times New Roman"/>
        </w:rPr>
        <w:t xml:space="preserve"> DRB and RECQL5 may prevent replication stress caused by camptothecin and DRB.</w:t>
      </w:r>
    </w:p>
    <w:p w:rsidR="000F4A2B" w:rsidRPr="00DF0680" w:rsidRDefault="000F4A2B" w:rsidP="000F4A2B">
      <w:pPr>
        <w:rPr>
          <w:rFonts w:cs="Times New Roman"/>
        </w:rPr>
      </w:pPr>
    </w:p>
    <w:p w:rsidR="000F4A2B" w:rsidRPr="00DF0680" w:rsidRDefault="000F4A2B" w:rsidP="00E664FC">
      <w:pPr>
        <w:pStyle w:val="Heading2"/>
      </w:pPr>
      <w:bookmarkStart w:id="684" w:name="_Toc410221385"/>
      <w:bookmarkStart w:id="685" w:name="_Toc417204204"/>
      <w:bookmarkStart w:id="686" w:name="_Toc417204737"/>
      <w:bookmarkStart w:id="687" w:name="_Toc417204797"/>
      <w:r w:rsidRPr="00DF0680">
        <w:t>Discussion</w:t>
      </w:r>
      <w:bookmarkEnd w:id="684"/>
      <w:bookmarkEnd w:id="685"/>
      <w:bookmarkEnd w:id="686"/>
      <w:bookmarkEnd w:id="687"/>
    </w:p>
    <w:p w:rsidR="000F4A2B" w:rsidRPr="00DF0680" w:rsidRDefault="000F4A2B" w:rsidP="000F4A2B">
      <w:pPr>
        <w:rPr>
          <w:rFonts w:cs="Times New Roman"/>
        </w:rPr>
      </w:pPr>
      <w:r w:rsidRPr="00DF0680">
        <w:rPr>
          <w:rFonts w:cs="Times New Roman"/>
        </w:rPr>
        <w:t xml:space="preserve">The data above shows that over-expressing RECQL5β increases endogenous </w:t>
      </w:r>
      <w:r w:rsidR="00875E6C" w:rsidRPr="00DF0680">
        <w:rPr>
          <w:rFonts w:cs="Times New Roman"/>
        </w:rPr>
        <w:t xml:space="preserve">replication </w:t>
      </w:r>
      <w:r w:rsidRPr="00DF0680">
        <w:rPr>
          <w:rFonts w:cs="Times New Roman"/>
        </w:rPr>
        <w:t xml:space="preserve">fork speed in a helicase dependent manner (Figure 4.1). The RECQL5β over-expression seen in the </w:t>
      </w:r>
      <w:r w:rsidR="00471D18" w:rsidRPr="00DF0680">
        <w:rPr>
          <w:rFonts w:cs="Times New Roman"/>
        </w:rPr>
        <w:t>MRC5V2</w:t>
      </w:r>
      <w:r w:rsidRPr="00DF0680">
        <w:rPr>
          <w:rFonts w:cs="Times New Roman"/>
        </w:rPr>
        <w:t xml:space="preserve">+Q5 and </w:t>
      </w:r>
      <w:r w:rsidR="00471D18" w:rsidRPr="00DF0680">
        <w:rPr>
          <w:rFonts w:cs="Times New Roman"/>
        </w:rPr>
        <w:t>MRC5V2</w:t>
      </w:r>
      <w:r w:rsidRPr="00DF0680">
        <w:rPr>
          <w:rFonts w:cs="Times New Roman"/>
        </w:rPr>
        <w:t xml:space="preserve">+Q5KR cells is to a similar extent seen by Blundred </w:t>
      </w:r>
      <w:r w:rsidRPr="00DF0680">
        <w:rPr>
          <w:rFonts w:cs="Times New Roman"/>
          <w:i/>
        </w:rPr>
        <w:t>et al</w:t>
      </w:r>
      <w:r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(Blundred et al. 2010)</w:t>
      </w:r>
      <w:r w:rsidR="00F20EC0" w:rsidRPr="00DF0680">
        <w:rPr>
          <w:rFonts w:cs="Times New Roman"/>
        </w:rPr>
        <w:fldChar w:fldCharType="end"/>
      </w:r>
      <w:r w:rsidRPr="00DF0680">
        <w:rPr>
          <w:rFonts w:cs="Times New Roman"/>
        </w:rPr>
        <w:t xml:space="preserve"> (Figure 4.1 A). The fact that it is a helicase dependent phenotype suggests that RECQL5β’s DNA unwinding capabilities are used to resolve endogenously occurring DNA intermediates that slow fork speed. These cannot be removed by helicase-dead RECQL5β which is why fork speed is not increased in </w:t>
      </w:r>
      <w:r w:rsidR="00471D18" w:rsidRPr="00DF0680">
        <w:rPr>
          <w:rFonts w:cs="Times New Roman"/>
        </w:rPr>
        <w:t>MRC5V2</w:t>
      </w:r>
      <w:r w:rsidRPr="00DF0680">
        <w:rPr>
          <w:rFonts w:cs="Times New Roman"/>
        </w:rPr>
        <w:t xml:space="preserve">+Q5KR cells. </w:t>
      </w:r>
      <w:r w:rsidR="0071516B" w:rsidRPr="00DF0680">
        <w:rPr>
          <w:rFonts w:cs="Times New Roman"/>
        </w:rPr>
        <w:t>Although there is an indication that fork asymmetry may increase when RECQL5 is over-expressed (Figure 4.4), p</w:t>
      </w:r>
      <w:r w:rsidRPr="00DF0680">
        <w:rPr>
          <w:rFonts w:cs="Times New Roman"/>
        </w:rPr>
        <w:t xml:space="preserve">revious work suggests that this increased replication speed does not compromise replication fidelity, as </w:t>
      </w:r>
      <w:r w:rsidR="00471D18" w:rsidRPr="00DF0680">
        <w:rPr>
          <w:rFonts w:cs="Times New Roman"/>
        </w:rPr>
        <w:t>MRC5V2</w:t>
      </w:r>
      <w:r w:rsidRPr="00DF0680">
        <w:rPr>
          <w:rFonts w:cs="Times New Roman"/>
        </w:rPr>
        <w:t xml:space="preserve"> cells over-expressing RECQL5β or expressing a helicase-dead RECQL5β have the same spontaneous mutation rate as wild-type </w:t>
      </w:r>
      <w:r w:rsidR="00471D18" w:rsidRPr="00DF0680">
        <w:rPr>
          <w:rFonts w:cs="Times New Roman"/>
        </w:rPr>
        <w:t>MRC5V2</w:t>
      </w:r>
      <w:r w:rsidRPr="00DF0680">
        <w:rPr>
          <w:rFonts w:cs="Times New Roman"/>
        </w:rPr>
        <w:t xml:space="preserve"> cells </w:t>
      </w:r>
      <w:r w:rsidR="00F20EC0" w:rsidRPr="00DF0680">
        <w:rPr>
          <w:rFonts w:cs="Times New Roman"/>
        </w:rPr>
        <w:fldChar w:fldCharType="begin" w:fldLock="1"/>
      </w:r>
      <w:r w:rsidR="00332613" w:rsidRPr="00DF0680">
        <w:rPr>
          <w:rFonts w:cs="Times New Roman"/>
        </w:rPr>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(Blundred et al. 2010)</w:t>
      </w:r>
      <w:r w:rsidR="00F20EC0" w:rsidRPr="00DF0680">
        <w:rPr>
          <w:rFonts w:cs="Times New Roman"/>
        </w:rPr>
        <w:fldChar w:fldCharType="end"/>
      </w:r>
      <w:r w:rsidRPr="00DF0680">
        <w:rPr>
          <w:rFonts w:cs="Times New Roman"/>
        </w:rPr>
        <w:t>.</w:t>
      </w:r>
    </w:p>
    <w:p w:rsidR="000F4A2B" w:rsidRPr="00DF0680" w:rsidRDefault="00471D18" w:rsidP="000F4A2B">
      <w:pPr>
        <w:rPr>
          <w:rFonts w:cs="Times New Roman"/>
        </w:rPr>
      </w:pPr>
      <w:r w:rsidRPr="00DF0680">
        <w:rPr>
          <w:rFonts w:cs="Times New Roman"/>
        </w:rPr>
        <w:t>MRC5V2</w:t>
      </w:r>
      <w:r w:rsidR="000F4A2B" w:rsidRPr="00DF0680">
        <w:rPr>
          <w:rFonts w:cs="Times New Roman"/>
        </w:rPr>
        <w:t xml:space="preserve">+Q5 cells also exhibit a decreased number of stalled forks and new origin firing compared to </w:t>
      </w:r>
      <w:r w:rsidRPr="00DF0680">
        <w:rPr>
          <w:rFonts w:cs="Times New Roman"/>
        </w:rPr>
        <w:t>MRC5V2</w:t>
      </w:r>
      <w:r w:rsidR="000F4A2B" w:rsidRPr="00DF0680">
        <w:rPr>
          <w:rFonts w:cs="Times New Roman"/>
        </w:rPr>
        <w:t xml:space="preserve"> and </w:t>
      </w:r>
      <w:r w:rsidRPr="00DF0680">
        <w:rPr>
          <w:rFonts w:cs="Times New Roman"/>
        </w:rPr>
        <w:t>MRC5V2</w:t>
      </w:r>
      <w:r w:rsidR="000F4A2B" w:rsidRPr="00DF0680">
        <w:rPr>
          <w:rFonts w:cs="Times New Roman"/>
        </w:rPr>
        <w:t>+Q5KR (Figure 4.3). With the number of sta</w:t>
      </w:r>
      <w:r w:rsidR="00875E6C" w:rsidRPr="00DF0680">
        <w:rPr>
          <w:rFonts w:cs="Times New Roman"/>
        </w:rPr>
        <w:t>lled forks, this was a helicase-</w:t>
      </w:r>
      <w:r w:rsidR="000F4A2B" w:rsidRPr="00DF0680">
        <w:rPr>
          <w:rFonts w:cs="Times New Roman"/>
        </w:rPr>
        <w:t>dependent contribution, and something that would normally cause the repl</w:t>
      </w:r>
      <w:r w:rsidR="00875E6C" w:rsidRPr="00DF0680">
        <w:rPr>
          <w:rFonts w:cs="Times New Roman"/>
        </w:rPr>
        <w:t>ication fork to stall or arrest</w:t>
      </w:r>
      <w:r w:rsidR="000F4A2B" w:rsidRPr="00DF0680">
        <w:rPr>
          <w:rFonts w:cs="Times New Roman"/>
        </w:rPr>
        <w:t xml:space="preserve"> is being over-come by over-expressing RECQL5β and allowing the fork to continue. New origins may be reduced in these over-expressing cells purely because there are less forks stalling, so fewer origins need to be fired to complete replication. But, because the helicase-dead RECQL5β seems to be reducing the number of origins fired as well, we cannot rule out a direct, helicase-independent role for RECQL5β in origin firing. However, repeating this data alongside replication and transcription inhibition, showed that although the percentage of endogenous stalled forks was still reduced in </w:t>
      </w:r>
      <w:r w:rsidRPr="00DF0680">
        <w:rPr>
          <w:rFonts w:cs="Times New Roman"/>
        </w:rPr>
        <w:t>MRC5V2</w:t>
      </w:r>
      <w:r w:rsidR="000F4A2B" w:rsidRPr="00DF0680">
        <w:rPr>
          <w:rFonts w:cs="Times New Roman"/>
        </w:rPr>
        <w:t xml:space="preserve">+Q5 cells, new origins were </w:t>
      </w:r>
      <w:r w:rsidR="000F4A2B" w:rsidRPr="00DF0680">
        <w:rPr>
          <w:rFonts w:cs="Times New Roman"/>
        </w:rPr>
        <w:lastRenderedPageBreak/>
        <w:t xml:space="preserve">increased. This may be explained by small changes in replication fork dynamics as cells are significantly passaged. </w:t>
      </w:r>
    </w:p>
    <w:p w:rsidR="000F4A2B" w:rsidRPr="00DF0680" w:rsidRDefault="000F4A2B" w:rsidP="000F4A2B">
      <w:pPr>
        <w:rPr>
          <w:rFonts w:cs="Times New Roman"/>
        </w:rPr>
      </w:pPr>
      <w:r w:rsidRPr="00DF0680">
        <w:rPr>
          <w:rFonts w:cs="Times New Roman"/>
        </w:rPr>
        <w:t xml:space="preserve">Increased fork speed could be partially rescued by depleting over-expressing cells of RECQL5β (Figure 4.2). Although we saw a significant decrease in fork speed when we used a pool of two RECQL5β siRNAs, we did not see that difference when we used a pool of two siRNAs targeting all 3 isoforms of Q5, but this was only from two repeats. It may be that the Q5β pool is more effective at knocking down RECQL5β than the Q5 pool but this did not seem to be the case in the </w:t>
      </w:r>
      <w:r w:rsidR="00471D18" w:rsidRPr="00DF0680">
        <w:rPr>
          <w:rFonts w:cs="Times New Roman"/>
        </w:rPr>
        <w:t>MRC5V2</w:t>
      </w:r>
      <w:r w:rsidRPr="00DF0680">
        <w:rPr>
          <w:rFonts w:cs="Times New Roman"/>
        </w:rPr>
        <w:t xml:space="preserve">+Q5 cells (Figure 4.2A). It would appear that even control transfected cells have reduced fork speed compared to the untransfected </w:t>
      </w:r>
      <w:r w:rsidR="00471D18" w:rsidRPr="00DF0680">
        <w:rPr>
          <w:rFonts w:cs="Times New Roman"/>
        </w:rPr>
        <w:t>MRC5V2</w:t>
      </w:r>
      <w:r w:rsidRPr="00DF0680">
        <w:rPr>
          <w:rFonts w:cs="Times New Roman"/>
        </w:rPr>
        <w:t xml:space="preserve">+Q5 (1 kb/min to 1.1 kb/min) (Figure 4.1 C) suggesting that the transfection itself may be affecting fork speed. Counting stalled forks and new origins fired showed a trend of being rescued when RECQL5β was depleted but this was not significant. There were also increased stalled forks and new origins fired in transfected cells compared to untransfected cells (Figure 4.3). Transfection may too increase the number of stalled forks and new origins fired. </w:t>
      </w:r>
    </w:p>
    <w:p w:rsidR="000F4A2B" w:rsidRPr="00DF0680" w:rsidRDefault="000F4A2B" w:rsidP="000F4A2B">
      <w:pPr>
        <w:rPr>
          <w:rFonts w:cs="Times New Roman"/>
        </w:rPr>
      </w:pPr>
      <w:r w:rsidRPr="00DF0680">
        <w:rPr>
          <w:rFonts w:cs="Times New Roman"/>
        </w:rPr>
        <w:t>Although differences were seen in DNA fibre dynamics upon RECQL5β over-expression, no changes were seen when RECQL5 levels were depleted. Fork speed, number of stalled forks, new origins and fork asymmetry were unchanged when RECQL5β was depleted using siRNA (Figure 4.5). Because we see differences in fork dynamics when RECQL5β is over-expressed but not when depleted, it may be that</w:t>
      </w:r>
      <w:r w:rsidR="005922AD" w:rsidRPr="00DF0680">
        <w:rPr>
          <w:rFonts w:cs="Times New Roman"/>
          <w:i/>
        </w:rPr>
        <w:t xml:space="preserve"> its </w:t>
      </w:r>
      <w:r w:rsidRPr="00DF0680">
        <w:rPr>
          <w:rFonts w:cs="Times New Roman"/>
        </w:rPr>
        <w:t xml:space="preserve">function in endogenous replication is redundant and other RECQ helicases can perform these roles in RECQL5β’s absence. It would be interesting to see whether depleting BLM or WS cells of RECQL5β would further decrease fork speed </w:t>
      </w:r>
      <w:r w:rsidR="00F20EC0" w:rsidRPr="00DF0680">
        <w:rPr>
          <w:rFonts w:cs="Times New Roman"/>
        </w:rPr>
        <w:fldChar w:fldCharType="begin" w:fldLock="1"/>
      </w:r>
      <w:r w:rsidR="00332613" w:rsidRPr="00DF0680">
        <w:rPr>
          <w:rFonts w:cs="Times New Roman"/>
        </w:rPr>
        <w:instrText>ADDIN CSL_CITATION { "citationItems" : [ { "id" : "ITEM-1", "itemData" : { "DOI" : "10.1158/1541-7786.MCR-07-0028", "ISBN" : "3014965944", "ISSN" : "1541-7786", "PMID" : "17634426", "abstract" : "The Bloom syndrome helicase (BLM) is critical for genomic stability. A defect in BLM activity results in the cancer-predisposing Bloom syndrome (BS). Here, we report that BLM-deficient cell lines and primary fibroblasts display an endogenously activated DNA double-strand break checkpoint response with prominent levels of phosphorylated histone H2AX (gamma-H2AX), Chk2 (p(T68)Chk2), and ATM (p(S1981)ATM) colocalizing in nuclear foci. Interestingly, the mitotic fraction of gamma-H2AX foci did not seem to be higher in BLM-deficient cells, indicating that these lesions form transiently during interphase. Pulse labeling with iododeoxyuridine and immunofluorescence microscopy showed the colocalization of gamma-H2AX, ATM, and Chk2 together with replication foci. Those foci costained for Rad51, indicating homologous recombination at these replication sites. We therefore analyzed replication in BS cells using a single molecule approach on combed DNA fibers. In addition to a higher frequency of replication fork barriers, BS cells displayed a reduced average fork velocity and global reduction of interorigin distances indicative of an elevated frequency of origin firing. Because BS is one of the most penetrant cancer-predisposing hereditary diseases, it is likely that the lack of BLM engages the cells in a situation similar to precancerous tissues with replication stress. To our knowledge, this is the first report of high ATM-Chk2 kinase activation and its linkage to replication defects in a BS model.", "author" : [ { "dropping-particle" : "", "family" : "Rao", "given" : "V Ashutosh", "non-dropping-particle" : "", "parse-names" : false, "suffix" : "" }, { "dropping-particle" : "", "family" : "Conti", "given" : "Chiara", "non-dropping-particle" : "", "parse-names" : false, "suffix" : "" }, { "dropping-particle" : "", "family" : "Guirouilh-Barbat", "given" : "Josee", "non-dropping-particle" : "", "parse-names" : false, "suffix" : "" }, { "dropping-particle" : "", "family" : "Nakamura", "given" : "Asako", "non-dropping-particle" : "", "parse-names" : false, "suffix" : "" }, { "dropping-particle" : "", "family" : "Miao", "given" : "Ze-Hong", "non-dropping-particle" : "", "parse-names" : false, "suffix" : "" }, { "dropping-particle" : "", "family" : "Davies", "given" : "Sally L", "non-dropping-particle" : "", "parse-names" : false, "suffix" : "" }, { "dropping-particle" : "", "family" : "Sacc\u00e1", "given" : "Barbara", "non-dropping-particle" : "", "parse-names" : false, "suffix" : "" }, { "dropping-particle" : "", "family" : "Hickson", "given" : "Ian D", "non-dropping-particle" : "", "parse-names" : false, "suffix" : "" }, { "dropping-particle" : "", "family" : "Bensimon", "given" : "Aaron", "non-dropping-particle" : "", "parse-names" : false, "suffix" : "" }, { "dropping-particle" : "", "family" : "Pommier", "given" : "Yves", "non-dropping-particle" : "", "parse-names" : false, "suffix" : "" } ], "container-title" : "Molecular Cancer Research", "id" : "ITEM-1", "issue" : "7", "issued" : { "date-parts" : [ [ "2007", "7" ] ] }, "page" : "713-24", "title" : "Endogenous gamma-H2AX-ATM-Chk2 checkpoint activation in Bloom's syndrome helicase deficient cells is related to DNA replication arrested forks.", "type" : "article-journal", "volume" : "5" }, "uris" : [ "http://www.mendeley.com/documents/?uuid=ae58f9bc-cd4a-4849-a1bb-b657469c1ba7" ] }, { "id" : "ITEM-2", "itemData" : { "DOI" : "10.1016/j.dnarep.2012.11.005", "ISSN" : "1568-7856", "PMID" : "23253856", "abstract" : "Human WRN and BLM genes are members of the conserved RECQ helicase family. Mutations in these genes are associated with Werner and Bloom syndromes. WRN and BLM proteins are implicated in DNA replication, recombination, repair, telomere maintenance, and transcription. Using microfluidics-assisted display of DNA for replication track analysis (ma-RTA), we show that WRN and BLM contribute additively to normal replication fork progression, and non-additively, in a RAD51-dependent pathway, to resumption of replication after arrest by hydroxyurea (HU), a replication-stalling drug. WRN but not BLM is required to support fork progression after HU. Resumption of replication by forks may be necessary but is not sufficient for timely completion of the cell cycle after HU arrest, as depletion of WRN or BLM compromises fork recovery to a similar degree, but only BLM depletion leads to extensive delay of cell division after HU, as well as more pronounced chromatin bridging. Finally, we show that recovery from HU includes apparent removal of some of the DNA that was synthesized immediately after release from HU, a novel phenomenon that we refer to as nascent strand processing, NSP.", "author" : [ { "dropping-particle" : "", "family" : "Sidorova", "given" : "Julia M", "non-dropping-particle" : "", "parse-names" : false, "suffix" : "" }, { "dropping-particle" : "", "family" : "Kehrli", "given" : "Keffy", "non-dropping-particle" : "", "parse-names" : false, "suffix" : "" }, { "dropping-particle" : "", "family" : "Mao", "given" : "Frances", "non-dropping-particle" : "", "parse-names" : false, "suffix" : "" }, { "dropping-particle" : "", "family" : "Monnat", "given" : "Raymond", "non-dropping-particle" : "", "parse-names" : false, "suffix" : "" } ], "container-title" : "DNA Repair", "id" : "ITEM-2", "issue" : "2", "issued" : { "date-parts" : [ [ "2013", "2", "1" ] ] }, "page" : "128-39", "publisher" : "Elsevier B.V.", "title" : "Distinct functions of human RECQ helicases WRN and BLM in replication fork recovery and progression after hydroxyurea-induced stalling.", "type" : "article-journal", "volume" : "12" }, "uris" : [ "http://www.mendeley.com/documents/?uuid=a3f12050-8eaf-43d2-a47e-d9bf48f86fd1" ] } ], "mendeley" : { "formattedCitation" : "(Rao et al. 2007; Sidorova et al. 2013)", "plainTextFormattedCitation" : "(Rao et al. 2007; Sidorova et al. 2013)", "previouslyFormattedCitation" : "(Rao et al. 2007; Sidorova et al. 2013)"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(Rao et al. 2007; Sidorova et al. 2013)</w:t>
      </w:r>
      <w:r w:rsidR="00F20EC0" w:rsidRPr="00DF0680">
        <w:rPr>
          <w:rFonts w:cs="Times New Roman"/>
        </w:rPr>
        <w:fldChar w:fldCharType="end"/>
      </w:r>
      <w:r w:rsidRPr="00DF0680">
        <w:rPr>
          <w:rFonts w:cs="Times New Roman"/>
        </w:rPr>
        <w:t xml:space="preserve">. </w:t>
      </w:r>
    </w:p>
    <w:p w:rsidR="000F4A2B" w:rsidRPr="00DF0680" w:rsidRDefault="000F4A2B" w:rsidP="000F4A2B">
      <w:pPr>
        <w:rPr>
          <w:rFonts w:cs="Times New Roman"/>
        </w:rPr>
      </w:pPr>
      <w:r w:rsidRPr="00DF0680">
        <w:rPr>
          <w:rFonts w:cs="Times New Roman"/>
        </w:rPr>
        <w:t xml:space="preserve">RECQL5 has been shown to be brought to sights of HU-induced DNA damage by MRE11 </w:t>
      </w:r>
      <w:r w:rsidR="00F20EC0" w:rsidRPr="00DF0680">
        <w:rPr>
          <w:rFonts w:cs="Times New Roman"/>
        </w:rPr>
        <w:fldChar w:fldCharType="begin" w:fldLock="1"/>
      </w:r>
      <w:r w:rsidR="00332613" w:rsidRPr="00DF0680">
        <w:rPr>
          <w:rFonts w:cs="Times New Roman"/>
        </w:rPr>
        <w:instrText>ADDIN CSL_CITATION { "citationItems" : [ { "id" : "ITEM-1", "itemData" : { "DOI" : "10.1093/nar/gkp147", "ISSN" : "1362-4962", "PMID" : "19270065", "abstract" : "RECQ5 DNA helicase suppresses homologous recombination (HR) possibly through disruption of RAD51 filaments. Here, we show that RECQ5 is constitutively associated with the MRE11-RAD50-NBS1 (MRN) complex, a primary sensor of DNA double-strand breaks (DSBs) that promotes DSB repair and regulates DNA damage signaling via activation of the ATM kinase. Experiments with purified proteins indicated that RECQ5 interacts with the MRN complex through both MRE11 and NBS1. Functional assays revealed that RECQ5 specifically inhibited the 3'--&gt;5' exonuclease activity of MRE11, while MRN had no effect on the helicase activity of RECQ5. At the cellular level, we observed that the MRN complex was required for the recruitment of RECQ5 to sites of DNA damage. Accumulation of RECQ5 at DSBs was neither dependent on MDC1 that mediates binding of MRN to DSB-flanking chromatin nor on CtIP that acts in conjunction with MRN to promote resection of DSBs for repair by HR. Collectively, these data suggest that the MRN complex recruits RECQ5 to sites of DNA damage to regulate DNA repair.", "author" : [ { "dropping-particle" : "", "family" : "Zheng", "given" : "Lu", "non-dropping-particle" : "", "parse-names" : false, "suffix" : "" }, { "dropping-particle" : "", "family" : "Kanagaraj", "given" : "Radhakrishnan", "non-dropping-particle" : "", "parse-names" : false, "suffix" : "" }, { "dropping-particle" : "", "family" : "Mihaljevic", "given" : "Boris", "non-dropping-particle" : "", "parse-names" : false, "suffix" : "" }, { "dropping-particle" : "", "family" : "Schwendener", "given" : "Sybille", "non-dropping-particle" : "", "parse-names" : false, "suffix" : "" }, { "dropping-particle" : "", "family" : "Sartori", "given" : "Alessandro a", "non-dropping-particle" : "", "parse-names" : false, "suffix" : "" }, { "dropping-particle" : "", "family" : "Gerrits", "given" : "Bertran", "non-dropping-particle" : "", "parse-names" : false, "suffix" : "" }, { "dropping-particle" : "", "family" : "Shevelev", "given" : "Igor", "non-dropping-particle" : "", "parse-names" : false, "suffix" : "" }, { "dropping-particle" : "", "family" : "Janscak", "given" : "Pavel", "non-dropping-particle" : "", "parse-names" : false, "suffix" : "" } ], "container-title" : "Nucleic Acids Research", "id" : "ITEM-1", "issue" : "8", "issued" : { "date-parts" : [ [ "2009", "5" ] ] }, "page" : "2645-57", "title" : "MRE11 complex links RECQ5 helicase to sites of DNA damage.", "type" : "article-journal", "volume" : "37" }, "uris" : [ "http://www.mendeley.com/documents/?uuid=1d2d60df-0a93-460f-abb4-64ead233ffa9" ] } ], "mendeley" : { "formattedCitation" : "(Zheng et al. 2009)", "plainTextFormattedCitation" : "(Zheng et al. 2009)", "previouslyFormattedCitation" : "(Zheng et al. 2009)"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(Zheng et al. 2009)</w:t>
      </w:r>
      <w:r w:rsidR="00F20EC0" w:rsidRPr="00DF0680">
        <w:rPr>
          <w:rFonts w:cs="Times New Roman"/>
        </w:rPr>
        <w:fldChar w:fldCharType="end"/>
      </w:r>
      <w:r w:rsidRPr="00DF0680">
        <w:rPr>
          <w:rFonts w:cs="Times New Roman"/>
        </w:rPr>
        <w:t xml:space="preserve">. However, when RECQL5β is over-expressed, there is no change to dynamics after 2 hours of hydroxyurea treatment. The number of stalled forks, new origins fired and restarted forks remained the same between the </w:t>
      </w:r>
      <w:r w:rsidR="00471D18" w:rsidRPr="00DF0680">
        <w:rPr>
          <w:rFonts w:cs="Times New Roman"/>
        </w:rPr>
        <w:t>MRC5V2</w:t>
      </w:r>
      <w:r w:rsidRPr="00DF0680">
        <w:rPr>
          <w:rFonts w:cs="Times New Roman"/>
        </w:rPr>
        <w:t xml:space="preserve">, </w:t>
      </w:r>
      <w:r w:rsidR="00471D18" w:rsidRPr="00DF0680">
        <w:rPr>
          <w:rFonts w:cs="Times New Roman"/>
        </w:rPr>
        <w:t>MRC5V2</w:t>
      </w:r>
      <w:r w:rsidRPr="00DF0680">
        <w:rPr>
          <w:rFonts w:cs="Times New Roman"/>
        </w:rPr>
        <w:t xml:space="preserve">+Q5 and </w:t>
      </w:r>
      <w:r w:rsidR="00471D18" w:rsidRPr="00DF0680">
        <w:rPr>
          <w:rFonts w:cs="Times New Roman"/>
        </w:rPr>
        <w:t>MRC5V2</w:t>
      </w:r>
      <w:r w:rsidRPr="00DF0680">
        <w:rPr>
          <w:rFonts w:cs="Times New Roman"/>
        </w:rPr>
        <w:t xml:space="preserve">+Q5KR cell lines as did the speed of fork restart. As the DNA fibre work was done using a 2 hour incubation, it could be that RECQL5β does not have a role at HU-induced stalled forks but may have a role at HU-induced collapsed forks </w:t>
      </w:r>
      <w:r w:rsidR="00F20EC0" w:rsidRPr="00DF0680">
        <w:rPr>
          <w:rFonts w:cs="Times New Roman"/>
        </w:rPr>
        <w:fldChar w:fldCharType="begin" w:fldLock="1"/>
      </w:r>
      <w:r w:rsidR="00332613" w:rsidRPr="00DF0680">
        <w:rPr>
          <w:rFonts w:cs="Times New Roman"/>
        </w:rPr>
        <w:instrText>ADDIN CSL_CITATION { "citationItems" : [ { "id" : "ITEM-1", "itemData" : { "DOI" : "10.1016/j.molcel.2010.01.021", "ISSN" : "1097-4164", "PMID" : "20188668", "abstract" : "Faithful DNA replication is essential to all life. Hydroxyurea (HU) depletes the cells of dNTPs, which initially results in stalled replication forks that, after prolonged treatment, collapse into DSBs. Here, we report that stalled replication forks are efficiently restarted in a RAD51-dependent process that does not trigger homologous recombination (HR). The XRCC3 protein, which is required for RAD51 foci formation, is also required for replication restart of HU-stalled forks, suggesting that RAD51-mediated strand invasion supports fork restart. In contrast, replication forks collapsed by prolonged replication blocks do not restart, and global replication is rescued by new origin firing. We find that RAD51-dependent HR is triggered for repair of collapsed replication forks, without apparent restart. In conclusion, our data suggest that restart of stalled replication forks and HR repair of collapsed replication forks require two distinct RAD51-mediated pathways.", "author" : [ { "dropping-particle" : "", "family" : "Petermann", "given" : "Eva", "non-dropping-particle" : "", "parse-names" : false, "suffix" : "" }, { "dropping-particle" : "", "family" : "Orta", "given" : "Manuel Lu\u00eds", "non-dropping-particle" : "", "parse-names" : false, "suffix" : "" }, { "dropping-particle" : "", "family" : "Issaeva", "given" : "Natalia", "non-dropping-particle" : "", "parse-names" : false, "suffix" : "" }, { "dropping-particle" : "", "family" : "Schultz", "given" : "Niklas", "non-dropping-particle" : "", "parse-names" : false, "suffix" : "" }, { "dropping-particle" : "", "family" : "Helleday", "given" : "Thomas", "non-dropping-particle" : "", "parse-names" : false, "suffix" : "" } ], "container-title" : "Molecular Cell", "id" : "ITEM-1", "issue" : "4", "issued" : { "date-parts" : [ [ "2010", "2", "26" ] ] }, "page" : "492-502", "title" : "Hydroxyurea-stalled replication forks become progressively inactivated and require two different RAD51-mediated pathways for restart and repair.", "type" : "article-journal", "volume" : "37" }, "uris" : [ "http://www.mendeley.com/documents/?uuid=5dfc892b-8fed-4943-81ae-c7b454fc57c2" ] } ], "mendeley" : { "formattedCitation" : "(Petermann et al. 2010)", "plainTextFormattedCitation" : "(Petermann et al. 2010)", "previouslyFormattedCitation" : "(Petermann et al. 2010)"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(Petermann et al. 2010)</w:t>
      </w:r>
      <w:r w:rsidR="00F20EC0" w:rsidRPr="00DF0680">
        <w:rPr>
          <w:rFonts w:cs="Times New Roman"/>
        </w:rPr>
        <w:fldChar w:fldCharType="end"/>
      </w:r>
      <w:r w:rsidRPr="00DF0680">
        <w:rPr>
          <w:rFonts w:cs="Times New Roman"/>
        </w:rPr>
        <w:t xml:space="preserve">. Measuring restart after a longer HU incubation </w:t>
      </w:r>
      <w:r w:rsidRPr="00DF0680">
        <w:rPr>
          <w:rFonts w:cs="Times New Roman"/>
        </w:rPr>
        <w:lastRenderedPageBreak/>
        <w:t xml:space="preserve">could identify whether RECQL5β does have a role in restart of HU-induced collapsed forks. There was an indication that </w:t>
      </w:r>
      <w:r w:rsidR="00471D18" w:rsidRPr="00DF0680">
        <w:rPr>
          <w:rFonts w:cs="Times New Roman"/>
        </w:rPr>
        <w:t>MRC5V2</w:t>
      </w:r>
      <w:r w:rsidRPr="00DF0680">
        <w:rPr>
          <w:rFonts w:cs="Times New Roman"/>
        </w:rPr>
        <w:t xml:space="preserve">+Q5KR cells had reduced new origin firing, although this was not significant (Figure 4.6 C). It would be interesting to investigate whether this was true for other replication stresses. If a helicase-dead RECQL5β inhibited new origin firing, it would explain why </w:t>
      </w:r>
      <w:r w:rsidR="00471D18" w:rsidRPr="00DF0680">
        <w:rPr>
          <w:rFonts w:cs="Times New Roman"/>
        </w:rPr>
        <w:t>MRC5V2</w:t>
      </w:r>
      <w:r w:rsidRPr="00DF0680">
        <w:rPr>
          <w:rFonts w:cs="Times New Roman"/>
        </w:rPr>
        <w:t xml:space="preserve">+Q5KR cells are more sensitive to thymidine-induced replication stress </w:t>
      </w:r>
      <w:r w:rsidR="00F20EC0" w:rsidRPr="00DF0680">
        <w:rPr>
          <w:rFonts w:cs="Times New Roman"/>
        </w:rPr>
        <w:fldChar w:fldCharType="begin" w:fldLock="1"/>
      </w:r>
      <w:r w:rsidR="00332613" w:rsidRPr="00DF0680">
        <w:rPr>
          <w:rFonts w:cs="Times New Roman"/>
        </w:rPr>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(Blundred et al. 2010)</w:t>
      </w:r>
      <w:r w:rsidR="00F20EC0" w:rsidRPr="00DF0680">
        <w:rPr>
          <w:rFonts w:cs="Times New Roman"/>
        </w:rPr>
        <w:fldChar w:fldCharType="end"/>
      </w:r>
      <w:r w:rsidRPr="00DF0680">
        <w:rPr>
          <w:rFonts w:cs="Times New Roman"/>
        </w:rPr>
        <w:t xml:space="preserve">. Unfortunately, a protocol for analysing fork dynamics in thymidine is yet to be optimized due to the chemical similarity between thymidine, CldU and IdU. </w:t>
      </w:r>
      <w:r w:rsidR="00875E6C" w:rsidRPr="00DF0680">
        <w:rPr>
          <w:rFonts w:cs="Times New Roman"/>
        </w:rPr>
        <w:t>Using aphidicolin to inhibit replication could be another possible line of investigation.</w:t>
      </w:r>
    </w:p>
    <w:p w:rsidR="000F4A2B" w:rsidRPr="00DF0680" w:rsidRDefault="000F4A2B" w:rsidP="000F4A2B">
      <w:pPr>
        <w:rPr>
          <w:rFonts w:cs="Times New Roman"/>
        </w:rPr>
      </w:pPr>
      <w:r w:rsidRPr="00DF0680">
        <w:rPr>
          <w:rFonts w:cs="Times New Roman"/>
        </w:rPr>
        <w:t xml:space="preserve">Although RECQL5 null cells have been shown to be more sensitive to camptothecin </w:t>
      </w:r>
      <w:r w:rsidR="00F20EC0" w:rsidRPr="00DF0680">
        <w:rPr>
          <w:rFonts w:cs="Times New Roman"/>
        </w:rPr>
        <w:fldChar w:fldCharType="begin" w:fldLock="1"/>
      </w:r>
      <w:r w:rsidR="00332613" w:rsidRPr="00DF0680">
        <w:rPr>
          <w:rFonts w:cs="Times New Roman"/>
        </w:rPr>
        <w:instrText>ADDIN CSL_CITATION { "citationItems" : [ { "id" : "ITEM-1", "itemData" : { "DOI" : "10.1042/BSR20100108", "ISSN" : "1573-4935", "PMID" : "21210765", "abstract" : "Camptothecins (CPTs) are an important class of effective anticancer agents that target type I topoisomerase in humans. Irinotecan and topotecan are currently used to treat various types of cancers and many CPT derivatives are being developed. However, these drugs are only effective in a small percentage of each type of cancers and the molecular underpinning for this individualized response to the drug has remained elusive. Thus, identification of the main determinants for cell survival in response to this unique class of drug should help to improve their clinical applications. In this study, we examined whether RECQL5 constituted an important determinant of CPT resistance in colon cancer cells. Specifically, RECQL5 deficient derivatives of both DDL1 and HCT116 cells, two colorectal cancer cell lines were generated by adenovirus-based somatic gene targeting experiments and the CPT sensitivity between the RECQL5 proficient parental lines and their corresponding RECQL5 deficient derivatives were examined. We found that deletion of RECQL5 from DDL1 and HCT116 both resulted in a significant enhancement in CPT sensitivity under in vitro cultured condition. More importantly, xenograft tumors derived from RECQL5 deficient HCT116 cells but not those from the parental line could be cured by a CPT-based therapy in nude mice. Thus, this study has identified RECQL5 as a major determinant for CPT resistance in colorectal cancer cells and a potential candidate as a biomarker for irinotecan-based treatment for colon cancer.", "author" : [ { "dropping-particle" : "", "family" : "Wang", "given" : "Xiaoqi", "non-dropping-particle" : "", "parse-names" : false, "suffix" : "" }, { "dropping-particle" : "", "family" : "Lu", "given" : "Xincheng", "non-dropping-particle" : "", "parse-names" : false, "suffix" : "" }, { "dropping-particle" : "", "family" : "Zhou", "given" : "Guangjin", "non-dropping-particle" : "", "parse-names" : false, "suffix" : "" }, { "dropping-particle" : "", "family" : "Lou", "given" : "Hua", "non-dropping-particle" : "", "parse-names" : false, "suffix" : "" }, { "dropping-particle" : "", "family" : "Luo", "given" : "Guangbin", "non-dropping-particle" : "", "parse-names" : false, "suffix" : "" } ], "container-title" : "Bioscience Reports", "id" : "ITEM-1", "issue" : "5", "issued" : { "date-parts" : [ [ "2011", "1", "6" ] ] }, "page" : "363-369", "title" : "RECQL5 is an important determinant for camptothecin tolerance in human colorectal cancer cells.", "type" : "article-journal", "volume" : "31" }, "uris" : [ "http://www.mendeley.com/documents/?uuid=d813dd37-89ef-43b6-8abd-e56e7edf5180" ] }, { "id" : "ITEM-2", "itemData" : { "DOI" : "10.1091/mbc.E08-06-0565", "ISSN" : "1939-4586", "PMID" : "18987339", "abstract" : "Disruption of replication can lead to loss of genome integrity and increase of cancer susceptibility in mammals. Thus, a replication impediment constitutes a formidable challenge to these organisms. Recent studies indicate that homologous recombination (HR) plays an important role in suppressing genome instability and promoting cell survival after exposure to various replication inhibitors, including a topoisomerase I inhibitor, camptothecin (CPT). Here, we report that the deletion of RecQ helicase Recql5 in mouse ES cells and embryonic fibroblast (MEF) cells resulted in a significant increase in CPT sensitivity and a profound reduction in DNA replication after the treatment with CPT, but not other DNA-damaging agents. This CPT-induced cell death is replication dependent and occurs primarily after the cells had exited the first cell cycle after CPT treatment. Furthermore, we show that Recql5 functions nonredundantly with Rad51, a key factor for HR to protect mouse ES cells from CPT-induced cytotoxicity. These new findings strongly suggest that Recql5 plays an important role in maintaining active DNA replication to prevent the collapse of replication forks and the accumulation of DSBs in order to preserve genome integrity and to prevent cell death after replication stress as a result of topoisomerase I poisoning.", "author" : [ { "dropping-particle" : "", "family" : "Hu", "given" : "Yiduo", "non-dropping-particle" : "", "parse-names" : false, "suffix" : "" }, { "dropping-particle" : "", "family" : "Lu", "given" : "Xincheng", "non-dropping-particle" : "", "parse-names" : false, "suffix" : "" }, { "dropping-particle" : "", "family" : "Zhou", "given" : "Guangjin", "non-dropping-particle" : "", "parse-names" : false, "suffix" : "" }, { "dropping-particle" : "", "family" : "Barnes", "given" : "Ellen L", "non-dropping-particle" : "", "parse-names" : false, "suffix" : "" }, { "dropping-particle" : "", "family" : "Luo", "given" : "Guangbin", "non-dropping-particle" : "", "parse-names" : false, "suffix" : "" } ], "container-title" : "Molecular Biology of the Cell", "id" : "ITEM-2", "issue" : "1", "issued" : { "date-parts" : [ [ "2009", "1" ] ] }, "page" : "114-23", "title" : "Recql5 plays an important role in DNA replication and cell survival after camptothecin treatment.", "type" : "article-journal", "volume" : "20" }, "uris" : [ "http://www.mendeley.com/documents/?uuid=acf9f23d-1453-499d-9549-0b89779a80a3" ] }, { "id" : "ITEM-3", "itemData" : { "DOI" : "10.1101/gad.1609107", "ISSN" : "0890-9369", "PMID" : "18003859", "abstract" : "Members of the RecQ helicase family play critical roles in genome maintenance. There are five RecQ homologs in mammals, and defects in three of these (BLM, WRN, and RECQL4) give rise to cancer predisposition syndromes in humans. RECQL and RECQL5 have not been associated with a human disease. Here we show that deletion of Recql5 in mice results in cancer susceptibility. Recql5-deficient cells exhibit elevated frequencies of spontaneous DNA double-strand breaks and homologous recombination (HR) as scored using a reporter that harbors a direct repeat, and are prone to gross chromosomal rearrangements in response to replication stress. To understand how RECQL5 regulates HR, we use purified proteins to demonstrate that human RECQL5 binds the Rad51 recombinase and inhibits Rad51-mediated D-loop formation. By biochemical means and electron microscopy, we show that RECQL5 displaces Rad51 from single-stranded DNA (ssDNA) in a reaction that requires ATP hydrolysis and RPA. Together, our results identify RECQL5 as an important tumor suppressor that may act by preventing inappropriate HR events via Rad51 presynaptic filament disruption.", "author" : [ { "dropping-particle" : "", "family" : "Hu", "given" : "Yiduo", "non-dropping-particle" : "", "parse-names" : false, "suffix" : "" }, { "dropping-particle" : "", "family" : "Raynard", "given" : "Steven", "non-dropping-particle" : "", "parse-names" : false, "suffix" : "" }, { "dropping-particle" : "", "family" : "Sehorn", "given" : "Michael G", "non-dropping-particle" : "", "parse-names" : false, "suffix" : "" }, { "dropping-particle" : "", "family" : "Lu", "given" : "Xincheng", "non-dropping-particle" : "", "parse-names" : false, "suffix" : "" }, { "dropping-particle" : "", "family" : "Bussen", "given" : "Wendy", "non-dropping-particle" : "", "parse-names" : false, "suffix" : "" }, { "dropping-particle" : "", "family" : "Zheng", "given" : "Lu", "non-dropping-particle" : "", "parse-names" : false, "suffix" : "" }, { "dropping-particle" : "", "family" : "Stark", "given" : "Jeremy M", "non-dropping-particle" : "", "parse-names" : false, "suffix" : "" }, { "dropping-particle" : "", "family" : "Barnes", "given" : "Ellen L", "non-dropping-particle" : "", "parse-names" : false, "suffix" : "" }, { "dropping-particle" : "", "family" : "Chi", "given" : "Peter", "non-dropping-particle" : "", "parse-names" : false, "suffix" : "" }, { "dropping-particle" : "", "family" : "Janscak", "given" : "Pavel", "non-dropping-particle" : "", "parse-names" : false, "suffix" : "" }, { "dropping-particle" : "", "family" : "Jasin", "given" : "Maria", "non-dropping-particle" : "", "parse-names" : false, "suffix" : "" }, { "dropping-particle" : "", "family" : "Vogel", "given" : "Hannes", "non-dropping-particle" : "", "parse-names" : false, "suffix" : "" }, { "dropping-particle" : "", "family" : "Sung", "given" : "Patrick", "non-dropping-particle" : "", "parse-names" : false, "suffix" : "" }, { "dropping-particle" : "", "family" : "Luo", "given" : "Guangbin", "non-dropping-particle" : "", "parse-names" : false, "suffix" : "" } ], "container-title" : "Genes &amp; Development", "id" : "ITEM-3", "issue" : "23", "issued" : { "date-parts" : [ [ "2007", "12", "1" ] ] }, "page" : "3073-84", "title" : "RECQL5/Recql5 helicase regulates homologous recombination and suppresses tumor formation via disruption of Rad51 presynaptic filaments.", "type" : "article-journal", "volume" : "21" }, "uris" : [ "http://www.mendeley.com/documents/?uuid=569f0011-a132-4c3c-8afd-04e50c78a14c" ] } ], "mendeley" : { "formattedCitation" : "(Wang et al. 2011; Hu et al. 2009; Hu et al. 2007)", "plainTextFormattedCitation" : "(Wang et al. 2011; Hu et al. 2009; Hu et al. 2007)", "previouslyFormattedCitation" : "(Wang et al. 2011; Hu et al. 2009; Hu et al. 2007)"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(Wang et al. 2011; Hu et al. 2009; Hu et al. 2007)</w:t>
      </w:r>
      <w:r w:rsidR="00F20EC0" w:rsidRPr="00DF0680">
        <w:rPr>
          <w:rFonts w:cs="Times New Roman"/>
        </w:rPr>
        <w:fldChar w:fldCharType="end"/>
      </w:r>
      <w:r w:rsidRPr="00DF0680">
        <w:rPr>
          <w:rFonts w:cs="Times New Roman"/>
        </w:rPr>
        <w:t xml:space="preserve">, over-expression of RECQL5β does not seem to influence cell survival when exposed to the topoisomerase inhibitor </w:t>
      </w:r>
      <w:r w:rsidR="00F20EC0" w:rsidRPr="00DF0680">
        <w:rPr>
          <w:rFonts w:cs="Times New Roman"/>
        </w:rPr>
        <w:fldChar w:fldCharType="begin" w:fldLock="1"/>
      </w:r>
      <w:r w:rsidR="00332613" w:rsidRPr="00DF0680">
        <w:rPr>
          <w:rFonts w:cs="Times New Roman"/>
        </w:rPr>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(Blundred et al. 2010)</w:t>
      </w:r>
      <w:r w:rsidR="00F20EC0" w:rsidRPr="00DF0680">
        <w:rPr>
          <w:rFonts w:cs="Times New Roman"/>
        </w:rPr>
        <w:fldChar w:fldCharType="end"/>
      </w:r>
      <w:r w:rsidRPr="00DF0680">
        <w:rPr>
          <w:rFonts w:cs="Times New Roman"/>
        </w:rPr>
        <w:t xml:space="preserve">. The work described here shows that RECQL5β over-expression protects cells from camptothecin induced replication fork slowing (Figure 4.7). As there was no difference in fork speed in camptothecin between </w:t>
      </w:r>
      <w:r w:rsidR="00471D18" w:rsidRPr="00DF0680">
        <w:rPr>
          <w:rFonts w:cs="Times New Roman"/>
        </w:rPr>
        <w:t>MRC5V2</w:t>
      </w:r>
      <w:r w:rsidRPr="00DF0680">
        <w:rPr>
          <w:rFonts w:cs="Times New Roman"/>
        </w:rPr>
        <w:t xml:space="preserve">+Q5 and </w:t>
      </w:r>
      <w:r w:rsidR="00471D18" w:rsidRPr="00DF0680">
        <w:rPr>
          <w:rFonts w:cs="Times New Roman"/>
        </w:rPr>
        <w:t>MRC5V2</w:t>
      </w:r>
      <w:r w:rsidRPr="00DF0680">
        <w:rPr>
          <w:rFonts w:cs="Times New Roman"/>
        </w:rPr>
        <w:t>+Q5KR, this is likely to be a helicase-</w:t>
      </w:r>
      <w:r w:rsidR="003E17A6" w:rsidRPr="00DF0680">
        <w:rPr>
          <w:rFonts w:cs="Times New Roman"/>
        </w:rPr>
        <w:t>independent</w:t>
      </w:r>
      <w:r w:rsidRPr="00DF0680">
        <w:rPr>
          <w:rFonts w:cs="Times New Roman"/>
        </w:rPr>
        <w:t xml:space="preserve"> mechanism. An increase in speed is seen compared to untreated when camptothecin is added to </w:t>
      </w:r>
      <w:r w:rsidR="00471D18" w:rsidRPr="00DF0680">
        <w:rPr>
          <w:rFonts w:cs="Times New Roman"/>
        </w:rPr>
        <w:t>MRC5V2</w:t>
      </w:r>
      <w:r w:rsidRPr="00DF0680">
        <w:rPr>
          <w:rFonts w:cs="Times New Roman"/>
        </w:rPr>
        <w:t xml:space="preserve">+Q5KR cells suggesting that inhibiting replication, or introducing single-strand breaks, resolves the endogenous slowing caused by the helicase-dead RECQL5β. </w:t>
      </w:r>
      <w:r w:rsidR="0014545F" w:rsidRPr="00DF0680">
        <w:rPr>
          <w:rFonts w:cs="Times New Roman"/>
        </w:rPr>
        <w:t xml:space="preserve">If adding replication or transcription stress prevents the need for a helicase-functional RECQL5, the over-expressed helicase-dead RECQL5 could provide replication speed benefit through other means, such as recruitment of other proteins through protein-protein interactions. </w:t>
      </w:r>
      <w:r w:rsidRPr="00DF0680">
        <w:rPr>
          <w:rFonts w:cs="Times New Roman"/>
        </w:rPr>
        <w:t xml:space="preserve">However, it is interesting to note that there are no differences in the number of stalled forks or new origins fired. The helicase may be contributing to processivity of the replication machinery but cannot assist in the resolving of camptothecin-induced lesions that cause the replication fork to stall or arrest. </w:t>
      </w:r>
    </w:p>
    <w:p w:rsidR="000F4A2B" w:rsidRPr="00DF0680" w:rsidRDefault="000F4A2B" w:rsidP="000F4A2B">
      <w:pPr>
        <w:rPr>
          <w:rFonts w:cs="Times New Roman"/>
        </w:rPr>
      </w:pPr>
      <w:r w:rsidRPr="00DF0680">
        <w:rPr>
          <w:rFonts w:cs="Times New Roman"/>
        </w:rPr>
        <w:t xml:space="preserve">Investigating the relationship of RECQL5β showed that cells over-expressing either the functional or the helicase dead protein were more sensitive to transcription inhibition but depleting cells of RECQL5β did not show any change in sensitivity (Figure 4.9). </w:t>
      </w:r>
      <w:r w:rsidR="002F75BF" w:rsidRPr="00DF0680">
        <w:rPr>
          <w:rFonts w:cs="Times New Roman"/>
        </w:rPr>
        <w:t>RECQL5</w:t>
      </w:r>
      <w:r w:rsidRPr="00DF0680">
        <w:rPr>
          <w:rFonts w:cs="Times New Roman"/>
        </w:rPr>
        <w:t xml:space="preserve"> may be acting on intermediates produced by transcription inhibition, which then become more toxic to the cell. However, when looking at DNA fibres, </w:t>
      </w:r>
      <w:r w:rsidR="00471D18" w:rsidRPr="00DF0680">
        <w:rPr>
          <w:rFonts w:cs="Times New Roman"/>
        </w:rPr>
        <w:t>MRC5V2</w:t>
      </w:r>
      <w:r w:rsidRPr="00DF0680">
        <w:rPr>
          <w:rFonts w:cs="Times New Roman"/>
        </w:rPr>
        <w:t xml:space="preserve">+Q5 fork speed did not decrease when cells were exposed to DRB and the fork speed in </w:t>
      </w:r>
      <w:r w:rsidR="00471D18" w:rsidRPr="00DF0680">
        <w:rPr>
          <w:rFonts w:cs="Times New Roman"/>
        </w:rPr>
        <w:t>MRC5V2</w:t>
      </w:r>
      <w:r w:rsidRPr="00DF0680">
        <w:rPr>
          <w:rFonts w:cs="Times New Roman"/>
        </w:rPr>
        <w:t xml:space="preserve">+Q5KR actually increased (Figure 4.8). The wild-type cells did </w:t>
      </w:r>
      <w:r w:rsidRPr="00DF0680">
        <w:rPr>
          <w:rFonts w:cs="Times New Roman"/>
        </w:rPr>
        <w:lastRenderedPageBreak/>
        <w:t>not show any significant differences in fork speed but there was a trend of decreasing speed in DRB. RECQL5β may protect cells from transcription-inhibition induced replication fork speed slowing, and it is possible this increased speed in RECQL5β over-expressing cells is responsible for t</w:t>
      </w:r>
      <w:r w:rsidR="002F75BF" w:rsidRPr="00DF0680">
        <w:rPr>
          <w:rFonts w:cs="Times New Roman"/>
        </w:rPr>
        <w:t>he increased sensitivity to DRB, possibly by allowing bypass of dangerous DNA damage legions.</w:t>
      </w:r>
      <w:r w:rsidRPr="00DF0680">
        <w:rPr>
          <w:rFonts w:cs="Times New Roman"/>
        </w:rPr>
        <w:t xml:space="preserve"> As with camptothecin, RECQL5 does not seem to influence fork stalling or new origin firing in DRB as there were no significant differences between the cells lines.</w:t>
      </w:r>
    </w:p>
    <w:p w:rsidR="000F4A2B" w:rsidRPr="00DF0680" w:rsidRDefault="000F4A2B" w:rsidP="000F4A2B">
      <w:pPr>
        <w:rPr>
          <w:rFonts w:cs="Times New Roman"/>
        </w:rPr>
      </w:pPr>
      <w:r w:rsidRPr="00DF0680">
        <w:rPr>
          <w:rFonts w:cs="Times New Roman"/>
        </w:rPr>
        <w:t xml:space="preserve">Increases and decreases in fork speed after replication and transcription inhibition appear to be dependent on transcription and replication respectively as when both were inhibited, the same fork speed is seen as in untreated. Transcription-replication collisions are dependent on both replication and transcription, but the immunofluorescence data suggests that the damage caused by camptothecin is not reduced by transcription inhibition (Figure 4.11 – 4.14). It may be that the low dose of CPT isn’t inducing enough replication stress. The increase in percentage of RPA foci positive cells is small as is the decrease in fork speed in the wild-type cells. It may be possible to increase the dose of camptothecin to increase replication </w:t>
      </w:r>
      <w:r w:rsidR="00336FBD" w:rsidRPr="00DF0680">
        <w:rPr>
          <w:rFonts w:cs="Times New Roman"/>
        </w:rPr>
        <w:t>stress</w:t>
      </w:r>
      <w:r w:rsidRPr="00DF0680">
        <w:rPr>
          <w:rFonts w:cs="Times New Roman"/>
        </w:rPr>
        <w:t xml:space="preserve">, without significantly increasing the amount of DSBs formed by collapsing forks </w:t>
      </w:r>
      <w:r w:rsidR="00F20EC0" w:rsidRPr="00DF0680">
        <w:rPr>
          <w:rFonts w:cs="Times New Roman"/>
        </w:rPr>
        <w:fldChar w:fldCharType="begin" w:fldLock="1"/>
      </w:r>
      <w:r w:rsidR="00332613" w:rsidRPr="00DF0680">
        <w:rPr>
          <w:rFonts w:cs="Times New Roman"/>
        </w:rPr>
        <w:instrText>ADDIN CSL_CITATION { "citationItems" : [ { "id" : "ITEM-1", "itemData" : { "DOI" : "10.1038/nsmb.2258", "ISSN" : "1545-9993", "author" : [ { "dropping-particle" : "", "family" : "Chaudhuri", "given" : "AR", "non-dropping-particle" : "", "parse-names" : false, "suffix" : "" }, { "dropping-particle" : "", "family" : "Hashimoto", "given" : "Yoshitami", "non-dropping-particle" : "", "parse-names" : false, "suffix" : "" } ], "container-title" : "Nature Structural &amp; Molecular Biology", "id" : "ITEM-1", "issue" : "4", "issued" : { "date-parts" : [ [ "2012" ] ] }, "page" : "417-423", "publisher" : "Nature Publishing Group", "title" : "Topoisomerase I poisoning results in PARP-mediated replication fork reversal", "type" : "article-journal", "volume" : "19" }, "uris" : [ "http://www.mendeley.com/documents/?uuid=48d93feb-2e44-4fad-9f24-7131fe71a84a" ] } ], "mendeley" : { "formattedCitation" : "(Chaudhuri &amp; Hashimoto 2012)", "plainTextFormattedCitation" : "(Chaudhuri &amp; Hashimoto 2012)", "previouslyFormattedCitation" : "(Chaudhuri &amp; Hashimoto 2012)"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(Chaudhuri &amp; Hashimoto 2012)</w:t>
      </w:r>
      <w:r w:rsidR="00F20EC0" w:rsidRPr="00DF0680">
        <w:rPr>
          <w:rFonts w:cs="Times New Roman"/>
        </w:rPr>
        <w:fldChar w:fldCharType="end"/>
      </w:r>
      <w:r w:rsidRPr="00DF0680">
        <w:rPr>
          <w:rFonts w:cs="Times New Roman"/>
        </w:rPr>
        <w:t>.</w:t>
      </w:r>
    </w:p>
    <w:p w:rsidR="000F4A2B" w:rsidRPr="00DF0680" w:rsidRDefault="000F4A2B" w:rsidP="000F4A2B">
      <w:pPr>
        <w:rPr>
          <w:rFonts w:cs="Times New Roman"/>
        </w:rPr>
      </w:pPr>
      <w:r w:rsidRPr="00DF0680">
        <w:rPr>
          <w:rFonts w:cs="Times New Roman"/>
        </w:rPr>
        <w:t xml:space="preserve">It would appear that a helicase function is required to remove damage shown by γH2AX when replication and transcription are inhibited (Figure 4.11). This may also be explained by </w:t>
      </w:r>
      <w:r w:rsidR="002F158A" w:rsidRPr="00DF0680">
        <w:rPr>
          <w:rFonts w:cs="Times New Roman"/>
        </w:rPr>
        <w:t xml:space="preserve">a dominant negative effect from </w:t>
      </w:r>
      <w:r w:rsidRPr="00DF0680">
        <w:rPr>
          <w:rFonts w:cs="Times New Roman"/>
        </w:rPr>
        <w:t>the helicase-dead RECQL5β</w:t>
      </w:r>
      <w:r w:rsidR="002F158A" w:rsidRPr="00DF0680">
        <w:rPr>
          <w:rFonts w:cs="Times New Roman"/>
        </w:rPr>
        <w:t>,</w:t>
      </w:r>
      <w:r w:rsidRPr="00DF0680">
        <w:rPr>
          <w:rFonts w:cs="Times New Roman"/>
        </w:rPr>
        <w:t xml:space="preserve"> causing more damage when the two processes are inhibited. </w:t>
      </w:r>
    </w:p>
    <w:p w:rsidR="000F4A2B" w:rsidRPr="00DF0680" w:rsidRDefault="00435BB2" w:rsidP="000F4A2B">
      <w:pPr>
        <w:rPr>
          <w:rFonts w:cs="Times New Roman"/>
        </w:rPr>
      </w:pPr>
      <w:r w:rsidRPr="00DF0680">
        <w:rPr>
          <w:rFonts w:cs="Times New Roman"/>
        </w:rPr>
        <w:t>53BP1 foci data show</w:t>
      </w:r>
      <w:r w:rsidR="000F4A2B" w:rsidRPr="00DF0680">
        <w:rPr>
          <w:rFonts w:cs="Times New Roman"/>
        </w:rPr>
        <w:t xml:space="preserve"> that the helicase-dead expressing cells have a significantly lower number of </w:t>
      </w:r>
      <w:r w:rsidRPr="00DF0680">
        <w:rPr>
          <w:rFonts w:cs="Times New Roman"/>
        </w:rPr>
        <w:t xml:space="preserve">foci indicative of </w:t>
      </w:r>
      <w:r w:rsidR="000F4A2B" w:rsidRPr="00DF0680">
        <w:rPr>
          <w:rFonts w:cs="Times New Roman"/>
        </w:rPr>
        <w:t xml:space="preserve">DSBs when treated with DRB. This is also seen with RAD51 foci, with </w:t>
      </w:r>
      <w:r w:rsidR="00471D18" w:rsidRPr="00DF0680">
        <w:rPr>
          <w:rFonts w:cs="Times New Roman"/>
        </w:rPr>
        <w:t>MRC5V2</w:t>
      </w:r>
      <w:r w:rsidR="000F4A2B" w:rsidRPr="00DF0680">
        <w:rPr>
          <w:rFonts w:cs="Times New Roman"/>
        </w:rPr>
        <w:t xml:space="preserve">+Q5KR </w:t>
      </w:r>
      <w:r w:rsidRPr="00DF0680">
        <w:rPr>
          <w:rFonts w:cs="Times New Roman"/>
        </w:rPr>
        <w:t>cells showing significantly fewer</w:t>
      </w:r>
      <w:r w:rsidR="000F4A2B" w:rsidRPr="00DF0680">
        <w:rPr>
          <w:rFonts w:cs="Times New Roman"/>
        </w:rPr>
        <w:t xml:space="preserve"> cells with RAD51 foci when treated with DRB compared to wild-type. This may resemble collapsed forks and the repair of them via homologous recombination. Although the RAD51 foci data shows </w:t>
      </w:r>
      <w:r w:rsidR="00471D18" w:rsidRPr="00DF0680">
        <w:rPr>
          <w:rFonts w:cs="Times New Roman"/>
        </w:rPr>
        <w:t>MRC5V2</w:t>
      </w:r>
      <w:r w:rsidRPr="00DF0680">
        <w:rPr>
          <w:rFonts w:cs="Times New Roman"/>
        </w:rPr>
        <w:t>+Q5 having fewer</w:t>
      </w:r>
      <w:r w:rsidR="000F4A2B" w:rsidRPr="00DF0680">
        <w:rPr>
          <w:rFonts w:cs="Times New Roman"/>
        </w:rPr>
        <w:t xml:space="preserve"> cells with foci</w:t>
      </w:r>
      <w:r w:rsidRPr="00DF0680">
        <w:rPr>
          <w:rFonts w:cs="Times New Roman"/>
        </w:rPr>
        <w:t xml:space="preserve"> than MRC5V2</w:t>
      </w:r>
      <w:r w:rsidR="000F4A2B" w:rsidRPr="00DF0680">
        <w:rPr>
          <w:rFonts w:cs="Times New Roman"/>
        </w:rPr>
        <w:t xml:space="preserve">, this was not significant, and the question of whether the helicase-functional RECQL5β can reduce DSBs and HR in DRB still remains. </w:t>
      </w:r>
    </w:p>
    <w:p w:rsidR="000F4A2B" w:rsidRPr="00DF0680" w:rsidRDefault="000F4A2B" w:rsidP="000F4A2B">
      <w:pPr>
        <w:rPr>
          <w:rFonts w:cs="Times New Roman"/>
        </w:rPr>
      </w:pPr>
      <w:r w:rsidRPr="00DF0680">
        <w:rPr>
          <w:rFonts w:cs="Times New Roman"/>
        </w:rPr>
        <w:t xml:space="preserve">RPA foci were examined to analyse the extent of replication stress in the cells when treated with replication and transcription </w:t>
      </w:r>
      <w:r w:rsidR="00435BB2" w:rsidRPr="00DF0680">
        <w:rPr>
          <w:rFonts w:cs="Times New Roman"/>
        </w:rPr>
        <w:t>inhibitors. Percentages of foci-</w:t>
      </w:r>
      <w:r w:rsidRPr="00DF0680">
        <w:rPr>
          <w:rFonts w:cs="Times New Roman"/>
        </w:rPr>
        <w:t xml:space="preserve">positive cells </w:t>
      </w:r>
      <w:r w:rsidRPr="00DF0680">
        <w:rPr>
          <w:rFonts w:cs="Times New Roman"/>
        </w:rPr>
        <w:lastRenderedPageBreak/>
        <w:t xml:space="preserve">were variable and did not yield any significant differences between treatments or cell lines. Calculating the relative number of cells </w:t>
      </w:r>
      <w:r w:rsidR="00435BB2" w:rsidRPr="00DF0680">
        <w:rPr>
          <w:rFonts w:cs="Times New Roman"/>
        </w:rPr>
        <w:t xml:space="preserve">with more than five RPA foci </w:t>
      </w:r>
      <w:r w:rsidRPr="00DF0680">
        <w:rPr>
          <w:rFonts w:cs="Times New Roman"/>
        </w:rPr>
        <w:t>show</w:t>
      </w:r>
      <w:r w:rsidR="00435BB2" w:rsidRPr="00DF0680">
        <w:rPr>
          <w:rFonts w:cs="Times New Roman"/>
        </w:rPr>
        <w:t>ed that over-expressing RECQL5β</w:t>
      </w:r>
      <w:r w:rsidRPr="00DF0680">
        <w:rPr>
          <w:rFonts w:cs="Times New Roman"/>
        </w:rPr>
        <w:t xml:space="preserve"> </w:t>
      </w:r>
      <w:r w:rsidR="00435BB2" w:rsidRPr="00DF0680">
        <w:rPr>
          <w:rFonts w:cs="Times New Roman"/>
        </w:rPr>
        <w:t xml:space="preserve">(either </w:t>
      </w:r>
      <w:r w:rsidRPr="00DF0680">
        <w:rPr>
          <w:rFonts w:cs="Times New Roman"/>
        </w:rPr>
        <w:t xml:space="preserve">helicase functional or </w:t>
      </w:r>
      <w:r w:rsidR="00435BB2" w:rsidRPr="00DF0680">
        <w:rPr>
          <w:rFonts w:cs="Times New Roman"/>
        </w:rPr>
        <w:t xml:space="preserve">helicase </w:t>
      </w:r>
      <w:r w:rsidRPr="00DF0680">
        <w:rPr>
          <w:rFonts w:cs="Times New Roman"/>
        </w:rPr>
        <w:t>dead</w:t>
      </w:r>
      <w:r w:rsidR="00435BB2" w:rsidRPr="00DF0680">
        <w:rPr>
          <w:rFonts w:cs="Times New Roman"/>
        </w:rPr>
        <w:t>)</w:t>
      </w:r>
      <w:r w:rsidRPr="00DF0680">
        <w:rPr>
          <w:rFonts w:cs="Times New Roman"/>
        </w:rPr>
        <w:t xml:space="preserve"> reduces replication stress induced by camptothecin. Foci formed by DRB and CPT + DRB were also decreased in </w:t>
      </w:r>
      <w:r w:rsidR="00471D18" w:rsidRPr="00DF0680">
        <w:rPr>
          <w:rFonts w:cs="Times New Roman"/>
        </w:rPr>
        <w:t>MRC5V2</w:t>
      </w:r>
      <w:r w:rsidRPr="00DF0680">
        <w:rPr>
          <w:rFonts w:cs="Times New Roman"/>
        </w:rPr>
        <w:t xml:space="preserve">+Q5 and </w:t>
      </w:r>
      <w:r w:rsidR="00471D18" w:rsidRPr="00DF0680">
        <w:rPr>
          <w:rFonts w:cs="Times New Roman"/>
        </w:rPr>
        <w:t>MRC5V2</w:t>
      </w:r>
      <w:r w:rsidRPr="00DF0680">
        <w:rPr>
          <w:rFonts w:cs="Times New Roman"/>
        </w:rPr>
        <w:t>+Q5KR cells b</w:t>
      </w:r>
      <w:r w:rsidR="00435BB2" w:rsidRPr="00DF0680">
        <w:rPr>
          <w:rFonts w:cs="Times New Roman"/>
        </w:rPr>
        <w:t>ut this was not significant. The</w:t>
      </w:r>
      <w:r w:rsidRPr="00DF0680">
        <w:rPr>
          <w:rFonts w:cs="Times New Roman"/>
        </w:rPr>
        <w:t>s</w:t>
      </w:r>
      <w:r w:rsidR="00435BB2" w:rsidRPr="00DF0680">
        <w:rPr>
          <w:rFonts w:cs="Times New Roman"/>
        </w:rPr>
        <w:t>e data point</w:t>
      </w:r>
      <w:r w:rsidRPr="00DF0680">
        <w:rPr>
          <w:rFonts w:cs="Times New Roman"/>
        </w:rPr>
        <w:t xml:space="preserve"> to </w:t>
      </w:r>
      <w:r w:rsidR="00435BB2" w:rsidRPr="00DF0680">
        <w:rPr>
          <w:rFonts w:cs="Times New Roman"/>
        </w:rPr>
        <w:t>possible a role for RECQL5β being involved in</w:t>
      </w:r>
      <w:r w:rsidRPr="00DF0680">
        <w:rPr>
          <w:rFonts w:cs="Times New Roman"/>
        </w:rPr>
        <w:t xml:space="preserve"> </w:t>
      </w:r>
      <w:r w:rsidR="00435BB2" w:rsidRPr="00DF0680">
        <w:rPr>
          <w:rFonts w:cs="Times New Roman"/>
        </w:rPr>
        <w:t xml:space="preserve">the </w:t>
      </w:r>
      <w:r w:rsidRPr="00DF0680">
        <w:rPr>
          <w:rFonts w:cs="Times New Roman"/>
        </w:rPr>
        <w:t xml:space="preserve">resolving </w:t>
      </w:r>
      <w:r w:rsidR="00435BB2" w:rsidRPr="00DF0680">
        <w:rPr>
          <w:rFonts w:cs="Times New Roman"/>
        </w:rPr>
        <w:t xml:space="preserve">of </w:t>
      </w:r>
      <w:r w:rsidRPr="00DF0680">
        <w:rPr>
          <w:rFonts w:cs="Times New Roman"/>
        </w:rPr>
        <w:t xml:space="preserve">replication stress caused by inhibiting Topoisomerase I. </w:t>
      </w:r>
    </w:p>
    <w:p w:rsidR="000F4A2B" w:rsidRPr="00DF0680" w:rsidRDefault="000F4A2B" w:rsidP="000F4A2B">
      <w:pPr>
        <w:rPr>
          <w:rFonts w:cs="Times New Roman"/>
        </w:rPr>
      </w:pPr>
      <w:r w:rsidRPr="00DF0680">
        <w:rPr>
          <w:rFonts w:cs="Times New Roman"/>
        </w:rPr>
        <w:t xml:space="preserve">The phenotypes we see through DNA fibre analysis were not </w:t>
      </w:r>
      <w:r w:rsidR="00435BB2" w:rsidRPr="00DF0680">
        <w:rPr>
          <w:rFonts w:cs="Times New Roman"/>
        </w:rPr>
        <w:t>consistent</w:t>
      </w:r>
      <w:r w:rsidRPr="00DF0680">
        <w:rPr>
          <w:rFonts w:cs="Times New Roman"/>
        </w:rPr>
        <w:t xml:space="preserve"> using immunofluorescence. This may be due to DNA fibre analysis being a more sensitive technique that is recognising slowing of replication forks, which may indicate replication stress that </w:t>
      </w:r>
      <w:r w:rsidR="00435BB2" w:rsidRPr="00DF0680">
        <w:rPr>
          <w:rFonts w:cs="Times New Roman"/>
        </w:rPr>
        <w:t>cannot be detected by counting</w:t>
      </w:r>
      <w:r w:rsidRPr="00DF0680">
        <w:rPr>
          <w:rFonts w:cs="Times New Roman"/>
        </w:rPr>
        <w:t xml:space="preserve"> RPA foci. Performing the DNA fibre experiments with and without RNAse </w:t>
      </w:r>
      <w:r w:rsidR="00435BB2" w:rsidRPr="00DF0680">
        <w:rPr>
          <w:rFonts w:cs="Times New Roman"/>
        </w:rPr>
        <w:t xml:space="preserve">(which would degrade the DNA-RNA hybrids caused by replication-transcription collisions) </w:t>
      </w:r>
      <w:r w:rsidRPr="00DF0680">
        <w:rPr>
          <w:rFonts w:cs="Times New Roman"/>
        </w:rPr>
        <w:t xml:space="preserve">would shed more light onto whether the differences in speed are due to </w:t>
      </w:r>
      <w:r w:rsidR="00435BB2" w:rsidRPr="00DF0680">
        <w:rPr>
          <w:rFonts w:cs="Times New Roman"/>
        </w:rPr>
        <w:t>the collision of replication and transcription machineries.</w:t>
      </w:r>
      <w:r w:rsidRPr="00DF0680">
        <w:rPr>
          <w:rFonts w:cs="Times New Roman"/>
        </w:rPr>
        <w:t xml:space="preserve"> </w:t>
      </w:r>
    </w:p>
    <w:p w:rsidR="00C34FF2" w:rsidRPr="00DF0680" w:rsidRDefault="00C34FF2" w:rsidP="000F4A2B">
      <w:pPr>
        <w:rPr>
          <w:rFonts w:cs="Times New Roman"/>
        </w:rPr>
      </w:pPr>
      <w:r w:rsidRPr="00DF0680">
        <w:rPr>
          <w:rFonts w:cs="Times New Roman"/>
        </w:rPr>
        <w:t xml:space="preserve">When interpreting these results, it is important to take into account the cell line used. MRC5V2 cells have been </w:t>
      </w:r>
      <w:r w:rsidR="00CD5C0E" w:rsidRPr="00DF0680">
        <w:rPr>
          <w:rFonts w:cs="Times New Roman"/>
        </w:rPr>
        <w:t xml:space="preserve">transformed with the SV40 virus, which causes the expression of the SV40 large T antigen. This causes the sequestration of both pRb and p53, two major tumour suppressors. This means that when DNA replication stress is added to the cell, these cells will be relying on alternative, pRb- and p53-independent pathways. </w:t>
      </w:r>
      <w:r w:rsidR="00686301" w:rsidRPr="00DF0680">
        <w:rPr>
          <w:rFonts w:cs="Times New Roman"/>
        </w:rPr>
        <w:t>Without further studies, it is unclear what these may be, and what role RECQL5 has is in these pathways, if any.</w:t>
      </w:r>
    </w:p>
    <w:p w:rsidR="00FE3028" w:rsidRPr="00DF0680" w:rsidRDefault="00FE3028" w:rsidP="00EB1D60">
      <w:pPr>
        <w:rPr>
          <w:rFonts w:cs="Times New Roman"/>
          <w:color w:val="auto"/>
        </w:rPr>
        <w:sectPr w:rsidR="00FE3028" w:rsidRPr="00DF0680" w:rsidSect="000F4A2B">
          <w:headerReference w:type="default" r:id="rId63"/>
          <w:footerReference w:type="default" r:id="rId64"/>
          <w:pgSz w:w="11906" w:h="16838"/>
          <w:pgMar w:top="1440" w:right="1134" w:bottom="1440" w:left="2268" w:header="709" w:footer="709" w:gutter="0"/>
          <w:cols w:space="708"/>
          <w:docGrid w:linePitch="360"/>
        </w:sectPr>
      </w:pPr>
    </w:p>
    <w:p w:rsidR="00FE3028" w:rsidRPr="00DF0680" w:rsidRDefault="00FE3028" w:rsidP="00E664FC">
      <w:pPr>
        <w:pStyle w:val="Heading1"/>
      </w:pPr>
      <w:bookmarkStart w:id="688" w:name="_Toc402365461"/>
      <w:bookmarkStart w:id="689" w:name="_Toc405987203"/>
      <w:bookmarkStart w:id="690" w:name="_Toc406063385"/>
      <w:bookmarkStart w:id="691" w:name="_Toc406148804"/>
      <w:bookmarkStart w:id="692" w:name="_Toc409181388"/>
      <w:bookmarkStart w:id="693" w:name="_Toc410223034"/>
      <w:bookmarkStart w:id="694" w:name="_Toc417204205"/>
      <w:bookmarkStart w:id="695" w:name="_Toc417204738"/>
      <w:bookmarkStart w:id="696" w:name="_Toc417204798"/>
      <w:r w:rsidRPr="00DF0680">
        <w:lastRenderedPageBreak/>
        <w:t>– Manipulating RECQL5 levels to influence response to replication stress</w:t>
      </w:r>
      <w:bookmarkEnd w:id="688"/>
      <w:bookmarkEnd w:id="689"/>
      <w:bookmarkEnd w:id="690"/>
      <w:bookmarkEnd w:id="691"/>
      <w:bookmarkEnd w:id="692"/>
      <w:bookmarkEnd w:id="693"/>
      <w:bookmarkEnd w:id="694"/>
      <w:bookmarkEnd w:id="695"/>
      <w:bookmarkEnd w:id="696"/>
    </w:p>
    <w:sdt>
      <w:sdtPr>
        <w:rPr>
          <w:rFonts w:ascii="Arial" w:hAnsi="Arial"/>
          <w:b w:val="0"/>
          <w:bCs/>
          <w:noProof w:val="0"/>
        </w:rPr>
        <w:id w:val="27562850"/>
        <w:docPartObj>
          <w:docPartGallery w:val="Table of Contents"/>
          <w:docPartUnique/>
        </w:docPartObj>
      </w:sdtPr>
      <w:sdtEndPr>
        <w:rPr>
          <w:rFonts w:ascii="Times New Roman" w:hAnsi="Times New Roman"/>
          <w:bCs w:val="0"/>
        </w:rPr>
      </w:sdtEndPr>
      <w:sdtContent>
        <w:p w:rsidR="00FE3028" w:rsidRPr="00DF0680" w:rsidRDefault="00F20EC0" w:rsidP="00577EA5">
          <w:pPr>
            <w:pStyle w:val="TOC1"/>
            <w:rPr>
              <w:rFonts w:asciiTheme="minorHAnsi" w:eastAsiaTheme="minorEastAsia" w:hAnsiTheme="minorHAnsi"/>
              <w:noProof w:val="0"/>
              <w:sz w:val="22"/>
            </w:rPr>
          </w:pPr>
          <w:r w:rsidRPr="00DF0680">
            <w:rPr>
              <w:rFonts w:eastAsiaTheme="majorEastAsia" w:cstheme="majorBidi"/>
              <w:bCs/>
              <w:noProof w:val="0"/>
              <w:color w:val="365F91" w:themeColor="accent1" w:themeShade="BF"/>
              <w:sz w:val="28"/>
              <w:szCs w:val="28"/>
            </w:rPr>
            <w:fldChar w:fldCharType="begin"/>
          </w:r>
          <w:r w:rsidR="00FE3028" w:rsidRPr="00DF0680">
            <w:rPr>
              <w:noProof w:val="0"/>
            </w:rPr>
            <w:instrText xml:space="preserve"> TOC \o "1-3" \h \z \u </w:instrText>
          </w:r>
          <w:r w:rsidRPr="00DF0680">
            <w:rPr>
              <w:rFonts w:eastAsiaTheme="majorEastAsia" w:cstheme="majorBidi"/>
              <w:bCs/>
              <w:noProof w:val="0"/>
              <w:color w:val="365F91" w:themeColor="accent1" w:themeShade="BF"/>
              <w:sz w:val="28"/>
              <w:szCs w:val="28"/>
            </w:rPr>
            <w:fldChar w:fldCharType="separate"/>
          </w:r>
        </w:p>
        <w:p w:rsidR="00FE3028" w:rsidRPr="00DF0680" w:rsidRDefault="00F20EC0" w:rsidP="00FE3028">
          <w:pPr>
            <w:pStyle w:val="TOC2"/>
            <w:rPr>
              <w:rFonts w:asciiTheme="minorHAnsi" w:eastAsiaTheme="minorEastAsia" w:hAnsiTheme="minorHAnsi"/>
              <w:noProof w:val="0"/>
              <w:sz w:val="22"/>
            </w:rPr>
          </w:pPr>
          <w:hyperlink w:anchor="_Toc410223035" w:history="1">
            <w:r w:rsidR="00FE3028" w:rsidRPr="00DF0680">
              <w:rPr>
                <w:rStyle w:val="Hyperlink"/>
                <w:noProof w:val="0"/>
              </w:rPr>
              <w:t>5.1</w:t>
            </w:r>
            <w:r w:rsidR="00FE3028" w:rsidRPr="00DF0680">
              <w:rPr>
                <w:rFonts w:asciiTheme="minorHAnsi" w:eastAsiaTheme="minorEastAsia" w:hAnsiTheme="minorHAnsi"/>
                <w:noProof w:val="0"/>
                <w:sz w:val="22"/>
              </w:rPr>
              <w:tab/>
            </w:r>
            <w:r w:rsidR="00FE3028" w:rsidRPr="00DF0680">
              <w:rPr>
                <w:rStyle w:val="Hyperlink"/>
                <w:noProof w:val="0"/>
              </w:rPr>
              <w:t>Introduction</w:t>
            </w:r>
            <w:r w:rsidR="00FE3028" w:rsidRPr="00DF0680">
              <w:rPr>
                <w:noProof w:val="0"/>
                <w:webHidden/>
              </w:rPr>
              <w:tab/>
            </w:r>
            <w:r w:rsidRPr="00DF0680">
              <w:rPr>
                <w:noProof w:val="0"/>
                <w:webHidden/>
              </w:rPr>
              <w:fldChar w:fldCharType="begin"/>
            </w:r>
            <w:r w:rsidR="00FE3028" w:rsidRPr="00DF0680">
              <w:rPr>
                <w:noProof w:val="0"/>
                <w:webHidden/>
              </w:rPr>
              <w:instrText xml:space="preserve"> PAGEREF _Toc410223035 \h </w:instrText>
            </w:r>
            <w:r w:rsidRPr="00DF0680">
              <w:rPr>
                <w:noProof w:val="0"/>
                <w:webHidden/>
              </w:rPr>
            </w:r>
            <w:r w:rsidRPr="00DF0680">
              <w:rPr>
                <w:noProof w:val="0"/>
                <w:webHidden/>
              </w:rPr>
              <w:fldChar w:fldCharType="separate"/>
            </w:r>
            <w:r w:rsidR="009801AF" w:rsidRPr="00DF0680">
              <w:rPr>
                <w:noProof w:val="0"/>
                <w:webHidden/>
              </w:rPr>
              <w:t>152</w:t>
            </w:r>
            <w:r w:rsidRPr="00DF0680">
              <w:rPr>
                <w:noProof w:val="0"/>
                <w:webHidden/>
              </w:rPr>
              <w:fldChar w:fldCharType="end"/>
            </w:r>
          </w:hyperlink>
        </w:p>
        <w:p w:rsidR="00FE3028" w:rsidRPr="00DF0680" w:rsidRDefault="00F20EC0" w:rsidP="00FE3028">
          <w:pPr>
            <w:pStyle w:val="TOC2"/>
            <w:rPr>
              <w:rFonts w:asciiTheme="minorHAnsi" w:eastAsiaTheme="minorEastAsia" w:hAnsiTheme="minorHAnsi"/>
              <w:noProof w:val="0"/>
              <w:sz w:val="22"/>
            </w:rPr>
          </w:pPr>
          <w:hyperlink w:anchor="_Toc410223036" w:history="1">
            <w:r w:rsidR="00FE3028" w:rsidRPr="00DF0680">
              <w:rPr>
                <w:rStyle w:val="Hyperlink"/>
                <w:noProof w:val="0"/>
              </w:rPr>
              <w:t>5.2</w:t>
            </w:r>
            <w:r w:rsidR="00FE3028" w:rsidRPr="00DF0680">
              <w:rPr>
                <w:rFonts w:asciiTheme="minorHAnsi" w:eastAsiaTheme="minorEastAsia" w:hAnsiTheme="minorHAnsi"/>
                <w:noProof w:val="0"/>
                <w:sz w:val="22"/>
              </w:rPr>
              <w:tab/>
            </w:r>
            <w:r w:rsidR="00FE3028" w:rsidRPr="00DF0680">
              <w:rPr>
                <w:rStyle w:val="Hyperlink"/>
                <w:noProof w:val="0"/>
              </w:rPr>
              <w:t>Bladder cancer cells are more sensitive to replication stress than normal bladder...</w:t>
            </w:r>
            <w:r w:rsidR="00FE3028" w:rsidRPr="00DF0680">
              <w:rPr>
                <w:noProof w:val="0"/>
                <w:webHidden/>
              </w:rPr>
              <w:tab/>
            </w:r>
            <w:r w:rsidRPr="00DF0680">
              <w:rPr>
                <w:noProof w:val="0"/>
                <w:webHidden/>
              </w:rPr>
              <w:fldChar w:fldCharType="begin"/>
            </w:r>
            <w:r w:rsidR="00FE3028" w:rsidRPr="00DF0680">
              <w:rPr>
                <w:noProof w:val="0"/>
                <w:webHidden/>
              </w:rPr>
              <w:instrText xml:space="preserve"> PAGEREF _Toc410223036 \h </w:instrText>
            </w:r>
            <w:r w:rsidRPr="00DF0680">
              <w:rPr>
                <w:noProof w:val="0"/>
                <w:webHidden/>
              </w:rPr>
            </w:r>
            <w:r w:rsidRPr="00DF0680">
              <w:rPr>
                <w:noProof w:val="0"/>
                <w:webHidden/>
              </w:rPr>
              <w:fldChar w:fldCharType="separate"/>
            </w:r>
            <w:r w:rsidR="009801AF" w:rsidRPr="00DF0680">
              <w:rPr>
                <w:noProof w:val="0"/>
                <w:webHidden/>
              </w:rPr>
              <w:t>153</w:t>
            </w:r>
            <w:r w:rsidRPr="00DF0680">
              <w:rPr>
                <w:noProof w:val="0"/>
                <w:webHidden/>
              </w:rPr>
              <w:fldChar w:fldCharType="end"/>
            </w:r>
          </w:hyperlink>
        </w:p>
        <w:p w:rsidR="00FE3028" w:rsidRPr="00DF0680" w:rsidRDefault="00F20EC0" w:rsidP="00FE3028">
          <w:pPr>
            <w:pStyle w:val="TOC2"/>
            <w:rPr>
              <w:rFonts w:asciiTheme="minorHAnsi" w:eastAsiaTheme="minorEastAsia" w:hAnsiTheme="minorHAnsi"/>
              <w:noProof w:val="0"/>
              <w:sz w:val="22"/>
            </w:rPr>
          </w:pPr>
          <w:hyperlink w:anchor="_Toc410223037" w:history="1">
            <w:r w:rsidR="00FE3028" w:rsidRPr="00DF0680">
              <w:rPr>
                <w:rStyle w:val="Hyperlink"/>
                <w:noProof w:val="0"/>
              </w:rPr>
              <w:t>5.3</w:t>
            </w:r>
            <w:r w:rsidR="00FE3028" w:rsidRPr="00DF0680">
              <w:rPr>
                <w:rFonts w:asciiTheme="minorHAnsi" w:eastAsiaTheme="minorEastAsia" w:hAnsiTheme="minorHAnsi"/>
                <w:noProof w:val="0"/>
                <w:sz w:val="22"/>
              </w:rPr>
              <w:tab/>
            </w:r>
            <w:r w:rsidR="00FE3028" w:rsidRPr="00DF0680">
              <w:rPr>
                <w:rStyle w:val="Hyperlink"/>
                <w:noProof w:val="0"/>
              </w:rPr>
              <w:t>Transfecting cells with a pool of RECQL5 siRNA sensitises cells to replication stress......</w:t>
            </w:r>
            <w:r w:rsidR="00FE3028" w:rsidRPr="00DF0680">
              <w:rPr>
                <w:noProof w:val="0"/>
                <w:webHidden/>
              </w:rPr>
              <w:tab/>
            </w:r>
            <w:r w:rsidRPr="00DF0680">
              <w:rPr>
                <w:noProof w:val="0"/>
                <w:webHidden/>
              </w:rPr>
              <w:fldChar w:fldCharType="begin"/>
            </w:r>
            <w:r w:rsidR="00FE3028" w:rsidRPr="00DF0680">
              <w:rPr>
                <w:noProof w:val="0"/>
                <w:webHidden/>
              </w:rPr>
              <w:instrText xml:space="preserve"> PAGEREF _Toc410223037 \h </w:instrText>
            </w:r>
            <w:r w:rsidRPr="00DF0680">
              <w:rPr>
                <w:noProof w:val="0"/>
                <w:webHidden/>
              </w:rPr>
            </w:r>
            <w:r w:rsidRPr="00DF0680">
              <w:rPr>
                <w:noProof w:val="0"/>
                <w:webHidden/>
              </w:rPr>
              <w:fldChar w:fldCharType="separate"/>
            </w:r>
            <w:r w:rsidR="009801AF" w:rsidRPr="00DF0680">
              <w:rPr>
                <w:noProof w:val="0"/>
                <w:webHidden/>
              </w:rPr>
              <w:t>154</w:t>
            </w:r>
            <w:r w:rsidRPr="00DF0680">
              <w:rPr>
                <w:noProof w:val="0"/>
                <w:webHidden/>
              </w:rPr>
              <w:fldChar w:fldCharType="end"/>
            </w:r>
          </w:hyperlink>
        </w:p>
        <w:p w:rsidR="00FE3028" w:rsidRPr="00DF0680" w:rsidRDefault="00F20EC0" w:rsidP="00FE3028">
          <w:pPr>
            <w:pStyle w:val="TOC2"/>
            <w:rPr>
              <w:rFonts w:asciiTheme="minorHAnsi" w:eastAsiaTheme="minorEastAsia" w:hAnsiTheme="minorHAnsi"/>
              <w:noProof w:val="0"/>
              <w:sz w:val="22"/>
            </w:rPr>
          </w:pPr>
          <w:hyperlink w:anchor="_Toc410223038" w:history="1">
            <w:r w:rsidR="00FE3028" w:rsidRPr="00DF0680">
              <w:rPr>
                <w:rStyle w:val="Hyperlink"/>
                <w:noProof w:val="0"/>
              </w:rPr>
              <w:t>5.4</w:t>
            </w:r>
            <w:r w:rsidR="00FE3028" w:rsidRPr="00DF0680">
              <w:rPr>
                <w:rFonts w:asciiTheme="minorHAnsi" w:eastAsiaTheme="minorEastAsia" w:hAnsiTheme="minorHAnsi"/>
                <w:noProof w:val="0"/>
                <w:sz w:val="22"/>
              </w:rPr>
              <w:tab/>
            </w:r>
            <w:r w:rsidR="00FE3028" w:rsidRPr="00DF0680">
              <w:rPr>
                <w:rStyle w:val="Hyperlink"/>
                <w:noProof w:val="0"/>
              </w:rPr>
              <w:t>Sensitivity to replication stress from the RECQL5 siRNA pool is due to off target effects</w:t>
            </w:r>
            <w:r w:rsidR="00FE3028" w:rsidRPr="00DF0680">
              <w:rPr>
                <w:noProof w:val="0"/>
                <w:webHidden/>
              </w:rPr>
              <w:tab/>
            </w:r>
            <w:r w:rsidRPr="00DF0680">
              <w:rPr>
                <w:noProof w:val="0"/>
                <w:webHidden/>
              </w:rPr>
              <w:fldChar w:fldCharType="begin"/>
            </w:r>
            <w:r w:rsidR="00FE3028" w:rsidRPr="00DF0680">
              <w:rPr>
                <w:noProof w:val="0"/>
                <w:webHidden/>
              </w:rPr>
              <w:instrText xml:space="preserve"> PAGEREF _Toc410223038 \h </w:instrText>
            </w:r>
            <w:r w:rsidRPr="00DF0680">
              <w:rPr>
                <w:noProof w:val="0"/>
                <w:webHidden/>
              </w:rPr>
            </w:r>
            <w:r w:rsidRPr="00DF0680">
              <w:rPr>
                <w:noProof w:val="0"/>
                <w:webHidden/>
              </w:rPr>
              <w:fldChar w:fldCharType="separate"/>
            </w:r>
            <w:r w:rsidR="009801AF" w:rsidRPr="00DF0680">
              <w:rPr>
                <w:noProof w:val="0"/>
                <w:webHidden/>
              </w:rPr>
              <w:t>157</w:t>
            </w:r>
            <w:r w:rsidRPr="00DF0680">
              <w:rPr>
                <w:noProof w:val="0"/>
                <w:webHidden/>
              </w:rPr>
              <w:fldChar w:fldCharType="end"/>
            </w:r>
          </w:hyperlink>
        </w:p>
        <w:p w:rsidR="00FE3028" w:rsidRPr="00DF0680" w:rsidRDefault="00F20EC0" w:rsidP="00FE3028">
          <w:pPr>
            <w:pStyle w:val="TOC2"/>
            <w:rPr>
              <w:rFonts w:asciiTheme="minorHAnsi" w:eastAsiaTheme="minorEastAsia" w:hAnsiTheme="minorHAnsi"/>
              <w:noProof w:val="0"/>
              <w:sz w:val="22"/>
            </w:rPr>
          </w:pPr>
          <w:hyperlink w:anchor="_Toc410223039" w:history="1">
            <w:r w:rsidR="00FE3028" w:rsidRPr="00DF0680">
              <w:rPr>
                <w:rStyle w:val="Hyperlink"/>
                <w:noProof w:val="0"/>
              </w:rPr>
              <w:t>5.5</w:t>
            </w:r>
            <w:r w:rsidR="00FE3028" w:rsidRPr="00DF0680">
              <w:rPr>
                <w:rFonts w:asciiTheme="minorHAnsi" w:eastAsiaTheme="minorEastAsia" w:hAnsiTheme="minorHAnsi"/>
                <w:noProof w:val="0"/>
                <w:sz w:val="22"/>
              </w:rPr>
              <w:tab/>
            </w:r>
            <w:r w:rsidR="00FE3028" w:rsidRPr="00DF0680">
              <w:rPr>
                <w:rStyle w:val="Hyperlink"/>
                <w:noProof w:val="0"/>
              </w:rPr>
              <w:t>Depleting RECQL5 protein levels reduces proliferation rate in EJ cells but not in NHU hTERT</w:t>
            </w:r>
            <w:r w:rsidR="00FE3028" w:rsidRPr="00DF0680">
              <w:rPr>
                <w:noProof w:val="0"/>
                <w:webHidden/>
              </w:rPr>
              <w:tab/>
            </w:r>
            <w:r w:rsidRPr="00DF0680">
              <w:rPr>
                <w:noProof w:val="0"/>
                <w:webHidden/>
              </w:rPr>
              <w:fldChar w:fldCharType="begin"/>
            </w:r>
            <w:r w:rsidR="00FE3028" w:rsidRPr="00DF0680">
              <w:rPr>
                <w:noProof w:val="0"/>
                <w:webHidden/>
              </w:rPr>
              <w:instrText xml:space="preserve"> PAGEREF _Toc410223039 \h </w:instrText>
            </w:r>
            <w:r w:rsidRPr="00DF0680">
              <w:rPr>
                <w:noProof w:val="0"/>
                <w:webHidden/>
              </w:rPr>
            </w:r>
            <w:r w:rsidRPr="00DF0680">
              <w:rPr>
                <w:noProof w:val="0"/>
                <w:webHidden/>
              </w:rPr>
              <w:fldChar w:fldCharType="separate"/>
            </w:r>
            <w:r w:rsidR="009801AF" w:rsidRPr="00DF0680">
              <w:rPr>
                <w:noProof w:val="0"/>
                <w:webHidden/>
              </w:rPr>
              <w:t>161</w:t>
            </w:r>
            <w:r w:rsidRPr="00DF0680">
              <w:rPr>
                <w:noProof w:val="0"/>
                <w:webHidden/>
              </w:rPr>
              <w:fldChar w:fldCharType="end"/>
            </w:r>
          </w:hyperlink>
        </w:p>
        <w:p w:rsidR="00FE3028" w:rsidRPr="00DF0680" w:rsidRDefault="00F20EC0" w:rsidP="00FE3028">
          <w:pPr>
            <w:pStyle w:val="TOC2"/>
            <w:rPr>
              <w:rFonts w:asciiTheme="minorHAnsi" w:eastAsiaTheme="minorEastAsia" w:hAnsiTheme="minorHAnsi"/>
              <w:noProof w:val="0"/>
              <w:sz w:val="22"/>
            </w:rPr>
          </w:pPr>
          <w:hyperlink w:anchor="_Toc410223040" w:history="1">
            <w:r w:rsidR="00FE3028" w:rsidRPr="00DF0680">
              <w:rPr>
                <w:rStyle w:val="Hyperlink"/>
                <w:noProof w:val="0"/>
              </w:rPr>
              <w:t>5.6</w:t>
            </w:r>
            <w:r w:rsidR="00FE3028" w:rsidRPr="00DF0680">
              <w:rPr>
                <w:rFonts w:asciiTheme="minorHAnsi" w:eastAsiaTheme="minorEastAsia" w:hAnsiTheme="minorHAnsi"/>
                <w:noProof w:val="0"/>
                <w:sz w:val="22"/>
              </w:rPr>
              <w:tab/>
            </w:r>
            <w:r w:rsidR="00FE3028" w:rsidRPr="00DF0680">
              <w:rPr>
                <w:rStyle w:val="Hyperlink"/>
                <w:noProof w:val="0"/>
              </w:rPr>
              <w:t>Over-expression of RECQL5</w:t>
            </w:r>
            <w:r w:rsidR="00FE3028" w:rsidRPr="00DF0680">
              <w:rPr>
                <w:rStyle w:val="Hyperlink"/>
                <w:rFonts w:ascii="Calibri" w:hAnsi="Calibri"/>
                <w:noProof w:val="0"/>
              </w:rPr>
              <w:t>β</w:t>
            </w:r>
            <w:r w:rsidR="00FE3028" w:rsidRPr="00DF0680">
              <w:rPr>
                <w:rStyle w:val="Hyperlink"/>
                <w:noProof w:val="0"/>
              </w:rPr>
              <w:t xml:space="preserve"> does not provide resistance to thymidine in EJ cells........</w:t>
            </w:r>
            <w:r w:rsidR="00FE3028" w:rsidRPr="00DF0680">
              <w:rPr>
                <w:noProof w:val="0"/>
                <w:webHidden/>
              </w:rPr>
              <w:tab/>
            </w:r>
            <w:r w:rsidRPr="00DF0680">
              <w:rPr>
                <w:noProof w:val="0"/>
                <w:webHidden/>
              </w:rPr>
              <w:fldChar w:fldCharType="begin"/>
            </w:r>
            <w:r w:rsidR="00FE3028" w:rsidRPr="00DF0680">
              <w:rPr>
                <w:noProof w:val="0"/>
                <w:webHidden/>
              </w:rPr>
              <w:instrText xml:space="preserve"> PAGEREF _Toc410223040 \h </w:instrText>
            </w:r>
            <w:r w:rsidRPr="00DF0680">
              <w:rPr>
                <w:noProof w:val="0"/>
                <w:webHidden/>
              </w:rPr>
            </w:r>
            <w:r w:rsidRPr="00DF0680">
              <w:rPr>
                <w:noProof w:val="0"/>
                <w:webHidden/>
              </w:rPr>
              <w:fldChar w:fldCharType="separate"/>
            </w:r>
            <w:r w:rsidR="009801AF" w:rsidRPr="00DF0680">
              <w:rPr>
                <w:noProof w:val="0"/>
                <w:webHidden/>
              </w:rPr>
              <w:t>161</w:t>
            </w:r>
            <w:r w:rsidRPr="00DF0680">
              <w:rPr>
                <w:noProof w:val="0"/>
                <w:webHidden/>
              </w:rPr>
              <w:fldChar w:fldCharType="end"/>
            </w:r>
          </w:hyperlink>
        </w:p>
        <w:p w:rsidR="00FE3028" w:rsidRPr="00DF0680" w:rsidRDefault="00F20EC0" w:rsidP="00FE3028">
          <w:pPr>
            <w:pStyle w:val="TOC2"/>
            <w:rPr>
              <w:rFonts w:asciiTheme="minorHAnsi" w:eastAsiaTheme="minorEastAsia" w:hAnsiTheme="minorHAnsi"/>
              <w:noProof w:val="0"/>
              <w:sz w:val="22"/>
            </w:rPr>
          </w:pPr>
          <w:hyperlink w:anchor="_Toc410223041" w:history="1">
            <w:r w:rsidR="00FE3028" w:rsidRPr="00DF0680">
              <w:rPr>
                <w:rStyle w:val="Hyperlink"/>
                <w:noProof w:val="0"/>
              </w:rPr>
              <w:t>5.7</w:t>
            </w:r>
            <w:r w:rsidR="00FE3028" w:rsidRPr="00DF0680">
              <w:rPr>
                <w:rFonts w:asciiTheme="minorHAnsi" w:eastAsiaTheme="minorEastAsia" w:hAnsiTheme="minorHAnsi"/>
                <w:noProof w:val="0"/>
                <w:sz w:val="22"/>
              </w:rPr>
              <w:tab/>
            </w:r>
            <w:r w:rsidR="00FE3028" w:rsidRPr="00DF0680">
              <w:rPr>
                <w:rStyle w:val="Hyperlink"/>
                <w:noProof w:val="0"/>
              </w:rPr>
              <w:t>Cells depleted of RECQL5 do not have increased DNA damage signalling upon replication stress</w:t>
            </w:r>
            <w:r w:rsidR="00FE3028" w:rsidRPr="00DF0680">
              <w:rPr>
                <w:noProof w:val="0"/>
                <w:webHidden/>
              </w:rPr>
              <w:tab/>
            </w:r>
            <w:r w:rsidRPr="00DF0680">
              <w:rPr>
                <w:noProof w:val="0"/>
                <w:webHidden/>
              </w:rPr>
              <w:fldChar w:fldCharType="begin"/>
            </w:r>
            <w:r w:rsidR="00FE3028" w:rsidRPr="00DF0680">
              <w:rPr>
                <w:noProof w:val="0"/>
                <w:webHidden/>
              </w:rPr>
              <w:instrText xml:space="preserve"> PAGEREF _Toc410223041 \h </w:instrText>
            </w:r>
            <w:r w:rsidRPr="00DF0680">
              <w:rPr>
                <w:noProof w:val="0"/>
                <w:webHidden/>
              </w:rPr>
            </w:r>
            <w:r w:rsidRPr="00DF0680">
              <w:rPr>
                <w:noProof w:val="0"/>
                <w:webHidden/>
              </w:rPr>
              <w:fldChar w:fldCharType="separate"/>
            </w:r>
            <w:r w:rsidR="009801AF" w:rsidRPr="00DF0680">
              <w:rPr>
                <w:noProof w:val="0"/>
                <w:webHidden/>
              </w:rPr>
              <w:t>165</w:t>
            </w:r>
            <w:r w:rsidRPr="00DF0680">
              <w:rPr>
                <w:noProof w:val="0"/>
                <w:webHidden/>
              </w:rPr>
              <w:fldChar w:fldCharType="end"/>
            </w:r>
          </w:hyperlink>
        </w:p>
        <w:p w:rsidR="00FE3028" w:rsidRPr="00DF0680" w:rsidRDefault="00F20EC0" w:rsidP="00FE3028">
          <w:pPr>
            <w:pStyle w:val="TOC2"/>
            <w:rPr>
              <w:rFonts w:asciiTheme="minorHAnsi" w:eastAsiaTheme="minorEastAsia" w:hAnsiTheme="minorHAnsi"/>
              <w:noProof w:val="0"/>
              <w:sz w:val="22"/>
            </w:rPr>
          </w:pPr>
          <w:hyperlink w:anchor="_Toc410223042" w:history="1">
            <w:r w:rsidR="00FE3028" w:rsidRPr="00DF0680">
              <w:rPr>
                <w:rStyle w:val="Hyperlink"/>
                <w:noProof w:val="0"/>
              </w:rPr>
              <w:t>5.8</w:t>
            </w:r>
            <w:r w:rsidR="00FE3028" w:rsidRPr="00DF0680">
              <w:rPr>
                <w:rFonts w:asciiTheme="minorHAnsi" w:eastAsiaTheme="minorEastAsia" w:hAnsiTheme="minorHAnsi"/>
                <w:noProof w:val="0"/>
                <w:sz w:val="22"/>
              </w:rPr>
              <w:tab/>
            </w:r>
            <w:r w:rsidR="00FE3028" w:rsidRPr="00DF0680">
              <w:rPr>
                <w:rStyle w:val="Hyperlink"/>
                <w:noProof w:val="0"/>
              </w:rPr>
              <w:t>Depleting cells of RECQL5 reduces S phase arrest in thymidine</w:t>
            </w:r>
            <w:r w:rsidR="00FE3028" w:rsidRPr="00DF0680">
              <w:rPr>
                <w:noProof w:val="0"/>
                <w:webHidden/>
              </w:rPr>
              <w:tab/>
            </w:r>
            <w:r w:rsidRPr="00DF0680">
              <w:rPr>
                <w:noProof w:val="0"/>
                <w:webHidden/>
              </w:rPr>
              <w:fldChar w:fldCharType="begin"/>
            </w:r>
            <w:r w:rsidR="00FE3028" w:rsidRPr="00DF0680">
              <w:rPr>
                <w:noProof w:val="0"/>
                <w:webHidden/>
              </w:rPr>
              <w:instrText xml:space="preserve"> PAGEREF _Toc410223042 \h </w:instrText>
            </w:r>
            <w:r w:rsidRPr="00DF0680">
              <w:rPr>
                <w:noProof w:val="0"/>
                <w:webHidden/>
              </w:rPr>
            </w:r>
            <w:r w:rsidRPr="00DF0680">
              <w:rPr>
                <w:noProof w:val="0"/>
                <w:webHidden/>
              </w:rPr>
              <w:fldChar w:fldCharType="separate"/>
            </w:r>
            <w:r w:rsidR="009801AF" w:rsidRPr="00DF0680">
              <w:rPr>
                <w:noProof w:val="0"/>
                <w:webHidden/>
              </w:rPr>
              <w:t>168</w:t>
            </w:r>
            <w:r w:rsidRPr="00DF0680">
              <w:rPr>
                <w:noProof w:val="0"/>
                <w:webHidden/>
              </w:rPr>
              <w:fldChar w:fldCharType="end"/>
            </w:r>
          </w:hyperlink>
        </w:p>
        <w:p w:rsidR="00FE3028" w:rsidRPr="00DF0680" w:rsidRDefault="00F20EC0" w:rsidP="00FE3028">
          <w:pPr>
            <w:pStyle w:val="TOC2"/>
            <w:rPr>
              <w:rFonts w:asciiTheme="minorHAnsi" w:eastAsiaTheme="minorEastAsia" w:hAnsiTheme="minorHAnsi"/>
              <w:noProof w:val="0"/>
              <w:sz w:val="22"/>
            </w:rPr>
          </w:pPr>
          <w:hyperlink w:anchor="_Toc410223043" w:history="1">
            <w:r w:rsidR="00FE3028" w:rsidRPr="00DF0680">
              <w:rPr>
                <w:rStyle w:val="Hyperlink"/>
                <w:noProof w:val="0"/>
              </w:rPr>
              <w:t>5.9</w:t>
            </w:r>
            <w:r w:rsidR="00FE3028" w:rsidRPr="00DF0680">
              <w:rPr>
                <w:rFonts w:asciiTheme="minorHAnsi" w:eastAsiaTheme="minorEastAsia" w:hAnsiTheme="minorHAnsi"/>
                <w:noProof w:val="0"/>
                <w:sz w:val="22"/>
              </w:rPr>
              <w:tab/>
            </w:r>
            <w:r w:rsidR="00FE3028" w:rsidRPr="00DF0680">
              <w:rPr>
                <w:rStyle w:val="Hyperlink"/>
                <w:noProof w:val="0"/>
              </w:rPr>
              <w:t>Discussion</w:t>
            </w:r>
            <w:r w:rsidR="00FE3028" w:rsidRPr="00DF0680">
              <w:rPr>
                <w:noProof w:val="0"/>
                <w:webHidden/>
              </w:rPr>
              <w:tab/>
            </w:r>
            <w:r w:rsidRPr="00DF0680">
              <w:rPr>
                <w:noProof w:val="0"/>
                <w:webHidden/>
              </w:rPr>
              <w:fldChar w:fldCharType="begin"/>
            </w:r>
            <w:r w:rsidR="00FE3028" w:rsidRPr="00DF0680">
              <w:rPr>
                <w:noProof w:val="0"/>
                <w:webHidden/>
              </w:rPr>
              <w:instrText xml:space="preserve"> PAGEREF _Toc410223043 \h </w:instrText>
            </w:r>
            <w:r w:rsidRPr="00DF0680">
              <w:rPr>
                <w:noProof w:val="0"/>
                <w:webHidden/>
              </w:rPr>
            </w:r>
            <w:r w:rsidRPr="00DF0680">
              <w:rPr>
                <w:noProof w:val="0"/>
                <w:webHidden/>
              </w:rPr>
              <w:fldChar w:fldCharType="separate"/>
            </w:r>
            <w:r w:rsidR="009801AF" w:rsidRPr="00DF0680">
              <w:rPr>
                <w:noProof w:val="0"/>
                <w:webHidden/>
              </w:rPr>
              <w:t>170</w:t>
            </w:r>
            <w:r w:rsidRPr="00DF0680">
              <w:rPr>
                <w:noProof w:val="0"/>
                <w:webHidden/>
              </w:rPr>
              <w:fldChar w:fldCharType="end"/>
            </w:r>
          </w:hyperlink>
        </w:p>
        <w:p w:rsidR="00FE3028" w:rsidRPr="00DF0680" w:rsidRDefault="00F20EC0" w:rsidP="00FE3028">
          <w:r w:rsidRPr="00DF0680">
            <w:fldChar w:fldCharType="end"/>
          </w:r>
        </w:p>
      </w:sdtContent>
    </w:sdt>
    <w:p w:rsidR="0010615E" w:rsidRPr="00DF0680" w:rsidRDefault="0010615E">
      <w:pPr>
        <w:spacing w:line="276" w:lineRule="auto"/>
        <w:jc w:val="left"/>
      </w:pPr>
      <w:r w:rsidRPr="00DF0680">
        <w:br w:type="page"/>
      </w:r>
    </w:p>
    <w:p w:rsidR="00FE3028" w:rsidRPr="00DF0680" w:rsidRDefault="00FE3028" w:rsidP="00FE3028">
      <w:pPr>
        <w:pStyle w:val="TableofFigures"/>
        <w:tabs>
          <w:tab w:val="right" w:leader="dot" w:pos="8494"/>
        </w:tabs>
        <w:rPr>
          <w:b/>
          <w:sz w:val="28"/>
          <w:u w:val="single"/>
        </w:rPr>
      </w:pPr>
      <w:r w:rsidRPr="00DF0680">
        <w:rPr>
          <w:b/>
          <w:sz w:val="28"/>
          <w:u w:val="single"/>
        </w:rPr>
        <w:lastRenderedPageBreak/>
        <w:t>List of Figures</w:t>
      </w:r>
    </w:p>
    <w:p w:rsidR="00FE3028" w:rsidRPr="00DF0680" w:rsidRDefault="00F20EC0" w:rsidP="00FE3028">
      <w:pPr>
        <w:pStyle w:val="TableofFigures"/>
        <w:tabs>
          <w:tab w:val="right" w:leader="dot" w:pos="8494"/>
        </w:tabs>
        <w:rPr>
          <w:rFonts w:asciiTheme="minorHAnsi" w:eastAsiaTheme="minorEastAsia" w:hAnsiTheme="minorHAnsi"/>
          <w:sz w:val="22"/>
        </w:rPr>
      </w:pPr>
      <w:r w:rsidRPr="00DF0680">
        <w:fldChar w:fldCharType="begin"/>
      </w:r>
      <w:r w:rsidR="00FE3028" w:rsidRPr="00DF0680">
        <w:instrText xml:space="preserve"> TOC \h \z \c "Figure" </w:instrText>
      </w:r>
      <w:r w:rsidRPr="00DF0680">
        <w:fldChar w:fldCharType="separate"/>
      </w:r>
      <w:hyperlink w:anchor="_Toc410223109" w:history="1">
        <w:r w:rsidR="00FE3028" w:rsidRPr="00DF0680">
          <w:rPr>
            <w:rStyle w:val="Hyperlink"/>
          </w:rPr>
          <w:t xml:space="preserve">Figure 5.1 – </w:t>
        </w:r>
        <w:r w:rsidR="00FE3028" w:rsidRPr="00DF0680">
          <w:rPr>
            <w:rStyle w:val="Hyperlink"/>
            <w:bCs/>
          </w:rPr>
          <w:t>Sensitivity of NHU and EJ cells to replication stress.</w:t>
        </w:r>
        <w:r w:rsidR="00FE3028" w:rsidRPr="00DF0680">
          <w:rPr>
            <w:webHidden/>
          </w:rPr>
          <w:tab/>
        </w:r>
        <w:r w:rsidRPr="00DF0680">
          <w:rPr>
            <w:webHidden/>
          </w:rPr>
          <w:fldChar w:fldCharType="begin"/>
        </w:r>
        <w:r w:rsidR="00FE3028" w:rsidRPr="00DF0680">
          <w:rPr>
            <w:webHidden/>
          </w:rPr>
          <w:instrText xml:space="preserve"> PAGEREF _Toc410223109 \h </w:instrText>
        </w:r>
        <w:r w:rsidRPr="00DF0680">
          <w:rPr>
            <w:webHidden/>
          </w:rPr>
        </w:r>
        <w:r w:rsidRPr="00DF0680">
          <w:rPr>
            <w:webHidden/>
          </w:rPr>
          <w:fldChar w:fldCharType="separate"/>
        </w:r>
        <w:r w:rsidR="009801AF" w:rsidRPr="00DF0680">
          <w:rPr>
            <w:webHidden/>
          </w:rPr>
          <w:t>153</w:t>
        </w:r>
        <w:r w:rsidRPr="00DF0680">
          <w:rPr>
            <w:webHidden/>
          </w:rPr>
          <w:fldChar w:fldCharType="end"/>
        </w:r>
      </w:hyperlink>
    </w:p>
    <w:p w:rsidR="00FE3028" w:rsidRPr="00DF0680" w:rsidRDefault="00F20EC0" w:rsidP="00FE3028">
      <w:pPr>
        <w:pStyle w:val="TableofFigures"/>
        <w:tabs>
          <w:tab w:val="right" w:leader="dot" w:pos="8494"/>
        </w:tabs>
        <w:rPr>
          <w:rFonts w:asciiTheme="minorHAnsi" w:eastAsiaTheme="minorEastAsia" w:hAnsiTheme="minorHAnsi"/>
          <w:sz w:val="22"/>
        </w:rPr>
      </w:pPr>
      <w:hyperlink w:anchor="_Toc410223110" w:history="1">
        <w:r w:rsidR="00FE3028" w:rsidRPr="00DF0680">
          <w:rPr>
            <w:rStyle w:val="Hyperlink"/>
          </w:rPr>
          <w:t>Figure 5.2 – Sensitivity of EJ cells, depleted of RECQL5, to replication stress.</w:t>
        </w:r>
        <w:r w:rsidR="00FE3028" w:rsidRPr="00DF0680">
          <w:rPr>
            <w:webHidden/>
          </w:rPr>
          <w:tab/>
        </w:r>
        <w:r w:rsidRPr="00DF0680">
          <w:rPr>
            <w:webHidden/>
          </w:rPr>
          <w:fldChar w:fldCharType="begin"/>
        </w:r>
        <w:r w:rsidR="00FE3028" w:rsidRPr="00DF0680">
          <w:rPr>
            <w:webHidden/>
          </w:rPr>
          <w:instrText xml:space="preserve"> PAGEREF _Toc410223110 \h </w:instrText>
        </w:r>
        <w:r w:rsidRPr="00DF0680">
          <w:rPr>
            <w:webHidden/>
          </w:rPr>
        </w:r>
        <w:r w:rsidRPr="00DF0680">
          <w:rPr>
            <w:webHidden/>
          </w:rPr>
          <w:fldChar w:fldCharType="separate"/>
        </w:r>
        <w:r w:rsidR="009801AF" w:rsidRPr="00DF0680">
          <w:rPr>
            <w:webHidden/>
          </w:rPr>
          <w:t>155</w:t>
        </w:r>
        <w:r w:rsidRPr="00DF0680">
          <w:rPr>
            <w:webHidden/>
          </w:rPr>
          <w:fldChar w:fldCharType="end"/>
        </w:r>
      </w:hyperlink>
    </w:p>
    <w:p w:rsidR="00FE3028" w:rsidRPr="00DF0680" w:rsidRDefault="00F20EC0" w:rsidP="00FE3028">
      <w:pPr>
        <w:pStyle w:val="TableofFigures"/>
        <w:tabs>
          <w:tab w:val="right" w:leader="dot" w:pos="8494"/>
        </w:tabs>
        <w:rPr>
          <w:rFonts w:asciiTheme="minorHAnsi" w:eastAsiaTheme="minorEastAsia" w:hAnsiTheme="minorHAnsi"/>
          <w:sz w:val="22"/>
        </w:rPr>
      </w:pPr>
      <w:hyperlink w:anchor="_Toc410223111" w:history="1">
        <w:r w:rsidR="00FE3028" w:rsidRPr="00DF0680">
          <w:rPr>
            <w:rStyle w:val="Hyperlink"/>
          </w:rPr>
          <w:t>Figure 5.3 – Sensitivity of MRC5 cells, depleted of RECQL5, to replication stress.</w:t>
        </w:r>
        <w:r w:rsidR="00FE3028" w:rsidRPr="00DF0680">
          <w:rPr>
            <w:webHidden/>
          </w:rPr>
          <w:tab/>
        </w:r>
        <w:r w:rsidRPr="00DF0680">
          <w:rPr>
            <w:webHidden/>
          </w:rPr>
          <w:fldChar w:fldCharType="begin"/>
        </w:r>
        <w:r w:rsidR="00FE3028" w:rsidRPr="00DF0680">
          <w:rPr>
            <w:webHidden/>
          </w:rPr>
          <w:instrText xml:space="preserve"> PAGEREF _Toc410223111 \h </w:instrText>
        </w:r>
        <w:r w:rsidRPr="00DF0680">
          <w:rPr>
            <w:webHidden/>
          </w:rPr>
        </w:r>
        <w:r w:rsidRPr="00DF0680">
          <w:rPr>
            <w:webHidden/>
          </w:rPr>
          <w:fldChar w:fldCharType="separate"/>
        </w:r>
        <w:r w:rsidR="009801AF" w:rsidRPr="00DF0680">
          <w:rPr>
            <w:webHidden/>
          </w:rPr>
          <w:t>156</w:t>
        </w:r>
        <w:r w:rsidRPr="00DF0680">
          <w:rPr>
            <w:webHidden/>
          </w:rPr>
          <w:fldChar w:fldCharType="end"/>
        </w:r>
      </w:hyperlink>
    </w:p>
    <w:p w:rsidR="00FE3028" w:rsidRPr="00DF0680" w:rsidRDefault="00F20EC0" w:rsidP="00FE3028">
      <w:pPr>
        <w:pStyle w:val="TableofFigures"/>
        <w:tabs>
          <w:tab w:val="right" w:leader="dot" w:pos="8494"/>
        </w:tabs>
        <w:rPr>
          <w:rFonts w:asciiTheme="minorHAnsi" w:eastAsiaTheme="minorEastAsia" w:hAnsiTheme="minorHAnsi"/>
          <w:sz w:val="22"/>
        </w:rPr>
      </w:pPr>
      <w:hyperlink w:anchor="_Toc410223112" w:history="1">
        <w:r w:rsidR="00FE3028" w:rsidRPr="00DF0680">
          <w:rPr>
            <w:rStyle w:val="Hyperlink"/>
          </w:rPr>
          <w:t>Figure 5.4 – Depleting RECQL5 protein levels in EJ and MRC5 cells using the individual siRNAs that make up the SMARTpool.</w:t>
        </w:r>
        <w:r w:rsidR="00FE3028" w:rsidRPr="00DF0680">
          <w:rPr>
            <w:webHidden/>
          </w:rPr>
          <w:tab/>
        </w:r>
        <w:r w:rsidRPr="00DF0680">
          <w:rPr>
            <w:webHidden/>
          </w:rPr>
          <w:fldChar w:fldCharType="begin"/>
        </w:r>
        <w:r w:rsidR="00FE3028" w:rsidRPr="00DF0680">
          <w:rPr>
            <w:webHidden/>
          </w:rPr>
          <w:instrText xml:space="preserve"> PAGEREF _Toc410223112 \h </w:instrText>
        </w:r>
        <w:r w:rsidRPr="00DF0680">
          <w:rPr>
            <w:webHidden/>
          </w:rPr>
        </w:r>
        <w:r w:rsidRPr="00DF0680">
          <w:rPr>
            <w:webHidden/>
          </w:rPr>
          <w:fldChar w:fldCharType="separate"/>
        </w:r>
        <w:r w:rsidR="009801AF" w:rsidRPr="00DF0680">
          <w:rPr>
            <w:webHidden/>
          </w:rPr>
          <w:t>158</w:t>
        </w:r>
        <w:r w:rsidRPr="00DF0680">
          <w:rPr>
            <w:webHidden/>
          </w:rPr>
          <w:fldChar w:fldCharType="end"/>
        </w:r>
      </w:hyperlink>
    </w:p>
    <w:p w:rsidR="00FE3028" w:rsidRPr="00DF0680" w:rsidRDefault="00F20EC0" w:rsidP="00FE3028">
      <w:pPr>
        <w:pStyle w:val="TableofFigures"/>
        <w:tabs>
          <w:tab w:val="right" w:leader="dot" w:pos="8494"/>
        </w:tabs>
        <w:rPr>
          <w:rFonts w:asciiTheme="minorHAnsi" w:eastAsiaTheme="minorEastAsia" w:hAnsiTheme="minorHAnsi"/>
          <w:sz w:val="22"/>
        </w:rPr>
      </w:pPr>
      <w:hyperlink w:anchor="_Toc410223113" w:history="1">
        <w:r w:rsidR="00FE3028" w:rsidRPr="00DF0680">
          <w:rPr>
            <w:rStyle w:val="Hyperlink"/>
          </w:rPr>
          <w:t>Figure 5.5 – Relative sensitivity of cells transfected with each of the siRNAs from the SMARTpool to replication stresses.</w:t>
        </w:r>
        <w:r w:rsidR="00FE3028" w:rsidRPr="00DF0680">
          <w:rPr>
            <w:webHidden/>
          </w:rPr>
          <w:tab/>
        </w:r>
        <w:r w:rsidRPr="00DF0680">
          <w:rPr>
            <w:webHidden/>
          </w:rPr>
          <w:fldChar w:fldCharType="begin"/>
        </w:r>
        <w:r w:rsidR="00FE3028" w:rsidRPr="00DF0680">
          <w:rPr>
            <w:webHidden/>
          </w:rPr>
          <w:instrText xml:space="preserve"> PAGEREF _Toc410223113 \h </w:instrText>
        </w:r>
        <w:r w:rsidRPr="00DF0680">
          <w:rPr>
            <w:webHidden/>
          </w:rPr>
        </w:r>
        <w:r w:rsidRPr="00DF0680">
          <w:rPr>
            <w:webHidden/>
          </w:rPr>
          <w:fldChar w:fldCharType="separate"/>
        </w:r>
        <w:r w:rsidR="009801AF" w:rsidRPr="00DF0680">
          <w:rPr>
            <w:webHidden/>
          </w:rPr>
          <w:t>159</w:t>
        </w:r>
        <w:r w:rsidRPr="00DF0680">
          <w:rPr>
            <w:webHidden/>
          </w:rPr>
          <w:fldChar w:fldCharType="end"/>
        </w:r>
      </w:hyperlink>
    </w:p>
    <w:p w:rsidR="00FE3028" w:rsidRPr="00DF0680" w:rsidRDefault="00F20EC0" w:rsidP="00FE3028">
      <w:pPr>
        <w:pStyle w:val="TableofFigures"/>
        <w:tabs>
          <w:tab w:val="right" w:leader="dot" w:pos="8494"/>
        </w:tabs>
        <w:rPr>
          <w:rFonts w:asciiTheme="minorHAnsi" w:eastAsiaTheme="minorEastAsia" w:hAnsiTheme="minorHAnsi"/>
          <w:sz w:val="22"/>
        </w:rPr>
      </w:pPr>
      <w:hyperlink w:anchor="_Toc410223114" w:history="1">
        <w:r w:rsidR="00FE3028" w:rsidRPr="00DF0680">
          <w:rPr>
            <w:rStyle w:val="Hyperlink"/>
          </w:rPr>
          <w:t>Figure 5.6 – Depleting RECQL5β using a siRNA pool and testing sensitivity to replication stress in EJ cells.</w:t>
        </w:r>
        <w:r w:rsidR="00FE3028" w:rsidRPr="00DF0680">
          <w:rPr>
            <w:webHidden/>
          </w:rPr>
          <w:tab/>
        </w:r>
        <w:r w:rsidRPr="00DF0680">
          <w:rPr>
            <w:webHidden/>
          </w:rPr>
          <w:fldChar w:fldCharType="begin"/>
        </w:r>
        <w:r w:rsidR="00FE3028" w:rsidRPr="00DF0680">
          <w:rPr>
            <w:webHidden/>
          </w:rPr>
          <w:instrText xml:space="preserve"> PAGEREF _Toc410223114 \h </w:instrText>
        </w:r>
        <w:r w:rsidRPr="00DF0680">
          <w:rPr>
            <w:webHidden/>
          </w:rPr>
        </w:r>
        <w:r w:rsidRPr="00DF0680">
          <w:rPr>
            <w:webHidden/>
          </w:rPr>
          <w:fldChar w:fldCharType="separate"/>
        </w:r>
        <w:r w:rsidR="009801AF" w:rsidRPr="00DF0680">
          <w:rPr>
            <w:webHidden/>
          </w:rPr>
          <w:t>160</w:t>
        </w:r>
        <w:r w:rsidRPr="00DF0680">
          <w:rPr>
            <w:webHidden/>
          </w:rPr>
          <w:fldChar w:fldCharType="end"/>
        </w:r>
      </w:hyperlink>
    </w:p>
    <w:p w:rsidR="00FE3028" w:rsidRPr="00DF0680" w:rsidRDefault="00F20EC0" w:rsidP="00FE3028">
      <w:pPr>
        <w:pStyle w:val="TableofFigures"/>
        <w:tabs>
          <w:tab w:val="right" w:leader="dot" w:pos="8494"/>
        </w:tabs>
        <w:rPr>
          <w:rFonts w:asciiTheme="minorHAnsi" w:eastAsiaTheme="minorEastAsia" w:hAnsiTheme="minorHAnsi"/>
          <w:sz w:val="22"/>
        </w:rPr>
      </w:pPr>
      <w:hyperlink w:anchor="_Toc410223115" w:history="1">
        <w:r w:rsidR="00FE3028" w:rsidRPr="00DF0680">
          <w:rPr>
            <w:rStyle w:val="Hyperlink"/>
          </w:rPr>
          <w:t>Figure 5.7 – Effect of depleting RECQL5 protein levels on proliferation of normal bladder and bladder cancer cell lines.</w:t>
        </w:r>
        <w:r w:rsidR="00FE3028" w:rsidRPr="00DF0680">
          <w:rPr>
            <w:webHidden/>
          </w:rPr>
          <w:tab/>
        </w:r>
        <w:r w:rsidRPr="00DF0680">
          <w:rPr>
            <w:webHidden/>
          </w:rPr>
          <w:fldChar w:fldCharType="begin"/>
        </w:r>
        <w:r w:rsidR="00FE3028" w:rsidRPr="00DF0680">
          <w:rPr>
            <w:webHidden/>
          </w:rPr>
          <w:instrText xml:space="preserve"> PAGEREF _Toc410223115 \h </w:instrText>
        </w:r>
        <w:r w:rsidRPr="00DF0680">
          <w:rPr>
            <w:webHidden/>
          </w:rPr>
        </w:r>
        <w:r w:rsidRPr="00DF0680">
          <w:rPr>
            <w:webHidden/>
          </w:rPr>
          <w:fldChar w:fldCharType="separate"/>
        </w:r>
        <w:r w:rsidR="009801AF" w:rsidRPr="00DF0680">
          <w:rPr>
            <w:webHidden/>
          </w:rPr>
          <w:t>163</w:t>
        </w:r>
        <w:r w:rsidRPr="00DF0680">
          <w:rPr>
            <w:webHidden/>
          </w:rPr>
          <w:fldChar w:fldCharType="end"/>
        </w:r>
      </w:hyperlink>
    </w:p>
    <w:p w:rsidR="00FE3028" w:rsidRPr="00DF0680" w:rsidRDefault="00F20EC0" w:rsidP="00FE3028">
      <w:pPr>
        <w:pStyle w:val="TableofFigures"/>
        <w:tabs>
          <w:tab w:val="right" w:leader="dot" w:pos="8494"/>
        </w:tabs>
        <w:rPr>
          <w:rFonts w:asciiTheme="minorHAnsi" w:eastAsiaTheme="minorEastAsia" w:hAnsiTheme="minorHAnsi"/>
          <w:sz w:val="22"/>
        </w:rPr>
      </w:pPr>
      <w:hyperlink w:anchor="_Toc410223116" w:history="1">
        <w:r w:rsidR="00FE3028" w:rsidRPr="00DF0680">
          <w:rPr>
            <w:rStyle w:val="Hyperlink"/>
          </w:rPr>
          <w:t>Figure 5.8 – Over-expressing RECQL5β in EJ cells and testing the sensitivity to thymidine induced replication stress.</w:t>
        </w:r>
        <w:r w:rsidR="00FE3028" w:rsidRPr="00DF0680">
          <w:rPr>
            <w:webHidden/>
          </w:rPr>
          <w:tab/>
        </w:r>
        <w:r w:rsidRPr="00DF0680">
          <w:rPr>
            <w:webHidden/>
          </w:rPr>
          <w:fldChar w:fldCharType="begin"/>
        </w:r>
        <w:r w:rsidR="00FE3028" w:rsidRPr="00DF0680">
          <w:rPr>
            <w:webHidden/>
          </w:rPr>
          <w:instrText xml:space="preserve"> PAGEREF _Toc410223116 \h </w:instrText>
        </w:r>
        <w:r w:rsidRPr="00DF0680">
          <w:rPr>
            <w:webHidden/>
          </w:rPr>
        </w:r>
        <w:r w:rsidRPr="00DF0680">
          <w:rPr>
            <w:webHidden/>
          </w:rPr>
          <w:fldChar w:fldCharType="separate"/>
        </w:r>
        <w:r w:rsidR="009801AF" w:rsidRPr="00DF0680">
          <w:rPr>
            <w:webHidden/>
          </w:rPr>
          <w:t>164</w:t>
        </w:r>
        <w:r w:rsidRPr="00DF0680">
          <w:rPr>
            <w:webHidden/>
          </w:rPr>
          <w:fldChar w:fldCharType="end"/>
        </w:r>
      </w:hyperlink>
    </w:p>
    <w:p w:rsidR="00FE3028" w:rsidRPr="00DF0680" w:rsidRDefault="00F20EC0" w:rsidP="00FE3028">
      <w:pPr>
        <w:pStyle w:val="TableofFigures"/>
        <w:tabs>
          <w:tab w:val="right" w:leader="dot" w:pos="8494"/>
        </w:tabs>
        <w:rPr>
          <w:rFonts w:asciiTheme="minorHAnsi" w:eastAsiaTheme="minorEastAsia" w:hAnsiTheme="minorHAnsi"/>
          <w:sz w:val="22"/>
        </w:rPr>
      </w:pPr>
      <w:hyperlink w:anchor="_Toc410223117" w:history="1">
        <w:r w:rsidR="00FE3028" w:rsidRPr="00DF0680">
          <w:rPr>
            <w:rStyle w:val="Hyperlink"/>
          </w:rPr>
          <w:t>Figure 5.9 – DNA damage signalling in replication stress in cells depleted of RECQL5.</w:t>
        </w:r>
        <w:r w:rsidR="00FE3028" w:rsidRPr="00DF0680">
          <w:rPr>
            <w:webHidden/>
          </w:rPr>
          <w:tab/>
        </w:r>
        <w:r w:rsidRPr="00DF0680">
          <w:rPr>
            <w:webHidden/>
          </w:rPr>
          <w:fldChar w:fldCharType="begin"/>
        </w:r>
        <w:r w:rsidR="00FE3028" w:rsidRPr="00DF0680">
          <w:rPr>
            <w:webHidden/>
          </w:rPr>
          <w:instrText xml:space="preserve"> PAGEREF _Toc410223117 \h </w:instrText>
        </w:r>
        <w:r w:rsidRPr="00DF0680">
          <w:rPr>
            <w:webHidden/>
          </w:rPr>
        </w:r>
        <w:r w:rsidRPr="00DF0680">
          <w:rPr>
            <w:webHidden/>
          </w:rPr>
          <w:fldChar w:fldCharType="separate"/>
        </w:r>
        <w:r w:rsidR="009801AF" w:rsidRPr="00DF0680">
          <w:rPr>
            <w:webHidden/>
          </w:rPr>
          <w:t>166</w:t>
        </w:r>
        <w:r w:rsidRPr="00DF0680">
          <w:rPr>
            <w:webHidden/>
          </w:rPr>
          <w:fldChar w:fldCharType="end"/>
        </w:r>
      </w:hyperlink>
    </w:p>
    <w:p w:rsidR="00FE3028" w:rsidRPr="00DF0680" w:rsidRDefault="00F20EC0" w:rsidP="00FE3028">
      <w:pPr>
        <w:pStyle w:val="TableofFigures"/>
        <w:tabs>
          <w:tab w:val="right" w:leader="dot" w:pos="8494"/>
        </w:tabs>
        <w:rPr>
          <w:rFonts w:asciiTheme="minorHAnsi" w:eastAsiaTheme="minorEastAsia" w:hAnsiTheme="minorHAnsi"/>
          <w:sz w:val="22"/>
        </w:rPr>
      </w:pPr>
      <w:hyperlink w:anchor="_Toc410223118" w:history="1">
        <w:r w:rsidR="00FE3028" w:rsidRPr="00DF0680">
          <w:rPr>
            <w:rStyle w:val="Hyperlink"/>
          </w:rPr>
          <w:t>Figure 5.10 – γH2AX foci in replication stress in cells depleted of RECQL5.</w:t>
        </w:r>
        <w:r w:rsidR="00FE3028" w:rsidRPr="00DF0680">
          <w:rPr>
            <w:webHidden/>
          </w:rPr>
          <w:tab/>
        </w:r>
        <w:r w:rsidRPr="00DF0680">
          <w:rPr>
            <w:webHidden/>
          </w:rPr>
          <w:fldChar w:fldCharType="begin"/>
        </w:r>
        <w:r w:rsidR="00FE3028" w:rsidRPr="00DF0680">
          <w:rPr>
            <w:webHidden/>
          </w:rPr>
          <w:instrText xml:space="preserve"> PAGEREF _Toc410223118 \h </w:instrText>
        </w:r>
        <w:r w:rsidRPr="00DF0680">
          <w:rPr>
            <w:webHidden/>
          </w:rPr>
        </w:r>
        <w:r w:rsidRPr="00DF0680">
          <w:rPr>
            <w:webHidden/>
          </w:rPr>
          <w:fldChar w:fldCharType="separate"/>
        </w:r>
        <w:r w:rsidR="009801AF" w:rsidRPr="00DF0680">
          <w:rPr>
            <w:webHidden/>
          </w:rPr>
          <w:t>167</w:t>
        </w:r>
        <w:r w:rsidRPr="00DF0680">
          <w:rPr>
            <w:webHidden/>
          </w:rPr>
          <w:fldChar w:fldCharType="end"/>
        </w:r>
      </w:hyperlink>
    </w:p>
    <w:p w:rsidR="00FE3028" w:rsidRPr="00DF0680" w:rsidRDefault="00F20EC0" w:rsidP="00FE3028">
      <w:pPr>
        <w:pStyle w:val="TableofFigures"/>
        <w:tabs>
          <w:tab w:val="right" w:leader="dot" w:pos="8494"/>
        </w:tabs>
        <w:rPr>
          <w:rFonts w:asciiTheme="minorHAnsi" w:eastAsiaTheme="minorEastAsia" w:hAnsiTheme="minorHAnsi"/>
          <w:sz w:val="22"/>
        </w:rPr>
      </w:pPr>
      <w:hyperlink w:anchor="_Toc410223119" w:history="1">
        <w:r w:rsidR="00FE3028" w:rsidRPr="00DF0680">
          <w:rPr>
            <w:rStyle w:val="Hyperlink"/>
          </w:rPr>
          <w:t>Figure 5.11 – The effect of RECQL5 depletion on thymidine-induced S-phase arrest.</w:t>
        </w:r>
        <w:r w:rsidR="00FE3028" w:rsidRPr="00DF0680">
          <w:rPr>
            <w:webHidden/>
          </w:rPr>
          <w:tab/>
        </w:r>
        <w:r w:rsidRPr="00DF0680">
          <w:rPr>
            <w:webHidden/>
          </w:rPr>
          <w:fldChar w:fldCharType="begin"/>
        </w:r>
        <w:r w:rsidR="00FE3028" w:rsidRPr="00DF0680">
          <w:rPr>
            <w:webHidden/>
          </w:rPr>
          <w:instrText xml:space="preserve"> PAGEREF _Toc410223119 \h </w:instrText>
        </w:r>
        <w:r w:rsidRPr="00DF0680">
          <w:rPr>
            <w:webHidden/>
          </w:rPr>
        </w:r>
        <w:r w:rsidRPr="00DF0680">
          <w:rPr>
            <w:webHidden/>
          </w:rPr>
          <w:fldChar w:fldCharType="separate"/>
        </w:r>
        <w:r w:rsidR="009801AF" w:rsidRPr="00DF0680">
          <w:rPr>
            <w:webHidden/>
          </w:rPr>
          <w:t>169</w:t>
        </w:r>
        <w:r w:rsidRPr="00DF0680">
          <w:rPr>
            <w:webHidden/>
          </w:rPr>
          <w:fldChar w:fldCharType="end"/>
        </w:r>
      </w:hyperlink>
    </w:p>
    <w:p w:rsidR="0010615E" w:rsidRPr="00DF0680" w:rsidRDefault="00F20EC0">
      <w:pPr>
        <w:spacing w:line="276" w:lineRule="auto"/>
        <w:jc w:val="left"/>
      </w:pPr>
      <w:r w:rsidRPr="00DF0680">
        <w:fldChar w:fldCharType="end"/>
      </w:r>
      <w:r w:rsidR="0010615E" w:rsidRPr="00DF0680">
        <w:br w:type="page"/>
      </w:r>
    </w:p>
    <w:p w:rsidR="00FE3028" w:rsidRPr="00DF0680" w:rsidRDefault="00FE3028" w:rsidP="00E664FC">
      <w:pPr>
        <w:pStyle w:val="Heading2"/>
      </w:pPr>
      <w:bookmarkStart w:id="697" w:name="_Toc410223035"/>
      <w:bookmarkStart w:id="698" w:name="_Toc417204206"/>
      <w:bookmarkStart w:id="699" w:name="_Toc417204739"/>
      <w:bookmarkStart w:id="700" w:name="_Toc417204799"/>
      <w:r w:rsidRPr="00DF0680">
        <w:lastRenderedPageBreak/>
        <w:t>Introduction</w:t>
      </w:r>
      <w:bookmarkEnd w:id="697"/>
      <w:bookmarkEnd w:id="698"/>
      <w:bookmarkEnd w:id="699"/>
      <w:bookmarkEnd w:id="700"/>
    </w:p>
    <w:p w:rsidR="00FE3028" w:rsidRPr="00DF0680" w:rsidRDefault="00FE3028" w:rsidP="00FE3028">
      <w:r w:rsidRPr="00DF0680">
        <w:t xml:space="preserve">Cells depleted of WRN, BLM, RECQL1 or RECQL4 are more sensitive to the topoisomerase 1 inhibitor and replication stressor camptothecin </w:t>
      </w:r>
      <w:r w:rsidR="00F20EC0" w:rsidRPr="00DF0680">
        <w:fldChar w:fldCharType="begin" w:fldLock="1"/>
      </w:r>
      <w:r w:rsidR="00332613" w:rsidRPr="00DF0680">
        <w:instrText>ADDIN CSL_CITATION { "citationItems" : [ { "id" : "ITEM-1", "itemData" : { "DOI" : "10.1128/MCB.25.20.8925", "author" : [ { "dropping-particle" : "", "family" : "Rao", "given" : "VA", "non-dropping-particle" : "", "parse-names" : false, "suffix" : "" }, { "dropping-particle" : "", "family" : "Fan", "given" : "AM", "non-dropping-particle" : "", "parse-names" : false, "suffix" : "" }, { "dropping-particle" : "", "family" : "Meng", "given" : "LH", "non-dropping-particle" : "", "parse-names" : false, "suffix" : "" } ], "container-title" : "Molecular and Cellular Biology", "id" : "ITEM-1", "issue" : "20", "issued" : { "date-parts" : [ [ "2005" ] ] }, "page" : "8925-37", "title" : "Phosphorylation of BLM, dissociation from topoisomerase III\u03b1, and colocalization with \u03b3-H2AX after topoisomerase I-induced replication damage", "type" : "article-journal", "volume" : "25" }, "uris" : [ "http://www.mendeley.com/documents/?uuid=dcbc1a8a-f718-4ad6-b802-39ca7375d5e7" ] }, { "id" : "ITEM-2", "itemData" : { "author" : [ { "dropping-particle" : "", "family" : "Lebel", "given" : "M", "non-dropping-particle" : "", "parse-names" : false, "suffix" : "" }, { "dropping-particle" : "", "family" : "Leder", "given" : "P", "non-dropping-particle" : "", "parse-names" : false, "suffix" : "" } ], "container-title" : "Proceedings of the National Academy of Sciences", "id" : "ITEM-2", "issue" : "22", "issued" : { "date-parts" : [ [ "1998" ] ] }, "page" : "13097-13102", "title" : "A deletion within the murine Werner syndrome helicase induces sensitivity to inhibitors of topoisomerase and loss of cellular proliferative capacity", "type" : "article-journal", "volume" : "95" }, "uris" : [ "http://www.mendeley.com/documents/?uuid=fff00f0f-ee7f-4a45-a0df-1f7f11758575" ] }, { "id" : "ITEM-3", "itemData" : { "DOI" : "10.1371/journal.pone.0001297", "ISSN" : "1932-6203", "PMID" : "18074021", "abstract" : "BACKGROUND: DNA helicases are ubiquitous enzymes that unwind DNA in an ATP-dependent and directionally specific manner. Unwinding of double-stranded DNA is essential for the processes of DNA repair, recombination, transcription, and DNA replication. Five human DNA helicases sharing sequence similarity with the E. coli RecQ helicase have been identified. Three of the human RecQ helicases are implicated in hereditary diseases (Bloom syndrome, Werner syndrome, and Rothmund-Thomson syndrome) which display clinical symptoms of premature aging and cancer. RECQ1 helicase is the most highly expressed of the human RecQ helicases; however, a genetic disease has yet not been linked to mutations in the RECQ1 gene, and the biological functions of human RECQ1 in cellular DNA metabolism are not known.\n\nMETHODOLOGY/PRINCIPAL FINDINGS: In this study, we report that RECQ1 becomes phosphorylated upon DNA damage and forms irradiation-induced nuclear foci that associate with chromatin in human cells. Depletion of RECQ1 renders human cells sensitive to DNA damage induced by ionizing radiation or the topoisomerase inhibitor camptothecin, and results in spontaneous gamma-H2AX foci and elevated sister chromatid exchanges, indicating aberrant repair of DNA breaks. Consistent with a role in homologous recombinational repair, endogenous RECQ1 is associated with the strand exchange protein Rad51 and the two proteins directly interact with high affinity.\n\nCONCLUSION/SIGNIFICANCE: Collectively, these results provide the first evidence for a role of human RECQ1 in the response to DNA damage and chromosomal stability maintenance and point to the vital importance of RECQ1 in genome homeostasis.", "author" : [ { "dropping-particle" : "", "family" : "Sharma", "given" : "Sudha", "non-dropping-particle" : "", "parse-names" : false, "suffix" : "" }, { "dropping-particle" : "", "family" : "Brosh", "given" : "Robert M", "non-dropping-particle" : "", "parse-names" : false, "suffix" : "" } ], "container-title" : "PloS One", "id" : "ITEM-3", "issue" : "12", "issued" : { "date-parts" : [ [ "2007", "1" ] ] }, "page" : "e1297", "title" : "Human RECQ1 is a DNA damage responsive protein required for genotoxic stress resistance and suppression of sister chromatid exchanges.", "type" : "article-journal", "volume" : "2" }, "uris" : [ "http://www.mendeley.com/documents/?uuid=0a239243-dc4e-4265-a42c-4a7c385ac8dd" ] }, { "id" : "ITEM-4", "itemData" : { "DOI" : "10.1007/s00439-008-0518-4.Sensitivity", "ISBN" : "0043900805184", "author" : [ { "dropping-particle" : "", "family" : "Jin", "given" : "W", "non-dropping-particle" : "", "parse-names" : false, "suffix" : "" }, { "dropping-particle" : "", "family" : "Liu", "given" : "H", "non-dropping-particle" : "", "parse-names" : false, "suffix" : "" }, { "dropping-particle" : "", "family" : "Zhang", "given" : "Y", "non-dropping-particle" : "", "parse-names" : false, "suffix" : "" }, { "dropping-particle" : "", "family" : "Otta", "given" : "SK", "non-dropping-particle" : "", "parse-names" : false, "suffix" : "" }, { "dropping-particle" : "", "family" : "Plon", "given" : "SE", "non-dropping-particle" : "", "parse-names" : false, "suffix" : "" }, { "dropping-particle" : "", "family" : "Wang", "given" : "LL", "non-dropping-particle" : "", "parse-names" : false, "suffix" : "" } ], "container-title" : "Human Genetics", "id" : "ITEM-4", "issue" : "6", "issued" : { "date-parts" : [ [ "2008" ] ] }, "page" : "643-653", "title" : "Sensitivity of RECQL4-deficient fibroblasts from Rothmund\u2013Thomson syndrome patients to genotoxic agents", "type" : "article-journal", "volume" : "123" }, "uris" : [ "http://www.mendeley.com/documents/?uuid=d7630acb-c2a7-4443-afd8-697fda9c58f3" ] } ], "mendeley" : { "formattedCitation" : "(Rao et al. 2005; Lebel &amp; Leder 1998; Sharma &amp; Brosh 2007; Jin et al. 2008)", "plainTextFormattedCitation" : "(Rao et al. 2005; Lebel &amp; Leder 1998; Sharma &amp; Brosh 2007; Jin et al. 2008)", "previouslyFormattedCitation" : "(Rao et al. 2005; Lebel &amp; Leder 1998; Sharma &amp; Brosh 2007; Jin et al. 2008)" }, "properties" : { "noteIndex" : 0 }, "schema" : "https://github.com/citation-style-language/schema/raw/master/csl-citation.json" }</w:instrText>
      </w:r>
      <w:r w:rsidR="00F20EC0" w:rsidRPr="00DF0680">
        <w:fldChar w:fldCharType="separate"/>
      </w:r>
      <w:r w:rsidRPr="00DF0680">
        <w:t>(Rao et al. 2005; Lebel &amp; Leder 1998; Sharma &amp; Brosh 2007; Jin et al. 2008)</w:t>
      </w:r>
      <w:r w:rsidR="00F20EC0" w:rsidRPr="00DF0680">
        <w:fldChar w:fldCharType="end"/>
      </w:r>
      <w:r w:rsidRPr="00DF0680">
        <w:t xml:space="preserve">. Using embryonic fibroblasts (MEFs) derived from RECQL5 null mice, RECQL5 was shown to be required for cell survival in camptothecin </w:t>
      </w:r>
      <w:r w:rsidR="00F20EC0" w:rsidRPr="00DF0680">
        <w:fldChar w:fldCharType="begin" w:fldLock="1"/>
      </w:r>
      <w:r w:rsidR="00332613" w:rsidRPr="00DF0680">
        <w:instrText>ADDIN CSL_CITATION { "citationItems" : [ { "id" : "ITEM-1", "itemData" : { "DOI" : "10.1091/mbc.E08-06-0565", "ISSN" : "1939-4586", "PMID" : "18987339", "abstract" : "Disruption of replication can lead to loss of genome integrity and increase of cancer susceptibility in mammals. Thus, a replication impediment constitutes a formidable challenge to these organisms. Recent studies indicate that homologous recombination (HR) plays an important role in suppressing genome instability and promoting cell survival after exposure to various replication inhibitors, including a topoisomerase I inhibitor, camptothecin (CPT). Here, we report that the deletion of RecQ helicase Recql5 in mouse ES cells and embryonic fibroblast (MEF) cells resulted in a significant increase in CPT sensitivity and a profound reduction in DNA replication after the treatment with CPT, but not other DNA-damaging agents. This CPT-induced cell death is replication dependent and occurs primarily after the cells had exited the first cell cycle after CPT treatment. Furthermore, we show that Recql5 functions nonredundantly with Rad51, a key factor for HR to protect mouse ES cells from CPT-induced cytotoxicity. These new findings strongly suggest that Recql5 plays an important role in maintaining active DNA replication to prevent the collapse of replication forks and the accumulation of DSBs in order to preserve genome integrity and to prevent cell death after replication stress as a result of topoisomerase I poisoning.", "author" : [ { "dropping-particle" : "", "family" : "Hu", "given" : "Yiduo", "non-dropping-particle" : "", "parse-names" : false, "suffix" : "" }, { "dropping-particle" : "", "family" : "Lu", "given" : "Xincheng", "non-dropping-particle" : "", "parse-names" : false, "suffix" : "" }, { "dropping-particle" : "", "family" : "Zhou", "given" : "Guangjin", "non-dropping-particle" : "", "parse-names" : false, "suffix" : "" }, { "dropping-particle" : "", "family" : "Barnes", "given" : "Ellen L", "non-dropping-particle" : "", "parse-names" : false, "suffix" : "" }, { "dropping-particle" : "", "family" : "Luo", "given" : "Guangbin", "non-dropping-particle" : "", "parse-names" : false, "suffix" : "" } ], "container-title" : "Molecular Biology of the Cell", "id" : "ITEM-1", "issue" : "1", "issued" : { "date-parts" : [ [ "2009", "1" ] ] }, "page" : "114-23", "title" : "Recql5 plays an important role in DNA replication and cell survival after camptothecin treatment.", "type" : "article-journal", "volume" : "20" }, "uris" : [ "http://www.mendeley.com/documents/?uuid=acf9f23d-1453-499d-9549-0b89779a80a3" ] } ], "mendeley" : { "formattedCitation" : "(Hu et al. 2009)", "plainTextFormattedCitation" : "(Hu et al. 2009)", "previouslyFormattedCitation" : "(Hu et al. 2009)" }, "properties" : { "noteIndex" : 0 }, "schema" : "https://github.com/citation-style-language/schema/raw/master/csl-citation.json" }</w:instrText>
      </w:r>
      <w:r w:rsidR="00F20EC0" w:rsidRPr="00DF0680">
        <w:fldChar w:fldCharType="separate"/>
      </w:r>
      <w:r w:rsidRPr="00DF0680">
        <w:t>(Hu et al. 2009)</w:t>
      </w:r>
      <w:r w:rsidR="00F20EC0" w:rsidRPr="00DF0680">
        <w:fldChar w:fldCharType="end"/>
      </w:r>
      <w:r w:rsidRPr="00DF0680">
        <w:t xml:space="preserve">. Depleted cells showed greater sensitivity to camptothecin, increased replication-dependant apoptosis, an increase in damaged DNA, and an increased sensitivity when RECQL5 was depleted </w:t>
      </w:r>
      <w:r w:rsidR="00105623" w:rsidRPr="00DF0680">
        <w:t xml:space="preserve">together </w:t>
      </w:r>
      <w:r w:rsidRPr="00DF0680">
        <w:t xml:space="preserve">with RAD51. Further, RECQL5 null </w:t>
      </w:r>
      <w:r w:rsidR="00105623" w:rsidRPr="00DF0680">
        <w:t>HCT116-deri</w:t>
      </w:r>
      <w:r w:rsidRPr="00DF0680">
        <w:t xml:space="preserve">ved tumours respond better to camptothecin treatment than the parental lines </w:t>
      </w:r>
      <w:r w:rsidR="00F20EC0" w:rsidRPr="00DF0680">
        <w:fldChar w:fldCharType="begin" w:fldLock="1"/>
      </w:r>
      <w:r w:rsidR="00332613" w:rsidRPr="00DF0680">
        <w:instrText>ADDIN CSL_CITATION { "citationItems" : [ { "id" : "ITEM-1", "itemData" : { "DOI" : "10.1042/BSR20100108", "ISSN" : "1573-4935", "PMID" : "21210765", "abstract" : "Camptothecins (CPTs) are an important class of effective anticancer agents that target type I topoisomerase in humans. Irinotecan and topotecan are currently used to treat various types of cancers and many CPT derivatives are being developed. However, these drugs are only effective in a small percentage of each type of cancers and the molecular underpinning for this individualized response to the drug has remained elusive. Thus, identification of the main determinants for cell survival in response to this unique class of drug should help to improve their clinical applications. In this study, we examined whether RECQL5 constituted an important determinant of CPT resistance in colon cancer cells. Specifically, RECQL5 deficient derivatives of both DDL1 and HCT116 cells, two colorectal cancer cell lines were generated by adenovirus-based somatic gene targeting experiments and the CPT sensitivity between the RECQL5 proficient parental lines and their corresponding RECQL5 deficient derivatives were examined. We found that deletion of RECQL5 from DDL1 and HCT116 both resulted in a significant enhancement in CPT sensitivity under in vitro cultured condition. More importantly, xenograft tumors derived from RECQL5 deficient HCT116 cells but not those from the parental line could be cured by a CPT-based therapy in nude mice. Thus, this study has identified RECQL5 as a major determinant for CPT resistance in colorectal cancer cells and a potential candidate as a biomarker for irinotecan-based treatment for colon cancer.", "author" : [ { "dropping-particle" : "", "family" : "Wang", "given" : "Xiaoqi", "non-dropping-particle" : "", "parse-names" : false, "suffix" : "" }, { "dropping-particle" : "", "family" : "Lu", "given" : "Xincheng", "non-dropping-particle" : "", "parse-names" : false, "suffix" : "" }, { "dropping-particle" : "", "family" : "Zhou", "given" : "Guangjin", "non-dropping-particle" : "", "parse-names" : false, "suffix" : "" }, { "dropping-particle" : "", "family" : "Lou", "given" : "Hua", "non-dropping-particle" : "", "parse-names" : false, "suffix" : "" }, { "dropping-particle" : "", "family" : "Luo", "given" : "Guangbin", "non-dropping-particle" : "", "parse-names" : false, "suffix" : "" } ], "container-title" : "Bioscience Reports", "id" : "ITEM-1", "issue" : "5", "issued" : { "date-parts" : [ [ "2011", "1", "6" ] ] }, "page" : "363-369", "title" : "RECQL5 is an important determinant for camptothecin tolerance in human colorectal cancer cells.", "type" : "article-journal", "volume" : "31" }, "uris" : [ "http://www.mendeley.com/documents/?uuid=d813dd37-89ef-43b6-8abd-e56e7edf5180" ] } ], "mendeley" : { "formattedCitation" : "(Wang et al. 2011)", "plainTextFormattedCitation" : "(Wang et al. 2011)", "previouslyFormattedCitation" : "(Wang et al. 2011)" }, "properties" : { "noteIndex" : 0 }, "schema" : "https://github.com/citation-style-language/schema/raw/master/csl-citation.json" }</w:instrText>
      </w:r>
      <w:r w:rsidR="00F20EC0" w:rsidRPr="00DF0680">
        <w:fldChar w:fldCharType="separate"/>
      </w:r>
      <w:r w:rsidRPr="00DF0680">
        <w:t>(Wang et al. 2011)</w:t>
      </w:r>
      <w:r w:rsidR="00F20EC0" w:rsidRPr="00DF0680">
        <w:fldChar w:fldCharType="end"/>
      </w:r>
      <w:r w:rsidRPr="00DF0680">
        <w:t xml:space="preserve"> which has potential therapeutic implications in colon cancer.</w:t>
      </w:r>
      <w:r w:rsidR="006E2861" w:rsidRPr="00DF0680">
        <w:t xml:space="preserve"> Work here has shown that the over-expression of RECQL5 protects cells from camptothecin-induced replication fork slowing </w:t>
      </w:r>
      <w:r w:rsidR="00341643" w:rsidRPr="00DF0680">
        <w:t xml:space="preserve">(Chapter 4) </w:t>
      </w:r>
      <w:r w:rsidR="006E2861" w:rsidRPr="00DF0680">
        <w:t xml:space="preserve">but </w:t>
      </w:r>
      <w:r w:rsidR="00341643" w:rsidRPr="00DF0680">
        <w:t xml:space="preserve">work done by Blundred et al. showed that </w:t>
      </w:r>
      <w:r w:rsidR="003B29A9" w:rsidRPr="00DF0680">
        <w:t xml:space="preserve">this </w:t>
      </w:r>
      <w:r w:rsidR="00341643" w:rsidRPr="00DF0680">
        <w:t xml:space="preserve">over-expression does not increase resistance to camptothecin </w:t>
      </w:r>
      <w:r w:rsidR="00F20EC0" w:rsidRPr="00DF0680">
        <w:fldChar w:fldCharType="begin" w:fldLock="1"/>
      </w:r>
      <w:r w:rsidR="0034164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 "properties" : { "noteIndex" : 0 }, "schema" : "https://github.com/citation-style-language/schema/raw/master/csl-citation.json" }</w:instrText>
      </w:r>
      <w:r w:rsidR="00F20EC0" w:rsidRPr="00DF0680">
        <w:fldChar w:fldCharType="separate"/>
      </w:r>
      <w:r w:rsidR="00341643" w:rsidRPr="00DF0680">
        <w:t>(Blundred et al. 2010)</w:t>
      </w:r>
      <w:r w:rsidR="00F20EC0" w:rsidRPr="00DF0680">
        <w:fldChar w:fldCharType="end"/>
      </w:r>
      <w:r w:rsidR="00341643" w:rsidRPr="00DF0680">
        <w:t xml:space="preserve">. </w:t>
      </w:r>
    </w:p>
    <w:p w:rsidR="00FE3028" w:rsidRPr="00DF0680" w:rsidRDefault="00FE3028" w:rsidP="00FE3028">
      <w:r w:rsidRPr="00DF0680">
        <w:t>RECQL5 has been shown to have a role in resistance to thymidine-induced replication stress. Over-expressing RECQL5β prov</w:t>
      </w:r>
      <w:r w:rsidR="003B29A9" w:rsidRPr="00DF0680">
        <w:t>ides increased survival, reduced</w:t>
      </w:r>
      <w:r w:rsidRPr="00DF0680">
        <w:t xml:space="preserve"> DNA damage signalling, and can overcome S-phase arrest when treated with thymidine </w:t>
      </w:r>
      <w:r w:rsidR="00F20EC0" w:rsidRPr="00DF0680">
        <w:fldChar w:fldCharType="begin" w:fldLock="1"/>
      </w:r>
      <w:r w:rsidR="0033261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fldChar w:fldCharType="separate"/>
      </w:r>
      <w:r w:rsidRPr="00DF0680">
        <w:t>(Blundred et al. 2010)</w:t>
      </w:r>
      <w:r w:rsidR="00F20EC0" w:rsidRPr="00DF0680">
        <w:fldChar w:fldCharType="end"/>
      </w:r>
      <w:r w:rsidRPr="00DF0680">
        <w:t xml:space="preserve">. </w:t>
      </w:r>
    </w:p>
    <w:p w:rsidR="00FE3028" w:rsidRPr="00DF0680" w:rsidRDefault="00FE3028" w:rsidP="00FE3028">
      <w:r w:rsidRPr="00DF0680">
        <w:t>Many bladder cancers are treated with drugs that induce replic</w:t>
      </w:r>
      <w:r w:rsidR="00EB5E01" w:rsidRPr="00DF0680">
        <w:t>ation stress (e.g. g</w:t>
      </w:r>
      <w:r w:rsidRPr="00DF0680">
        <w:t>emcitabine</w:t>
      </w:r>
      <w:r w:rsidR="00EB5E01" w:rsidRPr="00DF0680">
        <w:t xml:space="preserve"> – </w:t>
      </w:r>
      <w:r w:rsidR="006C0100" w:rsidRPr="00DF0680">
        <w:t xml:space="preserve">blocks replication after incorporation into DNA and inhibits </w:t>
      </w:r>
      <w:r w:rsidR="00EB5E01" w:rsidRPr="00DF0680">
        <w:t>ribonucleotide reductase</w:t>
      </w:r>
      <w:r w:rsidRPr="00DF0680">
        <w:t>). We show RECQL5 is over-expressed in bladder cancer and that in MRC5</w:t>
      </w:r>
      <w:r w:rsidR="00471D18" w:rsidRPr="00DF0680">
        <w:t>V2</w:t>
      </w:r>
      <w:r w:rsidRPr="00DF0680">
        <w:t xml:space="preserve"> cells, over-expression of RECQL5 moderates response to replication stress. Thus, RECQL5 may be a potential target for inhibition to increase efficacy of current bladder cancer treatments. To investigate whether RECQL5 is a viable target for treatment, protein levels were manipulated and response to replication stress assayed.</w:t>
      </w:r>
    </w:p>
    <w:p w:rsidR="00FE3028" w:rsidRPr="00DF0680" w:rsidRDefault="00FE3028" w:rsidP="00FE3028">
      <w:r w:rsidRPr="00DF0680">
        <w:t xml:space="preserve">RNAi was used to deplete immortal normal bladder, bladder cancer, and </w:t>
      </w:r>
      <w:r w:rsidR="00471D18" w:rsidRPr="00DF0680">
        <w:t>MRC5V2</w:t>
      </w:r>
      <w:r w:rsidRPr="00DF0680">
        <w:t xml:space="preserve"> cells of RECQL5 and pjPP136 and pjPP136KR vectors were used to </w:t>
      </w:r>
      <w:r w:rsidR="00105623" w:rsidRPr="00DF0680">
        <w:t xml:space="preserve">transiently </w:t>
      </w:r>
      <w:r w:rsidRPr="00DF0680">
        <w:t xml:space="preserve">over-express full-length and helicase-dead RECQL5 respectively. Clonogenic and MTT toxicity assays were used to test the sensitivity of cells with altered RECQL5 levels to replication stresses and immunofluorescence, fluorescence activated cell sorting, and western blotting were used to investigate RECQL5’s role in DNA damage signalling during replication stress. </w:t>
      </w:r>
    </w:p>
    <w:p w:rsidR="00FE3028" w:rsidRPr="00DF0680" w:rsidRDefault="00FE3028" w:rsidP="00E664FC">
      <w:pPr>
        <w:pStyle w:val="Heading2"/>
      </w:pPr>
      <w:bookmarkStart w:id="701" w:name="_Toc410223036"/>
      <w:bookmarkStart w:id="702" w:name="_Toc417204207"/>
      <w:bookmarkStart w:id="703" w:name="_Toc417204740"/>
      <w:bookmarkStart w:id="704" w:name="_Toc417204800"/>
      <w:r w:rsidRPr="00DF0680">
        <w:lastRenderedPageBreak/>
        <w:t>Bladder cancer cells are more sensitive to replication stress than normal bladder</w:t>
      </w:r>
      <w:bookmarkEnd w:id="701"/>
      <w:bookmarkEnd w:id="702"/>
      <w:bookmarkEnd w:id="703"/>
      <w:bookmarkEnd w:id="704"/>
    </w:p>
    <w:p w:rsidR="00FE3028" w:rsidRPr="00DF0680" w:rsidRDefault="00FE3028" w:rsidP="00FE3028">
      <w:r w:rsidRPr="00DF0680">
        <w:t xml:space="preserve">MTT assays were performed using NHU hTERT and EJ cells to compare the sensitivities to different replication stresses (Figure 5.1). As shown, when compared to the immortalised normal bladder cell line NHU hTERT cells, the bladder cancer cell line EJ was significantly more sensitive to camptothecin (200 nM CPT Student’s t test, p value = </w:t>
      </w:r>
      <w:r w:rsidR="00C942B7" w:rsidRPr="00DF0680">
        <w:t>0.00</w:t>
      </w:r>
      <w:r w:rsidRPr="00DF0680">
        <w:t xml:space="preserve">37), thymidine (7 mM dT Student’s t test, p value = </w:t>
      </w:r>
      <w:r w:rsidR="00C942B7" w:rsidRPr="00DF0680">
        <w:t>0.00</w:t>
      </w:r>
      <w:r w:rsidRPr="00DF0680">
        <w:t xml:space="preserve">34) and hydroxyurea (3 mM HU Student’s t test, p value = </w:t>
      </w:r>
      <w:r w:rsidR="00C942B7" w:rsidRPr="00DF0680">
        <w:t>0.00</w:t>
      </w:r>
      <w:r w:rsidRPr="00DF0680">
        <w:t xml:space="preserve">33). This is the opposite to what is expected from a RECQL5 over-expressing cell line </w:t>
      </w:r>
      <w:r w:rsidR="00F20EC0" w:rsidRPr="00DF0680">
        <w:fldChar w:fldCharType="begin" w:fldLock="1"/>
      </w:r>
      <w:r w:rsidR="0033261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fldChar w:fldCharType="separate"/>
      </w:r>
      <w:r w:rsidRPr="00DF0680">
        <w:t>(Blundred et al. 2010)</w:t>
      </w:r>
      <w:r w:rsidR="00F20EC0" w:rsidRPr="00DF0680">
        <w:fldChar w:fldCharType="end"/>
      </w:r>
      <w:r w:rsidRPr="00DF0680">
        <w:t>. As there are many genetic differences between cell lines, we continued to investigate and manipulate RECQL5 levels within a single genetic background.</w:t>
      </w:r>
    </w:p>
    <w:p w:rsidR="00FE3028" w:rsidRPr="00DF0680" w:rsidRDefault="00FE3028" w:rsidP="00C942B7">
      <w:pPr>
        <w:keepNext/>
        <w:spacing w:after="120"/>
        <w:rPr>
          <w:b/>
        </w:rPr>
      </w:pPr>
      <w:r w:rsidRPr="00DF0680">
        <w:drawing>
          <wp:inline distT="0" distB="0" distL="0" distR="0">
            <wp:extent cx="5404513" cy="4312693"/>
            <wp:effectExtent l="0" t="0" r="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b="2167"/>
                    <a:stretch>
                      <a:fillRect/>
                    </a:stretch>
                  </pic:blipFill>
                  <pic:spPr bwMode="auto">
                    <a:xfrm>
                      <a:off x="0" y="0"/>
                      <a:ext cx="5404513" cy="4312693"/>
                    </a:xfrm>
                    <a:prstGeom prst="rect">
                      <a:avLst/>
                    </a:prstGeom>
                    <a:noFill/>
                    <a:ln w="9525">
                      <a:noFill/>
                      <a:miter lim="800000"/>
                      <a:headEnd/>
                      <a:tailEnd/>
                    </a:ln>
                  </pic:spPr>
                </pic:pic>
              </a:graphicData>
            </a:graphic>
          </wp:inline>
        </w:drawing>
      </w:r>
      <w:bookmarkStart w:id="705" w:name="_Toc410223109"/>
      <w:bookmarkStart w:id="706" w:name="_Toc417813915"/>
      <w:r w:rsidRPr="00DF0680">
        <w:rPr>
          <w:b/>
        </w:rPr>
        <w:t xml:space="preserve">Figure </w:t>
      </w:r>
      <w:r w:rsidR="006119E3">
        <w:rPr>
          <w:b/>
        </w:rPr>
        <w:fldChar w:fldCharType="begin"/>
      </w:r>
      <w:r w:rsidR="006119E3">
        <w:rPr>
          <w:b/>
        </w:rPr>
        <w:instrText xml:space="preserve"> STYLEREF 1 \s </w:instrText>
      </w:r>
      <w:r w:rsidR="006119E3">
        <w:rPr>
          <w:b/>
        </w:rPr>
        <w:fldChar w:fldCharType="separate"/>
      </w:r>
      <w:r w:rsidR="006119E3">
        <w:rPr>
          <w:b/>
          <w:noProof/>
        </w:rPr>
        <w:t>5</w:t>
      </w:r>
      <w:r w:rsidR="006119E3">
        <w:rPr>
          <w:b/>
        </w:rPr>
        <w:fldChar w:fldCharType="end"/>
      </w:r>
      <w:r w:rsidR="006119E3">
        <w:rPr>
          <w:b/>
        </w:rPr>
        <w:t>.</w:t>
      </w:r>
      <w:r w:rsidR="006119E3">
        <w:rPr>
          <w:b/>
        </w:rPr>
        <w:fldChar w:fldCharType="begin"/>
      </w:r>
      <w:r w:rsidR="006119E3">
        <w:rPr>
          <w:b/>
        </w:rPr>
        <w:instrText xml:space="preserve"> SEQ Figure \* ARABIC \s 1 </w:instrText>
      </w:r>
      <w:r w:rsidR="006119E3">
        <w:rPr>
          <w:b/>
        </w:rPr>
        <w:fldChar w:fldCharType="separate"/>
      </w:r>
      <w:r w:rsidR="006119E3">
        <w:rPr>
          <w:b/>
          <w:noProof/>
        </w:rPr>
        <w:t>1</w:t>
      </w:r>
      <w:r w:rsidR="006119E3">
        <w:rPr>
          <w:b/>
        </w:rPr>
        <w:fldChar w:fldCharType="end"/>
      </w:r>
      <w:r w:rsidRPr="00DF0680">
        <w:rPr>
          <w:b/>
        </w:rPr>
        <w:t xml:space="preserve"> – </w:t>
      </w:r>
      <w:r w:rsidRPr="00DF0680">
        <w:rPr>
          <w:b/>
          <w:bCs/>
          <w:szCs w:val="18"/>
        </w:rPr>
        <w:t>Sensitivity of NHU and EJ cells to replication stress.</w:t>
      </w:r>
      <w:bookmarkEnd w:id="705"/>
      <w:bookmarkEnd w:id="706"/>
      <w:r w:rsidRPr="00DF0680">
        <w:rPr>
          <w:b/>
          <w:bCs/>
          <w:szCs w:val="18"/>
        </w:rPr>
        <w:t xml:space="preserve"> </w:t>
      </w:r>
    </w:p>
    <w:p w:rsidR="00FE3028" w:rsidRPr="00DF0680" w:rsidRDefault="00FE3028" w:rsidP="00923ED8">
      <w:pPr>
        <w:spacing w:line="276" w:lineRule="auto"/>
      </w:pPr>
      <w:r w:rsidRPr="00DF0680">
        <w:t>NHU and EJ cells were tested for relative sensitivity to replication stress using the MTT assay. Drugs tested included (A) camptothecin (CPT)</w:t>
      </w:r>
      <w:r w:rsidR="00C942B7" w:rsidRPr="00DF0680">
        <w:t xml:space="preserve"> (6 hours)</w:t>
      </w:r>
      <w:r w:rsidRPr="00DF0680">
        <w:t xml:space="preserve">, (B) thymidine (dT) </w:t>
      </w:r>
      <w:r w:rsidR="00C942B7" w:rsidRPr="00DF0680">
        <w:t xml:space="preserve">(96 hours) </w:t>
      </w:r>
      <w:r w:rsidRPr="00DF0680">
        <w:t>and (C) hydroxyurea (HU)</w:t>
      </w:r>
      <w:r w:rsidR="00C942B7" w:rsidRPr="00DF0680">
        <w:t xml:space="preserve"> (6 hours)</w:t>
      </w:r>
      <w:r w:rsidRPr="00DF0680">
        <w:t>. Average and standard deviations from three independent repeats are shown. *,</w:t>
      </w:r>
      <w:r w:rsidR="00C942B7" w:rsidRPr="00DF0680">
        <w:t xml:space="preserve"> </w:t>
      </w:r>
      <w:r w:rsidRPr="00DF0680">
        <w:t>** and *** indicates a Student’s t-test p-v</w:t>
      </w:r>
      <w:r w:rsidR="00C942B7" w:rsidRPr="00DF0680">
        <w:t xml:space="preserve">alue of &lt;0.05, 0.01 and 0.005 respectively. </w:t>
      </w:r>
    </w:p>
    <w:p w:rsidR="00FE3028" w:rsidRPr="00DF0680" w:rsidRDefault="00FE3028" w:rsidP="00E664FC">
      <w:pPr>
        <w:pStyle w:val="Heading2"/>
      </w:pPr>
      <w:bookmarkStart w:id="707" w:name="_Toc410223037"/>
      <w:bookmarkStart w:id="708" w:name="_Toc417204208"/>
      <w:bookmarkStart w:id="709" w:name="_Toc417204741"/>
      <w:bookmarkStart w:id="710" w:name="_Toc417204801"/>
      <w:r w:rsidRPr="00DF0680">
        <w:lastRenderedPageBreak/>
        <w:t>Transfecting cells with a pool of RECQL5 siRNA sensitises cells to replication stress</w:t>
      </w:r>
      <w:bookmarkEnd w:id="707"/>
      <w:bookmarkEnd w:id="708"/>
      <w:bookmarkEnd w:id="709"/>
      <w:bookmarkEnd w:id="710"/>
    </w:p>
    <w:p w:rsidR="00FE3028" w:rsidRPr="00DF0680" w:rsidRDefault="00FE3028" w:rsidP="00FE3028">
      <w:r w:rsidRPr="00DF0680">
        <w:t xml:space="preserve">The Dharmacon SMARTpool siRNA for RECQL5 is made of 4 different siRNAs, targeting exons common to all three isoforms of the helicase. Figure 5.2 A and 5.3 A shows that when transfected into EJ and </w:t>
      </w:r>
      <w:r w:rsidR="00471D18" w:rsidRPr="00DF0680">
        <w:t>MRC5V2</w:t>
      </w:r>
      <w:r w:rsidRPr="00DF0680">
        <w:t xml:space="preserve"> cells, it was effective at depleting cells of RECQL5β protein. </w:t>
      </w:r>
    </w:p>
    <w:p w:rsidR="00FE3028" w:rsidRPr="00DF0680" w:rsidRDefault="00041734" w:rsidP="00FE3028">
      <w:r w:rsidRPr="00DF0680">
        <w:t>To determine if depleting cells of RECQL5</w:t>
      </w:r>
      <w:r w:rsidRPr="00DF0680">
        <w:rPr>
          <w:rFonts w:ascii="Calibri" w:hAnsi="Calibri"/>
        </w:rPr>
        <w:t>β</w:t>
      </w:r>
      <w:r w:rsidRPr="00DF0680">
        <w:t xml:space="preserve"> sensitised cells to replication stress, </w:t>
      </w:r>
      <w:r w:rsidR="00FE3028" w:rsidRPr="00DF0680">
        <w:t>EJ cells transfected with a non-targeting control or the SMARTpool siRNA were re-plated into a toxicity assay and treated with increasing concentrations of the replication stressors camptothecin, thymidine and hydroxyurea (Figure 5.2). Cells transfected with the RECQL5 pool were significantly more sensitive to both camptothecin and thymidine. Although the assay was only performed once with hydroxyurea, this showed an increase in sensitivity when cells were depleted of R</w:t>
      </w:r>
      <w:r w:rsidR="00C942B7" w:rsidRPr="00DF0680">
        <w:t xml:space="preserve">ECQL5. </w:t>
      </w:r>
    </w:p>
    <w:p w:rsidR="00FE3028" w:rsidRPr="00DF0680" w:rsidRDefault="00FE3028" w:rsidP="00FE3028">
      <w:r w:rsidRPr="00DF0680">
        <w:t xml:space="preserve">The same assays were performed in </w:t>
      </w:r>
      <w:r w:rsidR="00471D18" w:rsidRPr="00DF0680">
        <w:t>MRC5V2</w:t>
      </w:r>
      <w:r w:rsidRPr="00DF0680">
        <w:t xml:space="preserve"> cells (Figure 5.3). There was no difference in sensitivity to camptothecin between the control and RECQL5 pool siRNA transfected cells, but there was still a small but significant difference in sensitivity to thymidine at 4 mM (Student’s t-test, p value = </w:t>
      </w:r>
      <w:r w:rsidR="00C942B7" w:rsidRPr="00DF0680">
        <w:t>0.00</w:t>
      </w:r>
      <w:r w:rsidRPr="00DF0680">
        <w:t xml:space="preserve">18). With hydroxyurea, the two repeats showed a small decrease in the survival fraction of the RECQL5 depleted cells compared to the control (not significant). It could be interpreted that the depletion in EJ cells was more effective than in </w:t>
      </w:r>
      <w:r w:rsidR="00471D18" w:rsidRPr="00DF0680">
        <w:t>MRC5V2</w:t>
      </w:r>
      <w:r w:rsidRPr="00DF0680">
        <w:t xml:space="preserve"> cells, this may explain why the EJ cells are more sensitive to the replication stre</w:t>
      </w:r>
      <w:r w:rsidR="00665360" w:rsidRPr="00DF0680">
        <w:t>sses (Figure 5.2 A and 5.3 A). The transfection efficiency may vary between cells lines and if the effects of RECQL5 depletion are to be compared between cell lines further, more optimisation of transfection and measurement of efficiency should be done to ensure similar RECQL5 depletion.</w:t>
      </w:r>
    </w:p>
    <w:p w:rsidR="00FE3028" w:rsidRPr="00DF0680" w:rsidRDefault="00FE3028" w:rsidP="00FE3028"/>
    <w:p w:rsidR="00FE3028" w:rsidRPr="00DF0680" w:rsidRDefault="00FE3028" w:rsidP="00FE3028">
      <w:pPr>
        <w:keepNext/>
      </w:pPr>
      <w:r w:rsidRPr="00DF0680">
        <w:lastRenderedPageBreak/>
        <w:drawing>
          <wp:inline distT="0" distB="0" distL="0" distR="0">
            <wp:extent cx="5400040" cy="4190431"/>
            <wp:effectExtent l="0" t="0" r="0" b="0"/>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srcRect/>
                    <a:stretch>
                      <a:fillRect/>
                    </a:stretch>
                  </pic:blipFill>
                  <pic:spPr bwMode="auto">
                    <a:xfrm>
                      <a:off x="0" y="0"/>
                      <a:ext cx="5400040" cy="4190431"/>
                    </a:xfrm>
                    <a:prstGeom prst="rect">
                      <a:avLst/>
                    </a:prstGeom>
                    <a:noFill/>
                    <a:ln w="9525">
                      <a:noFill/>
                      <a:miter lim="800000"/>
                      <a:headEnd/>
                      <a:tailEnd/>
                    </a:ln>
                  </pic:spPr>
                </pic:pic>
              </a:graphicData>
            </a:graphic>
          </wp:inline>
        </w:drawing>
      </w:r>
    </w:p>
    <w:p w:rsidR="00FE3028" w:rsidRPr="00DF0680" w:rsidRDefault="00FE3028" w:rsidP="00D94477">
      <w:pPr>
        <w:pStyle w:val="Caption"/>
      </w:pPr>
    </w:p>
    <w:p w:rsidR="00FE3028" w:rsidRPr="00DF0680" w:rsidRDefault="00FE3028" w:rsidP="00D94477">
      <w:pPr>
        <w:pStyle w:val="Caption"/>
      </w:pPr>
      <w:bookmarkStart w:id="711" w:name="_Toc410223110"/>
      <w:bookmarkStart w:id="712" w:name="_Toc417813916"/>
      <w:r w:rsidRPr="00DF0680">
        <w:t xml:space="preserve">Figure </w:t>
      </w:r>
      <w:fldSimple w:instr=" STYLEREF 1 \s ">
        <w:r w:rsidR="006119E3">
          <w:rPr>
            <w:noProof/>
          </w:rPr>
          <w:t>5</w:t>
        </w:r>
      </w:fldSimple>
      <w:r w:rsidR="006119E3">
        <w:t>.</w:t>
      </w:r>
      <w:fldSimple w:instr=" SEQ Figure \* ARABIC \s 1 ">
        <w:r w:rsidR="006119E3">
          <w:rPr>
            <w:noProof/>
          </w:rPr>
          <w:t>2</w:t>
        </w:r>
      </w:fldSimple>
      <w:r w:rsidRPr="00DF0680">
        <w:t xml:space="preserve"> – Sensitivity of EJ cells, depleted of RECQL5, to replication stress.</w:t>
      </w:r>
      <w:bookmarkEnd w:id="711"/>
      <w:bookmarkEnd w:id="712"/>
      <w:r w:rsidRPr="00DF0680">
        <w:t xml:space="preserve"> </w:t>
      </w:r>
    </w:p>
    <w:p w:rsidR="00FE3028" w:rsidRPr="00DF0680" w:rsidRDefault="00FE3028" w:rsidP="00923ED8">
      <w:pPr>
        <w:spacing w:line="276" w:lineRule="auto"/>
      </w:pPr>
      <w:r w:rsidRPr="00DF0680">
        <w:t>(A) Western blot of cell lysates from EJ cells transfected with an siRNA pool targeting RECQL5 (Q5) or a non-targeting control (Con) and probed with an antibody for RECQL5β and β-actin as a protein loading control. Re-plating cells depleted of RECQL5 by RNAi, into a clonogenic toxicity assay</w:t>
      </w:r>
      <w:r w:rsidR="00792FA0" w:rsidRPr="00DF0680">
        <w:t>, leaving drugs on for the duration of the experiment (&gt;10 days),</w:t>
      </w:r>
      <w:r w:rsidRPr="00DF0680">
        <w:t xml:space="preserve"> and testing sensitivity to (B) camptothecin (CPT), (C) thymidine (dT) and (D) hydroxyurea (HU). Non-targeting siRNA was used as a control. For camptothecin and thymidine, average and standard deviations from three independent repeats are shown. For hydroxyurea, only the result from one </w:t>
      </w:r>
      <w:r w:rsidR="0010615E" w:rsidRPr="00DF0680">
        <w:t xml:space="preserve">experiment </w:t>
      </w:r>
      <w:r w:rsidRPr="00DF0680">
        <w:t xml:space="preserve">is shown. *** indicates a Student’s t-test p-value of &lt;0.005. </w:t>
      </w:r>
    </w:p>
    <w:p w:rsidR="00FE3028" w:rsidRPr="00DF0680" w:rsidRDefault="00FE3028" w:rsidP="00FE3028"/>
    <w:p w:rsidR="00FE3028" w:rsidRPr="00DF0680" w:rsidRDefault="00FE3028" w:rsidP="00FE3028">
      <w:pPr>
        <w:keepNext/>
      </w:pPr>
      <w:r w:rsidRPr="00DF0680">
        <w:lastRenderedPageBreak/>
        <w:drawing>
          <wp:inline distT="0" distB="0" distL="0" distR="0">
            <wp:extent cx="5400040" cy="4382674"/>
            <wp:effectExtent l="0" t="0" r="0" b="0"/>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srcRect/>
                    <a:stretch>
                      <a:fillRect/>
                    </a:stretch>
                  </pic:blipFill>
                  <pic:spPr bwMode="auto">
                    <a:xfrm>
                      <a:off x="0" y="0"/>
                      <a:ext cx="5400040" cy="4382674"/>
                    </a:xfrm>
                    <a:prstGeom prst="rect">
                      <a:avLst/>
                    </a:prstGeom>
                    <a:noFill/>
                    <a:ln w="9525">
                      <a:noFill/>
                      <a:miter lim="800000"/>
                      <a:headEnd/>
                      <a:tailEnd/>
                    </a:ln>
                  </pic:spPr>
                </pic:pic>
              </a:graphicData>
            </a:graphic>
          </wp:inline>
        </w:drawing>
      </w:r>
    </w:p>
    <w:p w:rsidR="00FE3028" w:rsidRPr="00DF0680" w:rsidRDefault="00FE3028" w:rsidP="00D94477">
      <w:pPr>
        <w:pStyle w:val="Caption"/>
      </w:pPr>
    </w:p>
    <w:p w:rsidR="00FE3028" w:rsidRPr="00DF0680" w:rsidRDefault="00FE3028" w:rsidP="00D94477">
      <w:pPr>
        <w:pStyle w:val="Caption"/>
      </w:pPr>
      <w:bookmarkStart w:id="713" w:name="_Toc410223111"/>
      <w:bookmarkStart w:id="714" w:name="_Toc417813917"/>
      <w:r w:rsidRPr="00DF0680">
        <w:t xml:space="preserve">Figure </w:t>
      </w:r>
      <w:fldSimple w:instr=" STYLEREF 1 \s ">
        <w:r w:rsidR="006119E3">
          <w:rPr>
            <w:noProof/>
          </w:rPr>
          <w:t>5</w:t>
        </w:r>
      </w:fldSimple>
      <w:r w:rsidR="006119E3">
        <w:t>.</w:t>
      </w:r>
      <w:fldSimple w:instr=" SEQ Figure \* ARABIC \s 1 ">
        <w:r w:rsidR="006119E3">
          <w:rPr>
            <w:noProof/>
          </w:rPr>
          <w:t>3</w:t>
        </w:r>
      </w:fldSimple>
      <w:r w:rsidRPr="00DF0680">
        <w:t xml:space="preserve"> – Sensitivity of </w:t>
      </w:r>
      <w:r w:rsidR="00471D18" w:rsidRPr="00DF0680">
        <w:t>MRC5V2</w:t>
      </w:r>
      <w:r w:rsidRPr="00DF0680">
        <w:t xml:space="preserve"> cells, depleted of RECQL5, to replication stress.</w:t>
      </w:r>
      <w:bookmarkEnd w:id="713"/>
      <w:bookmarkEnd w:id="714"/>
      <w:r w:rsidRPr="00DF0680">
        <w:t xml:space="preserve"> </w:t>
      </w:r>
    </w:p>
    <w:p w:rsidR="00FE3028" w:rsidRPr="00DF0680" w:rsidRDefault="00FE3028" w:rsidP="00923ED8">
      <w:pPr>
        <w:spacing w:line="276" w:lineRule="auto"/>
      </w:pPr>
      <w:r w:rsidRPr="00DF0680">
        <w:t xml:space="preserve">(A) Western blot of cell lysates from </w:t>
      </w:r>
      <w:r w:rsidR="00471D18" w:rsidRPr="00DF0680">
        <w:t>MRC5V2</w:t>
      </w:r>
      <w:r w:rsidRPr="00DF0680">
        <w:t xml:space="preserve"> cells transfected with an siRNA pool targeting RECQL5 (Q5) or a non-targeting control (Con) and probed with an antibody for RECQL5β and β-actin as a protein loading control. Cells depleted of RECQL5 using RNAi were re-plated into a clonogenic toxicity assay and sensitivity to (B) camptothecin (CPT), (C) thymidine (dT) and (D) hydroxyurea (HU) was tested</w:t>
      </w:r>
      <w:r w:rsidR="00792FA0" w:rsidRPr="00DF0680">
        <w:t>, leaving drugs on for the duration of the experiment (&gt;10 days).</w:t>
      </w:r>
      <w:r w:rsidRPr="00DF0680">
        <w:t xml:space="preserve"> Non-targeting siRNA was used as a control. For camptothecin and thymidine, average and standard deviations from three independent repeats are shown. For hydroxyurea, only the results from two repeats are shown. * indicates a Student’s t-test p-value of &lt;0.05. </w:t>
      </w:r>
    </w:p>
    <w:p w:rsidR="00FE3028" w:rsidRPr="00DF0680" w:rsidRDefault="00FE3028" w:rsidP="00FE3028"/>
    <w:p w:rsidR="0010615E" w:rsidRPr="00DF0680" w:rsidRDefault="0010615E" w:rsidP="00FE3028"/>
    <w:p w:rsidR="00FE3028" w:rsidRPr="00DF0680" w:rsidRDefault="00FE3028" w:rsidP="0010615E">
      <w:pPr>
        <w:pStyle w:val="Heading2"/>
      </w:pPr>
      <w:bookmarkStart w:id="715" w:name="_Toc410223038"/>
      <w:bookmarkStart w:id="716" w:name="_Toc417204209"/>
      <w:bookmarkStart w:id="717" w:name="_Toc417204742"/>
      <w:bookmarkStart w:id="718" w:name="_Toc417204802"/>
      <w:r w:rsidRPr="00DF0680">
        <w:lastRenderedPageBreak/>
        <w:t>Sensitivity to replication stress from the RECQL5 siRNA pool is due to off target effects</w:t>
      </w:r>
      <w:bookmarkEnd w:id="715"/>
      <w:bookmarkEnd w:id="716"/>
      <w:bookmarkEnd w:id="717"/>
      <w:bookmarkEnd w:id="718"/>
    </w:p>
    <w:p w:rsidR="00FE3028" w:rsidRPr="00DF0680" w:rsidRDefault="00FE3028" w:rsidP="0010615E">
      <w:pPr>
        <w:keepNext/>
      </w:pPr>
      <w:r w:rsidRPr="00DF0680">
        <w:t xml:space="preserve">The pool is comprised of four individual siRNAs, thus it is important to identify whether all four of the siRNAs </w:t>
      </w:r>
      <w:r w:rsidR="00665360" w:rsidRPr="00DF0680">
        <w:t>conferred</w:t>
      </w:r>
      <w:r w:rsidRPr="00DF0680">
        <w:t xml:space="preserve"> the same sensitivity to replication stresses to rule out any off target effects. In terms of efficacy of RECQL5β protein depletion, in the EJ cells (Figure 5.4 A), siRNAs Q5-1, 2 and 3 all depleted the protein levels to the same extent but Q5-4 did not seem to reduce the amount of RECQL5β protein compared to the control. In the </w:t>
      </w:r>
      <w:r w:rsidR="00471D18" w:rsidRPr="00DF0680">
        <w:t>MRC5V2</w:t>
      </w:r>
      <w:r w:rsidRPr="00DF0680">
        <w:t xml:space="preserve"> cells (Figure 5.4 B), all four siRNAs reduced the amount of RECQL5β protein, with Q5-1 being slightly more effective. Transfected </w:t>
      </w:r>
      <w:r w:rsidR="00471D18" w:rsidRPr="00DF0680">
        <w:t>MRC5V2</w:t>
      </w:r>
      <w:r w:rsidRPr="00DF0680">
        <w:t xml:space="preserve"> cells were re-plated into clonogenic toxicity assays and survival calculated relative to the control siRNA. Using one drug concentration, it showed that the small difference seen in survival in camptothecin was due to Q5-2 and not any of the siRNAs from the RECQL5 pool (Figure 5.5 A). Cells transfected with Q5 pool and Q5-2 siRNAs showed significant decreases in survival (Student’s t-test, p value = </w:t>
      </w:r>
      <w:r w:rsidR="00C942B7" w:rsidRPr="00DF0680">
        <w:t>0.0</w:t>
      </w:r>
      <w:r w:rsidRPr="00DF0680">
        <w:t xml:space="preserve">25 and </w:t>
      </w:r>
      <w:r w:rsidR="00C942B7" w:rsidRPr="00DF0680">
        <w:t>0.0</w:t>
      </w:r>
      <w:r w:rsidRPr="00DF0680">
        <w:t>46</w:t>
      </w:r>
      <w:r w:rsidR="00C942B7" w:rsidRPr="00DF0680">
        <w:t xml:space="preserve"> </w:t>
      </w:r>
      <w:r w:rsidRPr="00DF0680">
        <w:t xml:space="preserve">respectively) whereas cells transfected with the remaining siRNAs showed no significant differences in survival relative to the control. The same pattern was seen using thymidine, where the pool and Q5-2 showed significant decreases in survival compared to the control (Student’s t-test, p value = </w:t>
      </w:r>
      <w:r w:rsidR="00C942B7" w:rsidRPr="00DF0680">
        <w:t>0.0</w:t>
      </w:r>
      <w:r w:rsidRPr="00DF0680">
        <w:t xml:space="preserve">46 and </w:t>
      </w:r>
      <w:r w:rsidR="00C942B7" w:rsidRPr="00DF0680">
        <w:t>0.0</w:t>
      </w:r>
      <w:r w:rsidRPr="00DF0680">
        <w:t>35 respectively), whereas Q5-1, 3, and 4 did not show any significant difference (Figure 5.5 B). Therefore, it can be assumed that the Q5-2 siRNA is having an off target effect to increase the sensitivity of cells to replication stresses and depleting cells of RECQL5 protein does not increase sensitivity to the same extent.</w:t>
      </w:r>
    </w:p>
    <w:p w:rsidR="00FE3028" w:rsidRPr="00DF0680" w:rsidRDefault="00FE3028" w:rsidP="00FE3028">
      <w:r w:rsidRPr="00DF0680">
        <w:t xml:space="preserve">To confirm that depleting cells of RECQL5 did not have any effect on sensitivity to camptothecin or thymidine, two siRNAs designed to target only the RECQL5β isoform, along with a combined pool, were used alongside the Dharmacon SMARTpool siRNAs. These siRNAs effectively depleted cells of RECQL5β protein but did not show any increase in sensitivity with the drugs and concentrations tested in the </w:t>
      </w:r>
      <w:r w:rsidR="00471D18" w:rsidRPr="00DF0680">
        <w:t>MRC5V2</w:t>
      </w:r>
      <w:r w:rsidRPr="00DF0680">
        <w:t xml:space="preserve"> cells (Figure 5.4 and 5.5). This result indicates that RECQL5 does not have a role in protecting cells from replication stress induced cell death in </w:t>
      </w:r>
      <w:r w:rsidR="00471D18" w:rsidRPr="00DF0680">
        <w:t>MRC5V2</w:t>
      </w:r>
      <w:r w:rsidRPr="00DF0680">
        <w:t xml:space="preserve"> cells.</w:t>
      </w:r>
    </w:p>
    <w:p w:rsidR="00FE3028" w:rsidRPr="00DF0680" w:rsidRDefault="00FE3028" w:rsidP="00BE2075">
      <w:pPr>
        <w:spacing w:after="120"/>
      </w:pPr>
      <w:r w:rsidRPr="00DF0680">
        <w:t xml:space="preserve">EJ cells were only tested once with each drug and similarly to the </w:t>
      </w:r>
      <w:r w:rsidR="00471D18" w:rsidRPr="00DF0680">
        <w:t>MRC5V2</w:t>
      </w:r>
      <w:r w:rsidRPr="00DF0680">
        <w:t xml:space="preserve"> cells, it was Q5-2 and the pool that showed a decrease in survival (Figure 5.5 C + D). Other than siRNAs Q5-2, Q5-3 and Q5-4, depleting EJs of RECQL5 resulted in a small increase in </w:t>
      </w:r>
      <w:r w:rsidRPr="00DF0680">
        <w:lastRenderedPageBreak/>
        <w:t xml:space="preserve">sensitivity to camptothecin. Additionally, transfection of all siRNAs with the </w:t>
      </w:r>
      <w:r w:rsidR="00197E62" w:rsidRPr="00DF0680">
        <w:t>exception of Q5-2 resulted in a large</w:t>
      </w:r>
      <w:r w:rsidRPr="00DF0680">
        <w:t xml:space="preserve"> increase in resistance to thymidine (Figure 5.5). To investigate this, clonogenic toxicity assays were repeated with the pool targeting only RECQL5</w:t>
      </w:r>
      <w:r w:rsidRPr="00DF0680">
        <w:rPr>
          <w:rFonts w:ascii="Calibri" w:hAnsi="Calibri"/>
        </w:rPr>
        <w:t>β</w:t>
      </w:r>
      <w:r w:rsidRPr="00DF0680">
        <w:t xml:space="preserve"> (Figure 5.6). This showed a small but significant increase in sensitivity when RECQL5</w:t>
      </w:r>
      <w:r w:rsidRPr="00DF0680">
        <w:rPr>
          <w:rFonts w:ascii="Calibri" w:hAnsi="Calibri"/>
        </w:rPr>
        <w:t>β</w:t>
      </w:r>
      <w:r w:rsidRPr="00DF0680">
        <w:t xml:space="preserve"> was depleted in cells treated with 10 nM CPT compared to control (Student’s t-test, p value = </w:t>
      </w:r>
      <w:r w:rsidR="00C942B7" w:rsidRPr="00DF0680">
        <w:t>0.0</w:t>
      </w:r>
      <w:r w:rsidRPr="00DF0680">
        <w:t>35). Interestingly, siRNA pool-mediated depletion of RECQL5</w:t>
      </w:r>
      <w:r w:rsidRPr="00DF0680">
        <w:rPr>
          <w:rFonts w:ascii="Calibri" w:hAnsi="Calibri"/>
        </w:rPr>
        <w:t>β</w:t>
      </w:r>
      <w:r w:rsidRPr="00DF0680">
        <w:t xml:space="preserve"> showed a significant increase in resistance to thymidine when compared to control transfected cells (Student’s t-test, p value = </w:t>
      </w:r>
      <w:r w:rsidR="00C942B7" w:rsidRPr="00DF0680">
        <w:t>0.0</w:t>
      </w:r>
      <w:r w:rsidRPr="00DF0680">
        <w:t xml:space="preserve">1). </w:t>
      </w:r>
      <w:r w:rsidR="00197E62" w:rsidRPr="00DF0680">
        <w:t xml:space="preserve">This was approximately ten-fold </w:t>
      </w:r>
      <w:r w:rsidR="00BE2075" w:rsidRPr="00DF0680">
        <w:t xml:space="preserve">at 3 mM </w:t>
      </w:r>
      <w:r w:rsidR="00197E62" w:rsidRPr="00DF0680">
        <w:t xml:space="preserve">and </w:t>
      </w:r>
      <w:r w:rsidR="00BE2075" w:rsidRPr="00DF0680">
        <w:t xml:space="preserve">at a level </w:t>
      </w:r>
      <w:r w:rsidR="00197E62" w:rsidRPr="00DF0680">
        <w:t xml:space="preserve">similar to that seen in the individual siRNA experiment. </w:t>
      </w:r>
      <w:r w:rsidRPr="00DF0680">
        <w:t>There was no significant difference in cell survival in response to hydroxyurea in cells with or without RECQL5</w:t>
      </w:r>
      <w:r w:rsidRPr="00DF0680">
        <w:rPr>
          <w:rFonts w:ascii="Calibri" w:hAnsi="Calibri"/>
        </w:rPr>
        <w:t>β</w:t>
      </w:r>
      <w:r w:rsidRPr="00DF0680">
        <w:t xml:space="preserve"> depletion. This indicates that RECQL5</w:t>
      </w:r>
      <w:r w:rsidRPr="00DF0680">
        <w:rPr>
          <w:rFonts w:ascii="Calibri" w:hAnsi="Calibri"/>
        </w:rPr>
        <w:t>β</w:t>
      </w:r>
      <w:r w:rsidRPr="00DF0680">
        <w:t xml:space="preserve"> may have a role in protecting cells from camptothecin-induced toxicity, sensitising cells to thymidine, but not in the mechanism of hydroxyurea induced cell death in EJ cells.</w:t>
      </w:r>
    </w:p>
    <w:p w:rsidR="00FE3028" w:rsidRPr="00DF0680" w:rsidRDefault="002F473C" w:rsidP="00FE3028">
      <w:pPr>
        <w:keepNext/>
        <w:jc w:val="center"/>
        <w:rPr>
          <w:sz w:val="22"/>
        </w:rPr>
      </w:pPr>
      <w:r w:rsidRPr="00DF0680">
        <w:drawing>
          <wp:inline distT="0" distB="0" distL="0" distR="0">
            <wp:extent cx="5400040" cy="3629992"/>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5400040" cy="3629992"/>
                    </a:xfrm>
                    <a:prstGeom prst="rect">
                      <a:avLst/>
                    </a:prstGeom>
                    <a:noFill/>
                    <a:ln w="9525">
                      <a:noFill/>
                      <a:miter lim="800000"/>
                      <a:headEnd/>
                      <a:tailEnd/>
                    </a:ln>
                  </pic:spPr>
                </pic:pic>
              </a:graphicData>
            </a:graphic>
          </wp:inline>
        </w:drawing>
      </w:r>
    </w:p>
    <w:p w:rsidR="00FE3028" w:rsidRPr="00DF0680" w:rsidRDefault="00FE3028" w:rsidP="00BE2075">
      <w:pPr>
        <w:pStyle w:val="Caption"/>
        <w:spacing w:after="120"/>
      </w:pPr>
      <w:bookmarkStart w:id="719" w:name="_Toc410223112"/>
      <w:bookmarkStart w:id="720" w:name="_Toc417813918"/>
      <w:r w:rsidRPr="00DF0680">
        <w:t xml:space="preserve">Figure </w:t>
      </w:r>
      <w:fldSimple w:instr=" STYLEREF 1 \s ">
        <w:r w:rsidR="006119E3">
          <w:rPr>
            <w:noProof/>
          </w:rPr>
          <w:t>5</w:t>
        </w:r>
      </w:fldSimple>
      <w:r w:rsidR="006119E3">
        <w:t>.</w:t>
      </w:r>
      <w:fldSimple w:instr=" SEQ Figure \* ARABIC \s 1 ">
        <w:r w:rsidR="006119E3">
          <w:rPr>
            <w:noProof/>
          </w:rPr>
          <w:t>4</w:t>
        </w:r>
      </w:fldSimple>
      <w:r w:rsidRPr="00DF0680">
        <w:t xml:space="preserve"> – Depleting RECQL5 protein levels in EJ and </w:t>
      </w:r>
      <w:r w:rsidR="00471D18" w:rsidRPr="00DF0680">
        <w:t>MRC5V2</w:t>
      </w:r>
      <w:r w:rsidRPr="00DF0680">
        <w:t xml:space="preserve"> cells using the individual siRNAs that make up the SMARTpool.</w:t>
      </w:r>
      <w:bookmarkEnd w:id="719"/>
      <w:bookmarkEnd w:id="720"/>
      <w:r w:rsidRPr="00DF0680">
        <w:t xml:space="preserve"> </w:t>
      </w:r>
    </w:p>
    <w:p w:rsidR="00FE3028" w:rsidRPr="00DF0680" w:rsidRDefault="00FE3028" w:rsidP="00923ED8">
      <w:pPr>
        <w:spacing w:line="276" w:lineRule="auto"/>
      </w:pPr>
      <w:r w:rsidRPr="00DF0680">
        <w:t xml:space="preserve">Cells were transfected with each siRNA from the SMARTpool to assess the level of depletion (Q5-1, Q5-2, Q5-3 and Q5-4), along with a non-targeting control (Con), the SMARTpool (Q5 pool), and a two siRNAs that targeted RECQL5β specifically, individually (Q5β-1 and Q5β-3) and as a pool (Q5β pool). siRNA transfection was performed in (A) EJ and (B) </w:t>
      </w:r>
      <w:r w:rsidR="00471D18" w:rsidRPr="00DF0680">
        <w:t>MRC5V2</w:t>
      </w:r>
      <w:r w:rsidRPr="00DF0680">
        <w:t xml:space="preserve"> cells. </w:t>
      </w:r>
    </w:p>
    <w:p w:rsidR="00FE3028" w:rsidRPr="00DF0680" w:rsidRDefault="00FE3028" w:rsidP="00FE3028"/>
    <w:p w:rsidR="00FE3028" w:rsidRPr="00DF0680" w:rsidRDefault="00EA127E" w:rsidP="00D94477">
      <w:pPr>
        <w:pStyle w:val="Caption"/>
      </w:pPr>
      <w:r w:rsidRPr="00DF0680">
        <w:drawing>
          <wp:inline distT="0" distB="0" distL="0" distR="0">
            <wp:extent cx="5400040" cy="5441309"/>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srcRect/>
                    <a:stretch>
                      <a:fillRect/>
                    </a:stretch>
                  </pic:blipFill>
                  <pic:spPr bwMode="auto">
                    <a:xfrm>
                      <a:off x="0" y="0"/>
                      <a:ext cx="5400040" cy="5441309"/>
                    </a:xfrm>
                    <a:prstGeom prst="rect">
                      <a:avLst/>
                    </a:prstGeom>
                    <a:noFill/>
                    <a:ln w="9525">
                      <a:noFill/>
                      <a:miter lim="800000"/>
                      <a:headEnd/>
                      <a:tailEnd/>
                    </a:ln>
                  </pic:spPr>
                </pic:pic>
              </a:graphicData>
            </a:graphic>
          </wp:inline>
        </w:drawing>
      </w:r>
    </w:p>
    <w:p w:rsidR="00FE3028" w:rsidRPr="00DF0680" w:rsidRDefault="00FE3028" w:rsidP="00D94477">
      <w:pPr>
        <w:pStyle w:val="Caption"/>
      </w:pPr>
      <w:bookmarkStart w:id="721" w:name="_Toc410223113"/>
      <w:bookmarkStart w:id="722" w:name="_Toc417813919"/>
      <w:r w:rsidRPr="00DF0680">
        <w:t xml:space="preserve">Figure </w:t>
      </w:r>
      <w:fldSimple w:instr=" STYLEREF 1 \s ">
        <w:r w:rsidR="006119E3">
          <w:rPr>
            <w:noProof/>
          </w:rPr>
          <w:t>5</w:t>
        </w:r>
      </w:fldSimple>
      <w:r w:rsidR="006119E3">
        <w:t>.</w:t>
      </w:r>
      <w:fldSimple w:instr=" SEQ Figure \* ARABIC \s 1 ">
        <w:r w:rsidR="006119E3">
          <w:rPr>
            <w:noProof/>
          </w:rPr>
          <w:t>5</w:t>
        </w:r>
      </w:fldSimple>
      <w:r w:rsidRPr="00DF0680">
        <w:t xml:space="preserve"> – Relative sensitivity of cells transfected with each of the siRNAs from the SMARTpool to replication stresses.</w:t>
      </w:r>
      <w:bookmarkEnd w:id="721"/>
      <w:bookmarkEnd w:id="722"/>
    </w:p>
    <w:p w:rsidR="00FE3028" w:rsidRPr="00DF0680" w:rsidRDefault="00FE3028" w:rsidP="00923ED8">
      <w:pPr>
        <w:spacing w:line="276" w:lineRule="auto"/>
      </w:pPr>
      <w:r w:rsidRPr="00DF0680">
        <w:t xml:space="preserve">Cells were transfected with each siRNA from the SMARTpool to assess the level of protein depletion (Q5-1, Q5-2, Q5-3 and Q5-4), along with a non-targeting control (Con), the SMARTpool (Q5 pool), and a two siRNAs that targeted RECQL5β specifically, individually (Q5β-1 and Q5β-3) and as a pool (Q5β pool). The </w:t>
      </w:r>
      <w:r w:rsidR="00471D18" w:rsidRPr="00DF0680">
        <w:t>MRC5V2</w:t>
      </w:r>
      <w:r w:rsidRPr="00DF0680">
        <w:t xml:space="preserve"> cells were re-plated into clonogenic toxicity assays</w:t>
      </w:r>
      <w:r w:rsidR="00792FA0" w:rsidRPr="00DF0680">
        <w:t>, with drugs left on for the duration of the experiment (&gt;10 days)</w:t>
      </w:r>
      <w:r w:rsidRPr="00DF0680">
        <w:t xml:space="preserve"> and the toxicity to (A) 12nM camptothecin (CPT) and (B) 4mM thymidine (dT) was calculated</w:t>
      </w:r>
      <w:r w:rsidR="00792FA0" w:rsidRPr="00DF0680">
        <w:t>,</w:t>
      </w:r>
      <w:r w:rsidRPr="00DF0680">
        <w:t xml:space="preserve"> shown as relative to the non-targeting control. Average and standard deviations from three independent repeats are shown. </w:t>
      </w:r>
      <w:r w:rsidR="0010615E" w:rsidRPr="00DF0680">
        <w:t>Data from</w:t>
      </w:r>
      <w:r w:rsidRPr="00DF0680">
        <w:t xml:space="preserve"> EJ cells </w:t>
      </w:r>
      <w:r w:rsidR="0010615E" w:rsidRPr="00DF0680">
        <w:t xml:space="preserve">is the result on one experiment </w:t>
      </w:r>
      <w:r w:rsidRPr="00DF0680">
        <w:t xml:space="preserve">with (C) camptothecin and (D) thymidine. * indicates a Student’s t-test p-value of &lt;0.05. </w:t>
      </w:r>
    </w:p>
    <w:p w:rsidR="00FE3028" w:rsidRPr="00DF0680" w:rsidRDefault="00FE3028" w:rsidP="00FE3028"/>
    <w:p w:rsidR="00FE3028" w:rsidRPr="00DF0680" w:rsidRDefault="00FE3028" w:rsidP="00FE3028"/>
    <w:p w:rsidR="00FE3028" w:rsidRPr="00DF0680" w:rsidRDefault="00FE3028" w:rsidP="00FE3028"/>
    <w:p w:rsidR="00FE3028" w:rsidRPr="00DF0680" w:rsidRDefault="00FE3028" w:rsidP="00D94477">
      <w:pPr>
        <w:pStyle w:val="Caption"/>
      </w:pPr>
      <w:r w:rsidRPr="00DF0680">
        <w:drawing>
          <wp:inline distT="0" distB="0" distL="0" distR="0">
            <wp:extent cx="5400040" cy="3956303"/>
            <wp:effectExtent l="0" t="0" r="0" b="0"/>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srcRect/>
                    <a:stretch>
                      <a:fillRect/>
                    </a:stretch>
                  </pic:blipFill>
                  <pic:spPr bwMode="auto">
                    <a:xfrm>
                      <a:off x="0" y="0"/>
                      <a:ext cx="5400040" cy="3956303"/>
                    </a:xfrm>
                    <a:prstGeom prst="rect">
                      <a:avLst/>
                    </a:prstGeom>
                    <a:noFill/>
                    <a:ln w="9525">
                      <a:noFill/>
                      <a:miter lim="800000"/>
                      <a:headEnd/>
                      <a:tailEnd/>
                    </a:ln>
                  </pic:spPr>
                </pic:pic>
              </a:graphicData>
            </a:graphic>
          </wp:inline>
        </w:drawing>
      </w:r>
    </w:p>
    <w:p w:rsidR="00FE3028" w:rsidRPr="00DF0680" w:rsidRDefault="00FE3028" w:rsidP="00D94477">
      <w:pPr>
        <w:pStyle w:val="Caption"/>
      </w:pPr>
    </w:p>
    <w:p w:rsidR="00FE3028" w:rsidRPr="00DF0680" w:rsidRDefault="00FE3028" w:rsidP="00D94477">
      <w:pPr>
        <w:pStyle w:val="Caption"/>
      </w:pPr>
      <w:bookmarkStart w:id="723" w:name="_Toc410223114"/>
      <w:bookmarkStart w:id="724" w:name="_Toc417813920"/>
      <w:r w:rsidRPr="00DF0680">
        <w:t xml:space="preserve">Figure </w:t>
      </w:r>
      <w:fldSimple w:instr=" STYLEREF 1 \s ">
        <w:r w:rsidR="006119E3">
          <w:rPr>
            <w:noProof/>
          </w:rPr>
          <w:t>5</w:t>
        </w:r>
      </w:fldSimple>
      <w:r w:rsidR="006119E3">
        <w:t>.</w:t>
      </w:r>
      <w:fldSimple w:instr=" SEQ Figure \* ARABIC \s 1 ">
        <w:r w:rsidR="006119E3">
          <w:rPr>
            <w:noProof/>
          </w:rPr>
          <w:t>6</w:t>
        </w:r>
      </w:fldSimple>
      <w:r w:rsidRPr="00DF0680">
        <w:t xml:space="preserve"> – Depleting RECQL5β using a siRNA pool and testing sensitivity to replication stress in EJ cells.</w:t>
      </w:r>
      <w:bookmarkEnd w:id="723"/>
      <w:bookmarkEnd w:id="724"/>
      <w:r w:rsidRPr="00DF0680">
        <w:t xml:space="preserve"> </w:t>
      </w:r>
    </w:p>
    <w:p w:rsidR="00FE3028" w:rsidRPr="00DF0680" w:rsidRDefault="00FE3028" w:rsidP="00923ED8">
      <w:pPr>
        <w:spacing w:line="276" w:lineRule="auto"/>
      </w:pPr>
      <w:r w:rsidRPr="00DF0680">
        <w:t>(A) Western blot of cell lysates from EJ cells transfected with an siRNA pool targeting RECQL5 (Q5) or a non-targeting control (Con) and probed with an antibody for RECQL5β and β-actin as a protein loading control. After transfection cells were re-plated into a clonogenic toxicity assay</w:t>
      </w:r>
      <w:r w:rsidR="00792FA0" w:rsidRPr="00DF0680">
        <w:t>, leaving drugs on for the duration of the experiment (&gt;10 days),</w:t>
      </w:r>
      <w:r w:rsidRPr="00DF0680">
        <w:t xml:space="preserve"> and sensitivity to (B) camptothecin (CPT), (C) thymidine (dT) and (D) hydroxyurea (HU) was tested. For camptothecin and thymidine, average and standard deviations from three independent repeats are shown. For hydroxyurea, only the results from two repeats are shown. * indicates a Student’s t-test p-value of &lt;0.05. </w:t>
      </w:r>
    </w:p>
    <w:p w:rsidR="00FE3028" w:rsidRPr="00DF0680" w:rsidRDefault="00FE3028" w:rsidP="00D94477">
      <w:pPr>
        <w:pStyle w:val="Caption"/>
      </w:pPr>
    </w:p>
    <w:p w:rsidR="00FE3028" w:rsidRPr="00DF0680" w:rsidRDefault="00FE3028" w:rsidP="00E664FC">
      <w:pPr>
        <w:pStyle w:val="Heading2"/>
      </w:pPr>
      <w:bookmarkStart w:id="725" w:name="_Toc410223039"/>
      <w:bookmarkStart w:id="726" w:name="_Toc417204210"/>
      <w:bookmarkStart w:id="727" w:name="_Toc417204743"/>
      <w:bookmarkStart w:id="728" w:name="_Toc417204803"/>
      <w:r w:rsidRPr="00DF0680">
        <w:lastRenderedPageBreak/>
        <w:t>Depleting RECQL5 protein levels reduces proliferation rate in EJ cells but not in NHU hTERT</w:t>
      </w:r>
      <w:bookmarkEnd w:id="725"/>
      <w:bookmarkEnd w:id="726"/>
      <w:bookmarkEnd w:id="727"/>
      <w:bookmarkEnd w:id="728"/>
    </w:p>
    <w:p w:rsidR="00FE3028" w:rsidRPr="00DF0680" w:rsidRDefault="00FE3028" w:rsidP="00FE3028">
      <w:r w:rsidRPr="00DF0680">
        <w:t xml:space="preserve">A reduction in RECQ helicase levels has been shown to cause decreased cell proliferation </w:t>
      </w:r>
      <w:r w:rsidR="00F20EC0" w:rsidRPr="00DF0680">
        <w:fldChar w:fldCharType="begin" w:fldLock="1"/>
      </w:r>
      <w:r w:rsidR="00332613" w:rsidRPr="00DF0680">
        <w:instrText>ADDIN CSL_CITATION { "citationItems" : [ { "id" : "ITEM-1", "itemData" : { "DOI" : "10.1186/1476-4598-10-83", "ISSN" : "1476-4598", "PMID" : "21752281", "abstract" : "BACKGROUND: RecQ helicases play an essential role in the maintenance of genome stability. In humans, loss of RecQ helicase function is linked with predisposition to cancer and/or premature ageing. Current data show that the specific depletion of the human RECQ1 helicase leads to mitotic catastrophe in cancer cells and inhibition of tumor growth in mice.\n\nRESULTS: Here, we show that RECQ1 is highly expressed in various types of solid tumors. However, only in the case of brain gliomas, the high expression of RECQ1 in glioblastoma tissues is paralleled by a lower expression in the control samples due to the poor expression of RECQ1 in non-dividing tissues. This conclusion is validated by immunohistochemical analysis of a tissue microarray containing 63 primary glioblastomas and 19 perilesional tissue samples, as control. We also show that acute depletion of RECQ1 by RNAi results in a significant reduction of cellular proliferation, perturbation of S-phase progression, and spontaneous \u03b3-H2AX foci formation in T98G and U-87 glioblastoma cells. Moreover, RECQ1 depleted T98G and U-87 cells are hypersensitive to HU or temozolomide treatment.\n\nCONCLUSIONS: Collectively, these results indicate that RECQ1 has a unique and important role in the maintenance of genome integrity. Our results also suggest that RECQ1 might represent a new suitable target for anti cancer therapies aimed to arrest cell proliferation in brain gliomas.", "author" : [ { "dropping-particle" : "", "family" : "Mendoza-Maldonado", "given" : "Ramiro", "non-dropping-particle" : "", "parse-names" : false, "suffix" : "" }, { "dropping-particle" : "", "family" : "Faoro", "given" : "Valentina", "non-dropping-particle" : "", "parse-names" : false, "suffix" : "" }, { "dropping-particle" : "", "family" : "Bajpai", "given" : "Sailesh", "non-dropping-particle" : "", "parse-names" : false, "suffix" : "" }, { "dropping-particle" : "", "family" : "Berti", "given" : "Matteo", "non-dropping-particle" : "", "parse-names" : false, "suffix" : "" }, { "dropping-particle" : "", "family" : "Odreman", "given" : "Federico", "non-dropping-particle" : "", "parse-names" : false, "suffix" : "" }, { "dropping-particle" : "", "family" : "Vindigni", "given" : "Marco", "non-dropping-particle" : "", "parse-names" : false, "suffix" : "" }, { "dropping-particle" : "", "family" : "Ius", "given" : "Tamara", "non-dropping-particle" : "", "parse-names" : false, "suffix" : "" }, { "dropping-particle" : "", "family" : "Ghasemian", "given" : "Abdollah", "non-dropping-particle" : "", "parse-names" : false, "suffix" : "" }, { "dropping-particle" : "", "family" : "Bonin", "given" : "Serena", "non-dropping-particle" : "", "parse-names" : false, "suffix" : "" }, { "dropping-particle" : "", "family" : "Skrap", "given" : "Miran", "non-dropping-particle" : "", "parse-names" : false, "suffix" : "" }, { "dropping-particle" : "", "family" : "Stanta", "given" : "Giorgio", "non-dropping-particle" : "", "parse-names" : false, "suffix" : "" }, { "dropping-particle" : "", "family" : "Vindigni", "given" : "Alessandro", "non-dropping-particle" : "", "parse-names" : false, "suffix" : "" } ], "container-title" : "Molecular Cancer", "id" : "ITEM-1", "issue" : "1", "issued" : { "date-parts" : [ [ "2011", "1" ] ] }, "page" : "83", "publisher" : "BioMed Central Ltd", "title" : "The human RECQ1 helicase is highly expressed in glioblastoma and plays an important role in tumor cell proliferation.", "type" : "article-journal", "volume" : "10" }, "uris" : [ "http://www.mendeley.com/documents/?uuid=e60b525c-c930-47ea-b109-6ac7e01779bd" ] }, { "id" : "ITEM-2", "itemData" : { "author" : [ { "dropping-particle" : "", "family" : "Lebel", "given" : "M", "non-dropping-particle" : "", "parse-names" : false, "suffix" : "" }, { "dropping-particle" : "", "family" : "Leder", "given" : "P", "non-dropping-particle" : "", "parse-names" : false, "suffix" : "" } ], "container-title" : "Proceedings of the National Academy of Sciences", "id" : "ITEM-2", "issue" : "22", "issued" : { "date-parts" : [ [ "1998" ] ] }, "page" : "13097-13102", "title" : "A deletion within the murine Werner syndrome helicase induces sensitivity to inhibitors of topoisomerase and loss of cellular proliferative capacity", "type" : "article-journal", "volume" : "95" }, "uris" : [ "http://www.mendeley.com/documents/?uuid=fff00f0f-ee7f-4a45-a0df-1f7f11758575" ] }, { "id" : "ITEM-3", "itemData" : { "DOI" : "10.1093/hmg/ddg254", "ISSN" : "0964-6906", "PMID" : "12915449", "abstract" : "Mutations in the Recql4 gene are very likely responsible for a subset of Rothmund-Thomson syndrome (RTS) cases, but until now there has been no animal model to confirm this. Knockout mice in which the Recql4 gene is disrupted at exons 5-8 exhibit embryonic lethality at embryonic day 3.5-6.5. We generated a helicase activity-inhibited mouse by deleting exon 13 of Recql4, which is one of the coding exons of the consensus RecQ-helicase domain. This domain is the primary site of mutations that have been identified in RTS patients. The exon 13-deleted Recql4-deficient mice are viable, but exhibit severe growth retardation and abnormalities in several tissues, and embryonic fibroblasts show a defect in cell proliferation. Abnormalities in the Recql4-deficient mice are similar to those in RTS patients, suggesting that defects in the Recql4 gene may indeed be responsible for RTS. We speculate that the loss of Recql4 helicase activity results in the prematurely aged appearance observed in some RecQ helicase diseases.", "author" : [ { "dropping-particle" : "", "family" : "Hoki", "given" : "Yuko", "non-dropping-particle" : "", "parse-names" : false, "suffix" : "" }, { "dropping-particle" : "", "family" : "Araki", "given" : "Ryoko", "non-dropping-particle" : "", "parse-names" : false, "suffix" : "" }, { "dropping-particle" : "", "family" : "Fujimori", "given" : "Akira", "non-dropping-particle" : "", "parse-names" : false, "suffix" : "" }, { "dropping-particle" : "", "family" : "Ohhata", "given" : "Tatsuya", "non-dropping-particle" : "", "parse-names" : false, "suffix" : "" }, { "dropping-particle" : "", "family" : "Koseki", "given" : "Haruhiko", "non-dropping-particle" : "", "parse-names" : false, "suffix" : "" }, { "dropping-particle" : "", "family" : "Fukumura", "given" : "Ryutaro", "non-dropping-particle" : "", "parse-names" : false, "suffix" : "" }, { "dropping-particle" : "", "family" : "Nakamura", "given" : "Miki", "non-dropping-particle" : "", "parse-names" : false, "suffix" : "" }, { "dropping-particle" : "", "family" : "Takahashi", "given" : "Hirokazu", "non-dropping-particle" : "", "parse-names" : false, "suffix" : "" }, { "dropping-particle" : "", "family" : "Noda", "given" : "Yuko", "non-dropping-particle" : "", "parse-names" : false, "suffix" : "" }, { "dropping-particle" : "", "family" : "Kito", "given" : "Seiji", "non-dropping-particle" : "", "parse-names" : false, "suffix" : "" }, { "dropping-particle" : "", "family" : "Abe", "given" : "Masumi", "non-dropping-particle" : "", "parse-names" : false, "suffix" : "" } ], "container-title" : "Human Molecular Genetics", "id" : "ITEM-3", "issue" : "18", "issued" : { "date-parts" : [ [ "2003", "9", "15" ] ] }, "page" : "2293-9", "title" : "Growth retardation and skin abnormalities of the Recql4-deficient mouse.", "type" : "article-journal", "volume" : "12" }, "uris" : [ "http://www.mendeley.com/documents/?uuid=54faa16e-3df2-469a-a308-12d7e8fefd9c" ] }, { "id" : "ITEM-4", "itemData" : { "DOI" : "10.1093/nar/gkr844", "ISSN" : "1362-4962", "PMID" : "22013166", "abstract" : "DNA decatenation mediated by Topoisomerase II is required to separate the interlinked sister chromatids post-replication. SGS1, a yeast homolog of the human RecQ family of helicases interacts with Topoisomerase II and plays a role in chromosome segregation, but this functional interaction has yet to be identified in higher organisms. Here, we report a physical and functional interaction of Topoisomerase II\u03b1 with RECQL5, one of five mammalian RecQ helicases, during DNA replication. Direct interaction of RECQL5 with Topoisomerase II\u03b1 stimulates the decatenation activity of Topoisomerase II\u03b1. Consistent with these observations, RECQL5 co-localizes with Topoisomerase II\u03b1 during S-phase of the cell cycle. Moreover, cells with stable depletions of RECQL5 display a slow proliferation rate, a G2/M cell cycle arrest and late S-phase cycling defects. Metaphase spreads generated from RECQL5-depleted cells exhibit undercondensed and entangled chromosomes. Further, RECQL5-depleted cells activate a G2/M checkpoint and undergo apoptosis. These phenotypes are similar to those observed when Topoisomerase II catalytic activity is inhibited. These results reveal an important role for RECQL5 in the maintenance of genomic stability and a new insight into the decatenation process.", "author" : [ { "dropping-particle" : "", "family" : "Ramamoorthy", "given" : "Mahesh", "non-dropping-particle" : "", "parse-names" : false, "suffix" : "" }, { "dropping-particle" : "", "family" : "Tadokoro", "given" : "Takashi", "non-dropping-particle" : "", "parse-names" : false, "suffix" : "" }, { "dropping-particle" : "", "family" : "Rybanska", "given" : "Ivana", "non-dropping-particle" : "", "parse-names" : false, "suffix" : "" }, { "dropping-particle" : "", "family" : "Ghosh", "given" : "Avik K", "non-dropping-particle" : "", "parse-names" : false, "suffix" : "" }, { "dropping-particle" : "", "family" : "Wersto", "given" : "Robert", "non-dropping-particle" : "", "parse-names" : false, "suffix" : "" }, { "dropping-particle" : "", "family" : "May", "given" : "Alfred", "non-dropping-particle" : "", "parse-names" : false, "suffix" : "" }, { "dropping-particle" : "", "family" : "Kulikowicz", "given" : "Tomasz", "non-dropping-particle" : "", "parse-names" : false, "suffix" : "" }, { "dropping-particle" : "", "family" : "Sykora", "given" : "Peter", "non-dropping-particle" : "", "parse-names" : false, "suffix" : "" }, { "dropping-particle" : "", "family" : "Croteau", "given" : "Deborah L", "non-dropping-particle" : "", "parse-names" : false, "suffix" : "" }, { "dropping-particle" : "", "family" : "Bohr", "given" : "Vilhelm a", "non-dropping-particle" : "", "parse-names" : false, "suffix" : "" } ], "container-title" : "Nucleic Acids Research", "id" : "ITEM-4", "issue" : "4", "issued" : { "date-parts" : [ [ "2012", "2" ] ] }, "page" : "1621-35", "title" : "RECQL5 cooperates with Topoisomerase II alpha in DNA decatenation and cell cycle progression.", "type" : "article-journal", "volume" : "40" }, "uris" : [ "http://www.mendeley.com/documents/?uuid=a954ba82-7067-44f7-869a-184b84cbec77" ] } ], "mendeley" : { "formattedCitation" : "(Mendoza-Maldonado et al. 2011; Lebel &amp; Leder 1998; Hoki et al. 2003; Ramamoorthy et al. 2012)", "plainTextFormattedCitation" : "(Mendoza-Maldonado et al. 2011; Lebel &amp; Leder 1998; Hoki et al. 2003; Ramamoorthy et al. 2012)", "previouslyFormattedCitation" : "(Mendoza-Maldonado et al. 2011; Lebel &amp; Leder 1998; Hoki et al. 2003; Ramamoorthy et al. 2012)" }, "properties" : { "noteIndex" : 0 }, "schema" : "https://github.com/citation-style-language/schema/raw/master/csl-citation.json" }</w:instrText>
      </w:r>
      <w:r w:rsidR="00F20EC0" w:rsidRPr="00DF0680">
        <w:fldChar w:fldCharType="separate"/>
      </w:r>
      <w:r w:rsidRPr="00DF0680">
        <w:t>(Mendoza-Maldonado et al. 2011; Lebel &amp; Leder 1998; Hoki et al. 2003; Ramamoorthy et al. 2012)</w:t>
      </w:r>
      <w:r w:rsidR="00F20EC0" w:rsidRPr="00DF0680">
        <w:fldChar w:fldCharType="end"/>
      </w:r>
      <w:r w:rsidRPr="00DF0680">
        <w:t xml:space="preserve">. We also saw an increase in endogenous replication fork speed in </w:t>
      </w:r>
      <w:r w:rsidR="00471D18" w:rsidRPr="00DF0680">
        <w:t>MRC5V2</w:t>
      </w:r>
      <w:r w:rsidRPr="00DF0680">
        <w:t xml:space="preserve"> cells when RECQL5 was over-expressed. As the bladder cancer cell lines had significantly more RECQL5β protein, it was investigated whether depleting cells of RECQL5 would affect proliferation in both the bladder cancer and the normal bladder cell lines equally.</w:t>
      </w:r>
    </w:p>
    <w:p w:rsidR="00FE3028" w:rsidRPr="00DF0680" w:rsidRDefault="00FE3028" w:rsidP="00FE3028">
      <w:r w:rsidRPr="00DF0680">
        <w:t xml:space="preserve">EJ and NHU cells were reverse transfected with a control siRNA, a pool of Q5-1 and Q5-3 or a pool of Q5β-1 and Q5β-3. Levels of RECQL5β were analysed after 24, 48 and 72 hours after transfection using Western blotting (Figure 5.7 A). Counting cell number every 24 hours showed that depleting cells of RECQL5β reduces proliferation in the EJ cells but not the NHU hTERTs (Figure 5.7 B). Compared to the control, cells transfected with the RECQL5 pool had significantly fewer cells after 24 and 48 hours with Student’s t-test p values of </w:t>
      </w:r>
      <w:r w:rsidR="00C942B7" w:rsidRPr="00DF0680">
        <w:t>0.0</w:t>
      </w:r>
      <w:r w:rsidRPr="00DF0680">
        <w:t xml:space="preserve">45 and </w:t>
      </w:r>
      <w:r w:rsidR="00C942B7" w:rsidRPr="00DF0680">
        <w:t>0.0</w:t>
      </w:r>
      <w:r w:rsidRPr="00DF0680">
        <w:t xml:space="preserve">23 respectively. Cells transfected with the RECQL5β pool had significantly fewer cells after 48 and 72 hours with Student’s t-test p values of </w:t>
      </w:r>
      <w:r w:rsidR="00C942B7" w:rsidRPr="00DF0680">
        <w:t>0.0</w:t>
      </w:r>
      <w:r w:rsidRPr="00DF0680">
        <w:t xml:space="preserve">24 and </w:t>
      </w:r>
      <w:r w:rsidR="00C942B7" w:rsidRPr="00DF0680">
        <w:t>0.00</w:t>
      </w:r>
      <w:r w:rsidRPr="00DF0680">
        <w:t>77 respectively. The number of NHU hTERT cells transfected with the RECQL5 and RECQL5β siRNAs was not significantly different to the control transfected cells after 24, 48 or 72 hours (Figure 5.7B). As this experiment showed the RNAi selectively affecting the cancer cell line, it may indicate that RECQL5 is potential target for mono-therapy. It is not clear whether the cells are actually proliferating more slowly, or whether the cells are dying by apoptosis.</w:t>
      </w:r>
    </w:p>
    <w:p w:rsidR="00FE3028" w:rsidRPr="00DF0680" w:rsidRDefault="00FE3028" w:rsidP="00FE3028"/>
    <w:p w:rsidR="00FE3028" w:rsidRPr="00DF0680" w:rsidRDefault="00FE3028" w:rsidP="00E664FC">
      <w:pPr>
        <w:pStyle w:val="Heading2"/>
      </w:pPr>
      <w:bookmarkStart w:id="729" w:name="_Toc410223040"/>
      <w:bookmarkStart w:id="730" w:name="_Toc417204211"/>
      <w:bookmarkStart w:id="731" w:name="_Toc417204744"/>
      <w:bookmarkStart w:id="732" w:name="_Toc417204804"/>
      <w:r w:rsidRPr="00DF0680">
        <w:t>Over-expression of RECQL5β does not provide resistance to thymidine in EJ cells</w:t>
      </w:r>
      <w:bookmarkEnd w:id="729"/>
      <w:bookmarkEnd w:id="730"/>
      <w:bookmarkEnd w:id="731"/>
      <w:bookmarkEnd w:id="732"/>
    </w:p>
    <w:p w:rsidR="00FE3028" w:rsidRPr="00DF0680" w:rsidRDefault="00FE3028" w:rsidP="00FE3028">
      <w:r w:rsidRPr="00DF0680">
        <w:t xml:space="preserve">Blundred </w:t>
      </w:r>
      <w:r w:rsidRPr="00DF0680">
        <w:rPr>
          <w:i/>
        </w:rPr>
        <w:t>et al</w:t>
      </w:r>
      <w:r w:rsidRPr="00DF0680">
        <w:t xml:space="preserve">. over-expressed RECQL5β in </w:t>
      </w:r>
      <w:r w:rsidR="00471D18" w:rsidRPr="00DF0680">
        <w:t>MRC5V2</w:t>
      </w:r>
      <w:r w:rsidRPr="00DF0680">
        <w:t xml:space="preserve"> cells to provide resistance to thymidine </w:t>
      </w:r>
      <w:r w:rsidR="00F20EC0" w:rsidRPr="00DF0680">
        <w:fldChar w:fldCharType="begin" w:fldLock="1"/>
      </w:r>
      <w:r w:rsidR="0033261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fldChar w:fldCharType="separate"/>
      </w:r>
      <w:r w:rsidRPr="00DF0680">
        <w:t>(Blundred et al. 2010)</w:t>
      </w:r>
      <w:r w:rsidR="00F20EC0" w:rsidRPr="00DF0680">
        <w:fldChar w:fldCharType="end"/>
      </w:r>
      <w:r w:rsidRPr="00DF0680">
        <w:t xml:space="preserve">. </w:t>
      </w:r>
      <w:r w:rsidR="00C27816" w:rsidRPr="00DF0680">
        <w:t xml:space="preserve">To investigate whether this resistance could be recreated in EJ cells, </w:t>
      </w:r>
      <w:r w:rsidRPr="00DF0680">
        <w:t xml:space="preserve">RECQL5β and RECQL5βKR (helicase-dead) were transiently over-expressed using plasmid transfection (Figure 5.8 A and B) and these transfected </w:t>
      </w:r>
      <w:r w:rsidR="00C27816" w:rsidRPr="00DF0680">
        <w:t xml:space="preserve">EJ </w:t>
      </w:r>
      <w:r w:rsidRPr="00DF0680">
        <w:t xml:space="preserve">cells were re-plated into clonogenic toxicity assays and treated with increasing </w:t>
      </w:r>
      <w:r w:rsidRPr="00DF0680">
        <w:lastRenderedPageBreak/>
        <w:t xml:space="preserve">concentrations of thymidine. Neither over-expressing the helicase or the helicase-dead protein changed the level of sensitivity to thymidine in EJ cells (Figure 5.8C). </w:t>
      </w:r>
      <w:r w:rsidR="00FF7A3E" w:rsidRPr="00DF0680">
        <w:t xml:space="preserve">Although no differences were seen, a more relevant negative control would have been transfection with the empty vector. </w:t>
      </w:r>
    </w:p>
    <w:p w:rsidR="00FE3028" w:rsidRPr="00DF0680" w:rsidRDefault="00FE3028" w:rsidP="00FE3028"/>
    <w:p w:rsidR="00FE3028" w:rsidRPr="00DF0680" w:rsidRDefault="00EA127E" w:rsidP="00FE3028">
      <w:pPr>
        <w:jc w:val="center"/>
      </w:pPr>
      <w:r w:rsidRPr="00DF0680">
        <w:drawing>
          <wp:inline distT="0" distB="0" distL="0" distR="0">
            <wp:extent cx="5002957" cy="534245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srcRect/>
                    <a:stretch>
                      <a:fillRect/>
                    </a:stretch>
                  </pic:blipFill>
                  <pic:spPr bwMode="auto">
                    <a:xfrm>
                      <a:off x="0" y="0"/>
                      <a:ext cx="5012367" cy="5352502"/>
                    </a:xfrm>
                    <a:prstGeom prst="rect">
                      <a:avLst/>
                    </a:prstGeom>
                    <a:noFill/>
                    <a:ln w="9525">
                      <a:noFill/>
                      <a:miter lim="800000"/>
                      <a:headEnd/>
                      <a:tailEnd/>
                    </a:ln>
                  </pic:spPr>
                </pic:pic>
              </a:graphicData>
            </a:graphic>
          </wp:inline>
        </w:drawing>
      </w:r>
    </w:p>
    <w:p w:rsidR="00FE3028" w:rsidRPr="00DF0680" w:rsidRDefault="00FE3028" w:rsidP="00FE3028"/>
    <w:p w:rsidR="00FE3028" w:rsidRPr="00DF0680" w:rsidRDefault="00FE3028" w:rsidP="00FE3028"/>
    <w:p w:rsidR="00FE3028" w:rsidRPr="00DF0680" w:rsidRDefault="00FE3028" w:rsidP="00FE3028">
      <w:pPr>
        <w:jc w:val="right"/>
        <w:rPr>
          <w:rFonts w:cs="Times New Roman"/>
          <w:sz w:val="22"/>
        </w:rPr>
      </w:pPr>
      <w:r w:rsidRPr="00DF0680">
        <w:rPr>
          <w:rFonts w:cs="Times New Roman"/>
          <w:sz w:val="22"/>
        </w:rPr>
        <w:t>(Figure continues on the next page)</w:t>
      </w:r>
    </w:p>
    <w:p w:rsidR="00FE3028" w:rsidRPr="00DF0680" w:rsidRDefault="00FE3028" w:rsidP="00FE3028">
      <w:pPr>
        <w:tabs>
          <w:tab w:val="left" w:pos="2100"/>
        </w:tabs>
      </w:pPr>
    </w:p>
    <w:p w:rsidR="00FE3028" w:rsidRPr="00DF0680" w:rsidRDefault="00FE3028" w:rsidP="008C6A44">
      <w:r w:rsidRPr="00DF0680">
        <w:lastRenderedPageBreak/>
        <w:drawing>
          <wp:inline distT="0" distB="0" distL="0" distR="0">
            <wp:extent cx="5045075" cy="6432550"/>
            <wp:effectExtent l="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5045075" cy="6432550"/>
                    </a:xfrm>
                    <a:prstGeom prst="rect">
                      <a:avLst/>
                    </a:prstGeom>
                    <a:noFill/>
                    <a:ln w="9525">
                      <a:noFill/>
                      <a:miter lim="800000"/>
                      <a:headEnd/>
                      <a:tailEnd/>
                    </a:ln>
                  </pic:spPr>
                </pic:pic>
              </a:graphicData>
            </a:graphic>
          </wp:inline>
        </w:drawing>
      </w:r>
    </w:p>
    <w:p w:rsidR="00FE3028" w:rsidRPr="00DF0680" w:rsidRDefault="00FE3028" w:rsidP="00D94477">
      <w:pPr>
        <w:pStyle w:val="Caption"/>
      </w:pPr>
      <w:bookmarkStart w:id="733" w:name="_Toc410223115"/>
      <w:bookmarkStart w:id="734" w:name="_Toc417813921"/>
      <w:bookmarkStart w:id="735" w:name="_Ref419549928"/>
      <w:r w:rsidRPr="00DF0680">
        <w:t xml:space="preserve">Figure </w:t>
      </w:r>
      <w:fldSimple w:instr=" STYLEREF 1 \s ">
        <w:r w:rsidR="006119E3">
          <w:rPr>
            <w:noProof/>
          </w:rPr>
          <w:t>5</w:t>
        </w:r>
      </w:fldSimple>
      <w:r w:rsidR="006119E3">
        <w:t>.</w:t>
      </w:r>
      <w:fldSimple w:instr=" SEQ Figure \* ARABIC \s 1 ">
        <w:r w:rsidR="006119E3">
          <w:rPr>
            <w:noProof/>
          </w:rPr>
          <w:t>7</w:t>
        </w:r>
      </w:fldSimple>
      <w:bookmarkEnd w:id="735"/>
      <w:r w:rsidRPr="00DF0680">
        <w:t xml:space="preserve"> – Effect of depleting RECQL5 protein levels on proliferation of normal bladder and bladder cancer cell lines.</w:t>
      </w:r>
      <w:bookmarkEnd w:id="733"/>
      <w:bookmarkEnd w:id="734"/>
      <w:r w:rsidRPr="00DF0680">
        <w:t xml:space="preserve"> </w:t>
      </w:r>
    </w:p>
    <w:p w:rsidR="00FE3028" w:rsidRPr="00DF0680" w:rsidRDefault="00FE3028" w:rsidP="00923ED8">
      <w:pPr>
        <w:spacing w:line="276" w:lineRule="auto"/>
      </w:pPr>
      <w:r w:rsidRPr="00DF0680">
        <w:t xml:space="preserve">Bladder cancer cell line EJ and immortalised normal bladder cell line NHU were transfected with an siRNA pool targeting all 3 isoforms of RECQL5 (siRNAs Q5-1 and Q5-3) and a pool targeting RECQL5β specifically (siRNAs Q5β-1 and Q5β-3), alongside a non-targeting control (Con). Cells were left 24, 48 and 72 hours before harvesting and RECQL5β protein expression analysed using Western blot (A). Cells were counted </w:t>
      </w:r>
      <w:r w:rsidR="002F4997" w:rsidRPr="00DF0680">
        <w:t>during</w:t>
      </w:r>
      <w:r w:rsidRPr="00DF0680">
        <w:t xml:space="preserve"> harvesting and cell number calculated for each of three / four independent repeats (B). * and ** indicate Student’s t-test p values of &lt;0.05 and 0.01 respectively. </w:t>
      </w:r>
      <w:r w:rsidR="002F4997" w:rsidRPr="00DF0680">
        <w:t>Each line indicates the paired results of one experiment.</w:t>
      </w:r>
    </w:p>
    <w:p w:rsidR="00FE3028" w:rsidRPr="00DF0680" w:rsidRDefault="00FE3028" w:rsidP="00FE3028"/>
    <w:p w:rsidR="00FE3028" w:rsidRPr="00DF0680" w:rsidRDefault="00FE3028" w:rsidP="00FE3028"/>
    <w:p w:rsidR="00FE3028" w:rsidRPr="00DF0680" w:rsidRDefault="00FE3028" w:rsidP="00FE3028">
      <w:pPr>
        <w:keepNext/>
        <w:spacing w:line="276" w:lineRule="auto"/>
        <w:jc w:val="center"/>
        <w:rPr>
          <w:sz w:val="36"/>
        </w:rPr>
      </w:pPr>
      <w:r w:rsidRPr="00DF0680">
        <w:rPr>
          <w:sz w:val="36"/>
        </w:rPr>
        <w:drawing>
          <wp:inline distT="0" distB="0" distL="0" distR="0">
            <wp:extent cx="4495800" cy="4476750"/>
            <wp:effectExtent l="0" t="0" r="0" b="0"/>
            <wp:docPr id="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t="1230" b="2459"/>
                    <a:stretch>
                      <a:fillRect/>
                    </a:stretch>
                  </pic:blipFill>
                  <pic:spPr bwMode="auto">
                    <a:xfrm>
                      <a:off x="0" y="0"/>
                      <a:ext cx="4495800" cy="4476750"/>
                    </a:xfrm>
                    <a:prstGeom prst="rect">
                      <a:avLst/>
                    </a:prstGeom>
                    <a:noFill/>
                    <a:ln w="9525">
                      <a:noFill/>
                      <a:miter lim="800000"/>
                      <a:headEnd/>
                      <a:tailEnd/>
                    </a:ln>
                  </pic:spPr>
                </pic:pic>
              </a:graphicData>
            </a:graphic>
          </wp:inline>
        </w:drawing>
      </w:r>
    </w:p>
    <w:p w:rsidR="00FE3028" w:rsidRPr="00DF0680" w:rsidRDefault="00FE3028" w:rsidP="00D94477">
      <w:pPr>
        <w:pStyle w:val="Caption"/>
      </w:pPr>
    </w:p>
    <w:p w:rsidR="00FE3028" w:rsidRPr="00DF0680" w:rsidRDefault="00FE3028" w:rsidP="00D94477">
      <w:pPr>
        <w:pStyle w:val="Caption"/>
      </w:pPr>
      <w:bookmarkStart w:id="736" w:name="_Toc410223116"/>
      <w:bookmarkStart w:id="737" w:name="_Toc417813922"/>
      <w:r w:rsidRPr="00DF0680">
        <w:t xml:space="preserve">Figure </w:t>
      </w:r>
      <w:fldSimple w:instr=" STYLEREF 1 \s ">
        <w:r w:rsidR="006119E3">
          <w:rPr>
            <w:noProof/>
          </w:rPr>
          <w:t>5</w:t>
        </w:r>
      </w:fldSimple>
      <w:r w:rsidR="006119E3">
        <w:t>.</w:t>
      </w:r>
      <w:fldSimple w:instr=" SEQ Figure \* ARABIC \s 1 ">
        <w:r w:rsidR="006119E3">
          <w:rPr>
            <w:noProof/>
          </w:rPr>
          <w:t>8</w:t>
        </w:r>
      </w:fldSimple>
      <w:r w:rsidRPr="00DF0680">
        <w:t xml:space="preserve"> – Over-expressing RECQL5β in EJ cells and testing the sensitivity to thymidine induced replication stress.</w:t>
      </w:r>
      <w:bookmarkEnd w:id="736"/>
      <w:bookmarkEnd w:id="737"/>
      <w:r w:rsidRPr="00DF0680">
        <w:t xml:space="preserve"> </w:t>
      </w:r>
    </w:p>
    <w:p w:rsidR="00FE3028" w:rsidRPr="00DF0680" w:rsidRDefault="00FE3028" w:rsidP="00D94477">
      <w:pPr>
        <w:pStyle w:val="Caption"/>
        <w:rPr>
          <w:b w:val="0"/>
        </w:rPr>
      </w:pPr>
      <w:r w:rsidRPr="00DF0680">
        <w:rPr>
          <w:b w:val="0"/>
        </w:rPr>
        <w:t>EJ cells were transfected with the pIRESpuro3 vector containing a sequence encoding RECQL5β or helicase-dead RECQL5β. Cells were transfected with either 0.5 (A) or 1 μg (B) of DNA and left for 24, 48 or 72 hours before harvesting and lysing. Mock transfected cells were used as a control in which there was no DNA in the transfection mix added to the cells. After transfection with 0.5 μg of plasmid DNA, EJ cells were re-plated into a clonogenic toxicity assay</w:t>
      </w:r>
      <w:r w:rsidR="00792FA0" w:rsidRPr="00DF0680">
        <w:rPr>
          <w:b w:val="0"/>
        </w:rPr>
        <w:t>, leaving drugs on for the duration of the experiment (&gt;10 days),</w:t>
      </w:r>
      <w:r w:rsidRPr="00DF0680">
        <w:rPr>
          <w:b w:val="0"/>
        </w:rPr>
        <w:t xml:space="preserve"> and survival fraction in increasing concentrations of thymidine was calculated. Averages and standard deviations from three independent repeats are shown. </w:t>
      </w:r>
    </w:p>
    <w:p w:rsidR="00FE3028" w:rsidRPr="00DF0680" w:rsidRDefault="00FE3028" w:rsidP="00FE3028"/>
    <w:p w:rsidR="00FE3028" w:rsidRPr="00DF0680" w:rsidRDefault="00FE3028" w:rsidP="00FE3028"/>
    <w:p w:rsidR="00FE3028" w:rsidRPr="00DF0680" w:rsidRDefault="00FE3028" w:rsidP="00E664FC">
      <w:pPr>
        <w:pStyle w:val="Heading2"/>
      </w:pPr>
      <w:bookmarkStart w:id="738" w:name="_Toc410223041"/>
      <w:bookmarkStart w:id="739" w:name="_Toc417204212"/>
      <w:bookmarkStart w:id="740" w:name="_Toc417204745"/>
      <w:bookmarkStart w:id="741" w:name="_Toc417204805"/>
      <w:r w:rsidRPr="00DF0680">
        <w:lastRenderedPageBreak/>
        <w:t>Cells depleted of RECQL5 do not have increased DNA damage signalling upon replication stress</w:t>
      </w:r>
      <w:bookmarkEnd w:id="738"/>
      <w:bookmarkEnd w:id="739"/>
      <w:bookmarkEnd w:id="740"/>
      <w:bookmarkEnd w:id="741"/>
    </w:p>
    <w:p w:rsidR="00FE3028" w:rsidRPr="00DF0680" w:rsidRDefault="00FE3028" w:rsidP="00FE3028">
      <w:r w:rsidRPr="00DF0680">
        <w:t>Depleting levels of RECQL5 protein has been shown to increase the number of cells positive for spontaneous γH2AX</w:t>
      </w:r>
      <w:r w:rsidR="00C27816" w:rsidRPr="00DF0680">
        <w:t xml:space="preserve"> foci</w:t>
      </w:r>
      <w:r w:rsidRPr="00DF0680">
        <w:t xml:space="preserve"> </w:t>
      </w:r>
      <w:r w:rsidR="00F20EC0" w:rsidRPr="00DF0680">
        <w:fldChar w:fldCharType="begin" w:fldLock="1"/>
      </w:r>
      <w:r w:rsidR="00332613" w:rsidRPr="00DF0680">
        <w:instrText>ADDIN CSL_CITATION { "citationItems" : [ { "id" : "ITEM-1", "itemData" : { "DOI" : "10.1101/gad.1609107", "ISSN" : "0890-9369", "PMID" : "18003859", "abstract" : "Members of the RecQ helicase family play critical roles in genome maintenance. There are five RecQ homologs in mammals, and defects in three of these (BLM, WRN, and RECQL4) give rise to cancer predisposition syndromes in humans. RECQL and RECQL5 have not been associated with a human disease. Here we show that deletion of Recql5 in mice results in cancer susceptibility. Recql5-deficient cells exhibit elevated frequencies of spontaneous DNA double-strand breaks and homologous recombination (HR) as scored using a reporter that harbors a direct repeat, and are prone to gross chromosomal rearrangements in response to replication stress. To understand how RECQL5 regulates HR, we use purified proteins to demonstrate that human RECQL5 binds the Rad51 recombinase and inhibits Rad51-mediated D-loop formation. By biochemical means and electron microscopy, we show that RECQL5 displaces Rad51 from single-stranded DNA (ssDNA) in a reaction that requires ATP hydrolysis and RPA. Together, our results identify RECQL5 as an important tumor suppressor that may act by preventing inappropriate HR events via Rad51 presynaptic filament disruption.", "author" : [ { "dropping-particle" : "", "family" : "Hu", "given" : "Yiduo", "non-dropping-particle" : "", "parse-names" : false, "suffix" : "" }, { "dropping-particle" : "", "family" : "Raynard", "given" : "Steven", "non-dropping-particle" : "", "parse-names" : false, "suffix" : "" }, { "dropping-particle" : "", "family" : "Sehorn", "given" : "Michael G", "non-dropping-particle" : "", "parse-names" : false, "suffix" : "" }, { "dropping-particle" : "", "family" : "Lu", "given" : "Xincheng", "non-dropping-particle" : "", "parse-names" : false, "suffix" : "" }, { "dropping-particle" : "", "family" : "Bussen", "given" : "Wendy", "non-dropping-particle" : "", "parse-names" : false, "suffix" : "" }, { "dropping-particle" : "", "family" : "Zheng", "given" : "Lu", "non-dropping-particle" : "", "parse-names" : false, "suffix" : "" }, { "dropping-particle" : "", "family" : "Stark", "given" : "Jeremy M", "non-dropping-particle" : "", "parse-names" : false, "suffix" : "" }, { "dropping-particle" : "", "family" : "Barnes", "given" : "Ellen L", "non-dropping-particle" : "", "parse-names" : false, "suffix" : "" }, { "dropping-particle" : "", "family" : "Chi", "given" : "Peter", "non-dropping-particle" : "", "parse-names" : false, "suffix" : "" }, { "dropping-particle" : "", "family" : "Janscak", "given" : "Pavel", "non-dropping-particle" : "", "parse-names" : false, "suffix" : "" }, { "dropping-particle" : "", "family" : "Jasin", "given" : "Maria", "non-dropping-particle" : "", "parse-names" : false, "suffix" : "" }, { "dropping-particle" : "", "family" : "Vogel", "given" : "Hannes", "non-dropping-particle" : "", "parse-names" : false, "suffix" : "" }, { "dropping-particle" : "", "family" : "Sung", "given" : "Patrick", "non-dropping-particle" : "", "parse-names" : false, "suffix" : "" }, { "dropping-particle" : "", "family" : "Luo", "given" : "Guangbin", "non-dropping-particle" : "", "parse-names" : false, "suffix" : "" } ], "container-title" : "Genes &amp; Development", "id" : "ITEM-1", "issue" : "23", "issued" : { "date-parts" : [ [ "2007", "12", "1" ] ] }, "page" : "3073-84", "title" : "RECQL5/Recql5 helicase regulates homologous recombination and suppresses tumor formation via disruption of Rad51 presynaptic filaments.", "type" : "article-journal", "volume" : "21" }, "uris" : [ "http://www.mendeley.com/documents/?uuid=569f0011-a132-4c3c-8afd-04e50c78a14c" ] } ], "mendeley" : { "formattedCitation" : "(Hu et al. 2007)", "plainTextFormattedCitation" : "(Hu et al. 2007)", "previouslyFormattedCitation" : "(Hu et al. 2007)" }, "properties" : { "noteIndex" : 0 }, "schema" : "https://github.com/citation-style-language/schema/raw/master/csl-citation.json" }</w:instrText>
      </w:r>
      <w:r w:rsidR="00F20EC0" w:rsidRPr="00DF0680">
        <w:fldChar w:fldCharType="separate"/>
      </w:r>
      <w:r w:rsidRPr="00DF0680">
        <w:t>(Hu et al. 2007)</w:t>
      </w:r>
      <w:r w:rsidR="00F20EC0" w:rsidRPr="00DF0680">
        <w:fldChar w:fldCharType="end"/>
      </w:r>
      <w:r w:rsidRPr="00DF0680">
        <w:t xml:space="preserve">. Blundred </w:t>
      </w:r>
      <w:r w:rsidRPr="00DF0680">
        <w:rPr>
          <w:i/>
        </w:rPr>
        <w:t>et al.</w:t>
      </w:r>
      <w:r w:rsidRPr="00DF0680">
        <w:t xml:space="preserve"> showed decreased DNA damage signalling in thymidine when Q5 is over</w:t>
      </w:r>
      <w:r w:rsidR="00C27816" w:rsidRPr="00DF0680">
        <w:t>-</w:t>
      </w:r>
      <w:r w:rsidRPr="00DF0680">
        <w:t>expressed. The paper</w:t>
      </w:r>
      <w:r w:rsidR="00C27816" w:rsidRPr="00DF0680">
        <w:t xml:space="preserve"> showed a decrease in thymidine-</w:t>
      </w:r>
      <w:r w:rsidRPr="00DF0680">
        <w:t>induced DNA damage markers γH2AX (</w:t>
      </w:r>
      <w:r w:rsidR="00C942B7" w:rsidRPr="00DF0680">
        <w:t>p</w:t>
      </w:r>
      <w:r w:rsidRPr="00DF0680">
        <w:t>Ser139), and phosphorylated CHK1 (</w:t>
      </w:r>
      <w:r w:rsidR="00C942B7" w:rsidRPr="00DF0680">
        <w:t>p</w:t>
      </w:r>
      <w:r w:rsidRPr="00DF0680">
        <w:t xml:space="preserve">Ser345) </w:t>
      </w:r>
      <w:r w:rsidR="00F20EC0" w:rsidRPr="00DF0680">
        <w:fldChar w:fldCharType="begin" w:fldLock="1"/>
      </w:r>
      <w:r w:rsidR="0033261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fldChar w:fldCharType="separate"/>
      </w:r>
      <w:r w:rsidRPr="00DF0680">
        <w:t>(Blundred et al. 2010)</w:t>
      </w:r>
      <w:r w:rsidR="00F20EC0" w:rsidRPr="00DF0680">
        <w:fldChar w:fldCharType="end"/>
      </w:r>
      <w:r w:rsidRPr="00DF0680">
        <w:t xml:space="preserve">. This indicates that RECQL5 can alter DNA damage signalling following replication stress. This could be through altering substrates caused by replication stress or by altering the DNA repair pathway.  </w:t>
      </w:r>
    </w:p>
    <w:p w:rsidR="00FE3028" w:rsidRPr="00DF0680" w:rsidRDefault="00C27816" w:rsidP="00FE3028">
      <w:r w:rsidRPr="00DF0680">
        <w:t>In order to investigate whether RECQL5 depletion could influence DNA damage signalling in replication stress, l</w:t>
      </w:r>
      <w:r w:rsidR="00FE3028" w:rsidRPr="00DF0680">
        <w:t xml:space="preserve">ysates from </w:t>
      </w:r>
      <w:r w:rsidR="00471D18" w:rsidRPr="00DF0680">
        <w:t>MRC5V2</w:t>
      </w:r>
      <w:r w:rsidR="00FE3028" w:rsidRPr="00DF0680">
        <w:t xml:space="preserve"> cells depleted of RECQL5 were analysed using Western blotting techniques, probing for the DNA damage markers γH2AX (</w:t>
      </w:r>
      <w:r w:rsidR="00C942B7" w:rsidRPr="00DF0680">
        <w:t>p</w:t>
      </w:r>
      <w:r w:rsidR="00FE3028" w:rsidRPr="00DF0680">
        <w:t>Ser139) and phosphorylated CHK1 (</w:t>
      </w:r>
      <w:r w:rsidR="00C942B7" w:rsidRPr="00DF0680">
        <w:t>p</w:t>
      </w:r>
      <w:r w:rsidR="00FE3028" w:rsidRPr="00DF0680">
        <w:t xml:space="preserve">Ser345) (Figure 5.9). Although pCHK1 increased </w:t>
      </w:r>
      <w:r w:rsidRPr="00DF0680">
        <w:t xml:space="preserve">slightly </w:t>
      </w:r>
      <w:r w:rsidR="00FE3028" w:rsidRPr="00DF0680">
        <w:t xml:space="preserve">after treatment with thymidine and both pCHK1 and γH2AX increased after treatment with hydroxyurea, there was no difference in the cells depleted of RECQL5 or RECQL5β to the control. Using immunofluorescence, an increase in the number of positive cells for endogenous γH2AX foci was seen when cells were depleted of RECQL5 (Figure 5.10). There were no further increases in the number of positive cells, between untreated and treatment with either thymidine or hydroxyurea, in cells transfected with Q5 siRNA. There were small increases seen in the number of γH2AX positive Q5β siRNA transfected cells when cells were treated with thymidine and hydroxyurea compared to untreated but these increases were smaller than those seen in the control transfected cells. This may point to a role of RECQL5 to sensitise cells to replication stress induced damage. However, this was only performed once and the </w:t>
      </w:r>
      <w:r w:rsidR="00F50D84" w:rsidRPr="00DF0680">
        <w:t xml:space="preserve">immunofluorescence </w:t>
      </w:r>
      <w:r w:rsidR="00FE3028" w:rsidRPr="00DF0680">
        <w:t xml:space="preserve">counts did reach a saturation point with Q5 siRNA transfected and HU treated cells. </w:t>
      </w:r>
      <w:r w:rsidR="00F50D84" w:rsidRPr="00DF0680">
        <w:t xml:space="preserve">A large increase in </w:t>
      </w:r>
      <w:r w:rsidR="00DC59F6" w:rsidRPr="00DF0680">
        <w:t>γ</w:t>
      </w:r>
      <w:r w:rsidR="00F50D84" w:rsidRPr="00DF0680">
        <w:t>H2AX</w:t>
      </w:r>
      <w:r w:rsidR="00DC59F6" w:rsidRPr="00DF0680">
        <w:t xml:space="preserve"> pSer139 and CHK1 pSer345 was also seen in cells treated with hydroxyurea in the Western blot and t</w:t>
      </w:r>
      <w:r w:rsidR="00F50D84" w:rsidRPr="00DF0680">
        <w:t>his may be due to the long treatment (24 hours of 0.5 mM)</w:t>
      </w:r>
      <w:r w:rsidR="00DC59F6" w:rsidRPr="00DF0680">
        <w:t>. However,</w:t>
      </w:r>
      <w:r w:rsidR="00F50D84" w:rsidRPr="00DF0680">
        <w:t xml:space="preserve"> </w:t>
      </w:r>
      <w:r w:rsidR="00DC59F6" w:rsidRPr="00DF0680">
        <w:t>t</w:t>
      </w:r>
      <w:r w:rsidR="00F50D84" w:rsidRPr="00DF0680">
        <w:t xml:space="preserve">he Western blot and immunofluorescence data do not match, as </w:t>
      </w:r>
      <w:proofErr w:type="gramStart"/>
      <w:r w:rsidR="00F50D84" w:rsidRPr="00DF0680">
        <w:t>no</w:t>
      </w:r>
      <w:proofErr w:type="gramEnd"/>
      <w:r w:rsidR="00F50D84" w:rsidRPr="00DF0680">
        <w:t xml:space="preserve"> differences were seen in the Western blot between control and RECQL5 siRNA transfected cells, meaning that any conclusions drawn from this experiment will not be robust. </w:t>
      </w:r>
    </w:p>
    <w:p w:rsidR="00D230B3" w:rsidRPr="00DF0680" w:rsidRDefault="00D230B3">
      <w:pPr>
        <w:spacing w:line="276" w:lineRule="auto"/>
        <w:jc w:val="left"/>
      </w:pPr>
      <w:r w:rsidRPr="00DF0680">
        <w:br w:type="page"/>
      </w:r>
    </w:p>
    <w:p w:rsidR="00FE3028" w:rsidRPr="00DF0680" w:rsidRDefault="00FE3028" w:rsidP="00FE3028"/>
    <w:p w:rsidR="00FE3028" w:rsidRPr="00DF0680" w:rsidRDefault="00EA127E" w:rsidP="00FE3028">
      <w:pPr>
        <w:keepNext/>
      </w:pPr>
      <w:r w:rsidRPr="00DF0680">
        <w:drawing>
          <wp:inline distT="0" distB="0" distL="0" distR="0">
            <wp:extent cx="5400040" cy="4853870"/>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srcRect/>
                    <a:stretch>
                      <a:fillRect/>
                    </a:stretch>
                  </pic:blipFill>
                  <pic:spPr bwMode="auto">
                    <a:xfrm>
                      <a:off x="0" y="0"/>
                      <a:ext cx="5400040" cy="4853870"/>
                    </a:xfrm>
                    <a:prstGeom prst="rect">
                      <a:avLst/>
                    </a:prstGeom>
                    <a:noFill/>
                    <a:ln w="9525">
                      <a:noFill/>
                      <a:miter lim="800000"/>
                      <a:headEnd/>
                      <a:tailEnd/>
                    </a:ln>
                  </pic:spPr>
                </pic:pic>
              </a:graphicData>
            </a:graphic>
          </wp:inline>
        </w:drawing>
      </w:r>
    </w:p>
    <w:p w:rsidR="00FE3028" w:rsidRPr="00DF0680" w:rsidRDefault="00FE3028" w:rsidP="00D94477">
      <w:pPr>
        <w:pStyle w:val="Caption"/>
      </w:pPr>
    </w:p>
    <w:p w:rsidR="00FE3028" w:rsidRPr="00DF0680" w:rsidRDefault="00FE3028" w:rsidP="00D94477">
      <w:pPr>
        <w:pStyle w:val="Caption"/>
      </w:pPr>
      <w:bookmarkStart w:id="742" w:name="_Toc410223117"/>
      <w:bookmarkStart w:id="743" w:name="_Toc417813923"/>
      <w:r w:rsidRPr="00DF0680">
        <w:t xml:space="preserve">Figure </w:t>
      </w:r>
      <w:fldSimple w:instr=" STYLEREF 1 \s ">
        <w:r w:rsidR="006119E3">
          <w:rPr>
            <w:noProof/>
          </w:rPr>
          <w:t>5</w:t>
        </w:r>
      </w:fldSimple>
      <w:r w:rsidR="006119E3">
        <w:t>.</w:t>
      </w:r>
      <w:fldSimple w:instr=" SEQ Figure \* ARABIC \s 1 ">
        <w:r w:rsidR="006119E3">
          <w:rPr>
            <w:noProof/>
          </w:rPr>
          <w:t>9</w:t>
        </w:r>
      </w:fldSimple>
      <w:r w:rsidRPr="00DF0680">
        <w:t xml:space="preserve"> – DNA damage signalling in replication stress in cells depleted of RECQL5.</w:t>
      </w:r>
      <w:bookmarkEnd w:id="742"/>
      <w:bookmarkEnd w:id="743"/>
      <w:r w:rsidRPr="00DF0680">
        <w:t xml:space="preserve"> </w:t>
      </w:r>
    </w:p>
    <w:p w:rsidR="00FE3028" w:rsidRPr="00DF0680" w:rsidRDefault="00471D18" w:rsidP="00923ED8">
      <w:pPr>
        <w:spacing w:line="276" w:lineRule="auto"/>
      </w:pPr>
      <w:r w:rsidRPr="00DF0680">
        <w:t>MRC5V2</w:t>
      </w:r>
      <w:r w:rsidR="00FE3028" w:rsidRPr="00DF0680">
        <w:t xml:space="preserve"> cells were transfected with an siRNA pool targeting all 3 isoforms of RECQL5 (siRNAs Q5-1 and Q5-3) and a pool targeting RECQL5β specifically (siRNAs Q5β-1 and Q5β-3), alongside a non-targeting control (Con). 24 hours after transfection, cells were either treated with 10mM thymidine (dT), 0.5mM of hydroxyurea (HU) or left untreated for 24 hours (un). Cells were then lysed and samples analysed for RECQL5β, H2AX phosphorylation and CHK1 phosphorylation. </w:t>
      </w:r>
      <w:r w:rsidR="007724FB" w:rsidRPr="00DF0680">
        <w:t xml:space="preserve">Blots for RECQL5β, </w:t>
      </w:r>
      <w:r w:rsidR="007724FB" w:rsidRPr="00DF0680">
        <w:rPr>
          <w:rFonts w:ascii="Calibri" w:hAnsi="Calibri"/>
        </w:rPr>
        <w:t>γ</w:t>
      </w:r>
      <w:r w:rsidR="007724FB" w:rsidRPr="00DF0680">
        <w:t>H2AX pS139, CHK1 pS345 and CHK1 have a lower exposure (top) and a higher exposure (bottom) shown.</w:t>
      </w:r>
    </w:p>
    <w:p w:rsidR="00FE3028" w:rsidRPr="00DF0680" w:rsidRDefault="00686B17" w:rsidP="00121283">
      <w:pPr>
        <w:pStyle w:val="Caption"/>
        <w:spacing w:after="120"/>
        <w:jc w:val="center"/>
      </w:pPr>
      <w:r w:rsidRPr="00DF0680">
        <w:lastRenderedPageBreak/>
        <w:drawing>
          <wp:inline distT="0" distB="0" distL="0" distR="0">
            <wp:extent cx="4107977" cy="6687403"/>
            <wp:effectExtent l="0" t="0" r="0" b="0"/>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t="1575" b="1968"/>
                    <a:stretch>
                      <a:fillRect/>
                    </a:stretch>
                  </pic:blipFill>
                  <pic:spPr bwMode="auto">
                    <a:xfrm>
                      <a:off x="0" y="0"/>
                      <a:ext cx="4107977" cy="6687403"/>
                    </a:xfrm>
                    <a:prstGeom prst="rect">
                      <a:avLst/>
                    </a:prstGeom>
                    <a:noFill/>
                    <a:ln w="9525">
                      <a:noFill/>
                      <a:miter lim="800000"/>
                      <a:headEnd/>
                      <a:tailEnd/>
                    </a:ln>
                  </pic:spPr>
                </pic:pic>
              </a:graphicData>
            </a:graphic>
          </wp:inline>
        </w:drawing>
      </w:r>
    </w:p>
    <w:p w:rsidR="00FE3028" w:rsidRPr="00DF0680" w:rsidRDefault="00FE3028" w:rsidP="00121283">
      <w:pPr>
        <w:pStyle w:val="Caption"/>
        <w:spacing w:after="120"/>
      </w:pPr>
      <w:bookmarkStart w:id="744" w:name="_Toc410223118"/>
      <w:bookmarkStart w:id="745" w:name="_Toc417813924"/>
      <w:r w:rsidRPr="00DF0680">
        <w:t xml:space="preserve">Figure </w:t>
      </w:r>
      <w:fldSimple w:instr=" STYLEREF 1 \s ">
        <w:r w:rsidR="006119E3">
          <w:rPr>
            <w:noProof/>
          </w:rPr>
          <w:t>5</w:t>
        </w:r>
      </w:fldSimple>
      <w:r w:rsidR="006119E3">
        <w:t>.</w:t>
      </w:r>
      <w:fldSimple w:instr=" SEQ Figure \* ARABIC \s 1 ">
        <w:r w:rsidR="006119E3">
          <w:rPr>
            <w:noProof/>
          </w:rPr>
          <w:t>10</w:t>
        </w:r>
      </w:fldSimple>
      <w:r w:rsidRPr="00DF0680">
        <w:t xml:space="preserve"> – γH2AX foci in replication stress in cells depleted of RECQL5.</w:t>
      </w:r>
      <w:bookmarkEnd w:id="744"/>
      <w:bookmarkEnd w:id="745"/>
    </w:p>
    <w:p w:rsidR="00FE3028" w:rsidRPr="00DF0680" w:rsidRDefault="00471D18" w:rsidP="00923ED8">
      <w:pPr>
        <w:spacing w:line="276" w:lineRule="auto"/>
      </w:pPr>
      <w:r w:rsidRPr="00DF0680">
        <w:t>MRC5V2</w:t>
      </w:r>
      <w:r w:rsidR="00FE3028" w:rsidRPr="00DF0680">
        <w:t xml:space="preserve"> cells were transfected with an siRNA pool targeting all 3 isoforms of RECQL5 (siRNAs Q5-1 and Q5-3) and a pool targeting RECQL5β specifically (siRNAs Q5β-1 and Q5β-3), alongside a non-targeting control (Con). 24 hours after transfection, cells were either treated with 10mM thymidine (dT), 0.5mM of hydroxyurea (HU) or left untreated for 24 hours. Cells were then fixed and stained, using </w:t>
      </w:r>
      <w:r w:rsidR="00336FBD" w:rsidRPr="00DF0680">
        <w:t>immunofluorescence</w:t>
      </w:r>
      <w:r w:rsidR="00FE3028" w:rsidRPr="00DF0680">
        <w:t xml:space="preserve">, for γH2AX (A). The </w:t>
      </w:r>
      <w:proofErr w:type="gramStart"/>
      <w:r w:rsidR="00FE3028" w:rsidRPr="00DF0680">
        <w:t>number of cells with more than 10 foci were</w:t>
      </w:r>
      <w:proofErr w:type="gramEnd"/>
      <w:r w:rsidR="00FE3028" w:rsidRPr="00DF0680">
        <w:t xml:space="preserve"> counted</w:t>
      </w:r>
      <w:r w:rsidR="00121283" w:rsidRPr="00DF0680">
        <w:t xml:space="preserve"> before calculating a percentage</w:t>
      </w:r>
      <w:r w:rsidR="00FE3028" w:rsidRPr="00DF0680">
        <w:t xml:space="preserve"> (B). </w:t>
      </w:r>
      <w:r w:rsidR="00D230B3" w:rsidRPr="00DF0680">
        <w:t xml:space="preserve">In total, 200 cells were counted for each cell treatment. </w:t>
      </w:r>
      <w:r w:rsidR="00121283" w:rsidRPr="00DF0680">
        <w:t>Images were taken at a magnification of x 60.</w:t>
      </w:r>
    </w:p>
    <w:p w:rsidR="00FE3028" w:rsidRPr="00DF0680" w:rsidRDefault="00FE3028" w:rsidP="00E664FC">
      <w:pPr>
        <w:pStyle w:val="Heading2"/>
      </w:pPr>
      <w:bookmarkStart w:id="746" w:name="_Toc410223042"/>
      <w:bookmarkStart w:id="747" w:name="_Toc417204213"/>
      <w:bookmarkStart w:id="748" w:name="_Toc417204746"/>
      <w:bookmarkStart w:id="749" w:name="_Toc417204806"/>
      <w:r w:rsidRPr="00DF0680">
        <w:lastRenderedPageBreak/>
        <w:t>Depleting cells of RECQL5 reduces S phase arrest in thymidine</w:t>
      </w:r>
      <w:bookmarkEnd w:id="746"/>
      <w:bookmarkEnd w:id="747"/>
      <w:bookmarkEnd w:id="748"/>
      <w:bookmarkEnd w:id="749"/>
    </w:p>
    <w:p w:rsidR="00FE3028" w:rsidRPr="00DF0680" w:rsidRDefault="00FE3028" w:rsidP="00FE3028">
      <w:r w:rsidRPr="00DF0680">
        <w:t xml:space="preserve">Blundred </w:t>
      </w:r>
      <w:r w:rsidRPr="00DF0680">
        <w:rPr>
          <w:i/>
        </w:rPr>
        <w:t>et al.</w:t>
      </w:r>
      <w:r w:rsidRPr="00DF0680">
        <w:t xml:space="preserve"> showed that </w:t>
      </w:r>
      <w:r w:rsidR="00471D18" w:rsidRPr="00DF0680">
        <w:t>MRC5V2</w:t>
      </w:r>
      <w:r w:rsidRPr="00DF0680">
        <w:t xml:space="preserve"> cells can cycle normally in thymidine when over-expressing RECQL5β </w:t>
      </w:r>
      <w:r w:rsidR="00F20EC0" w:rsidRPr="00DF0680">
        <w:fldChar w:fldCharType="begin" w:fldLock="1"/>
      </w:r>
      <w:r w:rsidR="0033261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fldChar w:fldCharType="separate"/>
      </w:r>
      <w:r w:rsidRPr="00DF0680">
        <w:t>(Blundred et al. 2010)</w:t>
      </w:r>
      <w:r w:rsidR="00F20EC0" w:rsidRPr="00DF0680">
        <w:fldChar w:fldCharType="end"/>
      </w:r>
      <w:r w:rsidRPr="00DF0680">
        <w:t xml:space="preserve">. </w:t>
      </w:r>
      <w:r w:rsidR="007724FB" w:rsidRPr="00DF0680">
        <w:t xml:space="preserve">To investigate whether RECQL5 depletion influenced cell cycling in thymidine, </w:t>
      </w:r>
      <w:r w:rsidR="00471D18" w:rsidRPr="00DF0680">
        <w:t>MRC5V2</w:t>
      </w:r>
      <w:r w:rsidRPr="00DF0680">
        <w:t xml:space="preserve"> cells were depleted of RECQL5 for 24 hours, using siRNA, and then, as complete depletion was only seen at 72 hours, exposed to thymidine for 48 hours. Percentage of cells in each cell cycle phase was analysed using FACS (Figure 5.11B). Control cells showed a significant increase in proportion of cells in S phase (Student’s t-test, p value = </w:t>
      </w:r>
      <w:r w:rsidR="00C942B7" w:rsidRPr="00DF0680">
        <w:t>0.0</w:t>
      </w:r>
      <w:r w:rsidRPr="00DF0680">
        <w:t xml:space="preserve">48) and a significant decrease in cell percentage in G2 phase (Student’s t-test, p value = </w:t>
      </w:r>
      <w:r w:rsidR="00C942B7" w:rsidRPr="00DF0680">
        <w:t>0.0</w:t>
      </w:r>
      <w:r w:rsidRPr="00DF0680">
        <w:t xml:space="preserve">17) after 48 hours of thymidine treatment. Cells depleted of RECQL5 do not see a decrease in the percentage of cells in G2. The same trend was seen using RECQL5β siRNA. </w:t>
      </w:r>
      <w:r w:rsidR="00ED61B8" w:rsidRPr="00DF0680">
        <w:t>Although a different experiment has been used, the same effect of increased cell cycling in thymidine seen in Blundred et al., but</w:t>
      </w:r>
      <w:r w:rsidRPr="00DF0680">
        <w:t xml:space="preserve"> </w:t>
      </w:r>
      <w:r w:rsidR="00ED61B8" w:rsidRPr="00DF0680">
        <w:t xml:space="preserve">this </w:t>
      </w:r>
      <w:r w:rsidRPr="00DF0680">
        <w:t xml:space="preserve">work </w:t>
      </w:r>
      <w:r w:rsidR="00ED61B8" w:rsidRPr="00DF0680">
        <w:t>has been done by depleting RECQL5, rather than over-expressing it. Testing cell cycling in thymidine in RECQL5 over-expressing cells has not been done here, but attempting to recreate that work, and then depleting the over-expressing RECQL5 with the siRNA used here, may shed some light on how RECQL5 influences cell cycling in replication stress.</w:t>
      </w:r>
      <w:r w:rsidR="0060454F" w:rsidRPr="00DF0680">
        <w:t xml:space="preserve"> </w:t>
      </w:r>
    </w:p>
    <w:p w:rsidR="00FE3028" w:rsidRPr="00DF0680" w:rsidRDefault="00FE3028" w:rsidP="00FE3028"/>
    <w:p w:rsidR="00FE3028" w:rsidRPr="00DF0680" w:rsidRDefault="0071440F" w:rsidP="00FE3028">
      <w:pPr>
        <w:keepNext/>
        <w:jc w:val="center"/>
      </w:pPr>
      <w:r w:rsidRPr="00DF0680">
        <w:lastRenderedPageBreak/>
        <w:drawing>
          <wp:inline distT="0" distB="0" distL="0" distR="0">
            <wp:extent cx="5400040" cy="5534620"/>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srcRect/>
                    <a:stretch>
                      <a:fillRect/>
                    </a:stretch>
                  </pic:blipFill>
                  <pic:spPr bwMode="auto">
                    <a:xfrm>
                      <a:off x="0" y="0"/>
                      <a:ext cx="5400040" cy="5534620"/>
                    </a:xfrm>
                    <a:prstGeom prst="rect">
                      <a:avLst/>
                    </a:prstGeom>
                    <a:noFill/>
                    <a:ln w="9525">
                      <a:noFill/>
                      <a:miter lim="800000"/>
                      <a:headEnd/>
                      <a:tailEnd/>
                    </a:ln>
                  </pic:spPr>
                </pic:pic>
              </a:graphicData>
            </a:graphic>
          </wp:inline>
        </w:drawing>
      </w:r>
    </w:p>
    <w:p w:rsidR="00FE3028" w:rsidRPr="00DF0680" w:rsidRDefault="00FE3028" w:rsidP="00D94477">
      <w:pPr>
        <w:pStyle w:val="Caption"/>
      </w:pPr>
      <w:bookmarkStart w:id="750" w:name="_Toc410223119"/>
      <w:bookmarkStart w:id="751" w:name="_Toc417813925"/>
      <w:r w:rsidRPr="00DF0680">
        <w:t xml:space="preserve">Figure </w:t>
      </w:r>
      <w:fldSimple w:instr=" STYLEREF 1 \s ">
        <w:r w:rsidR="006119E3">
          <w:rPr>
            <w:noProof/>
          </w:rPr>
          <w:t>5</w:t>
        </w:r>
      </w:fldSimple>
      <w:r w:rsidR="006119E3">
        <w:t>.</w:t>
      </w:r>
      <w:fldSimple w:instr=" SEQ Figure \* ARABIC \s 1 ">
        <w:r w:rsidR="006119E3">
          <w:rPr>
            <w:noProof/>
          </w:rPr>
          <w:t>11</w:t>
        </w:r>
      </w:fldSimple>
      <w:r w:rsidRPr="00DF0680">
        <w:t xml:space="preserve"> – The effect of RECQL5 depletion on thymidine-induced S-phase arrest.</w:t>
      </w:r>
      <w:bookmarkEnd w:id="750"/>
      <w:bookmarkEnd w:id="751"/>
    </w:p>
    <w:p w:rsidR="00FE3028" w:rsidRPr="00DF0680" w:rsidRDefault="00471D18" w:rsidP="00923ED8">
      <w:pPr>
        <w:spacing w:line="276" w:lineRule="auto"/>
      </w:pPr>
      <w:r w:rsidRPr="00DF0680">
        <w:t>MRC5V2</w:t>
      </w:r>
      <w:r w:rsidR="00FE3028" w:rsidRPr="00DF0680">
        <w:t xml:space="preserve"> cells were transfected with an siRNA pool targeting all 3 isoforms of RECQL5 (siRNAs Q5-1 and Q5-3) and a pool targeting RECQL5β specifically (siRNAs Q5β-1 and Q5β-3), alongside a non-targeting control (Con). Cells were left 24, 48 and 72 hours before being harvested and RECQL5 protein level analysed using Western blot (A). 24 hours after transfection of siRNA, </w:t>
      </w:r>
      <w:r w:rsidRPr="00DF0680">
        <w:t>MRC5V2</w:t>
      </w:r>
      <w:r w:rsidR="00FE3028" w:rsidRPr="00DF0680">
        <w:t xml:space="preserve"> cells were treated with 2mM thymidine (dT) for 48 hours or left untreated (un). These were then fixed in 70% ethanol and stained for propidium iodide (PI) and analysed using FACS. Percentage of cells in S phase and G2 phase is shown (B). Averages and standard deviations of three repeats are shown. * indicates a Student’s t-test p value of &lt;0.05. </w:t>
      </w:r>
    </w:p>
    <w:p w:rsidR="00901B50" w:rsidRPr="00DF0680" w:rsidRDefault="00901B50" w:rsidP="00901B50"/>
    <w:p w:rsidR="00FE3028" w:rsidRPr="00DF0680" w:rsidRDefault="00FE3028" w:rsidP="00E664FC">
      <w:pPr>
        <w:pStyle w:val="Heading2"/>
      </w:pPr>
      <w:bookmarkStart w:id="752" w:name="_Toc410223043"/>
      <w:bookmarkStart w:id="753" w:name="_Toc417204214"/>
      <w:bookmarkStart w:id="754" w:name="_Toc417204747"/>
      <w:bookmarkStart w:id="755" w:name="_Toc417204807"/>
      <w:r w:rsidRPr="00DF0680">
        <w:lastRenderedPageBreak/>
        <w:t>Discussion</w:t>
      </w:r>
      <w:bookmarkEnd w:id="752"/>
      <w:bookmarkEnd w:id="753"/>
      <w:bookmarkEnd w:id="754"/>
      <w:bookmarkEnd w:id="755"/>
    </w:p>
    <w:p w:rsidR="00FE3028" w:rsidRPr="00DF0680" w:rsidRDefault="00FE3028" w:rsidP="00FE3028">
      <w:r w:rsidRPr="00DF0680">
        <w:t xml:space="preserve">Bladder cancer cells were more sensitive to replication stress induced by camptothecin, thymidine and hydroxyurea than immortalised normal cells (Figure 5.1). This was done using an MTT assay which tests cell viability. As the bladder cancer cells expressed RECQL5 to a greater extent, we may expect them to be more resistant to drugs such as thymidine </w:t>
      </w:r>
      <w:r w:rsidR="00F20EC0" w:rsidRPr="00DF0680">
        <w:fldChar w:fldCharType="begin" w:fldLock="1"/>
      </w:r>
      <w:r w:rsidR="0033261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fldChar w:fldCharType="separate"/>
      </w:r>
      <w:r w:rsidRPr="00DF0680">
        <w:t>(Blundred et al. 2010)</w:t>
      </w:r>
      <w:r w:rsidR="00F20EC0" w:rsidRPr="00DF0680">
        <w:fldChar w:fldCharType="end"/>
      </w:r>
      <w:r w:rsidRPr="00DF0680">
        <w:t>. This was not the case and may be due to the vast genetic differences between the two bladder cell lines. As the cancer cell lines may be replicating and cycling faster, they may come across the replication stress more often and thus the drugs have a more toxic effect.</w:t>
      </w:r>
    </w:p>
    <w:p w:rsidR="00FE3028" w:rsidRPr="00DF0680" w:rsidRDefault="00FE3028" w:rsidP="00FE3028">
      <w:r w:rsidRPr="00DF0680">
        <w:t xml:space="preserve">Depleting RECQL5 protein levels using the Dharmafect SMARTpool increased sensitivity to replication stress in the EJ cells and to a lesser extent in the </w:t>
      </w:r>
      <w:r w:rsidR="00471D18" w:rsidRPr="00DF0680">
        <w:t>MRC5V2</w:t>
      </w:r>
      <w:r w:rsidRPr="00DF0680">
        <w:t xml:space="preserve"> cells (Figure 5.2 and 5.3). Splitting the pool to identify individual siRNA effects showed that the sensitivity in </w:t>
      </w:r>
      <w:r w:rsidR="00471D18" w:rsidRPr="00DF0680">
        <w:t>MRC5V2</w:t>
      </w:r>
      <w:r w:rsidRPr="00DF0680">
        <w:t xml:space="preserve"> cells was conferred by siRNA Q5-2 of the pool (Figure 5.5). As all 4 of the siRNAs from the pool reduced RECQL5 protein levels (Q5-4 to a lesser extent) but only Q5-2 showed an increase in sensitivity to replication stress, it can be concluded that depleting cells of RECQL5 does not increase sensitivity in </w:t>
      </w:r>
      <w:r w:rsidR="00471D18" w:rsidRPr="00DF0680">
        <w:t>MRC5V2</w:t>
      </w:r>
      <w:r w:rsidRPr="00DF0680">
        <w:t xml:space="preserve"> cells, and the sensitivity seen is due to off-target effects from one siRNA. This is further evidenced by depletion of RECQL5β exclusively using a pool and individual siRNAs which did not change the toxicity of the replication inhibitors. BLAST searching did not identify any targets other than the RECQL5 transcripts so the identity of this off-target remains unknown. However, it does appear that the off-target effect is more toxic in the bladder cancer cell line EJ than the normal </w:t>
      </w:r>
      <w:r w:rsidR="00471D18" w:rsidRPr="00DF0680">
        <w:t>MRC5V2</w:t>
      </w:r>
      <w:r w:rsidRPr="00DF0680">
        <w:t xml:space="preserve"> cell line. This particular siRNA has since been removed from the website suggesting this is not the only lab to have experienced this effect. </w:t>
      </w:r>
    </w:p>
    <w:p w:rsidR="00FE3028" w:rsidRPr="00DF0680" w:rsidRDefault="00FE3028" w:rsidP="00FE3028">
      <w:pPr>
        <w:rPr>
          <w:color w:val="FF0000"/>
        </w:rPr>
      </w:pPr>
      <w:r w:rsidRPr="00DF0680">
        <w:t xml:space="preserve">There was sensitivity seen in the EJ cells even when the off target siRNA was removed from the experiment. This indicates that sensitivity to CPT when RECQL5 is depleted is not the same for all cell lines. The EJ data correlates to what Hu. Y </w:t>
      </w:r>
      <w:r w:rsidRPr="00DF0680">
        <w:rPr>
          <w:i/>
        </w:rPr>
        <w:t>et al.</w:t>
      </w:r>
      <w:r w:rsidRPr="00DF0680">
        <w:t xml:space="preserve"> discovered to be true when then they generated RECQL5 null mice by deleting exon 4 of the gene </w:t>
      </w:r>
      <w:r w:rsidR="00F20EC0" w:rsidRPr="00DF0680">
        <w:fldChar w:fldCharType="begin" w:fldLock="1"/>
      </w:r>
      <w:r w:rsidR="00332613" w:rsidRPr="00DF0680">
        <w:instrText>ADDIN CSL_CITATION { "citationItems" : [ { "id" : "ITEM-1", "itemData" : { "DOI" : "10.1128/MCB.25.9.3431", "author" : [ { "dropping-particle" : "", "family" : "Hu", "given" : "Yiduo", "non-dropping-particle" : "", "parse-names" : false, "suffix" : "" }, { "dropping-particle" : "", "family" : "Lu", "given" : "Xincheng", "non-dropping-particle" : "", "parse-names" : false, "suffix" : "" }, { "dropping-particle" : "", "family" : "Barnes", "given" : "Ellen", "non-dropping-particle" : "", "parse-names" : false, "suffix" : "" }, { "dropping-particle" : "", "family" : "Yan", "given" : "Min", "non-dropping-particle" : "", "parse-names" : false, "suffix" : "" } ], "container-title" : "Molecular and Cellular Biology", "id" : "ITEM-1", "issue" : "9", "issued" : { "date-parts" : [ [ "2005" ] ] }, "page" : "3431-42", "title" : "Recql5 and Blm RecQ DNA helicases have nonredundant roles in suppressing crossovers", "type" : "article-journal", "volume" : "25" }, "uris" : [ "http://www.mendeley.com/documents/?uuid=8789f443-2e71-463f-a585-a2e2e66e441d" ] } ], "mendeley" : { "formattedCitation" : "(Hu et al. 2005)", "plainTextFormattedCitation" : "(Hu et al. 2005)", "previouslyFormattedCitation" : "(Hu et al. 2005)" }, "properties" : { "noteIndex" : 0 }, "schema" : "https://github.com/citation-style-language/schema/raw/master/csl-citation.json" }</w:instrText>
      </w:r>
      <w:r w:rsidR="00F20EC0" w:rsidRPr="00DF0680">
        <w:fldChar w:fldCharType="separate"/>
      </w:r>
      <w:r w:rsidRPr="00DF0680">
        <w:t>(Hu et al. 2005)</w:t>
      </w:r>
      <w:r w:rsidR="00F20EC0" w:rsidRPr="00DF0680">
        <w:fldChar w:fldCharType="end"/>
      </w:r>
      <w:r w:rsidRPr="00DF0680">
        <w:t xml:space="preserve">. RECQL5 negative embryonic fibroblasts and embryonic stem cells were more sensitive to camptothecin than the wild-type cells </w:t>
      </w:r>
      <w:r w:rsidR="00F20EC0" w:rsidRPr="00DF0680">
        <w:fldChar w:fldCharType="begin" w:fldLock="1"/>
      </w:r>
      <w:r w:rsidR="00332613" w:rsidRPr="00DF0680">
        <w:instrText>ADDIN CSL_CITATION { "citationItems" : [ { "id" : "ITEM-1", "itemData" : { "DOI" : "10.1091/mbc.E08-06-0565", "ISSN" : "1939-4586", "PMID" : "18987339", "abstract" : "Disruption of replication can lead to loss of genome integrity and increase of cancer susceptibility in mammals. Thus, a replication impediment constitutes a formidable challenge to these organisms. Recent studies indicate that homologous recombination (HR) plays an important role in suppressing genome instability and promoting cell survival after exposure to various replication inhibitors, including a topoisomerase I inhibitor, camptothecin (CPT). Here, we report that the deletion of RecQ helicase Recql5 in mouse ES cells and embryonic fibroblast (MEF) cells resulted in a significant increase in CPT sensitivity and a profound reduction in DNA replication after the treatment with CPT, but not other DNA-damaging agents. This CPT-induced cell death is replication dependent and occurs primarily after the cells had exited the first cell cycle after CPT treatment. Furthermore, we show that Recql5 functions nonredundantly with Rad51, a key factor for HR to protect mouse ES cells from CPT-induced cytotoxicity. These new findings strongly suggest that Recql5 plays an important role in maintaining active DNA replication to prevent the collapse of replication forks and the accumulation of DSBs in order to preserve genome integrity and to prevent cell death after replication stress as a result of topoisomerase I poisoning.", "author" : [ { "dropping-particle" : "", "family" : "Hu", "given" : "Yiduo", "non-dropping-particle" : "", "parse-names" : false, "suffix" : "" }, { "dropping-particle" : "", "family" : "Lu", "given" : "Xincheng", "non-dropping-particle" : "", "parse-names" : false, "suffix" : "" }, { "dropping-particle" : "", "family" : "Zhou", "given" : "Guangjin", "non-dropping-particle" : "", "parse-names" : false, "suffix" : "" }, { "dropping-particle" : "", "family" : "Barnes", "given" : "Ellen L", "non-dropping-particle" : "", "parse-names" : false, "suffix" : "" }, { "dropping-particle" : "", "family" : "Luo", "given" : "Guangbin", "non-dropping-particle" : "", "parse-names" : false, "suffix" : "" } ], "container-title" : "Molecular Biology of the Cell", "id" : "ITEM-1", "issue" : "1", "issued" : { "date-parts" : [ [ "2009", "1" ] ] }, "page" : "114-23", "title" : "Recql5 plays an important role in DNA replication and cell survival after camptothecin treatment.", "type" : "article-journal", "volume" : "20" }, "uris" : [ "http://www.mendeley.com/documents/?uuid=acf9f23d-1453-499d-9549-0b89779a80a3" ] } ], "mendeley" : { "formattedCitation" : "(Hu et al. 2009)", "plainTextFormattedCitation" : "(Hu et al. 2009)", "previouslyFormattedCitation" : "(Hu et al. 2009)" }, "properties" : { "noteIndex" : 0 }, "schema" : "https://github.com/citation-style-language/schema/raw/master/csl-citation.json" }</w:instrText>
      </w:r>
      <w:r w:rsidR="00F20EC0" w:rsidRPr="00DF0680">
        <w:fldChar w:fldCharType="separate"/>
      </w:r>
      <w:r w:rsidRPr="00DF0680">
        <w:t>(Hu et al. 2009)</w:t>
      </w:r>
      <w:r w:rsidR="00F20EC0" w:rsidRPr="00DF0680">
        <w:fldChar w:fldCharType="end"/>
      </w:r>
      <w:r w:rsidRPr="00DF0680">
        <w:t xml:space="preserve">. The fact that this was done with a different species and cell type and that they completely remove the helicase from the cell using gene deletion rather than deplete the protein </w:t>
      </w:r>
      <w:r w:rsidRPr="00DF0680">
        <w:lastRenderedPageBreak/>
        <w:t xml:space="preserve">using siRNA, may explain why we don’t see a difference in our </w:t>
      </w:r>
      <w:r w:rsidR="00471D18" w:rsidRPr="00DF0680">
        <w:t>MRC5V2</w:t>
      </w:r>
      <w:r w:rsidRPr="00DF0680">
        <w:t xml:space="preserve"> cells. It may be that the residual protein left that is not depleted by the siRNA, is still enough to maintain resistance to camptothecin, or that the RECQL5 depletion is not as effective as in EJ cells where we do see an increase in sensitivity to CPT. Another explanation of why RECQL5 depletion doesn’t cause sensitisation in the </w:t>
      </w:r>
      <w:r w:rsidR="00471D18" w:rsidRPr="00DF0680">
        <w:t>MRC5V2</w:t>
      </w:r>
      <w:r w:rsidRPr="00DF0680">
        <w:t xml:space="preserve"> cells is the idea of functional redundancy within the RECQ helicases. Other helicases may be able to perform similar roles to RECQL5 when it has been depleted to conserve genome stability, as has been shown with decreased cell growth and increased sister </w:t>
      </w:r>
      <w:r w:rsidR="00336FBD" w:rsidRPr="00DF0680">
        <w:t>chromatid</w:t>
      </w:r>
      <w:r w:rsidRPr="00DF0680">
        <w:t xml:space="preserve"> exchanges upon RECQL1 and RECQL5 gene deletion in a BLM null background </w:t>
      </w:r>
      <w:r w:rsidR="00F20EC0" w:rsidRPr="00DF0680">
        <w:fldChar w:fldCharType="begin" w:fldLock="1"/>
      </w:r>
      <w:r w:rsidR="00332613" w:rsidRPr="00DF0680">
        <w:instrText>ADDIN CSL_CITATION { "citationItems" : [ { "id" : "ITEM-1", "itemData" : { "DOI" : "10.1128/MCB.23.10.3527", "author" : [ { "dropping-particle" : "", "family" : "Wang", "given" : "Wensheng", "non-dropping-particle" : "", "parse-names" : false, "suffix" : "" }, { "dropping-particle" : "", "family" : "Seki", "given" : "Masayuki", "non-dropping-particle" : "", "parse-names" : false, "suffix" : "" }, { "dropping-particle" : "", "family" : "Narita", "given" : "Yoshiyasu", "non-dropping-particle" : "", "parse-names" : false, "suffix" : "" } ], "container-title" : "Molecular and Cellular Biology", "id" : "ITEM-1", "issue" : "10", "issued" : { "date-parts" : [ [ "2003" ] ] }, "page" : "3527-3535", "title" : "Functional relation among RecQ family helicases RecQL1, RecQL5, and BLM in cell growth and sister chromatid exchange formation", "type" : "article-journal", "volume" : "23" }, "uris" : [ "http://www.mendeley.com/documents/?uuid=930a3f5e-5e2a-4cba-b81b-7cc294c0c7bb" ] } ], "mendeley" : { "formattedCitation" : "(Wang et al. 2003)", "plainTextFormattedCitation" : "(Wang et al. 2003)", "previouslyFormattedCitation" : "(Wang et al. 2003)" }, "properties" : { "noteIndex" : 0 }, "schema" : "https://github.com/citation-style-language/schema/raw/master/csl-citation.json" }</w:instrText>
      </w:r>
      <w:r w:rsidR="00F20EC0" w:rsidRPr="00DF0680">
        <w:fldChar w:fldCharType="separate"/>
      </w:r>
      <w:r w:rsidRPr="00DF0680">
        <w:t>(Wang et al. 2003)</w:t>
      </w:r>
      <w:r w:rsidR="00F20EC0" w:rsidRPr="00DF0680">
        <w:fldChar w:fldCharType="end"/>
      </w:r>
      <w:r w:rsidRPr="00DF0680">
        <w:t xml:space="preserve">. </w:t>
      </w:r>
    </w:p>
    <w:p w:rsidR="007D5E25" w:rsidRPr="00DF0680" w:rsidRDefault="00FE3028" w:rsidP="00FE3028">
      <w:pPr>
        <w:rPr>
          <w:rFonts w:cs="Times New Roman"/>
        </w:rPr>
      </w:pPr>
      <w:r w:rsidRPr="00DF0680">
        <w:rPr>
          <w:rFonts w:cs="Times New Roman"/>
        </w:rPr>
        <w:t xml:space="preserve">Over-expression of RECQL5β did not provide any resistance to thymidine in the EJ cells, unlike the </w:t>
      </w:r>
      <w:r w:rsidR="00471D18" w:rsidRPr="00DF0680">
        <w:rPr>
          <w:rFonts w:cs="Times New Roman"/>
        </w:rPr>
        <w:t>MRC5V2</w:t>
      </w:r>
      <w:r w:rsidRPr="00DF0680">
        <w:rPr>
          <w:rFonts w:cs="Times New Roman"/>
        </w:rPr>
        <w:t xml:space="preserve"> cells where thymidine resistance was seen </w:t>
      </w:r>
      <w:r w:rsidR="00F20EC0" w:rsidRPr="00DF0680">
        <w:rPr>
          <w:rFonts w:cs="Times New Roman"/>
        </w:rPr>
        <w:fldChar w:fldCharType="begin" w:fldLock="1"/>
      </w:r>
      <w:r w:rsidR="00332613" w:rsidRPr="00DF0680">
        <w:rPr>
          <w:rFonts w:cs="Times New Roman"/>
        </w:rPr>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(Blundred et al. 2010)</w:t>
      </w:r>
      <w:r w:rsidR="00F20EC0" w:rsidRPr="00DF0680">
        <w:rPr>
          <w:rFonts w:cs="Times New Roman"/>
        </w:rPr>
        <w:fldChar w:fldCharType="end"/>
      </w:r>
      <w:r w:rsidRPr="00DF0680">
        <w:rPr>
          <w:rFonts w:cs="Times New Roman"/>
        </w:rPr>
        <w:t xml:space="preserve">. This may be because the EJ cells already have increased RECQL5β. However, reducing RECQL5 protein levels using siRNA did not confer any sensitivity to thymidine either (Figure 5.5). In fact, depleting EJ cells of RECQL5β made them more resistant to thymidine-induced cell death. Again, possibly because these are two different cell lines, they are not directly comparable but a hypothesis as to why a difference may be seen can be proposed. </w:t>
      </w:r>
      <w:r w:rsidR="00471D18" w:rsidRPr="00DF0680">
        <w:rPr>
          <w:rFonts w:cs="Times New Roman"/>
        </w:rPr>
        <w:t>MRC5V2</w:t>
      </w:r>
      <w:r w:rsidRPr="00DF0680">
        <w:rPr>
          <w:rFonts w:cs="Times New Roman"/>
        </w:rPr>
        <w:t xml:space="preserve"> cells may be more resistant to thymidine when RECQL5β is over-expressed because in these cells, increased RECQL5β could be disrupting the D-loops formed in homologous recombination to promote synthesis-dependent strand annealing (SDSA), which generates exclusively non-crossovers </w:t>
      </w:r>
      <w:r w:rsidR="00F20EC0" w:rsidRPr="00DF0680">
        <w:rPr>
          <w:rFonts w:cs="Times New Roman"/>
        </w:rPr>
        <w:fldChar w:fldCharType="begin" w:fldLock="1"/>
      </w:r>
      <w:r w:rsidR="00332613" w:rsidRPr="00DF0680">
        <w:rPr>
          <w:rFonts w:cs="Times New Roman"/>
        </w:rPr>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"id" : "ITEM-2", "itemData" : { "DOI" : "10.1093/nar/gkt1263", "ISSN" : "1362-4962", "PMID" : "24319145", "abstract" : "Most mitotic homologous recombination (HR) events proceed via a synthesis-dependent strand annealing mechanism to avoid crossing over, which may give rise to chromosomal rearrangements and loss of heterozygosity. The molecular mechanisms controlling HR sub-pathway choice are poorly understood. Here, we show that human RECQ5, a DNA helicase that can disrupt RAD51 nucleoprotein filaments, promotes formation of non-crossover products during DNA double-strand break-induced HR and counteracts the inhibitory effect of RAD51 on RAD52-mediated DNA annealing in vitro and in vivo. Moreover, we demonstrate that RECQ5 deficiency is associated with an increased occupancy of RAD51 at a double-strand break site, and it also causes an elevation of sister chromatid exchanges on inactivation of the Holliday junction dissolution pathway or on induction of a high load of DNA damage in the cell. Collectively, our findings suggest that RECQ5 acts during the post-synaptic phase of synthesis-dependent strand annealing to prevent formation of aberrant RAD51 filaments on the extended invading strand, thus limiting its channeling into potentially hazardous crossover pathway of HR.", "author" : [ { "dropping-particle" : "", "family" : "Paliwal", "given" : "Shreya", "non-dropping-particle" : "", "parse-names" : false, "suffix" : "" }, { "dropping-particle" : "", "family" : "Kanagaraj", "given" : "Radhakrishnan", "non-dropping-particle" : "", "parse-names" : false, "suffix" : "" }, { "dropping-particle" : "", "family" : "Sturzenegger", "given" : "Andreas", "non-dropping-particle" : "", "parse-names" : false, "suffix" : "" }, { "dropping-particle" : "", "family" : "Burdova", "given" : "Kamila", "non-dropping-particle" : "", "parse-names" : false, "suffix" : "" }, { "dropping-particle" : "", "family" : "Janscak", "given" : "Pavel", "non-dropping-particle" : "", "parse-names" : false, "suffix" : "" } ], "container-title" : "Nucleic Acids Research", "id" : "ITEM-2", "issue" : "4", "issued" : { "date-parts" : [ [ "2013", "12", "6" ] ] }, "page" : "2380-90", "title" : "Human RECQ5 helicase promotes repair of DNA double-strand breaks by synthesis-dependent strand annealing.", "type" : "article-journal", "volume" : "42" }, "uris" : [ "http://www.mendeley.com/documents/?uuid=9756a8b4-6ceb-49b9-a51d-9f3ade3d9007" ] } ], "mendeley" : { "formattedCitation" : "(Blundred et al. 2010; Paliwal et al. 2013)", "plainTextFormattedCitation" : "(Blundred et al. 2010; Paliwal et al. 2013)", "previouslyFormattedCitation" : "(Blundred et al. 2010; Paliwal et al. 2013)"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(Blundred et al. 2010; Paliwal et al. 2013)</w:t>
      </w:r>
      <w:r w:rsidR="00F20EC0" w:rsidRPr="00DF0680">
        <w:rPr>
          <w:rFonts w:cs="Times New Roman"/>
        </w:rPr>
        <w:fldChar w:fldCharType="end"/>
      </w:r>
      <w:r w:rsidRPr="00DF0680">
        <w:rPr>
          <w:rFonts w:cs="Times New Roman"/>
        </w:rPr>
        <w:t xml:space="preserve">. However, if the EJ cells are already deficient in homologous recombination </w:t>
      </w:r>
      <w:r w:rsidR="00F20EC0" w:rsidRPr="00DF0680">
        <w:rPr>
          <w:rFonts w:cs="Times New Roman"/>
        </w:rPr>
        <w:fldChar w:fldCharType="begin" w:fldLock="1"/>
      </w:r>
      <w:r w:rsidR="00332613" w:rsidRPr="00DF0680">
        <w:rPr>
          <w:rFonts w:cs="Times New Roman"/>
        </w:rPr>
        <w:instrText>ADDIN CSL_CITATION { "citationItems" : [ { "id" : "ITEM-1", "itemData" : { "DOI" : "10.1093/hmg/ddh316", "ISBN" : "1142713288", "ISSN" : "0964-6906", "PMID" : "15459181", "abstract" : "Genetically distinct checkpoints, activated as a consequence of either DNA replication arrest or ionizing radiation-induced DNA damage, integrate DNA repair responses into the cell cycle programme. The ataxia-telangiectasia mutated (ATM) protein kinase blocks cell cycle progression in response to DNA double strand breaks, whereas the related ATR is important in maintaining the integrity of the DNA replication apparatus. Here, we show that thymidine, which slows the progression of replication forks by depleting cellular pools of dCTP, induces a novel DNA damage response that, uniquely, depends on both ATM and ATR. Thymidine induces ATM-mediated phosphorylation of Chk2 and NBS1 and an ATM-independent phosphorylation of Chk1 and SMC1. AT cells exposed to thymidine showed decreased viability and failed to induce homologous recombination repair (HRR). Taken together, our results implicate ATM in the HRR-mediated rescue of replication forks impaired by thymidine treatment.", "author" : [ { "dropping-particle" : "", "family" : "Bolderson", "given" : "Emma", "non-dropping-particle" : "", "parse-names" : false, "suffix" : "" }, { "dropping-particle" : "", "family" : "Scorah", "given" : "Jennifer", "non-dropping-particle" : "", "parse-names" : false, "suffix" : "" }, { "dropping-particle" : "", "family" : "Helleday", "given" : "Thomas", "non-dropping-particle" : "", "parse-names" : false, "suffix" : "" }, { "dropping-particle" : "", "family" : "Smythe", "given" : "Carl", "non-dropping-particle" : "", "parse-names" : false, "suffix" : "" }, { "dropping-particle" : "", "family" : "Meuth", "given" : "Mark", "non-dropping-particle" : "", "parse-names" : false, "suffix" : "" } ], "container-title" : "Human Molecular Genetics", "id" : "ITEM-1", "issue" : "23", "issued" : { "date-parts" : [ [ "2004", "12", "1" ] ] }, "page" : "2937-45", "title" : "ATM is required for the cellular response to thymidine induced replication fork stress.", "type" : "article-journal", "volume" : "13" }, "uris" : [ "http://www.mendeley.com/documents/?uuid=7e45bec7-0e49-4804-a31e-2b756ce71d89" ] }, { "id" : "ITEM-2", "itemData" : { "DOI" : "10.1091/mbc.E07", "author" : [ { "dropping-particle" : "", "family" : "Wen", "given" : "Qin", "non-dropping-particle" : "", "parse-names" : false, "suffix" : "" }, { "dropping-particle" : "", "family" : "Scorah", "given" : "Jennifer", "non-dropping-particle" : "", "parse-names" : false, "suffix" : "" }, { "dropping-particle" : "", "family" : "Phear", "given" : "Geraldine", "non-dropping-particle" : "", "parse-names" : false, "suffix" : "" } ], "container-title" : "Molecular Biology of the Cell", "id" : "ITEM-2", "issue" : "4", "issued" : { "date-parts" : [ [ "2008" ] ] }, "page" : "1693-1705", "title" : "A Mutant Allele of MRE11 Found in Mismatch Repair-deficient Tumor Cells Suppresses the Cellular Response to DNA Replication Fork Stress in a Dominant Negative Manner", "type" : "article-journal", "volume" : "19" }, "uris" : [ "http://www.mendeley.com/documents/?uuid=b521fb80-cb2c-43c0-bfb7-398f530edd84" ] } ], "mendeley" : { "formattedCitation" : "(Bolderson et al. 2004; Wen et al. 2008)", "plainTextFormattedCitation" : "(Bolderson et al. 2004; Wen et al. 2008)", "previouslyFormattedCitation" : "(Bolderson et al. 2004; Wen et al. 2008)"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(Bolderson et al. 2004; Wen et al. 2008)</w:t>
      </w:r>
      <w:r w:rsidR="00F20EC0" w:rsidRPr="00DF0680">
        <w:rPr>
          <w:rFonts w:cs="Times New Roman"/>
        </w:rPr>
        <w:fldChar w:fldCharType="end"/>
      </w:r>
      <w:r w:rsidRPr="00DF0680">
        <w:rPr>
          <w:rFonts w:cs="Times New Roman"/>
        </w:rPr>
        <w:t xml:space="preserve">, with the formation of D-loops a limiting step, then over-expressing RECQL5β will not be able to change the frequency of SDSA and thus will not affect resistance to thymidine. However, depleting cells of RECQL5β will reduce the number of successfully formed D-loops that are disrupted by the helicase, allowing more homologous recombination to take place, and thus increasing resistance to thymidine. Using a HR assay on EJ and </w:t>
      </w:r>
      <w:r w:rsidR="00471D18" w:rsidRPr="00DF0680">
        <w:rPr>
          <w:rFonts w:cs="Times New Roman"/>
        </w:rPr>
        <w:t>MRC5V2</w:t>
      </w:r>
      <w:r w:rsidRPr="00DF0680">
        <w:rPr>
          <w:rFonts w:cs="Times New Roman"/>
        </w:rPr>
        <w:t xml:space="preserve"> cells, with and without RECQL5β, would provide some evidence for this theory. </w:t>
      </w:r>
    </w:p>
    <w:p w:rsidR="001B7246" w:rsidRPr="00DF0680" w:rsidRDefault="00BE2075" w:rsidP="00FE3028">
      <w:pPr>
        <w:rPr>
          <w:rFonts w:cs="Times New Roman"/>
        </w:rPr>
      </w:pPr>
      <w:r w:rsidRPr="00DF0680">
        <w:rPr>
          <w:rFonts w:cs="Times New Roman"/>
        </w:rPr>
        <w:t xml:space="preserve">However, there was a discrepancy in the survival of mock treated and control siRNA treated EJ cells between experiments. Between Figures 5.2, 5.6 and 5.8, the survival fraction of the negative control EJ cells ranged from 0.9 to 0.1 in 1 mM thymidine. </w:t>
      </w:r>
      <w:r w:rsidRPr="00DF0680">
        <w:rPr>
          <w:rFonts w:cs="Times New Roman"/>
        </w:rPr>
        <w:lastRenderedPageBreak/>
        <w:t xml:space="preserve">Although the consistency was </w:t>
      </w:r>
      <w:r w:rsidR="001934AF" w:rsidRPr="00DF0680">
        <w:rPr>
          <w:rFonts w:cs="Times New Roman"/>
        </w:rPr>
        <w:t xml:space="preserve">good within each experiment, this may be indicative of a greater effect of passaging for the EJ cells. As they grow quickly and are a very aggressive cancer cell line, they may accrue large numbers of mutations after significant passaging, making the cell more sensitive to replication stresses. </w:t>
      </w:r>
      <w:r w:rsidR="001B7246" w:rsidRPr="00DF0680">
        <w:rPr>
          <w:rFonts w:cs="Times New Roman"/>
        </w:rPr>
        <w:t xml:space="preserve">In addition, EJs are a p53 negative cell line, which means they will have a defective DNA damage response. Replication stress activates the DNA damage response pathway so when taking conclusions from these data, the fact that EJs have a faulty repair mechanism for DNA damage must be taken into account. </w:t>
      </w:r>
      <w:r w:rsidR="00E30BDC" w:rsidRPr="00DF0680">
        <w:rPr>
          <w:rFonts w:cs="Times New Roman"/>
        </w:rPr>
        <w:t>This also holds true for MRC5V2 cells which have been transformed with the SV40 virus as mentioned earlier.</w:t>
      </w:r>
    </w:p>
    <w:p w:rsidR="00FE3028" w:rsidRPr="00DF0680" w:rsidRDefault="001B7246" w:rsidP="00FE3028">
      <w:pPr>
        <w:rPr>
          <w:rFonts w:cs="Times New Roman"/>
        </w:rPr>
      </w:pPr>
      <w:r w:rsidRPr="00DF0680">
        <w:rPr>
          <w:rFonts w:cs="Times New Roman"/>
        </w:rPr>
        <w:t>T</w:t>
      </w:r>
      <w:r w:rsidR="007D5E25" w:rsidRPr="00DF0680">
        <w:rPr>
          <w:rFonts w:cs="Times New Roman"/>
        </w:rPr>
        <w:t xml:space="preserve">he clonogenic toxicity assays show the effect on cell survival after ten days. The siRNA shows effective depletion after 72 hours (Figure 5.7) but the level of RECQL5 has not been determined at ten days post transfection. Therefore, caution must be used in interpreting the results of these clonogenic toxicity assays. Further protein analysis using Western blot could demonstrate how effective the siRNA is over a longer time frame. Alternatively shRNA could be used to achieve a stable RECQL5 depletion. </w:t>
      </w:r>
    </w:p>
    <w:p w:rsidR="00FE3028" w:rsidRPr="00DF0680" w:rsidRDefault="00FE3028" w:rsidP="00FE3028">
      <w:r w:rsidRPr="00DF0680">
        <w:t xml:space="preserve">When EJ cells were depleted of RECQL5, proliferation decreased and this did not occur in the normal cell line NHUs (Figure 5.7). Depleting RECQL5β protein levels in the bladder cancer cell line reduced the amount of protein to a similar level seen in the NHUs. It may be the case that the cancer cells become more reliant on RECQL5β for cell growth. This is not the first time that reducing RECQ helicase expression has been shown to decrease proliferation in cancer cells. RECQL1 is over-expressed in glioblastoma and when depleted, it decreases cell proliferation </w:t>
      </w:r>
      <w:r w:rsidR="00F20EC0" w:rsidRPr="00DF0680">
        <w:fldChar w:fldCharType="begin" w:fldLock="1"/>
      </w:r>
      <w:r w:rsidR="00332613" w:rsidRPr="00DF0680">
        <w:instrText>ADDIN CSL_CITATION { "citationItems" : [ { "id" : "ITEM-1", "itemData" : { "DOI" : "10.1186/1476-4598-10-83", "ISSN" : "1476-4598", "PMID" : "21752281", "abstract" : "BACKGROUND: RecQ helicases play an essential role in the maintenance of genome stability. In humans, loss of RecQ helicase function is linked with predisposition to cancer and/or premature ageing. Current data show that the specific depletion of the human RECQ1 helicase leads to mitotic catastrophe in cancer cells and inhibition of tumor growth in mice.\n\nRESULTS: Here, we show that RECQ1 is highly expressed in various types of solid tumors. However, only in the case of brain gliomas, the high expression of RECQ1 in glioblastoma tissues is paralleled by a lower expression in the control samples due to the poor expression of RECQ1 in non-dividing tissues. This conclusion is validated by immunohistochemical analysis of a tissue microarray containing 63 primary glioblastomas and 19 perilesional tissue samples, as control. We also show that acute depletion of RECQ1 by RNAi results in a significant reduction of cellular proliferation, perturbation of S-phase progression, and spontaneous \u03b3-H2AX foci formation in T98G and U-87 glioblastoma cells. Moreover, RECQ1 depleted T98G and U-87 cells are hypersensitive to HU or temozolomide treatment.\n\nCONCLUSIONS: Collectively, these results indicate that RECQ1 has a unique and important role in the maintenance of genome integrity. Our results also suggest that RECQ1 might represent a new suitable target for anti cancer therapies aimed to arrest cell proliferation in brain gliomas.", "author" : [ { "dropping-particle" : "", "family" : "Mendoza-Maldonado", "given" : "Ramiro", "non-dropping-particle" : "", "parse-names" : false, "suffix" : "" }, { "dropping-particle" : "", "family" : "Faoro", "given" : "Valentina", "non-dropping-particle" : "", "parse-names" : false, "suffix" : "" }, { "dropping-particle" : "", "family" : "Bajpai", "given" : "Sailesh", "non-dropping-particle" : "", "parse-names" : false, "suffix" : "" }, { "dropping-particle" : "", "family" : "Berti", "given" : "Matteo", "non-dropping-particle" : "", "parse-names" : false, "suffix" : "" }, { "dropping-particle" : "", "family" : "Odreman", "given" : "Federico", "non-dropping-particle" : "", "parse-names" : false, "suffix" : "" }, { "dropping-particle" : "", "family" : "Vindigni", "given" : "Marco", "non-dropping-particle" : "", "parse-names" : false, "suffix" : "" }, { "dropping-particle" : "", "family" : "Ius", "given" : "Tamara", "non-dropping-particle" : "", "parse-names" : false, "suffix" : "" }, { "dropping-particle" : "", "family" : "Ghasemian", "given" : "Abdollah", "non-dropping-particle" : "", "parse-names" : false, "suffix" : "" }, { "dropping-particle" : "", "family" : "Bonin", "given" : "Serena", "non-dropping-particle" : "", "parse-names" : false, "suffix" : "" }, { "dropping-particle" : "", "family" : "Skrap", "given" : "Miran", "non-dropping-particle" : "", "parse-names" : false, "suffix" : "" }, { "dropping-particle" : "", "family" : "Stanta", "given" : "Giorgio", "non-dropping-particle" : "", "parse-names" : false, "suffix" : "" }, { "dropping-particle" : "", "family" : "Vindigni", "given" : "Alessandro", "non-dropping-particle" : "", "parse-names" : false, "suffix" : "" } ], "container-title" : "Molecular Cancer", "id" : "ITEM-1", "issue" : "1", "issued" : { "date-parts" : [ [ "2011", "1" ] ] }, "page" : "83", "publisher" : "BioMed Central Ltd", "title" : "The human RECQ1 helicase is highly expressed in glioblastoma and plays an important role in tumor cell proliferation.", "type" : "article-journal", "volume" : "10" }, "uris" : [ "http://www.mendeley.com/documents/?uuid=e60b525c-c930-47ea-b109-6ac7e01779bd" ] } ], "mendeley" : { "formattedCitation" : "(Mendoza-Maldonado et al. 2011)", "plainTextFormattedCitation" : "(Mendoza-Maldonado et al. 2011)", "previouslyFormattedCitation" : "(Mendoza-Maldonado et al. 2011)" }, "properties" : { "noteIndex" : 0 }, "schema" : "https://github.com/citation-style-language/schema/raw/master/csl-citation.json" }</w:instrText>
      </w:r>
      <w:r w:rsidR="00F20EC0" w:rsidRPr="00DF0680">
        <w:fldChar w:fldCharType="separate"/>
      </w:r>
      <w:r w:rsidRPr="00DF0680">
        <w:t>(Mendoza-Maldonado et al. 2011)</w:t>
      </w:r>
      <w:r w:rsidR="00F20EC0" w:rsidRPr="00DF0680">
        <w:fldChar w:fldCharType="end"/>
      </w:r>
      <w:r w:rsidRPr="00DF0680">
        <w:t xml:space="preserve">. A reduction in proliferation is also seen in RECQL4 deficient mouse embryonic stem cells </w:t>
      </w:r>
      <w:r w:rsidR="00F20EC0" w:rsidRPr="00DF0680">
        <w:fldChar w:fldCharType="begin" w:fldLock="1"/>
      </w:r>
      <w:r w:rsidR="00332613" w:rsidRPr="00DF0680">
        <w:instrText>ADDIN CSL_CITATION { "citationItems" : [ { "id" : "ITEM-1", "itemData" : { "DOI" : "10.1093/hmg/ddg254", "ISSN" : "0964-6906", "PMID" : "12915449", "abstract" : "Mutations in the Recql4 gene are very likely responsible for a subset of Rothmund-Thomson syndrome (RTS) cases, but until now there has been no animal model to confirm this. Knockout mice in which the Recql4 gene is disrupted at exons 5-8 exhibit embryonic lethality at embryonic day 3.5-6.5. We generated a helicase activity-inhibited mouse by deleting exon 13 of Recql4, which is one of the coding exons of the consensus RecQ-helicase domain. This domain is the primary site of mutations that have been identified in RTS patients. The exon 13-deleted Recql4-deficient mice are viable, but exhibit severe growth retardation and abnormalities in several tissues, and embryonic fibroblasts show a defect in cell proliferation. Abnormalities in the Recql4-deficient mice are similar to those in RTS patients, suggesting that defects in the Recql4 gene may indeed be responsible for RTS. We speculate that the loss of Recql4 helicase activity results in the prematurely aged appearance observed in some RecQ helicase diseases.", "author" : [ { "dropping-particle" : "", "family" : "Hoki", "given" : "Yuko", "non-dropping-particle" : "", "parse-names" : false, "suffix" : "" }, { "dropping-particle" : "", "family" : "Araki", "given" : "Ryoko", "non-dropping-particle" : "", "parse-names" : false, "suffix" : "" }, { "dropping-particle" : "", "family" : "Fujimori", "given" : "Akira", "non-dropping-particle" : "", "parse-names" : false, "suffix" : "" }, { "dropping-particle" : "", "family" : "Ohhata", "given" : "Tatsuya", "non-dropping-particle" : "", "parse-names" : false, "suffix" : "" }, { "dropping-particle" : "", "family" : "Koseki", "given" : "Haruhiko", "non-dropping-particle" : "", "parse-names" : false, "suffix" : "" }, { "dropping-particle" : "", "family" : "Fukumura", "given" : "Ryutaro", "non-dropping-particle" : "", "parse-names" : false, "suffix" : "" }, { "dropping-particle" : "", "family" : "Nakamura", "given" : "Miki", "non-dropping-particle" : "", "parse-names" : false, "suffix" : "" }, { "dropping-particle" : "", "family" : "Takahashi", "given" : "Hirokazu", "non-dropping-particle" : "", "parse-names" : false, "suffix" : "" }, { "dropping-particle" : "", "family" : "Noda", "given" : "Yuko", "non-dropping-particle" : "", "parse-names" : false, "suffix" : "" }, { "dropping-particle" : "", "family" : "Kito", "given" : "Seiji", "non-dropping-particle" : "", "parse-names" : false, "suffix" : "" }, { "dropping-particle" : "", "family" : "Abe", "given" : "Masumi", "non-dropping-particle" : "", "parse-names" : false, "suffix" : "" } ], "container-title" : "Human Molecular Genetics", "id" : "ITEM-1", "issue" : "18", "issued" : { "date-parts" : [ [ "2003", "9", "15" ] ] }, "page" : "2293-9", "title" : "Growth retardation and skin abnormalities of the Recql4-deficient mouse.", "type" : "article-journal", "volume" : "12" }, "uris" : [ "http://www.mendeley.com/documents/?uuid=54faa16e-3df2-469a-a308-12d7e8fefd9c" ] } ], "mendeley" : { "formattedCitation" : "(Hoki et al. 2003)", "plainTextFormattedCitation" : "(Hoki et al. 2003)", "previouslyFormattedCitation" : "(Hoki et al. 2003)" }, "properties" : { "noteIndex" : 0 }, "schema" : "https://github.com/citation-style-language/schema/raw/master/csl-citation.json" }</w:instrText>
      </w:r>
      <w:r w:rsidR="00F20EC0" w:rsidRPr="00DF0680">
        <w:fldChar w:fldCharType="separate"/>
      </w:r>
      <w:r w:rsidRPr="00DF0680">
        <w:t>(Hoki et al. 2003)</w:t>
      </w:r>
      <w:r w:rsidR="00F20EC0" w:rsidRPr="00DF0680">
        <w:fldChar w:fldCharType="end"/>
      </w:r>
      <w:r w:rsidRPr="00DF0680">
        <w:t xml:space="preserve">. </w:t>
      </w:r>
      <w:r w:rsidR="005A1A6D" w:rsidRPr="00DF0680">
        <w:t xml:space="preserve">Depleting </w:t>
      </w:r>
      <w:r w:rsidRPr="00DF0680">
        <w:t xml:space="preserve">RECQL5 has also been shown to reduce proliferation in other cancer cells such as HeLa, and HCT116 and the embryonic cell line WI38 </w:t>
      </w:r>
      <w:r w:rsidR="00F20EC0" w:rsidRPr="00DF0680">
        <w:fldChar w:fldCharType="begin" w:fldLock="1"/>
      </w:r>
      <w:r w:rsidR="00332613" w:rsidRPr="00DF0680">
        <w:instrText>ADDIN CSL_CITATION { "citationItems" : [ { "id" : "ITEM-1", "itemData" : { "DOI" : "10.1093/nar/gkr844", "ISSN" : "1362-4962", "PMID" : "22013166", "abstract" : "DNA decatenation mediated by Topoisomerase II is required to separate the interlinked sister chromatids post-replication. SGS1, a yeast homolog of the human RecQ family of helicases interacts with Topoisomerase II and plays a role in chromosome segregation, but this functional interaction has yet to be identified in higher organisms. Here, we report a physical and functional interaction of Topoisomerase II\u03b1 with RECQL5, one of five mammalian RecQ helicases, during DNA replication. Direct interaction of RECQL5 with Topoisomerase II\u03b1 stimulates the decatenation activity of Topoisomerase II\u03b1. Consistent with these observations, RECQL5 co-localizes with Topoisomerase II\u03b1 during S-phase of the cell cycle. Moreover, cells with stable depletions of RECQL5 display a slow proliferation rate, a G2/M cell cycle arrest and late S-phase cycling defects. Metaphase spreads generated from RECQL5-depleted cells exhibit undercondensed and entangled chromosomes. Further, RECQL5-depleted cells activate a G2/M checkpoint and undergo apoptosis. These phenotypes are similar to those observed when Topoisomerase II catalytic activity is inhibited. These results reveal an important role for RECQL5 in the maintenance of genomic stability and a new insight into the decatenation process.", "author" : [ { "dropping-particle" : "", "family" : "Ramamoorthy", "given" : "Mahesh", "non-dropping-particle" : "", "parse-names" : false, "suffix" : "" }, { "dropping-particle" : "", "family" : "Tadokoro", "given" : "Takashi", "non-dropping-particle" : "", "parse-names" : false, "suffix" : "" }, { "dropping-particle" : "", "family" : "Rybanska", "given" : "Ivana", "non-dropping-particle" : "", "parse-names" : false, "suffix" : "" }, { "dropping-particle" : "", "family" : "Ghosh", "given" : "Avik K", "non-dropping-particle" : "", "parse-names" : false, "suffix" : "" }, { "dropping-particle" : "", "family" : "Wersto", "given" : "Robert", "non-dropping-particle" : "", "parse-names" : false, "suffix" : "" }, { "dropping-particle" : "", "family" : "May", "given" : "Alfred", "non-dropping-particle" : "", "parse-names" : false, "suffix" : "" }, { "dropping-particle" : "", "family" : "Kulikowicz", "given" : "Tomasz", "non-dropping-particle" : "", "parse-names" : false, "suffix" : "" }, { "dropping-particle" : "", "family" : "Sykora", "given" : "Peter", "non-dropping-particle" : "", "parse-names" : false, "suffix" : "" }, { "dropping-particle" : "", "family" : "Croteau", "given" : "Deborah L", "non-dropping-particle" : "", "parse-names" : false, "suffix" : "" }, { "dropping-particle" : "", "family" : "Bohr", "given" : "Vilhelm a", "non-dropping-particle" : "", "parse-names" : false, "suffix" : "" } ], "container-title" : "Nucleic Acids Research", "id" : "ITEM-1", "issue" : "4", "issued" : { "date-parts" : [ [ "2012", "2" ] ] }, "page" : "1621-35", "title" : "RECQL5 cooperates with Topoisomerase II alpha in DNA decatenation and cell cycle progression.", "type" : "article-journal", "volume" : "40" }, "uris" : [ "http://www.mendeley.com/documents/?uuid=a954ba82-7067-44f7-869a-184b84cbec77" ] } ], "mendeley" : { "formattedCitation" : "(Ramamoorthy et al. 2012)", "plainTextFormattedCitation" : "(Ramamoorthy et al. 2012)", "previouslyFormattedCitation" : "(Ramamoorthy et al. 2012)" }, "properties" : { "noteIndex" : 0 }, "schema" : "https://github.com/citation-style-language/schema/raw/master/csl-citation.json" }</w:instrText>
      </w:r>
      <w:r w:rsidR="00F20EC0" w:rsidRPr="00DF0680">
        <w:fldChar w:fldCharType="separate"/>
      </w:r>
      <w:r w:rsidRPr="00DF0680">
        <w:t>(Ramamoorthy et al. 2012)</w:t>
      </w:r>
      <w:r w:rsidR="00F20EC0" w:rsidRPr="00DF0680">
        <w:fldChar w:fldCharType="end"/>
      </w:r>
      <w:r w:rsidRPr="00DF0680">
        <w:t>. These cells with increased RECQL5 protein may become dependent on it, and depletion would affect cell survival, possibly demonstrating a gene addiction phenomenon. Depleting different cells lines of RECQL5 and testing for apoptosis would provide more evidence for this.</w:t>
      </w:r>
    </w:p>
    <w:p w:rsidR="00FE3028" w:rsidRPr="00DF0680" w:rsidRDefault="00FE3028" w:rsidP="00FE3028">
      <w:pPr>
        <w:rPr>
          <w:color w:val="FF0000"/>
        </w:rPr>
      </w:pPr>
      <w:r w:rsidRPr="00DF0680">
        <w:t xml:space="preserve">Reducing RECQL5 protein levels in </w:t>
      </w:r>
      <w:r w:rsidR="00471D18" w:rsidRPr="00DF0680">
        <w:t>MRC5V2</w:t>
      </w:r>
      <w:r w:rsidRPr="00DF0680">
        <w:t xml:space="preserve"> cells increased spontaneous DNA damage signalling in the form of γH2AX foci (Figure 5.10). This matches the work done by Hu </w:t>
      </w:r>
      <w:r w:rsidRPr="00DF0680">
        <w:rPr>
          <w:i/>
        </w:rPr>
        <w:t>et al</w:t>
      </w:r>
      <w:r w:rsidRPr="00DF0680">
        <w:t xml:space="preserve">. who deleted the RECQL5 gene and showed the same increase in </w:t>
      </w:r>
      <w:r w:rsidRPr="00DF0680">
        <w:lastRenderedPageBreak/>
        <w:t xml:space="preserve">γH2AX foci </w:t>
      </w:r>
      <w:r w:rsidR="00F20EC0" w:rsidRPr="00DF0680">
        <w:fldChar w:fldCharType="begin" w:fldLock="1"/>
      </w:r>
      <w:r w:rsidR="00332613" w:rsidRPr="00DF0680">
        <w:instrText>ADDIN CSL_CITATION { "citationItems" : [ { "id" : "ITEM-1", "itemData" : { "DOI" : "10.1101/gad.1609107", "ISSN" : "0890-9369", "PMID" : "18003859", "abstract" : "Members of the RecQ helicase family play critical roles in genome maintenance. There are five RecQ homologs in mammals, and defects in three of these (BLM, WRN, and RECQL4) give rise to cancer predisposition syndromes in humans. RECQL and RECQL5 have not been associated with a human disease. Here we show that deletion of Recql5 in mice results in cancer susceptibility. Recql5-deficient cells exhibit elevated frequencies of spontaneous DNA double-strand breaks and homologous recombination (HR) as scored using a reporter that harbors a direct repeat, and are prone to gross chromosomal rearrangements in response to replication stress. To understand how RECQL5 regulates HR, we use purified proteins to demonstrate that human RECQL5 binds the Rad51 recombinase and inhibits Rad51-mediated D-loop formation. By biochemical means and electron microscopy, we show that RECQL5 displaces Rad51 from single-stranded DNA (ssDNA) in a reaction that requires ATP hydrolysis and RPA. Together, our results identify RECQL5 as an important tumor suppressor that may act by preventing inappropriate HR events via Rad51 presynaptic filament disruption.", "author" : [ { "dropping-particle" : "", "family" : "Hu", "given" : "Yiduo", "non-dropping-particle" : "", "parse-names" : false, "suffix" : "" }, { "dropping-particle" : "", "family" : "Raynard", "given" : "Steven", "non-dropping-particle" : "", "parse-names" : false, "suffix" : "" }, { "dropping-particle" : "", "family" : "Sehorn", "given" : "Michael G", "non-dropping-particle" : "", "parse-names" : false, "suffix" : "" }, { "dropping-particle" : "", "family" : "Lu", "given" : "Xincheng", "non-dropping-particle" : "", "parse-names" : false, "suffix" : "" }, { "dropping-particle" : "", "family" : "Bussen", "given" : "Wendy", "non-dropping-particle" : "", "parse-names" : false, "suffix" : "" }, { "dropping-particle" : "", "family" : "Zheng", "given" : "Lu", "non-dropping-particle" : "", "parse-names" : false, "suffix" : "" }, { "dropping-particle" : "", "family" : "Stark", "given" : "Jeremy M", "non-dropping-particle" : "", "parse-names" : false, "suffix" : "" }, { "dropping-particle" : "", "family" : "Barnes", "given" : "Ellen L", "non-dropping-particle" : "", "parse-names" : false, "suffix" : "" }, { "dropping-particle" : "", "family" : "Chi", "given" : "Peter", "non-dropping-particle" : "", "parse-names" : false, "suffix" : "" }, { "dropping-particle" : "", "family" : "Janscak", "given" : "Pavel", "non-dropping-particle" : "", "parse-names" : false, "suffix" : "" }, { "dropping-particle" : "", "family" : "Jasin", "given" : "Maria", "non-dropping-particle" : "", "parse-names" : false, "suffix" : "" }, { "dropping-particle" : "", "family" : "Vogel", "given" : "Hannes", "non-dropping-particle" : "", "parse-names" : false, "suffix" : "" }, { "dropping-particle" : "", "family" : "Sung", "given" : "Patrick", "non-dropping-particle" : "", "parse-names" : false, "suffix" : "" }, { "dropping-particle" : "", "family" : "Luo", "given" : "Guangbin", "non-dropping-particle" : "", "parse-names" : false, "suffix" : "" } ], "container-title" : "Genes &amp; Development", "id" : "ITEM-1", "issue" : "23", "issued" : { "date-parts" : [ [ "2007", "12", "1" ] ] }, "page" : "3073-84", "title" : "RECQL5/Recql5 helicase regulates homologous recombination and suppresses tumor formation via disruption of Rad51 presynaptic filaments.", "type" : "article-journal", "volume" : "21" }, "uris" : [ "http://www.mendeley.com/documents/?uuid=569f0011-a132-4c3c-8afd-04e50c78a14c" ] } ], "mendeley" : { "formattedCitation" : "(Hu et al. 2007)", "plainTextFormattedCitation" : "(Hu et al. 2007)", "previouslyFormattedCitation" : "(Hu et al. 2007)" }, "properties" : { "noteIndex" : 0 }, "schema" : "https://github.com/citation-style-language/schema/raw/master/csl-citation.json" }</w:instrText>
      </w:r>
      <w:r w:rsidR="00F20EC0" w:rsidRPr="00DF0680">
        <w:fldChar w:fldCharType="separate"/>
      </w:r>
      <w:r w:rsidRPr="00DF0680">
        <w:t>(Hu et al. 2007)</w:t>
      </w:r>
      <w:r w:rsidR="00F20EC0" w:rsidRPr="00DF0680">
        <w:fldChar w:fldCharType="end"/>
      </w:r>
      <w:r w:rsidRPr="00DF0680">
        <w:t xml:space="preserve">. This would suggest that RECQL5 repairs endogenous damage in the cell and when it is depleted, this damage cannot be repaired and we see increased DNA damage signalling. Work has been done implicating RECQL5 in repairing endogenous damage through base excision repair </w:t>
      </w:r>
      <w:r w:rsidR="00F20EC0" w:rsidRPr="00DF0680">
        <w:fldChar w:fldCharType="begin" w:fldLock="1"/>
      </w:r>
      <w:r w:rsidR="00332613" w:rsidRPr="00DF0680">
        <w:instrText>ADDIN CSL_CITATION { "citationItems" : [ { "id" : "ITEM-1", "itemData" : { "DOI" : "10.1091/mbc.E12-02-0110", "ISSN" : "1939-4586", "PMID" : "22973052", "abstract" : "Human RECQL5 is a member of the RecQ helicase family, which maintains genome stability via participation in many DNA metabolic processes, including DNA repair. Human cells lacking RECQL5 display chromosomal instability. We find that cells depleted of RECQL5 are sensitive to oxidative stress, accumulate endogenous DNA damage, and increase the cellular poly(ADP-ribosyl)ate response. In contrast to the RECQ helicase family members WRN, BLM, and RECQL4, RECQL5 accumulates at laser-induced single-strand breaks in normal human cells. RECQL5 depletion affects the levels of PARP-1 and XRCC1, and our collective results suggest that RECQL5 modulates and/or directly participates in base excision repair of endogenous DNA damage, thereby promoting chromosome stability in normal human cells.", "author" : [ { "dropping-particle" : "", "family" : "Tadokoro", "given" : "Takashi", "non-dropping-particle" : "", "parse-names" : false, "suffix" : "" }, { "dropping-particle" : "", "family" : "Ramamoorthy", "given" : "Mahesh", "non-dropping-particle" : "", "parse-names" : false, "suffix" : "" }, { "dropping-particle" : "", "family" : "Popuri", "given" : "Venkateswarlu", "non-dropping-particle" : "", "parse-names" : false, "suffix" : "" }, { "dropping-particle" : "", "family" : "May", "given" : "Alfred", "non-dropping-particle" : "", "parse-names" : false, "suffix" : "" }, { "dropping-particle" : "", "family" : "Tian", "given" : "Jingyan", "non-dropping-particle" : "", "parse-names" : false, "suffix" : "" }, { "dropping-particle" : "", "family" : "Sykora", "given" : "Peter", "non-dropping-particle" : "", "parse-names" : false, "suffix" : "" }, { "dropping-particle" : "", "family" : "Rybanska", "given" : "Ivana", "non-dropping-particle" : "", "parse-names" : false, "suffix" : "" }, { "dropping-particle" : "", "family" : "Wilson", "given" : "David M", "non-dropping-particle" : "", "parse-names" : false, "suffix" : "" }, { "dropping-particle" : "", "family" : "Croteau", "given" : "Deborah L", "non-dropping-particle" : "", "parse-names" : false, "suffix" : "" }, { "dropping-particle" : "", "family" : "Bohr", "given" : "Vilhelm a", "non-dropping-particle" : "", "parse-names" : false, "suffix" : "" } ], "container-title" : "Molecular Biology of the Cell", "id" : "ITEM-1", "issue" : "21", "issued" : { "date-parts" : [ [ "2012", "11" ] ] }, "page" : "4273-85", "title" : "Human RECQL5 participates in the removal of endogenous DNA damage.", "type" : "article-journal", "volume" : "23" }, "uris" : [ "http://www.mendeley.com/documents/?uuid=709cad32-1f72-47d8-b9d4-df1d02a4cd55" ] } ], "mendeley" : { "formattedCitation" : "(Tadokoro et al. 2012)", "plainTextFormattedCitation" : "(Tadokoro et al. 2012)", "previouslyFormattedCitation" : "(Tadokoro et al. 2012)" }, "properties" : { "noteIndex" : 0 }, "schema" : "https://github.com/citation-style-language/schema/raw/master/csl-citation.json" }</w:instrText>
      </w:r>
      <w:r w:rsidR="00F20EC0" w:rsidRPr="00DF0680">
        <w:fldChar w:fldCharType="separate"/>
      </w:r>
      <w:r w:rsidRPr="00DF0680">
        <w:t>(Tadokoro et al. 2012)</w:t>
      </w:r>
      <w:r w:rsidR="00F20EC0" w:rsidRPr="00DF0680">
        <w:fldChar w:fldCharType="end"/>
      </w:r>
      <w:r w:rsidRPr="00DF0680">
        <w:t xml:space="preserve">. However, we do not see a difference in the amount of phosphorylated protein using Western blot (Figure 5.9). This may be because </w:t>
      </w:r>
      <w:r w:rsidR="00336FBD" w:rsidRPr="00DF0680">
        <w:t>immunofluorescence</w:t>
      </w:r>
      <w:r w:rsidRPr="00DF0680">
        <w:t xml:space="preserve"> is a more sensitive technique than Western blotting. The Western blot also suggests that the endogenous damage does not signal through Chk1 (Figure 5.9) highlighting the possibility that this γH2AX indicated damage is not in the form of ssDNA. Upon replication stress, this difference in γH2AX foci disappears. As previous work implicated RECQL5-deficient cells as more sensitive to CPT, with increased γH2AX and RAD51 foci </w:t>
      </w:r>
      <w:r w:rsidR="00F20EC0" w:rsidRPr="00DF0680">
        <w:fldChar w:fldCharType="begin" w:fldLock="1"/>
      </w:r>
      <w:r w:rsidR="00332613" w:rsidRPr="00DF0680">
        <w:instrText>ADDIN CSL_CITATION { "citationItems" : [ { "id" : "ITEM-1", "itemData" : { "DOI" : "10.1101/gad.1609107", "ISSN" : "0890-9369", "PMID" : "18003859", "abstract" : "Members of the RecQ helicase family play critical roles in genome maintenance. There are five RecQ homologs in mammals, and defects in three of these (BLM, WRN, and RECQL4) give rise to cancer predisposition syndromes in humans. RECQL and RECQL5 have not been associated with a human disease. Here we show that deletion of Recql5 in mice results in cancer susceptibility. Recql5-deficient cells exhibit elevated frequencies of spontaneous DNA double-strand breaks and homologous recombination (HR) as scored using a reporter that harbors a direct repeat, and are prone to gross chromosomal rearrangements in response to replication stress. To understand how RECQL5 regulates HR, we use purified proteins to demonstrate that human RECQL5 binds the Rad51 recombinase and inhibits Rad51-mediated D-loop formation. By biochemical means and electron microscopy, we show that RECQL5 displaces Rad51 from single-stranded DNA (ssDNA) in a reaction that requires ATP hydrolysis and RPA. Together, our results identify RECQL5 as an important tumor suppressor that may act by preventing inappropriate HR events via Rad51 presynaptic filament disruption.", "author" : [ { "dropping-particle" : "", "family" : "Hu", "given" : "Yiduo", "non-dropping-particle" : "", "parse-names" : false, "suffix" : "" }, { "dropping-particle" : "", "family" : "Raynard", "given" : "Steven", "non-dropping-particle" : "", "parse-names" : false, "suffix" : "" }, { "dropping-particle" : "", "family" : "Sehorn", "given" : "Michael G", "non-dropping-particle" : "", "parse-names" : false, "suffix" : "" }, { "dropping-particle" : "", "family" : "Lu", "given" : "Xincheng", "non-dropping-particle" : "", "parse-names" : false, "suffix" : "" }, { "dropping-particle" : "", "family" : "Bussen", "given" : "Wendy", "non-dropping-particle" : "", "parse-names" : false, "suffix" : "" }, { "dropping-particle" : "", "family" : "Zheng", "given" : "Lu", "non-dropping-particle" : "", "parse-names" : false, "suffix" : "" }, { "dropping-particle" : "", "family" : "Stark", "given" : "Jeremy M", "non-dropping-particle" : "", "parse-names" : false, "suffix" : "" }, { "dropping-particle" : "", "family" : "Barnes", "given" : "Ellen L", "non-dropping-particle" : "", "parse-names" : false, "suffix" : "" }, { "dropping-particle" : "", "family" : "Chi", "given" : "Peter", "non-dropping-particle" : "", "parse-names" : false, "suffix" : "" }, { "dropping-particle" : "", "family" : "Janscak", "given" : "Pavel", "non-dropping-particle" : "", "parse-names" : false, "suffix" : "" }, { "dropping-particle" : "", "family" : "Jasin", "given" : "Maria", "non-dropping-particle" : "", "parse-names" : false, "suffix" : "" }, { "dropping-particle" : "", "family" : "Vogel", "given" : "Hannes", "non-dropping-particle" : "", "parse-names" : false, "suffix" : "" }, { "dropping-particle" : "", "family" : "Sung", "given" : "Patrick", "non-dropping-particle" : "", "parse-names" : false, "suffix" : "" }, { "dropping-particle" : "", "family" : "Luo", "given" : "Guangbin", "non-dropping-particle" : "", "parse-names" : false, "suffix" : "" } ], "container-title" : "Genes &amp; Development", "id" : "ITEM-1", "issue" : "23", "issued" : { "date-parts" : [ [ "2007", "12", "1" ] ] }, "page" : "3073-84", "title" : "RECQL5/Recql5 helicase regulates homologous recombination and suppresses tumor formation via disruption of Rad51 presynaptic filaments.", "type" : "article-journal", "volume" : "21" }, "uris" : [ "http://www.mendeley.com/documents/?uuid=569f0011-a132-4c3c-8afd-04e50c78a14c" ] } ], "mendeley" : { "formattedCitation" : "(Hu et al. 2007)", "plainTextFormattedCitation" : "(Hu et al. 2007)", "previouslyFormattedCitation" : "(Hu et al. 2007)" }, "properties" : { "noteIndex" : 0 }, "schema" : "https://github.com/citation-style-language/schema/raw/master/csl-citation.json" }</w:instrText>
      </w:r>
      <w:r w:rsidR="00F20EC0" w:rsidRPr="00DF0680">
        <w:fldChar w:fldCharType="separate"/>
      </w:r>
      <w:r w:rsidRPr="00DF0680">
        <w:t>(Hu et al. 2007)</w:t>
      </w:r>
      <w:r w:rsidR="00F20EC0" w:rsidRPr="00DF0680">
        <w:fldChar w:fldCharType="end"/>
      </w:r>
      <w:r w:rsidRPr="00DF0680">
        <w:t>, it would be interesting to replicate the work done using CPT.  Performing the immunofluorescence in EJ cells and counting γH2AX foci would provide insight as to whether the increase in CPT-induced cell death seen in cells depleted of RECQL5 is due to increased DNA damage.</w:t>
      </w:r>
    </w:p>
    <w:p w:rsidR="00FE3028" w:rsidRPr="00DF0680" w:rsidRDefault="00FE3028" w:rsidP="00FE3028">
      <w:r w:rsidRPr="00DF0680">
        <w:t xml:space="preserve">As previous work showed over-expressing RECQL5β allows continued cycling in the presence of thymidine </w:t>
      </w:r>
      <w:r w:rsidR="00F20EC0" w:rsidRPr="00DF0680">
        <w:fldChar w:fldCharType="begin" w:fldLock="1"/>
      </w:r>
      <w:r w:rsidR="0033261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fldChar w:fldCharType="separate"/>
      </w:r>
      <w:r w:rsidRPr="00DF0680">
        <w:t>(Blundred et al. 2010)</w:t>
      </w:r>
      <w:r w:rsidR="00F20EC0" w:rsidRPr="00DF0680">
        <w:fldChar w:fldCharType="end"/>
      </w:r>
      <w:r w:rsidRPr="00DF0680">
        <w:t xml:space="preserve">, it was investigated what would happen if cells were depleted of RECQL5 and exposed to thymidine. Depletion of RECQL5 decreased S phase arrest after thymidine treatment (Figure 5.11). It may be that when present, RECQL5 may somehow activate the checkpoint, possibly by acting on stressed replication forks to provide intermediates that signal damage. </w:t>
      </w:r>
      <w:r w:rsidR="0078537C" w:rsidRPr="00DF0680">
        <w:t xml:space="preserve">However, this does contradict the work done by Blundred et al. </w:t>
      </w:r>
      <w:r w:rsidRPr="00DF0680">
        <w:t xml:space="preserve">When not present, stressed forks take a different pathway that can bypass checkpoint activation. This may also be linked to the increase in survival seen in thymidine treated EJ cells when depleted of RECQL5 (Figure 5.6), although we would have to do the FACS assay in EJ’s to determine whether the same effect occurs. It would be interesting to investigate whether these cells have an increase in sister chromatid exchanges to indentify whether the checkpoint bypass is </w:t>
      </w:r>
      <w:r w:rsidR="0078537C" w:rsidRPr="00DF0680">
        <w:t>using an alternative mechanism</w:t>
      </w:r>
      <w:r w:rsidR="00113BBF" w:rsidRPr="00DF0680">
        <w:t xml:space="preserve"> (as RECQL5 inhibits strand-invasion)</w:t>
      </w:r>
      <w:r w:rsidRPr="00DF0680">
        <w:t xml:space="preserve">. </w:t>
      </w:r>
      <w:r w:rsidR="0078537C" w:rsidRPr="00DF0680">
        <w:t>Replicating the work done by Blundred et al. and using siRNA to deplete RECQL5 in RECQL5 over-expressing, thymidine-induced S-phase-slowing resistant cells is an experiment that may add more insight into RECQL5’s role in replication stress.</w:t>
      </w:r>
    </w:p>
    <w:p w:rsidR="00FE3028" w:rsidRPr="00DF0680" w:rsidRDefault="00FE3028" w:rsidP="00FE3028">
      <w:r w:rsidRPr="00DF0680">
        <w:t xml:space="preserve">It has been shown that when RECQL5 is depleted with shRNA in HeLa cells, there is a G2/M cell cycle arrest </w:t>
      </w:r>
      <w:r w:rsidR="00F20EC0" w:rsidRPr="00DF0680">
        <w:fldChar w:fldCharType="begin" w:fldLock="1"/>
      </w:r>
      <w:r w:rsidR="00332613" w:rsidRPr="00DF0680">
        <w:instrText>ADDIN CSL_CITATION { "citationItems" : [ { "id" : "ITEM-1", "itemData" : { "DOI" : "10.1093/nar/gkr844", "ISSN" : "1362-4962", "PMID" : "22013166", "abstract" : "DNA decatenation mediated by Topoisomerase II is required to separate the interlinked sister chromatids post-replication. SGS1, a yeast homolog of the human RecQ family of helicases interacts with Topoisomerase II and plays a role in chromosome segregation, but this functional interaction has yet to be identified in higher organisms. Here, we report a physical and functional interaction of Topoisomerase II\u03b1 with RECQL5, one of five mammalian RecQ helicases, during DNA replication. Direct interaction of RECQL5 with Topoisomerase II\u03b1 stimulates the decatenation activity of Topoisomerase II\u03b1. Consistent with these observations, RECQL5 co-localizes with Topoisomerase II\u03b1 during S-phase of the cell cycle. Moreover, cells with stable depletions of RECQL5 display a slow proliferation rate, a G2/M cell cycle arrest and late S-phase cycling defects. Metaphase spreads generated from RECQL5-depleted cells exhibit undercondensed and entangled chromosomes. Further, RECQL5-depleted cells activate a G2/M checkpoint and undergo apoptosis. These phenotypes are similar to those observed when Topoisomerase II catalytic activity is inhibited. These results reveal an important role for RECQL5 in the maintenance of genomic stability and a new insight into the decatenation process.", "author" : [ { "dropping-particle" : "", "family" : "Ramamoorthy", "given" : "Mahesh", "non-dropping-particle" : "", "parse-names" : false, "suffix" : "" }, { "dropping-particle" : "", "family" : "Tadokoro", "given" : "Takashi", "non-dropping-particle" : "", "parse-names" : false, "suffix" : "" }, { "dropping-particle" : "", "family" : "Rybanska", "given" : "Ivana", "non-dropping-particle" : "", "parse-names" : false, "suffix" : "" }, { "dropping-particle" : "", "family" : "Ghosh", "given" : "Avik K", "non-dropping-particle" : "", "parse-names" : false, "suffix" : "" }, { "dropping-particle" : "", "family" : "Wersto", "given" : "Robert", "non-dropping-particle" : "", "parse-names" : false, "suffix" : "" }, { "dropping-particle" : "", "family" : "May", "given" : "Alfred", "non-dropping-particle" : "", "parse-names" : false, "suffix" : "" }, { "dropping-particle" : "", "family" : "Kulikowicz", "given" : "Tomasz", "non-dropping-particle" : "", "parse-names" : false, "suffix" : "" }, { "dropping-particle" : "", "family" : "Sykora", "given" : "Peter", "non-dropping-particle" : "", "parse-names" : false, "suffix" : "" }, { "dropping-particle" : "", "family" : "Croteau", "given" : "Deborah L", "non-dropping-particle" : "", "parse-names" : false, "suffix" : "" }, { "dropping-particle" : "", "family" : "Bohr", "given" : "Vilhelm a", "non-dropping-particle" : "", "parse-names" : false, "suffix" : "" } ], "container-title" : "Nucleic Acids Research", "id" : "ITEM-1", "issue" : "4", "issued" : { "date-parts" : [ [ "2012", "2" ] ] }, "page" : "1621-35", "title" : "RECQL5 cooperates with Topoisomerase II alpha in DNA decatenation and cell cycle progression.", "type" : "article-journal", "volume" : "40" }, "uris" : [ "http://www.mendeley.com/documents/?uuid=a954ba82-7067-44f7-869a-184b84cbec77" ] } ], "mendeley" : { "formattedCitation" : "(Ramamoorthy et al. 2012)", "plainTextFormattedCitation" : "(Ramamoorthy et al. 2012)", "previouslyFormattedCitation" : "(Ramamoorthy et al. 2012)" }, "properties" : { "noteIndex" : 0 }, "schema" : "https://github.com/citation-style-language/schema/raw/master/csl-citation.json" }</w:instrText>
      </w:r>
      <w:r w:rsidR="00F20EC0" w:rsidRPr="00DF0680">
        <w:fldChar w:fldCharType="separate"/>
      </w:r>
      <w:r w:rsidRPr="00DF0680">
        <w:t>(Ramamoorthy et al. 2012)</w:t>
      </w:r>
      <w:r w:rsidR="00F20EC0" w:rsidRPr="00DF0680">
        <w:fldChar w:fldCharType="end"/>
      </w:r>
      <w:r w:rsidRPr="00DF0680">
        <w:t xml:space="preserve"> but that is not something seen in the </w:t>
      </w:r>
      <w:r w:rsidRPr="00DF0680">
        <w:lastRenderedPageBreak/>
        <w:t xml:space="preserve">work shown here. As the same paper showed that this wasn’t the case when depleted in WI38 cells, it may be a cancer cell line dependent phenotype or an example of how cell cycle checkpoints vary between cell lines </w:t>
      </w:r>
      <w:r w:rsidR="00F20EC0" w:rsidRPr="00DF0680">
        <w:fldChar w:fldCharType="begin" w:fldLock="1"/>
      </w:r>
      <w:r w:rsidR="00332613" w:rsidRPr="00DF0680">
        <w:instrText>ADDIN CSL_CITATION { "citationItems" : [ { "id" : "ITEM-1", "itemData" : { "DOI" : "10.1158/0008-5472.CAN-07-3100", "ISBN" : "3493403526", "ISSN" : "1538-7445", "PMID" : "18089794", "abstract" : "Cell cycle checkpoint abrogation, especially the inhibition of Chk1 in combination with DNA-damaging treatments, has been proposed as a promising way of sensitizing cancer cells. However, less is known about the possibility to selectively affect tumor cells when they are treated with agents that block DNA synthesis in combination with replication checkpoint inhibitors. Here, we present clear insights in the different responses of tumor and non-transformed cells to the inhibition of DNA replication with hydroxyurea in combination with checkpoint abrogation via inhibition of Ataxia telangiectasia-mutated- (ATM) and Rad3-related/ATM (ATR/ATM) and Chk1 kinases. Interestingly, we find that non-transformed cell lines activate ATR/ATM- and Chk1-independent pathways in response to replication inhibition to prevent mitotic entry with unreplicated DNA. In contrast, tumor cell lines such as HCT116 and HeLa cells rely entirely on Chk1 activity for a proper response to replication inhibitors. Our results show that p38 is activated in response to hydroxyurea treatment and collaborates with Chk1 to prevent mitotic entry in non-transformed cell lines by maintaining cyclin B1/Cdk1 complexes inactive. Furthermore, DNA replication arrest down-regulates cyclin B1 promoter activity in non-transformed cells, but not in tumor cells in a Chk1- and p38-independent way. Thus, our data show that non-transformed cells present a more robust DNA replication checkpoint response compared with tumor cells that involves activation of the p38 pathway. We show that some of these responses to replication block can be lost in tumor cells, causing a defective checkpoint and providing a rationale for tumor-selective effects of combined therapies.", "author" : [ { "dropping-particle" : "", "family" : "Rodr\u00edguez-Bravo", "given" : "Ver\u00f3nica", "non-dropping-particle" : "", "parse-names" : false, "suffix" : "" }, { "dropping-particle" : "", "family" : "Guaita-Esteruelas", "given" : "Sandra", "non-dropping-particle" : "", "parse-names" : false, "suffix" : "" }, { "dropping-particle" : "", "family" : "Salvador", "given" : "Noelia", "non-dropping-particle" : "", "parse-names" : false, "suffix" : "" }, { "dropping-particle" : "", "family" : "Bachs", "given" : "Oriol", "non-dropping-particle" : "", "parse-names" : false, "suffix" : "" }, { "dropping-particle" : "", "family" : "Agell", "given" : "Neus", "non-dropping-particle" : "", "parse-names" : false, "suffix" : "" } ], "container-title" : "Cancer Research", "id" : "ITEM-1", "issue" : "24", "issued" : { "date-parts" : [ [ "2007", "12", "15" ] ] }, "page" : "11648-56", "title" : "Different S/M checkpoint responses of tumor and non tumor cell lines to DNA replication inhibition.", "type" : "article-journal", "volume" : "67" }, "uris" : [ "http://www.mendeley.com/documents/?uuid=30d3bf2e-be14-434a-93fe-7b4ed977de8a" ] } ], "mendeley" : { "formattedCitation" : "(Rodr\u00edguez-Bravo et al. 2007)", "plainTextFormattedCitation" : "(Rodr\u00edguez-Bravo et al. 2007)", "previouslyFormattedCitation" : "(Rodr\u00edguez-Bravo et al. 2007)" }, "properties" : { "noteIndex" : 0 }, "schema" : "https://github.com/citation-style-language/schema/raw/master/csl-citation.json" }</w:instrText>
      </w:r>
      <w:r w:rsidR="00F20EC0" w:rsidRPr="00DF0680">
        <w:fldChar w:fldCharType="separate"/>
      </w:r>
      <w:r w:rsidRPr="00DF0680">
        <w:t>(Rodríguez-Bravo et al. 2007)</w:t>
      </w:r>
      <w:r w:rsidR="00F20EC0" w:rsidRPr="00DF0680">
        <w:fldChar w:fldCharType="end"/>
      </w:r>
      <w:r w:rsidRPr="00DF0680">
        <w:t>.</w:t>
      </w:r>
    </w:p>
    <w:p w:rsidR="000627AA" w:rsidRPr="00DF0680" w:rsidRDefault="000627AA" w:rsidP="00FE3028">
      <w:pPr>
        <w:sectPr w:rsidR="000627AA" w:rsidRPr="00DF0680" w:rsidSect="0051096C">
          <w:headerReference w:type="default" r:id="rId77"/>
          <w:footerReference w:type="default" r:id="rId78"/>
          <w:pgSz w:w="11906" w:h="16838"/>
          <w:pgMar w:top="1440" w:right="1134" w:bottom="1440" w:left="2268" w:header="709" w:footer="709" w:gutter="0"/>
          <w:cols w:space="708"/>
          <w:docGrid w:linePitch="360"/>
        </w:sectPr>
      </w:pPr>
    </w:p>
    <w:p w:rsidR="000627AA" w:rsidRPr="00DF0680" w:rsidRDefault="000627AA" w:rsidP="00E664FC">
      <w:pPr>
        <w:pStyle w:val="Heading1"/>
      </w:pPr>
      <w:bookmarkStart w:id="756" w:name="_Toc403633195"/>
      <w:bookmarkStart w:id="757" w:name="_Toc409181760"/>
      <w:bookmarkStart w:id="758" w:name="_Toc410223768"/>
      <w:bookmarkStart w:id="759" w:name="_Toc417204215"/>
      <w:bookmarkStart w:id="760" w:name="_Toc417204748"/>
      <w:bookmarkStart w:id="761" w:name="_Toc417204808"/>
      <w:r w:rsidRPr="00DF0680">
        <w:lastRenderedPageBreak/>
        <w:t>– The relationship between RECQL5 and MRE11</w:t>
      </w:r>
      <w:bookmarkEnd w:id="756"/>
      <w:bookmarkEnd w:id="757"/>
      <w:bookmarkEnd w:id="758"/>
      <w:bookmarkEnd w:id="759"/>
      <w:bookmarkEnd w:id="760"/>
      <w:bookmarkEnd w:id="761"/>
    </w:p>
    <w:sdt>
      <w:sdtPr>
        <w:rPr>
          <w:b w:val="0"/>
          <w:bCs/>
          <w:noProof w:val="0"/>
        </w:rPr>
        <w:id w:val="1133501"/>
        <w:docPartObj>
          <w:docPartGallery w:val="Table of Contents"/>
          <w:docPartUnique/>
        </w:docPartObj>
      </w:sdtPr>
      <w:sdtEndPr>
        <w:rPr>
          <w:rFonts w:cs="Times New Roman"/>
          <w:bCs w:val="0"/>
        </w:rPr>
      </w:sdtEndPr>
      <w:sdtContent>
        <w:p w:rsidR="000627AA" w:rsidRPr="00DF0680" w:rsidRDefault="00F20EC0" w:rsidP="00577EA5">
          <w:pPr>
            <w:pStyle w:val="TOC1"/>
            <w:rPr>
              <w:rFonts w:asciiTheme="minorHAnsi" w:eastAsiaTheme="minorEastAsia" w:hAnsiTheme="minorHAnsi"/>
              <w:noProof w:val="0"/>
              <w:sz w:val="22"/>
            </w:rPr>
          </w:pPr>
          <w:r w:rsidRPr="00DF0680">
            <w:rPr>
              <w:rFonts w:eastAsiaTheme="majorEastAsia"/>
              <w:bCs/>
              <w:noProof w:val="0"/>
              <w:color w:val="365F91" w:themeColor="accent1" w:themeShade="BF"/>
              <w:sz w:val="28"/>
              <w:szCs w:val="28"/>
            </w:rPr>
            <w:fldChar w:fldCharType="begin"/>
          </w:r>
          <w:r w:rsidR="000627AA" w:rsidRPr="00DF0680">
            <w:rPr>
              <w:noProof w:val="0"/>
            </w:rPr>
            <w:instrText xml:space="preserve"> TOC \o "1-3" \h \z \u </w:instrText>
          </w:r>
          <w:r w:rsidRPr="00DF0680">
            <w:rPr>
              <w:rFonts w:eastAsiaTheme="majorEastAsia"/>
              <w:bCs/>
              <w:noProof w:val="0"/>
              <w:color w:val="365F91" w:themeColor="accent1" w:themeShade="BF"/>
              <w:sz w:val="28"/>
              <w:szCs w:val="28"/>
            </w:rPr>
            <w:fldChar w:fldCharType="separate"/>
          </w:r>
        </w:p>
        <w:p w:rsidR="000627AA" w:rsidRPr="00DF0680" w:rsidRDefault="00F20EC0" w:rsidP="000627AA">
          <w:pPr>
            <w:pStyle w:val="TOC2"/>
            <w:rPr>
              <w:rFonts w:asciiTheme="minorHAnsi" w:eastAsiaTheme="minorEastAsia" w:hAnsiTheme="minorHAnsi"/>
              <w:noProof w:val="0"/>
              <w:sz w:val="22"/>
            </w:rPr>
          </w:pPr>
          <w:hyperlink w:anchor="_Toc410223769" w:history="1">
            <w:r w:rsidR="000627AA" w:rsidRPr="00DF0680">
              <w:rPr>
                <w:rStyle w:val="Hyperlink"/>
                <w:rFonts w:cs="Times New Roman"/>
                <w:noProof w:val="0"/>
              </w:rPr>
              <w:t>6.1</w:t>
            </w:r>
            <w:r w:rsidR="000627AA" w:rsidRPr="00DF0680">
              <w:rPr>
                <w:rFonts w:asciiTheme="minorHAnsi" w:eastAsiaTheme="minorEastAsia" w:hAnsiTheme="minorHAnsi"/>
                <w:noProof w:val="0"/>
                <w:sz w:val="22"/>
              </w:rPr>
              <w:tab/>
            </w:r>
            <w:r w:rsidR="000627AA" w:rsidRPr="00DF0680">
              <w:rPr>
                <w:rStyle w:val="Hyperlink"/>
                <w:rFonts w:cs="Times New Roman"/>
                <w:noProof w:val="0"/>
              </w:rPr>
              <w:t>Introduction</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_Toc410223769 \h </w:instrText>
            </w:r>
            <w:r w:rsidRPr="00DF0680">
              <w:rPr>
                <w:noProof w:val="0"/>
                <w:webHidden/>
              </w:rPr>
            </w:r>
            <w:r w:rsidRPr="00DF0680">
              <w:rPr>
                <w:noProof w:val="0"/>
                <w:webHidden/>
              </w:rPr>
              <w:fldChar w:fldCharType="separate"/>
            </w:r>
            <w:r w:rsidR="009801AF" w:rsidRPr="00DF0680">
              <w:rPr>
                <w:noProof w:val="0"/>
                <w:webHidden/>
              </w:rPr>
              <w:t>176</w:t>
            </w:r>
            <w:r w:rsidRPr="00DF0680">
              <w:rPr>
                <w:noProof w:val="0"/>
                <w:webHidden/>
              </w:rPr>
              <w:fldChar w:fldCharType="end"/>
            </w:r>
          </w:hyperlink>
        </w:p>
        <w:p w:rsidR="000627AA" w:rsidRPr="00DF0680" w:rsidRDefault="00F20EC0" w:rsidP="000627AA">
          <w:pPr>
            <w:pStyle w:val="TOC2"/>
            <w:rPr>
              <w:rFonts w:asciiTheme="minorHAnsi" w:eastAsiaTheme="minorEastAsia" w:hAnsiTheme="minorHAnsi"/>
              <w:noProof w:val="0"/>
              <w:sz w:val="22"/>
            </w:rPr>
          </w:pPr>
          <w:hyperlink w:anchor="_Toc410223770" w:history="1">
            <w:r w:rsidR="000627AA" w:rsidRPr="00DF0680">
              <w:rPr>
                <w:rStyle w:val="Hyperlink"/>
                <w:rFonts w:cs="Times New Roman"/>
                <w:noProof w:val="0"/>
              </w:rPr>
              <w:t>6.2</w:t>
            </w:r>
            <w:r w:rsidR="000627AA" w:rsidRPr="00DF0680">
              <w:rPr>
                <w:rFonts w:asciiTheme="minorHAnsi" w:eastAsiaTheme="minorEastAsia" w:hAnsiTheme="minorHAnsi"/>
                <w:noProof w:val="0"/>
                <w:sz w:val="22"/>
              </w:rPr>
              <w:tab/>
            </w:r>
            <w:r w:rsidR="000627AA" w:rsidRPr="00DF0680">
              <w:rPr>
                <w:rStyle w:val="Hyperlink"/>
                <w:rFonts w:cs="Times New Roman"/>
                <w:noProof w:val="0"/>
              </w:rPr>
              <w:t>The correlation between RECQL5 and MRE11 mRNA in bladder cancer</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_Toc410223770 \h </w:instrText>
            </w:r>
            <w:r w:rsidRPr="00DF0680">
              <w:rPr>
                <w:noProof w:val="0"/>
                <w:webHidden/>
              </w:rPr>
            </w:r>
            <w:r w:rsidRPr="00DF0680">
              <w:rPr>
                <w:noProof w:val="0"/>
                <w:webHidden/>
              </w:rPr>
              <w:fldChar w:fldCharType="separate"/>
            </w:r>
            <w:r w:rsidR="009801AF" w:rsidRPr="00DF0680">
              <w:rPr>
                <w:noProof w:val="0"/>
                <w:webHidden/>
              </w:rPr>
              <w:t>176</w:t>
            </w:r>
            <w:r w:rsidRPr="00DF0680">
              <w:rPr>
                <w:noProof w:val="0"/>
                <w:webHidden/>
              </w:rPr>
              <w:fldChar w:fldCharType="end"/>
            </w:r>
          </w:hyperlink>
        </w:p>
        <w:p w:rsidR="000627AA" w:rsidRPr="00DF0680" w:rsidRDefault="00F20EC0" w:rsidP="000627AA">
          <w:pPr>
            <w:pStyle w:val="TOC2"/>
            <w:rPr>
              <w:rFonts w:asciiTheme="minorHAnsi" w:eastAsiaTheme="minorEastAsia" w:hAnsiTheme="minorHAnsi"/>
              <w:noProof w:val="0"/>
              <w:sz w:val="22"/>
            </w:rPr>
          </w:pPr>
          <w:hyperlink w:anchor="_Toc410223771" w:history="1">
            <w:r w:rsidR="000627AA" w:rsidRPr="00DF0680">
              <w:rPr>
                <w:rStyle w:val="Hyperlink"/>
                <w:rFonts w:cs="Times New Roman"/>
                <w:noProof w:val="0"/>
              </w:rPr>
              <w:t>6.3</w:t>
            </w:r>
            <w:r w:rsidR="000627AA" w:rsidRPr="00DF0680">
              <w:rPr>
                <w:rFonts w:asciiTheme="minorHAnsi" w:eastAsiaTheme="minorEastAsia" w:hAnsiTheme="minorHAnsi"/>
                <w:noProof w:val="0"/>
                <w:sz w:val="22"/>
              </w:rPr>
              <w:tab/>
            </w:r>
            <w:r w:rsidR="000627AA" w:rsidRPr="00DF0680">
              <w:rPr>
                <w:rStyle w:val="Hyperlink"/>
                <w:rFonts w:cs="Times New Roman"/>
                <w:noProof w:val="0"/>
              </w:rPr>
              <w:t>The expression of MRE11 mRNA and protein in bladder cancer</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_Toc410223771 \h </w:instrText>
            </w:r>
            <w:r w:rsidRPr="00DF0680">
              <w:rPr>
                <w:noProof w:val="0"/>
                <w:webHidden/>
              </w:rPr>
            </w:r>
            <w:r w:rsidRPr="00DF0680">
              <w:rPr>
                <w:noProof w:val="0"/>
                <w:webHidden/>
              </w:rPr>
              <w:fldChar w:fldCharType="separate"/>
            </w:r>
            <w:r w:rsidR="009801AF" w:rsidRPr="00DF0680">
              <w:rPr>
                <w:noProof w:val="0"/>
                <w:webHidden/>
              </w:rPr>
              <w:t>177</w:t>
            </w:r>
            <w:r w:rsidRPr="00DF0680">
              <w:rPr>
                <w:noProof w:val="0"/>
                <w:webHidden/>
              </w:rPr>
              <w:fldChar w:fldCharType="end"/>
            </w:r>
          </w:hyperlink>
        </w:p>
        <w:p w:rsidR="000627AA" w:rsidRPr="00DF0680" w:rsidRDefault="00F20EC0" w:rsidP="000627AA">
          <w:pPr>
            <w:pStyle w:val="TOC2"/>
            <w:rPr>
              <w:rFonts w:asciiTheme="minorHAnsi" w:eastAsiaTheme="minorEastAsia" w:hAnsiTheme="minorHAnsi"/>
              <w:noProof w:val="0"/>
              <w:sz w:val="22"/>
            </w:rPr>
          </w:pPr>
          <w:hyperlink w:anchor="_Toc410223772" w:history="1">
            <w:r w:rsidR="000627AA" w:rsidRPr="00DF0680">
              <w:rPr>
                <w:rStyle w:val="Hyperlink"/>
                <w:rFonts w:cs="Times New Roman"/>
                <w:noProof w:val="0"/>
              </w:rPr>
              <w:t>6.4</w:t>
            </w:r>
            <w:r w:rsidR="000627AA" w:rsidRPr="00DF0680">
              <w:rPr>
                <w:rFonts w:asciiTheme="minorHAnsi" w:eastAsiaTheme="minorEastAsia" w:hAnsiTheme="minorHAnsi"/>
                <w:noProof w:val="0"/>
                <w:sz w:val="22"/>
              </w:rPr>
              <w:tab/>
            </w:r>
            <w:r w:rsidR="000627AA" w:rsidRPr="00DF0680">
              <w:rPr>
                <w:rStyle w:val="Hyperlink"/>
                <w:rFonts w:cs="Times New Roman"/>
                <w:noProof w:val="0"/>
              </w:rPr>
              <w:t>MRE11 mRNA levels influence the difference in RECQL5 mRNA levels between normal and cancerous bladder tissue</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_Toc410223772 \h </w:instrText>
            </w:r>
            <w:r w:rsidRPr="00DF0680">
              <w:rPr>
                <w:noProof w:val="0"/>
                <w:webHidden/>
              </w:rPr>
            </w:r>
            <w:r w:rsidRPr="00DF0680">
              <w:rPr>
                <w:noProof w:val="0"/>
                <w:webHidden/>
              </w:rPr>
              <w:fldChar w:fldCharType="separate"/>
            </w:r>
            <w:r w:rsidR="009801AF" w:rsidRPr="00DF0680">
              <w:rPr>
                <w:noProof w:val="0"/>
                <w:webHidden/>
              </w:rPr>
              <w:t>178</w:t>
            </w:r>
            <w:r w:rsidRPr="00DF0680">
              <w:rPr>
                <w:noProof w:val="0"/>
                <w:webHidden/>
              </w:rPr>
              <w:fldChar w:fldCharType="end"/>
            </w:r>
          </w:hyperlink>
        </w:p>
        <w:p w:rsidR="000627AA" w:rsidRPr="00DF0680" w:rsidRDefault="00F20EC0" w:rsidP="000627AA">
          <w:pPr>
            <w:pStyle w:val="TOC2"/>
            <w:rPr>
              <w:rFonts w:asciiTheme="minorHAnsi" w:eastAsiaTheme="minorEastAsia" w:hAnsiTheme="minorHAnsi"/>
              <w:noProof w:val="0"/>
              <w:sz w:val="22"/>
            </w:rPr>
          </w:pPr>
          <w:hyperlink w:anchor="_Toc410223773" w:history="1">
            <w:r w:rsidR="000627AA" w:rsidRPr="00DF0680">
              <w:rPr>
                <w:rStyle w:val="Hyperlink"/>
                <w:rFonts w:cs="Times New Roman"/>
                <w:noProof w:val="0"/>
              </w:rPr>
              <w:t>6.5</w:t>
            </w:r>
            <w:r w:rsidR="000627AA" w:rsidRPr="00DF0680">
              <w:rPr>
                <w:rFonts w:asciiTheme="minorHAnsi" w:eastAsiaTheme="minorEastAsia" w:hAnsiTheme="minorHAnsi"/>
                <w:noProof w:val="0"/>
                <w:sz w:val="22"/>
              </w:rPr>
              <w:tab/>
            </w:r>
            <w:r w:rsidR="000627AA" w:rsidRPr="00DF0680">
              <w:rPr>
                <w:rStyle w:val="Hyperlink"/>
                <w:rFonts w:cs="Times New Roman"/>
                <w:noProof w:val="0"/>
              </w:rPr>
              <w:t>Depleting cells of RECQL5β and MRE11 does not increase sensitivity to hydroxyurea</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_Toc410223773 \h </w:instrText>
            </w:r>
            <w:r w:rsidRPr="00DF0680">
              <w:rPr>
                <w:noProof w:val="0"/>
                <w:webHidden/>
              </w:rPr>
            </w:r>
            <w:r w:rsidRPr="00DF0680">
              <w:rPr>
                <w:noProof w:val="0"/>
                <w:webHidden/>
              </w:rPr>
              <w:fldChar w:fldCharType="separate"/>
            </w:r>
            <w:r w:rsidR="009801AF" w:rsidRPr="00DF0680">
              <w:rPr>
                <w:noProof w:val="0"/>
                <w:webHidden/>
              </w:rPr>
              <w:t>182</w:t>
            </w:r>
            <w:r w:rsidRPr="00DF0680">
              <w:rPr>
                <w:noProof w:val="0"/>
                <w:webHidden/>
              </w:rPr>
              <w:fldChar w:fldCharType="end"/>
            </w:r>
          </w:hyperlink>
        </w:p>
        <w:p w:rsidR="000627AA" w:rsidRPr="00DF0680" w:rsidRDefault="00F20EC0" w:rsidP="000627AA">
          <w:pPr>
            <w:pStyle w:val="TOC2"/>
            <w:rPr>
              <w:rFonts w:asciiTheme="minorHAnsi" w:eastAsiaTheme="minorEastAsia" w:hAnsiTheme="minorHAnsi"/>
              <w:noProof w:val="0"/>
              <w:sz w:val="22"/>
            </w:rPr>
          </w:pPr>
          <w:hyperlink w:anchor="_Toc410223774" w:history="1">
            <w:r w:rsidR="000627AA" w:rsidRPr="00DF0680">
              <w:rPr>
                <w:rStyle w:val="Hyperlink"/>
                <w:rFonts w:cs="Times New Roman"/>
                <w:noProof w:val="0"/>
              </w:rPr>
              <w:t>6.6</w:t>
            </w:r>
            <w:r w:rsidR="000627AA" w:rsidRPr="00DF0680">
              <w:rPr>
                <w:rFonts w:asciiTheme="minorHAnsi" w:eastAsiaTheme="minorEastAsia" w:hAnsiTheme="minorHAnsi"/>
                <w:noProof w:val="0"/>
                <w:sz w:val="22"/>
              </w:rPr>
              <w:tab/>
            </w:r>
            <w:r w:rsidR="000627AA" w:rsidRPr="00DF0680">
              <w:rPr>
                <w:rStyle w:val="Hyperlink"/>
                <w:rFonts w:cs="Times New Roman"/>
                <w:noProof w:val="0"/>
              </w:rPr>
              <w:t xml:space="preserve">RECQL5β and MRE11 interact </w:t>
            </w:r>
            <w:r w:rsidR="004D495E" w:rsidRPr="00DF0680">
              <w:rPr>
                <w:rStyle w:val="Hyperlink"/>
                <w:rFonts w:cs="Times New Roman"/>
                <w:i/>
                <w:noProof w:val="0"/>
              </w:rPr>
              <w:t>in vitro</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_Toc410223774 \h </w:instrText>
            </w:r>
            <w:r w:rsidRPr="00DF0680">
              <w:rPr>
                <w:noProof w:val="0"/>
                <w:webHidden/>
              </w:rPr>
            </w:r>
            <w:r w:rsidRPr="00DF0680">
              <w:rPr>
                <w:noProof w:val="0"/>
                <w:webHidden/>
              </w:rPr>
              <w:fldChar w:fldCharType="separate"/>
            </w:r>
            <w:r w:rsidR="009801AF" w:rsidRPr="00DF0680">
              <w:rPr>
                <w:noProof w:val="0"/>
                <w:webHidden/>
              </w:rPr>
              <w:t>182</w:t>
            </w:r>
            <w:r w:rsidRPr="00DF0680">
              <w:rPr>
                <w:noProof w:val="0"/>
                <w:webHidden/>
              </w:rPr>
              <w:fldChar w:fldCharType="end"/>
            </w:r>
          </w:hyperlink>
        </w:p>
        <w:p w:rsidR="000627AA" w:rsidRPr="00DF0680" w:rsidRDefault="00F20EC0" w:rsidP="000627AA">
          <w:pPr>
            <w:pStyle w:val="TOC2"/>
            <w:rPr>
              <w:rFonts w:asciiTheme="minorHAnsi" w:eastAsiaTheme="minorEastAsia" w:hAnsiTheme="minorHAnsi"/>
              <w:noProof w:val="0"/>
              <w:sz w:val="22"/>
            </w:rPr>
          </w:pPr>
          <w:hyperlink w:anchor="_Toc410223775" w:history="1">
            <w:r w:rsidR="000627AA" w:rsidRPr="00DF0680">
              <w:rPr>
                <w:rStyle w:val="Hyperlink"/>
                <w:rFonts w:cs="Times New Roman"/>
                <w:noProof w:val="0"/>
              </w:rPr>
              <w:t>6.7</w:t>
            </w:r>
            <w:r w:rsidR="000627AA" w:rsidRPr="00DF0680">
              <w:rPr>
                <w:rFonts w:asciiTheme="minorHAnsi" w:eastAsiaTheme="minorEastAsia" w:hAnsiTheme="minorHAnsi"/>
                <w:noProof w:val="0"/>
                <w:sz w:val="22"/>
              </w:rPr>
              <w:tab/>
            </w:r>
            <w:r w:rsidR="000627AA" w:rsidRPr="00DF0680">
              <w:rPr>
                <w:rStyle w:val="Hyperlink"/>
                <w:rFonts w:cs="Times New Roman"/>
                <w:noProof w:val="0"/>
              </w:rPr>
              <w:t>Discussion</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_Toc410223775 \h </w:instrText>
            </w:r>
            <w:r w:rsidRPr="00DF0680">
              <w:rPr>
                <w:noProof w:val="0"/>
                <w:webHidden/>
              </w:rPr>
            </w:r>
            <w:r w:rsidRPr="00DF0680">
              <w:rPr>
                <w:noProof w:val="0"/>
                <w:webHidden/>
              </w:rPr>
              <w:fldChar w:fldCharType="separate"/>
            </w:r>
            <w:r w:rsidR="009801AF" w:rsidRPr="00DF0680">
              <w:rPr>
                <w:noProof w:val="0"/>
                <w:webHidden/>
              </w:rPr>
              <w:t>184</w:t>
            </w:r>
            <w:r w:rsidRPr="00DF0680">
              <w:rPr>
                <w:noProof w:val="0"/>
                <w:webHidden/>
              </w:rPr>
              <w:fldChar w:fldCharType="end"/>
            </w:r>
          </w:hyperlink>
        </w:p>
        <w:p w:rsidR="000627AA" w:rsidRPr="00DF0680" w:rsidRDefault="00F20EC0" w:rsidP="000627AA">
          <w:pPr>
            <w:rPr>
              <w:rFonts w:cs="Times New Roman"/>
            </w:rPr>
          </w:pPr>
          <w:r w:rsidRPr="00DF0680">
            <w:rPr>
              <w:rFonts w:cs="Times New Roman"/>
            </w:rPr>
            <w:fldChar w:fldCharType="end"/>
          </w:r>
        </w:p>
      </w:sdtContent>
    </w:sdt>
    <w:p w:rsidR="000627AA" w:rsidRPr="00DF0680" w:rsidRDefault="000627AA" w:rsidP="000627AA">
      <w:pPr>
        <w:rPr>
          <w:rFonts w:cs="Times New Roman"/>
        </w:rPr>
      </w:pPr>
    </w:p>
    <w:p w:rsidR="000627AA" w:rsidRPr="00DF0680" w:rsidRDefault="000627AA" w:rsidP="000627AA">
      <w:pPr>
        <w:pStyle w:val="TableofFigures"/>
        <w:tabs>
          <w:tab w:val="right" w:leader="dot" w:pos="8494"/>
        </w:tabs>
        <w:rPr>
          <w:rFonts w:cs="Times New Roman"/>
          <w:b/>
          <w:sz w:val="28"/>
          <w:u w:val="single"/>
        </w:rPr>
      </w:pPr>
      <w:r w:rsidRPr="00DF0680">
        <w:rPr>
          <w:rFonts w:cs="Times New Roman"/>
          <w:b/>
          <w:sz w:val="28"/>
          <w:u w:val="single"/>
        </w:rPr>
        <w:t>List of Figures</w:t>
      </w:r>
    </w:p>
    <w:p w:rsidR="000627AA" w:rsidRPr="00DF0680" w:rsidRDefault="00F20EC0" w:rsidP="000627AA">
      <w:pPr>
        <w:pStyle w:val="TableofFigures"/>
        <w:tabs>
          <w:tab w:val="right" w:leader="dot" w:pos="8494"/>
        </w:tabs>
        <w:rPr>
          <w:rFonts w:asciiTheme="minorHAnsi" w:eastAsiaTheme="minorEastAsia" w:hAnsiTheme="minorHAnsi"/>
          <w:sz w:val="22"/>
        </w:rPr>
      </w:pPr>
      <w:r w:rsidRPr="00DF0680">
        <w:rPr>
          <w:rFonts w:cs="Times New Roman"/>
        </w:rPr>
        <w:fldChar w:fldCharType="begin"/>
      </w:r>
      <w:r w:rsidR="000627AA" w:rsidRPr="00DF0680">
        <w:rPr>
          <w:rFonts w:cs="Times New Roman"/>
        </w:rPr>
        <w:instrText xml:space="preserve"> TOC \h \z \c "Figure" </w:instrText>
      </w:r>
      <w:r w:rsidRPr="00DF0680">
        <w:rPr>
          <w:rFonts w:cs="Times New Roman"/>
        </w:rPr>
        <w:fldChar w:fldCharType="separate"/>
      </w:r>
      <w:hyperlink w:anchor="_Toc410223784" w:history="1">
        <w:r w:rsidR="000627AA" w:rsidRPr="00DF0680">
          <w:rPr>
            <w:rStyle w:val="Hyperlink"/>
            <w:rFonts w:cs="Times New Roman"/>
          </w:rPr>
          <w:t>Figure 6.1 – Correlation between RECQL5 and MRE11 mRNA</w:t>
        </w:r>
        <w:r w:rsidR="000627AA" w:rsidRPr="00DF0680">
          <w:rPr>
            <w:webHidden/>
          </w:rPr>
          <w:tab/>
        </w:r>
        <w:r w:rsidRPr="00DF0680">
          <w:rPr>
            <w:webHidden/>
          </w:rPr>
          <w:fldChar w:fldCharType="begin"/>
        </w:r>
        <w:r w:rsidR="000627AA" w:rsidRPr="00DF0680">
          <w:rPr>
            <w:webHidden/>
          </w:rPr>
          <w:instrText xml:space="preserve"> PAGEREF _Toc410223784 \h </w:instrText>
        </w:r>
        <w:r w:rsidRPr="00DF0680">
          <w:rPr>
            <w:webHidden/>
          </w:rPr>
        </w:r>
        <w:r w:rsidRPr="00DF0680">
          <w:rPr>
            <w:webHidden/>
          </w:rPr>
          <w:fldChar w:fldCharType="separate"/>
        </w:r>
        <w:r w:rsidR="009801AF" w:rsidRPr="00DF0680">
          <w:rPr>
            <w:webHidden/>
          </w:rPr>
          <w:t>177</w:t>
        </w:r>
        <w:r w:rsidRPr="00DF0680">
          <w:rPr>
            <w:webHidden/>
          </w:rPr>
          <w:fldChar w:fldCharType="end"/>
        </w:r>
      </w:hyperlink>
    </w:p>
    <w:p w:rsidR="000627AA" w:rsidRPr="00DF0680" w:rsidRDefault="00F20EC0" w:rsidP="000627AA">
      <w:pPr>
        <w:pStyle w:val="TableofFigures"/>
        <w:tabs>
          <w:tab w:val="right" w:leader="dot" w:pos="8494"/>
        </w:tabs>
        <w:rPr>
          <w:rFonts w:asciiTheme="minorHAnsi" w:eastAsiaTheme="minorEastAsia" w:hAnsiTheme="minorHAnsi"/>
          <w:sz w:val="22"/>
        </w:rPr>
      </w:pPr>
      <w:hyperlink w:anchor="_Toc410223785" w:history="1">
        <w:r w:rsidR="000627AA" w:rsidRPr="00DF0680">
          <w:rPr>
            <w:rStyle w:val="Hyperlink"/>
            <w:rFonts w:cs="Times New Roman"/>
          </w:rPr>
          <w:t>Figure 6.2 – RECQL5 and MRE11 mRNA and protein levels in primary bladder cancers, normal bladder tissue and bladder cell lines.</w:t>
        </w:r>
        <w:r w:rsidR="000627AA" w:rsidRPr="00DF0680">
          <w:rPr>
            <w:webHidden/>
          </w:rPr>
          <w:tab/>
        </w:r>
        <w:r w:rsidRPr="00DF0680">
          <w:rPr>
            <w:webHidden/>
          </w:rPr>
          <w:fldChar w:fldCharType="begin"/>
        </w:r>
        <w:r w:rsidR="000627AA" w:rsidRPr="00DF0680">
          <w:rPr>
            <w:webHidden/>
          </w:rPr>
          <w:instrText xml:space="preserve"> PAGEREF _Toc410223785 \h </w:instrText>
        </w:r>
        <w:r w:rsidRPr="00DF0680">
          <w:rPr>
            <w:webHidden/>
          </w:rPr>
        </w:r>
        <w:r w:rsidRPr="00DF0680">
          <w:rPr>
            <w:webHidden/>
          </w:rPr>
          <w:fldChar w:fldCharType="separate"/>
        </w:r>
        <w:r w:rsidR="009801AF" w:rsidRPr="00DF0680">
          <w:rPr>
            <w:webHidden/>
          </w:rPr>
          <w:t>179</w:t>
        </w:r>
        <w:r w:rsidRPr="00DF0680">
          <w:rPr>
            <w:webHidden/>
          </w:rPr>
          <w:fldChar w:fldCharType="end"/>
        </w:r>
      </w:hyperlink>
    </w:p>
    <w:p w:rsidR="000627AA" w:rsidRPr="00DF0680" w:rsidRDefault="00F20EC0" w:rsidP="000627AA">
      <w:pPr>
        <w:pStyle w:val="TableofFigures"/>
        <w:tabs>
          <w:tab w:val="right" w:leader="dot" w:pos="8494"/>
        </w:tabs>
        <w:rPr>
          <w:rFonts w:asciiTheme="minorHAnsi" w:eastAsiaTheme="minorEastAsia" w:hAnsiTheme="minorHAnsi"/>
          <w:sz w:val="22"/>
        </w:rPr>
      </w:pPr>
      <w:hyperlink w:anchor="_Toc410223786" w:history="1">
        <w:r w:rsidR="000627AA" w:rsidRPr="00DF0680">
          <w:rPr>
            <w:rStyle w:val="Hyperlink"/>
            <w:rFonts w:cs="Times New Roman"/>
          </w:rPr>
          <w:t>Figure 6.3 – RECQL5 and RECQL5β mRNA levels in bladder cancer when stratified by MRE11 expression</w:t>
        </w:r>
        <w:r w:rsidR="000627AA" w:rsidRPr="00DF0680">
          <w:rPr>
            <w:webHidden/>
          </w:rPr>
          <w:tab/>
        </w:r>
        <w:r w:rsidRPr="00DF0680">
          <w:rPr>
            <w:webHidden/>
          </w:rPr>
          <w:fldChar w:fldCharType="begin"/>
        </w:r>
        <w:r w:rsidR="000627AA" w:rsidRPr="00DF0680">
          <w:rPr>
            <w:webHidden/>
          </w:rPr>
          <w:instrText xml:space="preserve"> PAGEREF _Toc410223786 \h </w:instrText>
        </w:r>
        <w:r w:rsidRPr="00DF0680">
          <w:rPr>
            <w:webHidden/>
          </w:rPr>
        </w:r>
        <w:r w:rsidRPr="00DF0680">
          <w:rPr>
            <w:webHidden/>
          </w:rPr>
          <w:fldChar w:fldCharType="separate"/>
        </w:r>
        <w:r w:rsidR="009801AF" w:rsidRPr="00DF0680">
          <w:rPr>
            <w:webHidden/>
          </w:rPr>
          <w:t>180</w:t>
        </w:r>
        <w:r w:rsidRPr="00DF0680">
          <w:rPr>
            <w:webHidden/>
          </w:rPr>
          <w:fldChar w:fldCharType="end"/>
        </w:r>
      </w:hyperlink>
    </w:p>
    <w:p w:rsidR="000627AA" w:rsidRPr="00DF0680" w:rsidRDefault="00F20EC0" w:rsidP="000627AA">
      <w:pPr>
        <w:pStyle w:val="TableofFigures"/>
        <w:tabs>
          <w:tab w:val="right" w:leader="dot" w:pos="8494"/>
        </w:tabs>
        <w:rPr>
          <w:rFonts w:asciiTheme="minorHAnsi" w:eastAsiaTheme="minorEastAsia" w:hAnsiTheme="minorHAnsi"/>
          <w:sz w:val="22"/>
        </w:rPr>
      </w:pPr>
      <w:hyperlink w:anchor="_Toc410223787" w:history="1">
        <w:r w:rsidR="000627AA" w:rsidRPr="00DF0680">
          <w:rPr>
            <w:rStyle w:val="Hyperlink"/>
            <w:rFonts w:cs="Times New Roman"/>
          </w:rPr>
          <w:t>Figure 6.4 – MRE11 mRNA levels in bladder cancer when stratified by RECQL5 and RECQL5β expression</w:t>
        </w:r>
        <w:r w:rsidR="000627AA" w:rsidRPr="00DF0680">
          <w:rPr>
            <w:webHidden/>
          </w:rPr>
          <w:tab/>
        </w:r>
        <w:r w:rsidRPr="00DF0680">
          <w:rPr>
            <w:webHidden/>
          </w:rPr>
          <w:fldChar w:fldCharType="begin"/>
        </w:r>
        <w:r w:rsidR="000627AA" w:rsidRPr="00DF0680">
          <w:rPr>
            <w:webHidden/>
          </w:rPr>
          <w:instrText xml:space="preserve"> PAGEREF _Toc410223787 \h </w:instrText>
        </w:r>
        <w:r w:rsidRPr="00DF0680">
          <w:rPr>
            <w:webHidden/>
          </w:rPr>
        </w:r>
        <w:r w:rsidRPr="00DF0680">
          <w:rPr>
            <w:webHidden/>
          </w:rPr>
          <w:fldChar w:fldCharType="separate"/>
        </w:r>
        <w:r w:rsidR="009801AF" w:rsidRPr="00DF0680">
          <w:rPr>
            <w:webHidden/>
          </w:rPr>
          <w:t>181</w:t>
        </w:r>
        <w:r w:rsidRPr="00DF0680">
          <w:rPr>
            <w:webHidden/>
          </w:rPr>
          <w:fldChar w:fldCharType="end"/>
        </w:r>
      </w:hyperlink>
    </w:p>
    <w:p w:rsidR="000627AA" w:rsidRPr="00DF0680" w:rsidRDefault="00F20EC0" w:rsidP="000627AA">
      <w:pPr>
        <w:pStyle w:val="TableofFigures"/>
        <w:tabs>
          <w:tab w:val="right" w:leader="dot" w:pos="8494"/>
        </w:tabs>
        <w:rPr>
          <w:rFonts w:asciiTheme="minorHAnsi" w:eastAsiaTheme="minorEastAsia" w:hAnsiTheme="minorHAnsi"/>
          <w:sz w:val="22"/>
        </w:rPr>
      </w:pPr>
      <w:hyperlink w:anchor="_Toc410223788" w:history="1">
        <w:r w:rsidR="000627AA" w:rsidRPr="00DF0680">
          <w:rPr>
            <w:rStyle w:val="Hyperlink"/>
            <w:rFonts w:cs="Times New Roman"/>
          </w:rPr>
          <w:t>Figure 6.5 – Sensitivity of MRC5 cells to hydroxyurea with RECQL5β and MRE11 depletion</w:t>
        </w:r>
        <w:r w:rsidR="000627AA" w:rsidRPr="00DF0680">
          <w:rPr>
            <w:webHidden/>
          </w:rPr>
          <w:tab/>
        </w:r>
        <w:r w:rsidRPr="00DF0680">
          <w:rPr>
            <w:webHidden/>
          </w:rPr>
          <w:fldChar w:fldCharType="begin"/>
        </w:r>
        <w:r w:rsidR="000627AA" w:rsidRPr="00DF0680">
          <w:rPr>
            <w:webHidden/>
          </w:rPr>
          <w:instrText xml:space="preserve"> PAGEREF _Toc410223788 \h </w:instrText>
        </w:r>
        <w:r w:rsidRPr="00DF0680">
          <w:rPr>
            <w:webHidden/>
          </w:rPr>
        </w:r>
        <w:r w:rsidRPr="00DF0680">
          <w:rPr>
            <w:webHidden/>
          </w:rPr>
          <w:fldChar w:fldCharType="separate"/>
        </w:r>
        <w:r w:rsidR="009801AF" w:rsidRPr="00DF0680">
          <w:rPr>
            <w:webHidden/>
          </w:rPr>
          <w:t>183</w:t>
        </w:r>
        <w:r w:rsidRPr="00DF0680">
          <w:rPr>
            <w:webHidden/>
          </w:rPr>
          <w:fldChar w:fldCharType="end"/>
        </w:r>
      </w:hyperlink>
    </w:p>
    <w:p w:rsidR="000627AA" w:rsidRPr="00DF0680" w:rsidRDefault="00F20EC0" w:rsidP="000627AA">
      <w:pPr>
        <w:pStyle w:val="TableofFigures"/>
        <w:tabs>
          <w:tab w:val="right" w:leader="dot" w:pos="8494"/>
        </w:tabs>
        <w:rPr>
          <w:rFonts w:asciiTheme="minorHAnsi" w:eastAsiaTheme="minorEastAsia" w:hAnsiTheme="minorHAnsi"/>
          <w:sz w:val="22"/>
        </w:rPr>
      </w:pPr>
      <w:hyperlink w:anchor="_Toc410223789" w:history="1">
        <w:r w:rsidR="000627AA" w:rsidRPr="00DF0680">
          <w:rPr>
            <w:rStyle w:val="Hyperlink"/>
            <w:rFonts w:cs="Times New Roman"/>
          </w:rPr>
          <w:t>Figure 6.6 – The binding of RECQL5β to Δ</w:t>
        </w:r>
        <w:r w:rsidR="0071440F" w:rsidRPr="00DF0680">
          <w:rPr>
            <w:rStyle w:val="Hyperlink"/>
            <w:rFonts w:cs="Times New Roman"/>
            <w:vertAlign w:val="subscript"/>
          </w:rPr>
          <w:t>5-7</w:t>
        </w:r>
        <w:r w:rsidR="000627AA" w:rsidRPr="00DF0680">
          <w:rPr>
            <w:rStyle w:val="Hyperlink"/>
            <w:rFonts w:cs="Times New Roman"/>
          </w:rPr>
          <w:t xml:space="preserve"> MRE11</w:t>
        </w:r>
        <w:r w:rsidR="000627AA" w:rsidRPr="00DF0680">
          <w:rPr>
            <w:webHidden/>
          </w:rPr>
          <w:tab/>
        </w:r>
        <w:r w:rsidRPr="00DF0680">
          <w:rPr>
            <w:webHidden/>
          </w:rPr>
          <w:fldChar w:fldCharType="begin"/>
        </w:r>
        <w:r w:rsidR="000627AA" w:rsidRPr="00DF0680">
          <w:rPr>
            <w:webHidden/>
          </w:rPr>
          <w:instrText xml:space="preserve"> PAGEREF _Toc410223789 \h </w:instrText>
        </w:r>
        <w:r w:rsidRPr="00DF0680">
          <w:rPr>
            <w:webHidden/>
          </w:rPr>
        </w:r>
        <w:r w:rsidRPr="00DF0680">
          <w:rPr>
            <w:webHidden/>
          </w:rPr>
          <w:fldChar w:fldCharType="separate"/>
        </w:r>
        <w:r w:rsidR="009801AF" w:rsidRPr="00DF0680">
          <w:rPr>
            <w:webHidden/>
          </w:rPr>
          <w:t>184</w:t>
        </w:r>
        <w:r w:rsidRPr="00DF0680">
          <w:rPr>
            <w:webHidden/>
          </w:rPr>
          <w:fldChar w:fldCharType="end"/>
        </w:r>
      </w:hyperlink>
    </w:p>
    <w:p w:rsidR="000627AA" w:rsidRPr="00DF0680" w:rsidRDefault="00F20EC0" w:rsidP="000627AA">
      <w:pPr>
        <w:rPr>
          <w:rFonts w:cs="Times New Roman"/>
        </w:rPr>
      </w:pPr>
      <w:r w:rsidRPr="00DF0680">
        <w:rPr>
          <w:rFonts w:cs="Times New Roman"/>
        </w:rPr>
        <w:fldChar w:fldCharType="end"/>
      </w:r>
    </w:p>
    <w:p w:rsidR="000627AA" w:rsidRPr="00DF0680" w:rsidRDefault="000627AA" w:rsidP="000627AA">
      <w:pPr>
        <w:rPr>
          <w:rFonts w:cs="Times New Roman"/>
        </w:rPr>
      </w:pPr>
    </w:p>
    <w:p w:rsidR="000627AA" w:rsidRPr="00DF0680" w:rsidRDefault="000627AA" w:rsidP="000627AA">
      <w:pPr>
        <w:rPr>
          <w:rFonts w:cs="Times New Roman"/>
        </w:rPr>
      </w:pPr>
    </w:p>
    <w:p w:rsidR="000627AA" w:rsidRPr="00DF0680" w:rsidRDefault="000627AA" w:rsidP="000627AA">
      <w:pPr>
        <w:rPr>
          <w:rFonts w:cs="Times New Roman"/>
        </w:rPr>
      </w:pPr>
    </w:p>
    <w:p w:rsidR="000627AA" w:rsidRPr="00DF0680" w:rsidRDefault="000627AA" w:rsidP="00E664FC">
      <w:pPr>
        <w:pStyle w:val="Heading2"/>
      </w:pPr>
      <w:bookmarkStart w:id="762" w:name="_Toc410223769"/>
      <w:bookmarkStart w:id="763" w:name="_Toc417204216"/>
      <w:bookmarkStart w:id="764" w:name="_Toc417204749"/>
      <w:bookmarkStart w:id="765" w:name="_Toc417204809"/>
      <w:r w:rsidRPr="00DF0680">
        <w:lastRenderedPageBreak/>
        <w:t>Introduction</w:t>
      </w:r>
      <w:bookmarkEnd w:id="762"/>
      <w:bookmarkEnd w:id="763"/>
      <w:bookmarkEnd w:id="764"/>
      <w:bookmarkEnd w:id="765"/>
    </w:p>
    <w:p w:rsidR="000627AA" w:rsidRPr="00DF0680" w:rsidRDefault="000627AA" w:rsidP="000627AA">
      <w:pPr>
        <w:rPr>
          <w:rFonts w:cs="Times New Roman"/>
        </w:rPr>
      </w:pPr>
      <w:r w:rsidRPr="00DF0680">
        <w:rPr>
          <w:rFonts w:cs="Times New Roman"/>
        </w:rPr>
        <w:t xml:space="preserve">MRE11 is a DNA damage response protein and exonuclease that works in a complex with RAD50 and NBS1, named MRN </w:t>
      </w:r>
      <w:r w:rsidR="00F20EC0" w:rsidRPr="00DF0680">
        <w:rPr>
          <w:rFonts w:cs="Times New Roman"/>
        </w:rPr>
        <w:fldChar w:fldCharType="begin" w:fldLock="1"/>
      </w:r>
      <w:r w:rsidR="00332613" w:rsidRPr="00DF0680">
        <w:rPr>
          <w:rFonts w:cs="Times New Roman"/>
        </w:rPr>
        <w:instrText>ADDIN CSL_CITATION { "citationItems" : [ { "id" : "ITEM-1", "itemData" : { "author" : [ { "dropping-particle" : "", "family" : "Dolganov", "given" : "GM", "non-dropping-particle" : "", "parse-names" : false, "suffix" : "" }, { "dropping-particle" : "", "family" : "Maser", "given" : "RS", "non-dropping-particle" : "", "parse-names" : false, "suffix" : "" } ], "container-title" : "Molecular and Cellular Biology", "id" : "ITEM-1", "issue" : "9", "issued" : { "date-parts" : [ [ "1996" ] ] }, "page" : "4832-41", "title" : "Human Rad50 is physically associated with human Mre11: identification of a conserved multiprotein complex implicated in recombinational DNA repair.", "type" : "article-journal", "volume" : "16" }, "uris" : [ "http://www.mendeley.com/documents/?uuid=164f662f-6a48-44a1-8a82-db4d2b5ee601" ] }, { "id" : "ITEM-2", "itemData" : { "author" : [ { "dropping-particle" : "", "family" : "Carney", "given" : "JP", "non-dropping-particle" : "", "parse-names" : false, "suffix" : "" }, { "dropping-particle" : "", "family" : "Maser", "given" : "RS", "non-dropping-particle" : "", "parse-names" : false, "suffix" : "" }, { "dropping-particle" : "", "family" : "Olivares", "given" : "Heidi", "non-dropping-particle" : "", "parse-names" : false, "suffix" : "" } ], "container-title" : "Cell", "id" : "ITEM-2", "issue" : "3", "issued" : { "date-parts" : [ [ "1998" ] ] }, "page" : "477-486", "title" : "The hMre11/hRad50 protein complex and Nijmegen breakage syndrome: linkage of double-strand break repair to the cellular DNA damage response", "type" : "article-journal", "volume" : "93" }, "uris" : [ "http://www.mendeley.com/documents/?uuid=5066b7d6-c3d0-4f42-8e7a-3a027c18d935" ] }, { "id" : "ITEM-3", "itemData" : { "ISSN" : "1097-2765", "PMID" : "9651580", "abstract" : "MRE11 and RAD50 are known to be required for nonhomologous joining of DNA ends in vivo. We have investigated the enzymatic activities of the purified proteins and found that Mre11 by itself has 3' to 5' exonuclease activity that is increased when Mre11 is in a complex with Rad50. Mre11 also exhibits endonuclease activity, as shown by the asymmetric opening of DNA hairpin loops. In conjunction with a DNA ligase, Mre11 promotes the joining of noncomplementary ends in vitro by utilizing short homologies near the ends of the DNA fragments. Sequence identities of 1-5 base pairs are present at all of these junctions, and their diversity is consistent with the products of nonhomologous end-joining observed in vivo.", "author" : [ { "dropping-particle" : "", "family" : "Paull", "given" : "T T", "non-dropping-particle" : "", "parse-names" : false, "suffix" : "" }, { "dropping-particle" : "", "family" : "Gellert", "given" : "M", "non-dropping-particle" : "", "parse-names" : false, "suffix" : "" } ], "container-title" : "Molecular Cell", "id" : "ITEM-3", "issue" : "7", "issued" : { "date-parts" : [ [ "1998", "6" ] ] }, "page" : "969-79", "title" : "The 3' to 5' exonuclease activity of Mre11 facilitates repair of DNA double-strand breaks.", "type" : "article-journal", "volume" : "1" }, "uris" : [ "http://www.mendeley.com/documents/?uuid=dec59b60-ee80-43e3-ba6c-114f43be814d" ] } ], "mendeley" : { "formattedCitation" : "(Dolganov &amp; Maser 1996; Carney et al. 1998; Paull &amp; Gellert 1998)", "plainTextFormattedCitation" : "(Dolganov &amp; Maser 1996; Carney et al. 1998; Paull &amp; Gellert 1998)", "previouslyFormattedCitation" : "(Dolganov &amp; Maser 1996; Carney et al. 1998; Paull &amp; Gellert 1998)"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(Dolganov &amp; Maser 1996; Carney et al. 1998; Paull &amp; Gellert 1998)</w:t>
      </w:r>
      <w:r w:rsidR="00F20EC0" w:rsidRPr="00DF0680">
        <w:rPr>
          <w:rFonts w:cs="Times New Roman"/>
        </w:rPr>
        <w:fldChar w:fldCharType="end"/>
      </w:r>
      <w:r w:rsidRPr="00DF0680">
        <w:rPr>
          <w:rFonts w:cs="Times New Roman"/>
        </w:rPr>
        <w:t xml:space="preserve">. It binds to DNA ends and activates ATM upon double strand breaks </w:t>
      </w:r>
      <w:r w:rsidR="00F20EC0" w:rsidRPr="00DF0680">
        <w:rPr>
          <w:rFonts w:cs="Times New Roman"/>
        </w:rPr>
        <w:fldChar w:fldCharType="begin" w:fldLock="1"/>
      </w:r>
      <w:r w:rsidR="00332613" w:rsidRPr="00DF0680">
        <w:rPr>
          <w:rFonts w:cs="Times New Roman"/>
        </w:rPr>
        <w:instrText>ADDIN CSL_CITATION { "citationItems" : [ { "id" : "ITEM-1", "itemData" : { "DOI" : "10.1016/S1097-2765(01)00381-1", "ISSN" : "10972765", "author" : [ { "dropping-particle" : "", "family" : "Jager", "given" : "Martijn", "non-dropping-particle" : "de", "parse-names" : false, "suffix" : "" }, { "dropping-particle" : "", "family" : "Noort", "given" : "John", "non-dropping-particle" : "van", "parse-names" : false, "suffix" : "" }, { "dropping-particle" : "", "family" : "Gent", "given" : "Dik C.", "non-dropping-particle" : "van", "parse-names" : false, "suffix" : "" }, { "dropping-particle" : "", "family" : "Dekker", "given" : "Cees", "non-dropping-particle" : "", "parse-names" : false, "suffix" : "" }, { "dropping-particle" : "", "family" : "Kanaar", "given" : "Roland", "non-dropping-particle" : "", "parse-names" : false, "suffix" : "" }, { "dropping-particle" : "", "family" : "Wyman", "given" : "Claire", "non-dropping-particle" : "", "parse-names" : false, "suffix" : "" } ], "container-title" : "Molecular Cell", "id" : "ITEM-1", "issue" : "5", "issued" : { "date-parts" : [ [ "2001", "11" ] ] }, "page" : "1129-1135", "title" : "Human Rad50/Mre11 Is a Flexible Complex that Can Tether DNA Ends", "type" : "article-journal", "volume" : "8" }, "uris" : [ "http://www.mendeley.com/documents/?uuid=7c032149-733b-4be9-9066-72212334004d" ] }, { "id" : "ITEM-2", "itemData" : { "DOI" : "10.1126/science.1091496", "ISSN" : "1095-9203", "PMID" : "15064416", "abstract" : "The complex containing the Mre11, Rad50, and Nbs1 proteins (MRN) is essential for the cellular response to DNA double-strand breaks, integrating DNA repair with the activation of checkpoint signaling through the protein kinase ATM (ataxia telangiectasia mutated). We demonstrate that MRN stimulates the kinase activity of ATM in vitro toward its substrates p53, Chk2, and histone H2AX. MRN makes multiple contacts with ATM and appears to stimulate ATM activity by facilitating the stable binding of substrates. Phosphorylation of Nbs1 is critical for MRN stimulation of ATM activity toward Chk2, but not p53. Kinase-deficient ATM inhibits wild-type ATM phosphorylation of Chk2, consistent with the dominant-negative effect of kinase-deficient ATM in vivo.", "author" : [ { "dropping-particle" : "", "family" : "Lee", "given" : "Ji-Hoon", "non-dropping-particle" : "", "parse-names" : false, "suffix" : "" }, { "dropping-particle" : "", "family" : "Paull", "given" : "Tanya T", "non-dropping-particle" : "", "parse-names" : false, "suffix" : "" } ], "container-title" : "Science", "id" : "ITEM-2", "issue" : "5667", "issued" : { "date-parts" : [ [ "2004", "4", "2" ] ] }, "page" : "93-6", "title" : "Direct activation of the ATM protein kinase by the Mre11/Rad50/Nbs1 complex.", "type" : "article-journal", "volume" : "304" }, "uris" : [ "http://www.mendeley.com/documents/?uuid=1c70cd4c-f010-4da6-8ad3-ba107c1a03a0" ] }, { "id" : "ITEM-3", "itemData" : { "DOI" : "10.1126/science.1108297", "ISSN" : "1095-9203", "PMID" : "15790808", "abstract" : "The ataxia-telangiectasia mutated (ATM) kinase signals the presence of DNA double-strand breaks in mammalian cells by phosphorylating proteins that initiate cell-cycle arrest, apoptosis, and DNA repair. We show that the Mre11-Rad50-Nbs1 (MRN) complex acts as a double-strand break sensor for ATM and recruits ATM to broken DNA molecules. Inactive ATM dimers were activated in vitro with DNA in the presence of MRN, leading to phosphorylation of the downstream cellular targets p53 and Chk2. ATM autophosphorylation was not required for monomerization of ATM by MRN. The unwinding of DNA ends by MRN was essential for ATM stimulation, which is consistent with the central role of single-stranded DNA as an evolutionarily conserved signal for DNA damage.", "author" : [ { "dropping-particle" : "", "family" : "Lee", "given" : "Ji-Hoon", "non-dropping-particle" : "", "parse-names" : false, "suffix" : "" }, { "dropping-particle" : "", "family" : "Paull", "given" : "Tanya T", "non-dropping-particle" : "", "parse-names" : false, "suffix" : "" } ], "container-title" : "Science", "id" : "ITEM-3", "issue" : "5721", "issued" : { "date-parts" : [ [ "2005", "4", "22" ] ] }, "page" : "551-4", "title" : "ATM activation by DNA double-strand breaks through the Mre11-Rad50-Nbs1 complex.", "type" : "article-journal", "volume" : "308" }, "uris" : [ "http://www.mendeley.com/documents/?uuid=c0507573-c89d-44de-9287-3328cf0c82af" ] }, { "id" : "ITEM-4", "itemData" : { "DOI" : "10.1093/emboj/cdg541", "ISSN" : "0261-4189", "PMID" : "14532133", "abstract" : "The ATM protein kinase is a primary activator of the cellular response to DNA double-strand breaks (DSBs). In response to DSBs, ATM is activated and phosphorylates key players in various branches of the DNA damage response network. ATM deficiency causes the genetic disorder ataxia-telangiectasia (A-T), characterized by cerebellar degeneration, immunodeficiency, radiation sensitivity, chromosomal instability and cancer predisposition. The MRN complex, whose core contains the Mre11, Rad50 and Nbs1 proteins, is involved in the initial processing of DSBs. Hypomorphic mutations in the NBS1 and MRE11 genes lead to two other genomic instability disorders: the Nijmegen breakage syndrome (NBS) and A-T like disease (A-TLD), respectively. The order in which ATM and MRN act in the early phase of the DSB response is unclear. Here we show that functional MRN is required for ATM activation, and consequently for timely activation of ATM-mediated pathways. Collectively, these and previous results assign to components of the MRN complex roles upstream and downstream of ATM in the DNA damage response pathway and explain the clinical resemblance between A-T and A-TLD.", "author" : [ { "dropping-particle" : "", "family" : "Uziel", "given" : "Tamar", "non-dropping-particle" : "", "parse-names" : false, "suffix" : "" }, { "dropping-particle" : "", "family" : "Lerenthal", "given" : "Yaniv", "non-dropping-particle" : "", "parse-names" : false, "suffix" : "" }, { "dropping-particle" : "", "family" : "Moyal", "given" : "Lilach", "non-dropping-particle" : "", "parse-names" : false, "suffix" : "" }, { "dropping-particle" : "", "family" : "Andegeko", "given" : "Yair", "non-dropping-particle" : "", "parse-names" : false, "suffix" : "" }, { "dropping-particle" : "", "family" : "Mittelman", "given" : "Leonid", "non-dropping-particle" : "", "parse-names" : false, "suffix" : "" }, { "dropping-particle" : "", "family" : "Shiloh", "given" : "Yosef", "non-dropping-particle" : "", "parse-names" : false, "suffix" : "" } ], "container-title" : "The EMBO Journal", "id" : "ITEM-4", "issue" : "20", "issued" : { "date-parts" : [ [ "2003", "10", "15" ] ] }, "page" : "5612-21", "title" : "Requirement of the MRN complex for ATM activation by DNA damage.", "type" : "article-journal", "volume" : "22" }, "uris" : [ "http://www.mendeley.com/documents/?uuid=350936d0-0d80-4216-bc9c-97c6a092e7e5" ] } ], "mendeley" : { "formattedCitation" : "(de Jager et al. 2001; Lee &amp; Paull 2004; Lee &amp; Paull 2005; Uziel et al. 2003)", "plainTextFormattedCitation" : "(de Jager et al. 2001; Lee &amp; Paull 2004; Lee &amp; Paull 2005; Uziel et al. 2003)", "previouslyFormattedCitation" : "(de Jager et al. 2001; Lee &amp; Paull 2004; Lee &amp; Paull 2005; Uziel et al. 2003)"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(de Jager et al. 2001; Lee &amp; Paull 2004; Lee &amp; Paull 2005; Uziel et al. 2003)</w:t>
      </w:r>
      <w:r w:rsidR="00F20EC0" w:rsidRPr="00DF0680">
        <w:rPr>
          <w:rFonts w:cs="Times New Roman"/>
        </w:rPr>
        <w:fldChar w:fldCharType="end"/>
      </w:r>
      <w:r w:rsidRPr="00DF0680">
        <w:rPr>
          <w:rFonts w:cs="Times New Roman"/>
        </w:rPr>
        <w:t>.</w:t>
      </w:r>
    </w:p>
    <w:p w:rsidR="000627AA" w:rsidRPr="00DF0680" w:rsidRDefault="000627AA" w:rsidP="000627AA">
      <w:pPr>
        <w:rPr>
          <w:rFonts w:cs="Times New Roman"/>
        </w:rPr>
      </w:pPr>
      <w:r w:rsidRPr="00DF0680">
        <w:rPr>
          <w:rFonts w:cs="Times New Roman"/>
        </w:rPr>
        <w:t xml:space="preserve">The MRN complex is linked to replication stress, regulating the S-phase checkpoint after UV treatment and promoting replication restart after collapsed replication forks </w:t>
      </w:r>
      <w:r w:rsidR="00F20EC0" w:rsidRPr="00DF0680">
        <w:rPr>
          <w:rFonts w:cs="Times New Roman"/>
        </w:rPr>
        <w:fldChar w:fldCharType="begin" w:fldLock="1"/>
      </w:r>
      <w:r w:rsidR="00332613" w:rsidRPr="00DF0680">
        <w:rPr>
          <w:rFonts w:cs="Times New Roman"/>
        </w:rPr>
        <w:instrText>ADDIN CSL_CITATION { "citationItems" : [ { "id" : "ITEM-1", "itemData" : { "DOI" : "10.1074/jbc.M702162200", "ISBN" : "2293922952", "ISSN" : "0021-9258", "PMID" : "17526493", "abstract" : "The Mre11-Rad50-Nbs1 (MRN) complex is required for mediating the S-phase checkpoint following UV treatment, but the underlying mechanism is not clear. Here we demonstrate that at least two mechanisms are involved in regulating the S-phase checkpoint in an MRN-dependent manner following UV treatment. First, when replication forks are stalled, MRN is required upstream of ataxia telangiectasia mutated and Rad3-related protein (ATR) to facilitate ATR activation in a substrate and dosage-dependent manner. In particular, MRN is required for ATR-directed phosphorylation of RPA2, a critical event in mediating the S-phase checkpoint following UV treatment. Second, MRN is a downstream substrate of ATR. Nbs1 is phosphorylated by ATR at Ser-343 when replication forks are stalled, and this phosphorylation event is also important for down-regulating DNA replication following UV treatment. Moreover, we demonstrate that MRN and ATR/ATR-interacting protein (TRIP) interact with each other, and the forkhead-associated/breast cancer C-terminal domains (FHA/BRCT) of Nbs1 play a significant role in mediating this interaction. Mutations in the FHA/BRCT domains do not prevent ATR activation but specifically impair ATR-mediated Nbs1 phosphorylation at Ser-343, which results in a defect in the S-phase checkpoint. These data suggest that MRN plays critical roles both upstream and downstream of ATR to regulate the S-phase checkpoint when replication forks are stalled.", "author" : [ { "dropping-particle" : "", "family" : "Olson", "given" : "Erin", "non-dropping-particle" : "", "parse-names" : false, "suffix" : "" }, { "dropping-particle" : "", "family" : "Nievera", "given" : "Christian J", "non-dropping-particle" : "", "parse-names" : false, "suffix" : "" }, { "dropping-particle" : "", "family" : "Lee", "given" : "Alan Yueh-Luen", "non-dropping-particle" : "", "parse-names" : false, "suffix" : "" }, { "dropping-particle" : "", "family" : "Chen", "given" : "Longchuan", "non-dropping-particle" : "", "parse-names" : false, "suffix" : "" }, { "dropping-particle" : "", "family" : "Wu", "given" : "Xiaohua", "non-dropping-particle" : "", "parse-names" : false, "suffix" : "" } ], "container-title" : "The Journal of Biological Chemistry", "id" : "ITEM-1", "issue" : "31", "issued" : { "date-parts" : [ [ "2007", "8", "3" ] ] }, "page" : "22939-52", "title" : "The Mre11-Rad50-Nbs1 complex acts both upstream and downstream of ataxia telangiectasia mutated and Rad3-related protein (ATR) to regulate the S-phase checkpoint following UV treatment.", "type" : "article-journal", "volume" : "282" }, "uris" : [ "http://www.mendeley.com/documents/?uuid=f59285d6-d3ef-4479-86de-19c51b598a99" ] }, { "id" : "ITEM-2", "itemData" : { "DOI" : "10.1038/sj.emboj.7601045", "ISSN" : "0261-4189", "PMID" : "16601701", "abstract" : "Ataxia-telangiectasia mutated (ATM), ataxia-telangiectasia Rad3-related (ATR) and the Mre11/Rad50/Nbs1 complex ensure genome stability in response to DNA damage. However, their essential role in DNA metabolism remains unknown. Here we show that ATM and ATR prevent accumulation of DNA double-strand breaks (DSBs) during chromosomal replication. Replicating chromosomes accumulate DSBs in Xenopus laevis egg extracts depleted of ATM and ATR. Addition of ATM and ATR proteins to depleted extracts prevents DSB accumulation by promoting restart of collapsed replication forks that arise during DNA replication. We show that collapsed forks maintain MCM complex but lose Pol epsilon, and that Pol epsilon reloading requires ATM and ATR. Replication fork restart is abolished in Mre11 depleted extracts and is restored by supplementation with recombinant human Mre11/Rad50/Nbs1 complex. Using a novel fluorescence resonance energy transfer-based technique, we demonstrate that ATM and ATR induce Mre11/Rad50/Nbs1 complex redistribution to restarting forks. This study provides direct biochemical evidence that ATM and ATR prevent accumulation of chromosomal abnormalities by promoting Mre11/Rad50/Nbs1 dependent recovery of collapsed replication forks.", "author" : [ { "dropping-particle" : "", "family" : "Trenz", "given" : "Kristina", "non-dropping-particle" : "", "parse-names" : false, "suffix" : "" }, { "dropping-particle" : "", "family" : "Smith", "given" : "Eloise", "non-dropping-particle" : "", "parse-names" : false, "suffix" : "" }, { "dropping-particle" : "", "family" : "Smith", "given" : "Sarah", "non-dropping-particle" : "", "parse-names" : false, "suffix" : "" }, { "dropping-particle" : "", "family" : "Costanzo", "given" : "Vincenzo", "non-dropping-particle" : "", "parse-names" : false, "suffix" : "" } ], "container-title" : "The EMBO Journal", "id" : "ITEM-2", "issue" : "8", "issued" : { "date-parts" : [ [ "2006", "4", "19" ] ] }, "page" : "1764-74", "title" : "ATM and ATR promote Mre11 dependent restart of collapsed replication forks and prevent accumulation of DNA breaks.", "type" : "article-journal", "volume" : "25" }, "uris" : [ "http://www.mendeley.com/documents/?uuid=397f65c5-de6e-4736-855d-965e9079cef6" ] } ], "mendeley" : { "formattedCitation" : "(Olson et al. 2007; Trenz et al. 2006)", "plainTextFormattedCitation" : "(Olson et al. 2007; Trenz et al. 2006)", "previouslyFormattedCitation" : "(Olson et al. 2007; Trenz et al. 2006)"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(Olson et al. 2007; Trenz et al. 2006)</w:t>
      </w:r>
      <w:r w:rsidR="00F20EC0" w:rsidRPr="00DF0680">
        <w:rPr>
          <w:rFonts w:cs="Times New Roman"/>
        </w:rPr>
        <w:fldChar w:fldCharType="end"/>
      </w:r>
      <w:r w:rsidRPr="00DF0680">
        <w:rPr>
          <w:rFonts w:cs="Times New Roman"/>
        </w:rPr>
        <w:t xml:space="preserve">. </w:t>
      </w:r>
    </w:p>
    <w:p w:rsidR="000627AA" w:rsidRPr="00DF0680" w:rsidRDefault="000627AA" w:rsidP="000627AA">
      <w:pPr>
        <w:rPr>
          <w:rFonts w:cs="Times New Roman"/>
        </w:rPr>
      </w:pPr>
      <w:r w:rsidRPr="00DF0680">
        <w:rPr>
          <w:rFonts w:cs="Times New Roman"/>
        </w:rPr>
        <w:t xml:space="preserve">The MRN complex interacts with RecQ helicases WRN (via Nbs1) and BLM, which is required for MRN foci formation after hydroxyurea treatment </w:t>
      </w:r>
      <w:r w:rsidR="00F20EC0" w:rsidRPr="00DF0680">
        <w:rPr>
          <w:rFonts w:cs="Times New Roman"/>
        </w:rPr>
        <w:fldChar w:fldCharType="begin" w:fldLock="1"/>
      </w:r>
      <w:r w:rsidR="00332613" w:rsidRPr="00DF0680">
        <w:rPr>
          <w:rFonts w:cs="Times New Roman"/>
        </w:rPr>
        <w:instrText>ADDIN CSL_CITATION { "citationItems" : [ { "id" : "ITEM-1", "itemData" : { "DOI" : "10.1074/jbc.M312770200", "ISSN" : "0021-9258", "PMID" : "15026416", "abstract" : "The Werner syndrome and the Nijmegen breakage syndrome are recessive genetic disorders that show increased genomic instability, cancer predisposition, hypersensitivity to mitomycin C and gamma-irradiation, shortened telomeres, and cell cycle defects. The protein mutated in the premature aging disease known as the Werner syndrome is designated WRN and is a member of the RecQ helicase family. The Nbs1 protein is mutated in Nijmegen breakage syndrome individuals and is part of the mammalian Mre11 complex together with the Mre11 and Rad50 proteins. Here, we show that WRN associates with the Mre11 complex via binding to Nbs1 in vitro and in vivo. In response to gamma-irradiation or mitomycin C, WRN leaves the nucleoli and co-localizes with the Mre11 complex in the nucleoplasm. We detect an increased association between WRN and the Mre11 complex after cellular exposure to gamma-irradiation. Small interfering RNA and complementation experiments demonstrated convergence of WRN and Nbs1 in response to gamma-irradiation or mitomycin C. Nbs1 is required for the Mre11 complex promotion of WRN helicase activity. Taken together, these results demonstrate a functional link between the two genetic diseases with partially overlapping phenotypes in a pathway that responds to DNA double strand breaks and interstrand cross-links.", "author" : [ { "dropping-particle" : "", "family" : "Cheng", "given" : "Wen-Hsing", "non-dropping-particle" : "", "parse-names" : false, "suffix" : "" }, { "dropping-particle" : "", "family" : "Kobbe", "given" : "Cayetano", "non-dropping-particle" : "von", "parse-names" : false, "suffix" : "" }, { "dropping-particle" : "", "family" : "Opresko", "given" : "Patricia L", "non-dropping-particle" : "", "parse-names" : false, "suffix" : "" }, { "dropping-particle" : "", "family" : "Arthur", "given" : "L Matthew", "non-dropping-particle" : "", "parse-names" : false, "suffix" : "" }, { "dropping-particle" : "", "family" : "Komatsu", "given" : "Kenshi", "non-dropping-particle" : "", "parse-names" : false, "suffix" : "" }, { "dropping-particle" : "", "family" : "Seidman", "given" : "Michael M", "non-dropping-particle" : "", "parse-names" : false, "suffix" : "" }, { "dropping-particle" : "", "family" : "Carney", "given" : "James P", "non-dropping-particle" : "", "parse-names" : false, "suffix" : "" }, { "dropping-particle" : "", "family" : "Bohr", "given" : "Vilhelm a", "non-dropping-particle" : "", "parse-names" : false, "suffix" : "" } ], "container-title" : "The Journal of Biological Chemistry", "id" : "ITEM-1", "issue" : "20", "issued" : { "date-parts" : [ [ "2004", "5", "14" ] ] }, "page" : "21169-76", "title" : "Linkage between Werner syndrome protein and the Mre11 complex via Nbs1.", "type" : "article-journal", "volume" : "279" }, "uris" : [ "http://www.mendeley.com/documents/?uuid=09b52799-cebf-4e87-9899-587db1a48e6b" ] }, { "id" : "ITEM-2", "itemData" : { "DOI" : "10.1083/jcb.200110009", "ISSN" : "0021-9525", "PMID" : "11916980", "abstract" : "Bloom's syndrome (BS) is a rare genetic disorder characterized by a broad range of symptoms and, most importantly, a predisposition to many types of cancers. Cells derived from patients with BS exhibit an elevated rate of somatic recombination and hypermutability, supporting a role for bleomycin (BLM) in the maintenance of genomic integrity. BLM is thought to participate in several DNA transactions, the failure of which could give raise to genomic instability, and to interact with many proteins involved in replication, recombination, and repair. In this study, we show that BLM function is specifically required to properly relocalize the RAD50/MRE11/NBS1 (RMN) complex at sites of replication arrest, but is not essential in the activation of BRCA1 either after stalled replication forks or gamma-rays. We also provide evidence that BLM is phosphorylated after replication arrest in an Ataxia and RAD3-related protein (ATR)-dependent manner and that phosphorylation is not required for subnuclear relocalization. Therefore, in ATR dominant negative mutant cells, the assembly of the RMN complex in nuclear foci after replication blockage is almost completely abolished. Together, these results suggest a relationship between BLM, ATR, and the RMN complex in the response to replication arrest, proposing a role for BLM protein and RMN complex in the resolution of stalled replication forks.", "author" : [ { "dropping-particle" : "", "family" : "Franchitto", "given" : "Annapaola", "non-dropping-particle" : "", "parse-names" : false, "suffix" : "" }, { "dropping-particle" : "", "family" : "Pichierri", "given" : "Pietro", "non-dropping-particle" : "", "parse-names" : false, "suffix" : "" } ], "container-title" : "The Journal of Cell Biology", "id" : "ITEM-2", "issue" : "1", "issued" : { "date-parts" : [ [ "2002", "4", "1" ] ] }, "page" : "19-30", "title" : "Bloom's syndrome protein is required for correct relocalization of RAD50/MRE11/NBS1 complex after replication fork arrest.", "type" : "article-journal", "volume" : "157" }, "uris" : [ "http://www.mendeley.com/documents/?uuid=84b18488-d7c2-40a9-9b43-824b279840c3" ] } ], "mendeley" : { "formattedCitation" : "(Cheng et al. 2004; Franchitto &amp; Pichierri 2002)", "plainTextFormattedCitation" : "(Cheng et al. 2004; Franchitto &amp; Pichierri 2002)", "previouslyFormattedCitation" : "(Cheng et al. 2004; Franchitto &amp; Pichierri 2002)"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(Cheng et al. 2004; Franchitto &amp; Pichierri 2002)</w:t>
      </w:r>
      <w:r w:rsidR="00F20EC0" w:rsidRPr="00DF0680">
        <w:rPr>
          <w:rFonts w:cs="Times New Roman"/>
        </w:rPr>
        <w:fldChar w:fldCharType="end"/>
      </w:r>
      <w:r w:rsidRPr="00DF0680">
        <w:rPr>
          <w:rFonts w:cs="Times New Roman"/>
        </w:rPr>
        <w:t>.</w:t>
      </w:r>
    </w:p>
    <w:p w:rsidR="000627AA" w:rsidRPr="00DF0680" w:rsidRDefault="000627AA" w:rsidP="000627AA">
      <w:pPr>
        <w:rPr>
          <w:rFonts w:cs="Times New Roman"/>
        </w:rPr>
      </w:pPr>
      <w:r w:rsidRPr="00DF0680">
        <w:rPr>
          <w:rFonts w:cs="Times New Roman"/>
        </w:rPr>
        <w:t xml:space="preserve">MRE11 itself interacts with RECQL5β and brings it into sites of laser induced and HU induced DNA damage but this is not dependent on MRE11’s exonuclease function </w:t>
      </w:r>
      <w:r w:rsidR="00F20EC0" w:rsidRPr="00DF0680">
        <w:rPr>
          <w:rFonts w:cs="Times New Roman"/>
        </w:rPr>
        <w:fldChar w:fldCharType="begin" w:fldLock="1"/>
      </w:r>
      <w:r w:rsidR="00332613" w:rsidRPr="00DF0680">
        <w:rPr>
          <w:rFonts w:cs="Times New Roman"/>
        </w:rPr>
        <w:instrText>ADDIN CSL_CITATION { "citationItems" : [ { "id" : "ITEM-1", "itemData" : { "DOI" : "10.1093/nar/gkp147", "ISSN" : "1362-4962", "PMID" : "19270065", "abstract" : "RECQ5 DNA helicase suppresses homologous recombination (HR) possibly through disruption of RAD51 filaments. Here, we show that RECQ5 is constitutively associated with the MRE11-RAD50-NBS1 (MRN) complex, a primary sensor of DNA double-strand breaks (DSBs) that promotes DSB repair and regulates DNA damage signaling via activation of the ATM kinase. Experiments with purified proteins indicated that RECQ5 interacts with the MRN complex through both MRE11 and NBS1. Functional assays revealed that RECQ5 specifically inhibited the 3'--&gt;5' exonuclease activity of MRE11, while MRN had no effect on the helicase activity of RECQ5. At the cellular level, we observed that the MRN complex was required for the recruitment of RECQ5 to sites of DNA damage. Accumulation of RECQ5 at DSBs was neither dependent on MDC1 that mediates binding of MRN to DSB-flanking chromatin nor on CtIP that acts in conjunction with MRN to promote resection of DSBs for repair by HR. Collectively, these data suggest that the MRN complex recruits RECQ5 to sites of DNA damage to regulate DNA repair.", "author" : [ { "dropping-particle" : "", "family" : "Zheng", "given" : "Lu", "non-dropping-particle" : "", "parse-names" : false, "suffix" : "" }, { "dropping-particle" : "", "family" : "Kanagaraj", "given" : "Radhakrishnan", "non-dropping-particle" : "", "parse-names" : false, "suffix" : "" }, { "dropping-particle" : "", "family" : "Mihaljevic", "given" : "Boris", "non-dropping-particle" : "", "parse-names" : false, "suffix" : "" }, { "dropping-particle" : "", "family" : "Schwendener", "given" : "Sybille", "non-dropping-particle" : "", "parse-names" : false, "suffix" : "" }, { "dropping-particle" : "", "family" : "Sartori", "given" : "Alessandro a", "non-dropping-particle" : "", "parse-names" : false, "suffix" : "" }, { "dropping-particle" : "", "family" : "Gerrits", "given" : "Bertran", "non-dropping-particle" : "", "parse-names" : false, "suffix" : "" }, { "dropping-particle" : "", "family" : "Shevelev", "given" : "Igor", "non-dropping-particle" : "", "parse-names" : false, "suffix" : "" }, { "dropping-particle" : "", "family" : "Janscak", "given" : "Pavel", "non-dropping-particle" : "", "parse-names" : false, "suffix" : "" } ], "container-title" : "Nucleic Acids Research", "id" : "ITEM-1", "issue" : "8", "issued" : { "date-parts" : [ [ "2009", "5" ] ] }, "page" : "2645-57", "title" : "MRE11 complex links RECQ5 helicase to sites of DNA damage.", "type" : "article-journal", "volume" : "37" }, "uris" : [ "http://www.mendeley.com/documents/?uuid=1d2d60df-0a93-460f-abb4-64ead233ffa9" ] } ], "mendeley" : { "formattedCitation" : "(Zheng et al. 2009)", "plainTextFormattedCitation" : "(Zheng et al. 2009)", "previouslyFormattedCitation" : "(Zheng et al. 2009)"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(Zheng et al. 2009)</w:t>
      </w:r>
      <w:r w:rsidR="00F20EC0" w:rsidRPr="00DF0680">
        <w:rPr>
          <w:rFonts w:cs="Times New Roman"/>
        </w:rPr>
        <w:fldChar w:fldCharType="end"/>
      </w:r>
      <w:r w:rsidRPr="00DF0680">
        <w:rPr>
          <w:rFonts w:cs="Times New Roman"/>
        </w:rPr>
        <w:t>.</w:t>
      </w:r>
    </w:p>
    <w:p w:rsidR="000627AA" w:rsidRPr="00DF0680" w:rsidRDefault="000627AA" w:rsidP="000627AA">
      <w:pPr>
        <w:rPr>
          <w:rFonts w:cs="Times New Roman"/>
        </w:rPr>
      </w:pPr>
      <w:r w:rsidRPr="00DF0680">
        <w:rPr>
          <w:rFonts w:cs="Times New Roman"/>
        </w:rPr>
        <w:t xml:space="preserve">It was investigated whether depleting cells of MRE11 and RECQL5 sensitised to hydroxyurea, whether a deletion mutant of MRE11 interacted with RECQL5, and whether the differences we see in RECQL5 mRNA expression between cancer and normal bladder tissue are dependent on MRE11 mRNA expression.  </w:t>
      </w:r>
    </w:p>
    <w:p w:rsidR="000627AA" w:rsidRPr="00DF0680" w:rsidRDefault="000627AA" w:rsidP="000627AA">
      <w:pPr>
        <w:rPr>
          <w:rFonts w:cs="Times New Roman"/>
        </w:rPr>
      </w:pPr>
    </w:p>
    <w:p w:rsidR="000627AA" w:rsidRPr="00DF0680" w:rsidRDefault="000627AA" w:rsidP="00E664FC">
      <w:pPr>
        <w:pStyle w:val="Heading2"/>
      </w:pPr>
      <w:bookmarkStart w:id="766" w:name="_Toc410223770"/>
      <w:bookmarkStart w:id="767" w:name="_Toc417204217"/>
      <w:bookmarkStart w:id="768" w:name="_Toc417204750"/>
      <w:bookmarkStart w:id="769" w:name="_Toc417204810"/>
      <w:r w:rsidRPr="00DF0680">
        <w:t>The correlation between RECQL5 and MRE11 mRNA in bladder cancer</w:t>
      </w:r>
      <w:bookmarkEnd w:id="766"/>
      <w:bookmarkEnd w:id="767"/>
      <w:bookmarkEnd w:id="768"/>
      <w:bookmarkEnd w:id="769"/>
    </w:p>
    <w:p w:rsidR="000627AA" w:rsidRPr="00DF0680" w:rsidRDefault="000627AA" w:rsidP="000627AA">
      <w:pPr>
        <w:rPr>
          <w:rFonts w:cs="Times New Roman"/>
        </w:rPr>
      </w:pPr>
      <w:r w:rsidRPr="00DF0680">
        <w:rPr>
          <w:rFonts w:cs="Times New Roman"/>
        </w:rPr>
        <w:t>cDNA from bladder cancer and normal bladder tissue samples was probed for RECQL5, RECQL5β and MRE11 mRNA expression using a Taqman assay. RECQL5 and RECQL5β ΔCT values were plotted against MRE11 ΔCT values to determine whether there was a correlation between the two genes. Both RECQL5 and RECQL5β ΔCT values showed a moderate positive correlation with MRE11 ΔCT values with</w:t>
      </w:r>
      <w:r w:rsidRPr="00DF0680">
        <w:rPr>
          <w:rStyle w:val="apple-converted-space"/>
          <w:rFonts w:cs="Times New Roman"/>
          <w:shd w:val="clear" w:color="auto" w:fill="FFFFFF"/>
        </w:rPr>
        <w:t xml:space="preserve"> a </w:t>
      </w:r>
      <w:r w:rsidRPr="00DF0680">
        <w:rPr>
          <w:rFonts w:cs="Times New Roman"/>
          <w:shd w:val="clear" w:color="auto" w:fill="FFFFFF"/>
        </w:rPr>
        <w:t>Pearson product-moment</w:t>
      </w:r>
      <w:r w:rsidRPr="00DF0680">
        <w:rPr>
          <w:rStyle w:val="apple-converted-space"/>
          <w:rFonts w:cs="Times New Roman"/>
          <w:shd w:val="clear" w:color="auto" w:fill="FFFFFF"/>
        </w:rPr>
        <w:t> </w:t>
      </w:r>
      <w:r w:rsidRPr="00DF0680">
        <w:rPr>
          <w:rStyle w:val="Emphasis"/>
          <w:rFonts w:cs="Times New Roman"/>
          <w:bCs/>
          <w:i w:val="0"/>
          <w:shd w:val="clear" w:color="auto" w:fill="FFFFFF"/>
        </w:rPr>
        <w:t>correlation</w:t>
      </w:r>
      <w:r w:rsidRPr="00DF0680">
        <w:rPr>
          <w:rStyle w:val="apple-converted-space"/>
          <w:rFonts w:cs="Times New Roman"/>
          <w:i/>
          <w:shd w:val="clear" w:color="auto" w:fill="FFFFFF"/>
        </w:rPr>
        <w:t> </w:t>
      </w:r>
      <w:r w:rsidRPr="00DF0680">
        <w:rPr>
          <w:rFonts w:cs="Times New Roman"/>
          <w:shd w:val="clear" w:color="auto" w:fill="FFFFFF"/>
        </w:rPr>
        <w:t>coefficient</w:t>
      </w:r>
      <w:r w:rsidRPr="00DF0680">
        <w:rPr>
          <w:rFonts w:cs="Times New Roman"/>
        </w:rPr>
        <w:t xml:space="preserve"> (r value) of 0.6045 and 0.4569 respectively</w:t>
      </w:r>
      <w:r w:rsidR="005061C8" w:rsidRPr="00DF0680">
        <w:rPr>
          <w:rFonts w:cs="Times New Roman"/>
        </w:rPr>
        <w:t xml:space="preserve"> (0.4 – 0.7 is taken as a moderate positive correlation)</w:t>
      </w:r>
      <w:r w:rsidRPr="00DF0680">
        <w:rPr>
          <w:rFonts w:cs="Times New Roman"/>
        </w:rPr>
        <w:t xml:space="preserve">. RECQL5 and RECQL5β ΔCT values correlated well with an r value of 0.6592 (Figure 6.1). </w:t>
      </w:r>
    </w:p>
    <w:p w:rsidR="000627AA" w:rsidRPr="00DF0680" w:rsidRDefault="000627AA" w:rsidP="000627AA">
      <w:pPr>
        <w:keepNext/>
        <w:jc w:val="center"/>
        <w:rPr>
          <w:rFonts w:cs="Times New Roman"/>
        </w:rPr>
      </w:pPr>
      <w:r w:rsidRPr="00DF0680">
        <w:rPr>
          <w:rFonts w:cs="Times New Roman"/>
        </w:rPr>
        <w:lastRenderedPageBreak/>
        <w:drawing>
          <wp:inline distT="0" distB="0" distL="0" distR="0">
            <wp:extent cx="5059633" cy="4146331"/>
            <wp:effectExtent l="0" t="0" r="7667"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r="6434"/>
                    <a:stretch>
                      <a:fillRect/>
                    </a:stretch>
                  </pic:blipFill>
                  <pic:spPr bwMode="auto">
                    <a:xfrm>
                      <a:off x="0" y="0"/>
                      <a:ext cx="5059633" cy="4146331"/>
                    </a:xfrm>
                    <a:prstGeom prst="rect">
                      <a:avLst/>
                    </a:prstGeom>
                    <a:noFill/>
                    <a:ln w="9525">
                      <a:noFill/>
                      <a:miter lim="800000"/>
                      <a:headEnd/>
                      <a:tailEnd/>
                    </a:ln>
                  </pic:spPr>
                </pic:pic>
              </a:graphicData>
            </a:graphic>
          </wp:inline>
        </w:drawing>
      </w:r>
    </w:p>
    <w:p w:rsidR="000627AA" w:rsidRPr="00DF0680" w:rsidRDefault="000627AA" w:rsidP="00D94477">
      <w:pPr>
        <w:pStyle w:val="Caption"/>
      </w:pPr>
      <w:bookmarkStart w:id="770" w:name="_Toc410223784"/>
      <w:bookmarkStart w:id="771" w:name="_Toc417813926"/>
      <w:r w:rsidRPr="00DF0680">
        <w:t xml:space="preserve">Figure </w:t>
      </w:r>
      <w:fldSimple w:instr=" STYLEREF 1 \s ">
        <w:r w:rsidR="006119E3">
          <w:rPr>
            <w:noProof/>
          </w:rPr>
          <w:t>6</w:t>
        </w:r>
      </w:fldSimple>
      <w:r w:rsidR="006119E3">
        <w:t>.</w:t>
      </w:r>
      <w:fldSimple w:instr=" SEQ Figure \* ARABIC \s 1 ">
        <w:r w:rsidR="006119E3">
          <w:rPr>
            <w:noProof/>
          </w:rPr>
          <w:t>1</w:t>
        </w:r>
      </w:fldSimple>
      <w:r w:rsidRPr="00DF0680">
        <w:t xml:space="preserve"> – Correlation between RECQL5 and MRE11 mRNA</w:t>
      </w:r>
      <w:bookmarkEnd w:id="770"/>
      <w:bookmarkEnd w:id="771"/>
    </w:p>
    <w:p w:rsidR="000627AA" w:rsidRPr="00DF0680" w:rsidRDefault="000627AA" w:rsidP="00923ED8">
      <w:pPr>
        <w:spacing w:line="276" w:lineRule="auto"/>
      </w:pPr>
      <w:r w:rsidRPr="00DF0680">
        <w:t xml:space="preserve">Taqman qRT-PCR was performed with 50 cancer and 10 normal primary bladder tissue samples probing for all 3 isoforms of RECQL5 (α, β and γ), RECQL5β specifically and MRE11. CT values were normalised to three housekeeping genes and plotted against one another, MRE11 v RECQL5 (A), MRE11 v RECQL5β (B) and RECQL5 v RECQL5β (C). The Pearson product-moment correlation coefficient (r) was calculated and is shown for each pairing. </w:t>
      </w:r>
    </w:p>
    <w:p w:rsidR="009916E7" w:rsidRPr="00DF0680" w:rsidRDefault="009916E7" w:rsidP="009916E7"/>
    <w:p w:rsidR="000627AA" w:rsidRPr="00DF0680" w:rsidRDefault="000627AA" w:rsidP="00E664FC">
      <w:pPr>
        <w:pStyle w:val="Heading2"/>
      </w:pPr>
      <w:bookmarkStart w:id="772" w:name="_Toc410223771"/>
      <w:bookmarkStart w:id="773" w:name="_Toc417204218"/>
      <w:bookmarkStart w:id="774" w:name="_Toc417204751"/>
      <w:bookmarkStart w:id="775" w:name="_Toc417204811"/>
      <w:r w:rsidRPr="00DF0680">
        <w:t>The expression of MRE11 mRNA and protein in bladder cancer</w:t>
      </w:r>
      <w:bookmarkEnd w:id="772"/>
      <w:bookmarkEnd w:id="773"/>
      <w:bookmarkEnd w:id="774"/>
      <w:bookmarkEnd w:id="775"/>
    </w:p>
    <w:p w:rsidR="000627AA" w:rsidRPr="00DF0680" w:rsidRDefault="000627AA" w:rsidP="000627AA">
      <w:pPr>
        <w:rPr>
          <w:rFonts w:cs="Times New Roman"/>
        </w:rPr>
      </w:pPr>
      <w:r w:rsidRPr="00DF0680">
        <w:rPr>
          <w:rFonts w:cs="Times New Roman"/>
        </w:rPr>
        <w:t xml:space="preserve">Primary bladder cancer and normal bladder tissues were analysed for MRE11 mRNA expression to investigate whether MRE11 was differentially expressed in cancer. As previously shown, RECQL5 mRNA levels were significantly higher in cancers that recurred compared to those that did not, and RECQL5β mRNA was significantly </w:t>
      </w:r>
      <w:r w:rsidR="00FA1C3F" w:rsidRPr="00DF0680">
        <w:rPr>
          <w:rFonts w:cs="Times New Roman"/>
        </w:rPr>
        <w:t>lower</w:t>
      </w:r>
      <w:r w:rsidRPr="00DF0680">
        <w:rPr>
          <w:rFonts w:cs="Times New Roman"/>
        </w:rPr>
        <w:t xml:space="preserve"> in cancers compared to normal samples. MRE11 mRNA was not significantly different </w:t>
      </w:r>
      <w:r w:rsidRPr="00DF0680">
        <w:rPr>
          <w:rFonts w:cs="Times New Roman"/>
        </w:rPr>
        <w:lastRenderedPageBreak/>
        <w:t xml:space="preserve">between normal and cancer samples, or between those cancers that recurred against those that did not (Figure 6.2). </w:t>
      </w:r>
    </w:p>
    <w:p w:rsidR="000627AA" w:rsidRPr="00DF0680" w:rsidRDefault="000627AA" w:rsidP="000627AA">
      <w:pPr>
        <w:rPr>
          <w:rFonts w:cs="Times New Roman"/>
        </w:rPr>
      </w:pPr>
      <w:r w:rsidRPr="00DF0680">
        <w:rPr>
          <w:rFonts w:cs="Times New Roman"/>
        </w:rPr>
        <w:t>To identify whether there were any differences in MRE11 expression at the protein level, bladder cancer cells lines were analysed using Western blotting. Similar to RECQL5β protein expression, MRE11 protein was expressed to a greater extent in the cancer cells lines EJ, RT4 and RT112 compared to the normal cell line NHU hTERT (Figure 6.2). Although the protein loading control β-actin does show an uneven loading of total protein, the distribution of MRE11 protein does show an increase in the protein level in the cancer cell lines.</w:t>
      </w:r>
    </w:p>
    <w:p w:rsidR="000627AA" w:rsidRPr="00DF0680" w:rsidRDefault="000627AA" w:rsidP="000627AA">
      <w:pPr>
        <w:rPr>
          <w:rFonts w:cs="Times New Roman"/>
        </w:rPr>
      </w:pPr>
    </w:p>
    <w:p w:rsidR="000627AA" w:rsidRPr="00DF0680" w:rsidRDefault="000627AA" w:rsidP="00E664FC">
      <w:pPr>
        <w:pStyle w:val="Heading2"/>
      </w:pPr>
      <w:bookmarkStart w:id="776" w:name="_Toc410223772"/>
      <w:bookmarkStart w:id="777" w:name="_Toc417204219"/>
      <w:bookmarkStart w:id="778" w:name="_Toc417204752"/>
      <w:bookmarkStart w:id="779" w:name="_Toc417204812"/>
      <w:r w:rsidRPr="00DF0680">
        <w:t>MRE11 mRNA levels influence the difference in RECQL5 mRNA levels between normal and cancerous bladder tissue</w:t>
      </w:r>
      <w:bookmarkEnd w:id="776"/>
      <w:bookmarkEnd w:id="777"/>
      <w:bookmarkEnd w:id="778"/>
      <w:bookmarkEnd w:id="779"/>
    </w:p>
    <w:p w:rsidR="000627AA" w:rsidRPr="00DF0680" w:rsidRDefault="000627AA" w:rsidP="000627AA">
      <w:pPr>
        <w:rPr>
          <w:rFonts w:cs="Times New Roman"/>
        </w:rPr>
      </w:pPr>
      <w:r w:rsidRPr="00DF0680">
        <w:rPr>
          <w:rFonts w:cs="Times New Roman"/>
        </w:rPr>
        <w:t>To determine whether differences in RECQL5 mRNA levels could be predicted by MRE11 mRNA expression, or vice versa, ΔCT values were stratified based on high or low expression of individual genes and the analysis was re-done.</w:t>
      </w:r>
    </w:p>
    <w:p w:rsidR="000627AA" w:rsidRPr="00DF0680" w:rsidRDefault="000627AA" w:rsidP="000627AA">
      <w:pPr>
        <w:rPr>
          <w:rFonts w:cs="Times New Roman"/>
        </w:rPr>
      </w:pPr>
      <w:r w:rsidRPr="00DF0680">
        <w:rPr>
          <w:rFonts w:cs="Times New Roman"/>
        </w:rPr>
        <w:t xml:space="preserve">When RECQL5 mRNA expression was analysed in samples that had high MRE11 expression, it showed a similar pattern to the non-stratified data with no significant difference being seen between normal and cancer samples but a significant difference in RECQL5 mRNA between cancers that recurred compared to those that did not (Student’s t-test, p value = </w:t>
      </w:r>
      <w:r w:rsidR="003C34C2" w:rsidRPr="00DF0680">
        <w:rPr>
          <w:rFonts w:cs="Times New Roman"/>
        </w:rPr>
        <w:t>0.00</w:t>
      </w:r>
      <w:r w:rsidRPr="00DF0680">
        <w:rPr>
          <w:rFonts w:cs="Times New Roman"/>
        </w:rPr>
        <w:t xml:space="preserve">35) (Figure 6.3 A). Interestingly, analysing the samples that had low MRE11 expression, there was no significant difference in RECQL5 expression between cancer and normal, or non-recurrent and recurrent cancer samples (Figure 6.3 B). Similarly with RECQL5β analysis, samples with high MRE11 expression showed significant differences between normal bladder and bladder cancers (Student’s t-test p value = </w:t>
      </w:r>
      <w:r w:rsidR="003C34C2" w:rsidRPr="00DF0680">
        <w:rPr>
          <w:rFonts w:cs="Times New Roman"/>
        </w:rPr>
        <w:t>0.00</w:t>
      </w:r>
      <w:r w:rsidRPr="00DF0680">
        <w:rPr>
          <w:rFonts w:cs="Times New Roman"/>
        </w:rPr>
        <w:t xml:space="preserve">24) and, unlike the non-stratified analysis, a significant increase in mRNA in the cancers that recurred compared to those that did not (Student’s t-test, p value = </w:t>
      </w:r>
      <w:r w:rsidR="003C34C2" w:rsidRPr="00DF0680">
        <w:rPr>
          <w:rFonts w:cs="Times New Roman"/>
        </w:rPr>
        <w:t>0.0</w:t>
      </w:r>
      <w:r w:rsidRPr="00DF0680">
        <w:rPr>
          <w:rFonts w:cs="Times New Roman"/>
        </w:rPr>
        <w:t xml:space="preserve">14) (Figure 6.3 C). When analysing RECQL5β mRNA, there were no normal samples with lower than average MRE11 expression. Samples with low MRE11 expression showed no difference between cancers that recurred and those that </w:t>
      </w:r>
      <w:r w:rsidRPr="00DF0680">
        <w:rPr>
          <w:rFonts w:cs="Times New Roman"/>
        </w:rPr>
        <w:lastRenderedPageBreak/>
        <w:t>did not (Figure 6.3 D). This may indicate that high MRE11</w:t>
      </w:r>
      <w:r w:rsidR="005061C8" w:rsidRPr="00DF0680">
        <w:rPr>
          <w:rFonts w:cs="Times New Roman"/>
        </w:rPr>
        <w:t xml:space="preserve"> mRNA</w:t>
      </w:r>
      <w:r w:rsidRPr="00DF0680">
        <w:rPr>
          <w:rFonts w:cs="Times New Roman"/>
        </w:rPr>
        <w:t xml:space="preserve"> is required for bladder cells to retain normal status. </w:t>
      </w:r>
    </w:p>
    <w:p w:rsidR="000627AA" w:rsidRPr="00DF0680" w:rsidRDefault="00F177C4" w:rsidP="000627AA">
      <w:pPr>
        <w:keepNext/>
        <w:jc w:val="center"/>
        <w:rPr>
          <w:rFonts w:cs="Times New Roman"/>
        </w:rPr>
      </w:pPr>
      <w:r w:rsidRPr="00DF0680">
        <w:drawing>
          <wp:inline distT="0" distB="0" distL="0" distR="0">
            <wp:extent cx="5400040" cy="4846527"/>
            <wp:effectExtent l="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5400040" cy="4846527"/>
                    </a:xfrm>
                    <a:prstGeom prst="rect">
                      <a:avLst/>
                    </a:prstGeom>
                    <a:noFill/>
                    <a:ln w="9525">
                      <a:noFill/>
                      <a:miter lim="800000"/>
                      <a:headEnd/>
                      <a:tailEnd/>
                    </a:ln>
                  </pic:spPr>
                </pic:pic>
              </a:graphicData>
            </a:graphic>
          </wp:inline>
        </w:drawing>
      </w:r>
    </w:p>
    <w:p w:rsidR="000627AA" w:rsidRPr="00DF0680" w:rsidRDefault="000627AA" w:rsidP="00D94477">
      <w:pPr>
        <w:pStyle w:val="Caption"/>
      </w:pPr>
      <w:bookmarkStart w:id="780" w:name="_Toc410223785"/>
      <w:bookmarkStart w:id="781" w:name="_Toc417813927"/>
      <w:r w:rsidRPr="00DF0680">
        <w:t xml:space="preserve">Figure </w:t>
      </w:r>
      <w:fldSimple w:instr=" STYLEREF 1 \s ">
        <w:r w:rsidR="006119E3">
          <w:rPr>
            <w:noProof/>
          </w:rPr>
          <w:t>6</w:t>
        </w:r>
      </w:fldSimple>
      <w:r w:rsidR="006119E3">
        <w:t>.</w:t>
      </w:r>
      <w:fldSimple w:instr=" SEQ Figure \* ARABIC \s 1 ">
        <w:r w:rsidR="006119E3">
          <w:rPr>
            <w:noProof/>
          </w:rPr>
          <w:t>2</w:t>
        </w:r>
      </w:fldSimple>
      <w:r w:rsidRPr="00DF0680">
        <w:t xml:space="preserve"> – RECQL5 and MRE11 mRNA and protein levels in primary bladder cancers, normal bladder tissue and bladder cell lines.</w:t>
      </w:r>
      <w:bookmarkEnd w:id="780"/>
      <w:bookmarkEnd w:id="781"/>
    </w:p>
    <w:p w:rsidR="000627AA" w:rsidRPr="00DF0680" w:rsidRDefault="000627AA" w:rsidP="00923ED8">
      <w:pPr>
        <w:spacing w:line="276" w:lineRule="auto"/>
      </w:pPr>
      <w:r w:rsidRPr="00DF0680">
        <w:t>(A) Taqman qRT-PCR was performed with 177 primary bladder tumour samples (characterised as to whether they recurred (25) or not (17)) and 15 normal tissue samples using a probe that recognised all 3 isoforms of RECQL5 (α, β and γ) (top left)</w:t>
      </w:r>
      <w:r w:rsidR="00C36B8A" w:rsidRPr="00DF0680">
        <w:t xml:space="preserve"> (taken from Figure 3.1)</w:t>
      </w:r>
      <w:r w:rsidRPr="00DF0680">
        <w:t xml:space="preserve">, a probe that recognised RECQL5β specifically (top right) </w:t>
      </w:r>
      <w:r w:rsidR="00C36B8A" w:rsidRPr="00DF0680">
        <w:t xml:space="preserve">(taken from Figure 3.1) </w:t>
      </w:r>
      <w:r w:rsidRPr="00DF0680">
        <w:t xml:space="preserve">and a probe for MRE11 (bottom). * indicates a Mann-Whitney test p value of &lt; 0.05. </w:t>
      </w:r>
      <w:r w:rsidR="00923ED8" w:rsidRPr="00DF0680">
        <w:t xml:space="preserve">Data are presented as a Tukey box and whisker plot with the box representing the median, upper and lower quartiles, and the whiskers representing the largest value within 1.5 interquartile ranges of the upper quartile and the lowest value within 1.5 interquartile ranges of the lower quartile. </w:t>
      </w:r>
      <w:r w:rsidRPr="00DF0680">
        <w:t xml:space="preserve">(B) Bladder cancer cells lines EJ, RT4, RT112 and NHU hTERT were pelleted, lysed and analysed for RECQL5β (left) </w:t>
      </w:r>
      <w:r w:rsidR="00C36B8A" w:rsidRPr="00DF0680">
        <w:t xml:space="preserve">(taken from Figure 3.3) </w:t>
      </w:r>
      <w:r w:rsidRPr="00DF0680">
        <w:t xml:space="preserve">and MRE11 (right) protein levels using Western blotting. </w:t>
      </w:r>
    </w:p>
    <w:p w:rsidR="009916E7" w:rsidRPr="00DF0680" w:rsidRDefault="009916E7" w:rsidP="000627AA">
      <w:pPr>
        <w:rPr>
          <w:rFonts w:cs="Times New Roman"/>
        </w:rPr>
      </w:pPr>
    </w:p>
    <w:p w:rsidR="000627AA" w:rsidRPr="00DF0680" w:rsidRDefault="000627AA" w:rsidP="000627AA">
      <w:pPr>
        <w:rPr>
          <w:rFonts w:cs="Times New Roman"/>
        </w:rPr>
      </w:pPr>
      <w:r w:rsidRPr="00DF0680">
        <w:rPr>
          <w:rFonts w:cs="Times New Roman"/>
        </w:rPr>
        <w:lastRenderedPageBreak/>
        <w:t>Total analysis of MRE11 mRNA in bladder cancers showed no difference to normal bladder tissue samples and no difference in recurrence. When samples were re-analysed when looking at high or low RECQL5 or RECQL5β mRNA expression, this did not change and there was still no expression differences between phenotypes (Figure 6.4).</w:t>
      </w:r>
    </w:p>
    <w:p w:rsidR="000627AA" w:rsidRPr="00DF0680" w:rsidRDefault="000627AA" w:rsidP="000627AA">
      <w:pPr>
        <w:rPr>
          <w:rFonts w:cs="Times New Roman"/>
        </w:rPr>
      </w:pPr>
    </w:p>
    <w:p w:rsidR="000627AA" w:rsidRPr="00DF0680" w:rsidRDefault="00F177C4" w:rsidP="00D546C1">
      <w:pPr>
        <w:keepNext/>
        <w:spacing w:after="0"/>
        <w:rPr>
          <w:rFonts w:cs="Times New Roman"/>
        </w:rPr>
      </w:pPr>
      <w:r w:rsidRPr="00DF0680">
        <w:drawing>
          <wp:inline distT="0" distB="0" distL="0" distR="0">
            <wp:extent cx="5400040" cy="4682524"/>
            <wp:effectExtent l="0" t="0" r="0" b="0"/>
            <wp:docPr id="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5400040" cy="4682524"/>
                    </a:xfrm>
                    <a:prstGeom prst="rect">
                      <a:avLst/>
                    </a:prstGeom>
                    <a:noFill/>
                    <a:ln w="9525">
                      <a:noFill/>
                      <a:miter lim="800000"/>
                      <a:headEnd/>
                      <a:tailEnd/>
                    </a:ln>
                  </pic:spPr>
                </pic:pic>
              </a:graphicData>
            </a:graphic>
          </wp:inline>
        </w:drawing>
      </w:r>
    </w:p>
    <w:p w:rsidR="000627AA" w:rsidRPr="00DF0680" w:rsidRDefault="000627AA" w:rsidP="00D94477">
      <w:pPr>
        <w:pStyle w:val="Caption"/>
      </w:pPr>
      <w:bookmarkStart w:id="782" w:name="_Toc410223786"/>
      <w:bookmarkStart w:id="783" w:name="_Toc417813928"/>
      <w:bookmarkStart w:id="784" w:name="_Ref419551052"/>
      <w:r w:rsidRPr="00DF0680">
        <w:t xml:space="preserve">Figure </w:t>
      </w:r>
      <w:fldSimple w:instr=" STYLEREF 1 \s ">
        <w:r w:rsidR="006119E3">
          <w:rPr>
            <w:noProof/>
          </w:rPr>
          <w:t>6</w:t>
        </w:r>
      </w:fldSimple>
      <w:r w:rsidR="006119E3">
        <w:t>.</w:t>
      </w:r>
      <w:fldSimple w:instr=" SEQ Figure \* ARABIC \s 1 ">
        <w:r w:rsidR="006119E3">
          <w:rPr>
            <w:noProof/>
          </w:rPr>
          <w:t>3</w:t>
        </w:r>
      </w:fldSimple>
      <w:bookmarkEnd w:id="784"/>
      <w:r w:rsidRPr="00DF0680">
        <w:t xml:space="preserve"> – RECQL5 and RECQL5β mRNA levels in bladder cancer when stratified by MRE11 expression</w:t>
      </w:r>
      <w:bookmarkEnd w:id="782"/>
      <w:bookmarkEnd w:id="783"/>
    </w:p>
    <w:p w:rsidR="000627AA" w:rsidRPr="00DF0680" w:rsidRDefault="000627AA" w:rsidP="00923ED8">
      <w:pPr>
        <w:spacing w:line="276" w:lineRule="auto"/>
      </w:pPr>
      <w:r w:rsidRPr="00DF0680">
        <w:t xml:space="preserve">qRT-PCR data for RECQL5 and RECQL5β expression in bladder cancers </w:t>
      </w:r>
      <w:r w:rsidR="00D546C1" w:rsidRPr="00DF0680">
        <w:t xml:space="preserve">(n=50) </w:t>
      </w:r>
      <w:r w:rsidRPr="00DF0680">
        <w:t xml:space="preserve">and normals </w:t>
      </w:r>
      <w:r w:rsidR="00D546C1" w:rsidRPr="00DF0680">
        <w:t xml:space="preserve">(n=10) </w:t>
      </w:r>
      <w:r w:rsidRPr="00DF0680">
        <w:t>was separated into those samples with higher than average MRE11 expression and those with lower than average MRE11 expression. Box and whisker plots show the ΔCT values for RECQL5 in high (A) and low (B) MRE11 expressing and RECQL5β in high (C) and low (D) MRE11 expressing samples. * and ** indicates a Mann-Whitney test p value of</w:t>
      </w:r>
      <w:r w:rsidR="00923ED8" w:rsidRPr="00DF0680">
        <w:t xml:space="preserve"> &lt; 0.05 and 0.01 respectively. Data are presented as a Tukey box and whisker plot with the box representing the median, upper and lower quartiles, and the whiskers representing the largest value within 1.5 interquartile ranges of the upper quartile and the lowest value within 1.5 interquartile ranges of the lower quartile.</w:t>
      </w:r>
    </w:p>
    <w:p w:rsidR="000627AA" w:rsidRPr="00DF0680" w:rsidRDefault="00F177C4" w:rsidP="00D94477">
      <w:pPr>
        <w:pStyle w:val="Caption"/>
        <w:rPr>
          <w:rFonts w:cs="Times New Roman"/>
        </w:rPr>
      </w:pPr>
      <w:r w:rsidRPr="00DF0680">
        <w:lastRenderedPageBreak/>
        <w:drawing>
          <wp:inline distT="0" distB="0" distL="0" distR="0">
            <wp:extent cx="5400040" cy="4534355"/>
            <wp:effectExtent l="0" t="0" r="0"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a:stretch>
                      <a:fillRect/>
                    </a:stretch>
                  </pic:blipFill>
                  <pic:spPr bwMode="auto">
                    <a:xfrm>
                      <a:off x="0" y="0"/>
                      <a:ext cx="5400040" cy="4534355"/>
                    </a:xfrm>
                    <a:prstGeom prst="rect">
                      <a:avLst/>
                    </a:prstGeom>
                    <a:noFill/>
                    <a:ln w="9525">
                      <a:noFill/>
                      <a:miter lim="800000"/>
                      <a:headEnd/>
                      <a:tailEnd/>
                    </a:ln>
                  </pic:spPr>
                </pic:pic>
              </a:graphicData>
            </a:graphic>
          </wp:inline>
        </w:drawing>
      </w:r>
    </w:p>
    <w:p w:rsidR="000627AA" w:rsidRPr="00DF0680" w:rsidRDefault="000627AA" w:rsidP="00D94477">
      <w:pPr>
        <w:pStyle w:val="Caption"/>
      </w:pPr>
      <w:bookmarkStart w:id="785" w:name="_Toc410223787"/>
      <w:bookmarkStart w:id="786" w:name="_Toc417813929"/>
      <w:r w:rsidRPr="00DF0680">
        <w:t xml:space="preserve">Figure </w:t>
      </w:r>
      <w:fldSimple w:instr=" STYLEREF 1 \s ">
        <w:r w:rsidR="006119E3">
          <w:rPr>
            <w:noProof/>
          </w:rPr>
          <w:t>6</w:t>
        </w:r>
      </w:fldSimple>
      <w:r w:rsidR="006119E3">
        <w:t>.</w:t>
      </w:r>
      <w:fldSimple w:instr=" SEQ Figure \* ARABIC \s 1 ">
        <w:r w:rsidR="006119E3">
          <w:rPr>
            <w:noProof/>
          </w:rPr>
          <w:t>4</w:t>
        </w:r>
      </w:fldSimple>
      <w:r w:rsidRPr="00DF0680">
        <w:t xml:space="preserve"> – MRE11 mRNA levels in bladder cancer when stratified by RECQL5 and RECQL5β expression</w:t>
      </w:r>
      <w:bookmarkEnd w:id="785"/>
      <w:bookmarkEnd w:id="786"/>
    </w:p>
    <w:p w:rsidR="000627AA" w:rsidRPr="00DF0680" w:rsidRDefault="000627AA" w:rsidP="00923ED8">
      <w:pPr>
        <w:spacing w:line="276" w:lineRule="auto"/>
      </w:pPr>
      <w:r w:rsidRPr="00DF0680">
        <w:t xml:space="preserve">qRT-PCR data for MRE11 expression in bladder cancers </w:t>
      </w:r>
      <w:r w:rsidR="00D546C1" w:rsidRPr="00DF0680">
        <w:t xml:space="preserve">(n=50) </w:t>
      </w:r>
      <w:r w:rsidRPr="00DF0680">
        <w:t xml:space="preserve">and normals </w:t>
      </w:r>
      <w:r w:rsidR="00D546C1" w:rsidRPr="00DF0680">
        <w:t xml:space="preserve">(n=10) </w:t>
      </w:r>
      <w:r w:rsidRPr="00DF0680">
        <w:t xml:space="preserve">was separated into those samples with higher than average RECQL5 or RECQL5β expression and those with lower than average RECQL5 or RECQL5β expression. Box and whisker plots show the ΔCT values for MRE11 in high (A) and low (B) RECQL5 expressing cells and in high (C) and low (D) RECQL5β expressing samples. There were no significant differences between tissue types. </w:t>
      </w:r>
      <w:r w:rsidR="00923ED8" w:rsidRPr="00DF0680">
        <w:t>Data are presented as a Tukey box and whisker plot with the box representing the median, upper and lower quartiles, and the whiskers representing the largest value within 1.5 interquartile ranges of the upper quartile and the lowest value within 1.5 interquartile ranges of the lower quartile.</w:t>
      </w:r>
    </w:p>
    <w:p w:rsidR="000627AA" w:rsidRPr="00DF0680" w:rsidRDefault="000627AA" w:rsidP="00D94477">
      <w:pPr>
        <w:pStyle w:val="Caption"/>
      </w:pPr>
    </w:p>
    <w:p w:rsidR="000627AA" w:rsidRPr="00DF0680" w:rsidRDefault="000627AA" w:rsidP="00E664FC">
      <w:pPr>
        <w:pStyle w:val="Heading2"/>
      </w:pPr>
      <w:bookmarkStart w:id="787" w:name="_Toc410223773"/>
      <w:bookmarkStart w:id="788" w:name="_Toc417204220"/>
      <w:bookmarkStart w:id="789" w:name="_Toc417204753"/>
      <w:bookmarkStart w:id="790" w:name="_Toc417204813"/>
      <w:r w:rsidRPr="00DF0680">
        <w:lastRenderedPageBreak/>
        <w:t>Depleting cells of RECQL5β and MRE11 does not increase sensitivity to hydroxyurea</w:t>
      </w:r>
      <w:bookmarkEnd w:id="787"/>
      <w:bookmarkEnd w:id="788"/>
      <w:bookmarkEnd w:id="789"/>
      <w:bookmarkEnd w:id="790"/>
    </w:p>
    <w:p w:rsidR="000627AA" w:rsidRPr="00DF0680" w:rsidRDefault="000627AA" w:rsidP="000627AA">
      <w:pPr>
        <w:rPr>
          <w:rFonts w:cs="Times New Roman"/>
        </w:rPr>
      </w:pPr>
      <w:r w:rsidRPr="00DF0680">
        <w:rPr>
          <w:rFonts w:cs="Times New Roman"/>
        </w:rPr>
        <w:t xml:space="preserve">As MRE11 brings RECQL5β into sites of DNA damage </w:t>
      </w:r>
      <w:r w:rsidR="00F20EC0" w:rsidRPr="00DF0680">
        <w:rPr>
          <w:rFonts w:cs="Times New Roman"/>
        </w:rPr>
        <w:fldChar w:fldCharType="begin" w:fldLock="1"/>
      </w:r>
      <w:r w:rsidR="00332613" w:rsidRPr="00DF0680">
        <w:rPr>
          <w:rFonts w:cs="Times New Roman"/>
        </w:rPr>
        <w:instrText>ADDIN CSL_CITATION { "citationItems" : [ { "id" : "ITEM-1", "itemData" : { "DOI" : "10.1093/nar/gkp147", "ISSN" : "1362-4962", "PMID" : "19270065", "abstract" : "RECQ5 DNA helicase suppresses homologous recombination (HR) possibly through disruption of RAD51 filaments. Here, we show that RECQ5 is constitutively associated with the MRE11-RAD50-NBS1 (MRN) complex, a primary sensor of DNA double-strand breaks (DSBs) that promotes DSB repair and regulates DNA damage signaling via activation of the ATM kinase. Experiments with purified proteins indicated that RECQ5 interacts with the MRN complex through both MRE11 and NBS1. Functional assays revealed that RECQ5 specifically inhibited the 3'--&gt;5' exonuclease activity of MRE11, while MRN had no effect on the helicase activity of RECQ5. At the cellular level, we observed that the MRN complex was required for the recruitment of RECQ5 to sites of DNA damage. Accumulation of RECQ5 at DSBs was neither dependent on MDC1 that mediates binding of MRN to DSB-flanking chromatin nor on CtIP that acts in conjunction with MRN to promote resection of DSBs for repair by HR. Collectively, these data suggest that the MRN complex recruits RECQ5 to sites of DNA damage to regulate DNA repair.", "author" : [ { "dropping-particle" : "", "family" : "Zheng", "given" : "Lu", "non-dropping-particle" : "", "parse-names" : false, "suffix" : "" }, { "dropping-particle" : "", "family" : "Kanagaraj", "given" : "Radhakrishnan", "non-dropping-particle" : "", "parse-names" : false, "suffix" : "" }, { "dropping-particle" : "", "family" : "Mihaljevic", "given" : "Boris", "non-dropping-particle" : "", "parse-names" : false, "suffix" : "" }, { "dropping-particle" : "", "family" : "Schwendener", "given" : "Sybille", "non-dropping-particle" : "", "parse-names" : false, "suffix" : "" }, { "dropping-particle" : "", "family" : "Sartori", "given" : "Alessandro a", "non-dropping-particle" : "", "parse-names" : false, "suffix" : "" }, { "dropping-particle" : "", "family" : "Gerrits", "given" : "Bertran", "non-dropping-particle" : "", "parse-names" : false, "suffix" : "" }, { "dropping-particle" : "", "family" : "Shevelev", "given" : "Igor", "non-dropping-particle" : "", "parse-names" : false, "suffix" : "" }, { "dropping-particle" : "", "family" : "Janscak", "given" : "Pavel", "non-dropping-particle" : "", "parse-names" : false, "suffix" : "" } ], "container-title" : "Nucleic Acids Research", "id" : "ITEM-1", "issue" : "8", "issued" : { "date-parts" : [ [ "2009", "5" ] ] }, "page" : "2645-57", "title" : "MRE11 complex links RECQ5 helicase to sites of DNA damage.", "type" : "article-journal", "volume" : "37" }, "uris" : [ "http://www.mendeley.com/documents/?uuid=1d2d60df-0a93-460f-abb4-64ead233ffa9" ] } ], "mendeley" : { "formattedCitation" : "(Zheng et al. 2009)", "plainTextFormattedCitation" : "(Zheng et al. 2009)", "previouslyFormattedCitation" : "(Zheng et al. 2009)"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(Zheng et al. 2009)</w:t>
      </w:r>
      <w:r w:rsidR="00F20EC0" w:rsidRPr="00DF0680">
        <w:rPr>
          <w:rFonts w:cs="Times New Roman"/>
        </w:rPr>
        <w:fldChar w:fldCharType="end"/>
      </w:r>
      <w:r w:rsidRPr="00DF0680">
        <w:rPr>
          <w:rFonts w:cs="Times New Roman"/>
        </w:rPr>
        <w:t xml:space="preserve">, it was investigated whether depleting either protein would sensitise cells to this damage and whether this would be further sensitised when both were depleted. </w:t>
      </w:r>
    </w:p>
    <w:p w:rsidR="000627AA" w:rsidRPr="00DF0680" w:rsidRDefault="000627AA" w:rsidP="000627AA">
      <w:pPr>
        <w:rPr>
          <w:rFonts w:cs="Times New Roman"/>
        </w:rPr>
      </w:pPr>
      <w:r w:rsidRPr="00DF0680">
        <w:rPr>
          <w:rFonts w:cs="Times New Roman"/>
        </w:rPr>
        <w:t xml:space="preserve">MRE11 and RECQL5β were both depleted in </w:t>
      </w:r>
      <w:r w:rsidR="00471D18" w:rsidRPr="00DF0680">
        <w:rPr>
          <w:rFonts w:cs="Times New Roman"/>
        </w:rPr>
        <w:t>MRC5V2</w:t>
      </w:r>
      <w:r w:rsidRPr="00DF0680">
        <w:rPr>
          <w:rFonts w:cs="Times New Roman"/>
        </w:rPr>
        <w:t xml:space="preserve"> cells using siRNA along with a co-depletion of both. After depletion was confirmed using Western blotting (Figure 6.5A), cells were re-plated into a clonogenic toxicity assay and exposed to increasing concentrations of hydroxyurea. There was no significant difference between any of the transfected cells when survival in hydroxyurea was calculated (Figure 6.5B). </w:t>
      </w:r>
      <w:r w:rsidR="005061C8" w:rsidRPr="00DF0680">
        <w:rPr>
          <w:rFonts w:cs="Times New Roman"/>
        </w:rPr>
        <w:t xml:space="preserve">As with previously shown clonogenic toxicity assays, we do not know the extent of protein depletion at ten days </w:t>
      </w:r>
      <w:r w:rsidR="002454F7" w:rsidRPr="00DF0680">
        <w:rPr>
          <w:rFonts w:cs="Times New Roman"/>
        </w:rPr>
        <w:t xml:space="preserve">and further experiments could be done, using Western blots, to determine the levels of RECQL5 and MRE11 protein after time periods longer than 48 hours.  </w:t>
      </w:r>
    </w:p>
    <w:p w:rsidR="005F61C5" w:rsidRPr="00DF0680" w:rsidRDefault="005F61C5" w:rsidP="000627AA">
      <w:pPr>
        <w:rPr>
          <w:rFonts w:cs="Times New Roman"/>
        </w:rPr>
      </w:pPr>
    </w:p>
    <w:p w:rsidR="000627AA" w:rsidRPr="00DF0680" w:rsidRDefault="000627AA" w:rsidP="00E664FC">
      <w:pPr>
        <w:pStyle w:val="Heading2"/>
      </w:pPr>
      <w:bookmarkStart w:id="791" w:name="_Toc410223774"/>
      <w:bookmarkStart w:id="792" w:name="_Toc417204221"/>
      <w:bookmarkStart w:id="793" w:name="_Toc417204754"/>
      <w:bookmarkStart w:id="794" w:name="_Toc417204814"/>
      <w:r w:rsidRPr="00DF0680">
        <w:t xml:space="preserve">RECQL5β and MRE11 interact </w:t>
      </w:r>
      <w:r w:rsidR="004D495E" w:rsidRPr="00DF0680">
        <w:rPr>
          <w:i/>
        </w:rPr>
        <w:t>in vitro</w:t>
      </w:r>
      <w:bookmarkEnd w:id="791"/>
      <w:bookmarkEnd w:id="792"/>
      <w:bookmarkEnd w:id="793"/>
      <w:bookmarkEnd w:id="794"/>
    </w:p>
    <w:p w:rsidR="000627AA" w:rsidRPr="00DF0680" w:rsidRDefault="000627AA" w:rsidP="000627AA">
      <w:pPr>
        <w:rPr>
          <w:rFonts w:cs="Times New Roman"/>
        </w:rPr>
      </w:pPr>
      <w:r w:rsidRPr="00DF0680">
        <w:rPr>
          <w:rFonts w:cs="Times New Roman"/>
        </w:rPr>
        <w:t xml:space="preserve">It has previously been shown that RECQL5β and MRE11 interact </w:t>
      </w:r>
      <w:r w:rsidRPr="00DF0680">
        <w:rPr>
          <w:rFonts w:cs="Times New Roman"/>
          <w:i/>
        </w:rPr>
        <w:t>in vivo</w:t>
      </w:r>
      <w:r w:rsidRPr="00DF0680">
        <w:rPr>
          <w:rFonts w:cs="Times New Roman"/>
        </w:rPr>
        <w:t xml:space="preserve"> </w:t>
      </w:r>
      <w:r w:rsidR="00F20EC0" w:rsidRPr="00DF0680">
        <w:rPr>
          <w:rFonts w:cs="Times New Roman"/>
        </w:rPr>
        <w:fldChar w:fldCharType="begin" w:fldLock="1"/>
      </w:r>
      <w:r w:rsidR="00332613" w:rsidRPr="00DF0680">
        <w:rPr>
          <w:rFonts w:cs="Times New Roman"/>
        </w:rPr>
        <w:instrText>ADDIN CSL_CITATION { "citationItems" : [ { "id" : "ITEM-1", "itemData" : { "DOI" : "10.1093/nar/gkp147", "ISSN" : "1362-4962", "PMID" : "19270065", "abstract" : "RECQ5 DNA helicase suppresses homologous recombination (HR) possibly through disruption of RAD51 filaments. Here, we show that RECQ5 is constitutively associated with the MRE11-RAD50-NBS1 (MRN) complex, a primary sensor of DNA double-strand breaks (DSBs) that promotes DSB repair and regulates DNA damage signaling via activation of the ATM kinase. Experiments with purified proteins indicated that RECQ5 interacts with the MRN complex through both MRE11 and NBS1. Functional assays revealed that RECQ5 specifically inhibited the 3'--&gt;5' exonuclease activity of MRE11, while MRN had no effect on the helicase activity of RECQ5. At the cellular level, we observed that the MRN complex was required for the recruitment of RECQ5 to sites of DNA damage. Accumulation of RECQ5 at DSBs was neither dependent on MDC1 that mediates binding of MRN to DSB-flanking chromatin nor on CtIP that acts in conjunction with MRN to promote resection of DSBs for repair by HR. Collectively, these data suggest that the MRN complex recruits RECQ5 to sites of DNA damage to regulate DNA repair.", "author" : [ { "dropping-particle" : "", "family" : "Zheng", "given" : "Lu", "non-dropping-particle" : "", "parse-names" : false, "suffix" : "" }, { "dropping-particle" : "", "family" : "Kanagaraj", "given" : "Radhakrishnan", "non-dropping-particle" : "", "parse-names" : false, "suffix" : "" }, { "dropping-particle" : "", "family" : "Mihaljevic", "given" : "Boris", "non-dropping-particle" : "", "parse-names" : false, "suffix" : "" }, { "dropping-particle" : "", "family" : "Schwendener", "given" : "Sybille", "non-dropping-particle" : "", "parse-names" : false, "suffix" : "" }, { "dropping-particle" : "", "family" : "Sartori", "given" : "Alessandro a", "non-dropping-particle" : "", "parse-names" : false, "suffix" : "" }, { "dropping-particle" : "", "family" : "Gerrits", "given" : "Bertran", "non-dropping-particle" : "", "parse-names" : false, "suffix" : "" }, { "dropping-particle" : "", "family" : "Shevelev", "given" : "Igor", "non-dropping-particle" : "", "parse-names" : false, "suffix" : "" }, { "dropping-particle" : "", "family" : "Janscak", "given" : "Pavel", "non-dropping-particle" : "", "parse-names" : false, "suffix" : "" } ], "container-title" : "Nucleic Acids Research", "id" : "ITEM-1", "issue" : "8", "issued" : { "date-parts" : [ [ "2009", "5" ] ] }, "page" : "2645-57", "title" : "MRE11 complex links RECQ5 helicase to sites of DNA damage.", "type" : "article-journal", "volume" : "37" }, "uris" : [ "http://www.mendeley.com/documents/?uuid=1d2d60df-0a93-460f-abb4-64ead233ffa9" ] } ], "mendeley" : { "formattedCitation" : "(Zheng et al. 2009)", "plainTextFormattedCitation" : "(Zheng et al. 2009)", "previouslyFormattedCitation" : "(Zheng et al. 2009)"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(Zheng et al. 2009)</w:t>
      </w:r>
      <w:r w:rsidR="00F20EC0" w:rsidRPr="00DF0680">
        <w:rPr>
          <w:rFonts w:cs="Times New Roman"/>
        </w:rPr>
        <w:fldChar w:fldCharType="end"/>
      </w:r>
      <w:r w:rsidRPr="00DF0680">
        <w:rPr>
          <w:rFonts w:cs="Times New Roman"/>
        </w:rPr>
        <w:t xml:space="preserve">. It was investigated whether this interaction could be repeated in </w:t>
      </w:r>
      <w:r w:rsidR="00471D18" w:rsidRPr="00DF0680">
        <w:rPr>
          <w:rFonts w:cs="Times New Roman"/>
        </w:rPr>
        <w:t>MRC5V2</w:t>
      </w:r>
      <w:r w:rsidRPr="00DF0680">
        <w:rPr>
          <w:rFonts w:cs="Times New Roman"/>
        </w:rPr>
        <w:t xml:space="preserve"> cells and also whether RECQL5β could bind to a mutant MRE11 that lacks exons 5-7. This mutant was found in HCT116 cells and was found to be deficient in ATM activation, </w:t>
      </w:r>
      <w:r w:rsidR="002454F7" w:rsidRPr="00DF0680">
        <w:rPr>
          <w:rFonts w:cs="Times New Roman"/>
        </w:rPr>
        <w:t xml:space="preserve">MRE11 </w:t>
      </w:r>
      <w:r w:rsidRPr="00DF0680">
        <w:rPr>
          <w:rFonts w:cs="Times New Roman"/>
        </w:rPr>
        <w:t xml:space="preserve">foci formation, and thymidine-induced homologous recombination </w:t>
      </w:r>
      <w:r w:rsidR="00F20EC0" w:rsidRPr="00DF0680">
        <w:rPr>
          <w:rFonts w:cs="Times New Roman"/>
        </w:rPr>
        <w:fldChar w:fldCharType="begin" w:fldLock="1"/>
      </w:r>
      <w:r w:rsidR="00332613" w:rsidRPr="00DF0680">
        <w:rPr>
          <w:rFonts w:cs="Times New Roman"/>
        </w:rPr>
        <w:instrText>ADDIN CSL_CITATION { "citationItems" : [ { "id" : "ITEM-1", "itemData" : { "DOI" : "10.1091/mbc.E07", "author" : [ { "dropping-particle" : "", "family" : "Wen", "given" : "Qin", "non-dropping-particle" : "", "parse-names" : false, "suffix" : "" }, { "dropping-particle" : "", "family" : "Scorah", "given" : "Jennifer", "non-dropping-particle" : "", "parse-names" : false, "suffix" : "" }, { "dropping-particle" : "", "family" : "Phear", "given" : "Geraldine", "non-dropping-particle" : "", "parse-names" : false, "suffix" : "" } ], "container-title" : "Molecular Biology of the Cell", "id" : "ITEM-1", "issue" : "4", "issued" : { "date-parts" : [ [ "2008" ] ] }, "page" : "1693-1705", "title" : "A Mutant Allele of MRE11 Found in Mismatch Repair-deficient Tumor Cells Suppresses the Cellular Response to DNA Replication Fork Stress in a Dominant Negative Manner", "type" : "article-journal", "volume" : "19" }, "uris" : [ "http://www.mendeley.com/documents/?uuid=b521fb80-cb2c-43c0-bfb7-398f530edd84" ] } ], "mendeley" : { "formattedCitation" : "(Wen et al. 2008)", "plainTextFormattedCitation" : "(Wen et al. 2008)", "previouslyFormattedCitation" : "(Wen et al. 2008)"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(Wen et al. 2008)</w:t>
      </w:r>
      <w:r w:rsidR="00F20EC0" w:rsidRPr="00DF0680">
        <w:rPr>
          <w:rFonts w:cs="Times New Roman"/>
        </w:rPr>
        <w:fldChar w:fldCharType="end"/>
      </w:r>
      <w:r w:rsidRPr="00DF0680">
        <w:rPr>
          <w:rFonts w:cs="Times New Roman"/>
        </w:rPr>
        <w:t>.</w:t>
      </w:r>
    </w:p>
    <w:p w:rsidR="000627AA" w:rsidRPr="00DF0680" w:rsidRDefault="000627AA" w:rsidP="000627AA">
      <w:pPr>
        <w:rPr>
          <w:rFonts w:cs="Times New Roman"/>
        </w:rPr>
      </w:pPr>
      <w:r w:rsidRPr="00DF0680">
        <w:rPr>
          <w:rFonts w:cs="Times New Roman"/>
        </w:rPr>
        <w:t>pIRESpuro3 plasmids encoding FLAG-tagged full-length MRE11 or the Δ</w:t>
      </w:r>
      <w:r w:rsidRPr="00DF0680">
        <w:rPr>
          <w:rFonts w:cs="Times New Roman"/>
          <w:vertAlign w:val="subscript"/>
        </w:rPr>
        <w:t>5-7</w:t>
      </w:r>
      <w:r w:rsidRPr="00DF0680">
        <w:rPr>
          <w:rFonts w:cs="Times New Roman"/>
        </w:rPr>
        <w:t xml:space="preserve">MRE11 mutant were transfected into </w:t>
      </w:r>
      <w:r w:rsidR="00471D18" w:rsidRPr="00DF0680">
        <w:rPr>
          <w:rFonts w:cs="Times New Roman"/>
        </w:rPr>
        <w:t>MRC5V2</w:t>
      </w:r>
      <w:r w:rsidRPr="00DF0680">
        <w:rPr>
          <w:rFonts w:cs="Times New Roman"/>
        </w:rPr>
        <w:t xml:space="preserve"> cells </w:t>
      </w:r>
      <w:r w:rsidR="003C34C2" w:rsidRPr="00DF0680">
        <w:rPr>
          <w:rFonts w:cs="Times New Roman"/>
        </w:rPr>
        <w:t xml:space="preserve">compared </w:t>
      </w:r>
      <w:r w:rsidRPr="00DF0680">
        <w:rPr>
          <w:rFonts w:cs="Times New Roman"/>
        </w:rPr>
        <w:t>with a mock transfected control and expression verified using Western blotting (Figure 6.6 A)</w:t>
      </w:r>
      <w:r w:rsidR="003C34C2" w:rsidRPr="00DF0680">
        <w:rPr>
          <w:rFonts w:cs="Times New Roman"/>
        </w:rPr>
        <w:t>. Both MRE11 proteins could be detected</w:t>
      </w:r>
      <w:r w:rsidRPr="00DF0680">
        <w:rPr>
          <w:rFonts w:cs="Times New Roman"/>
        </w:rPr>
        <w:t xml:space="preserve"> using FLAG and MRE11 antibodies. </w:t>
      </w:r>
    </w:p>
    <w:p w:rsidR="005F61C5" w:rsidRPr="00DF0680" w:rsidRDefault="000627AA" w:rsidP="002454F7">
      <w:pPr>
        <w:rPr>
          <w:rFonts w:cs="Times New Roman"/>
        </w:rPr>
      </w:pPr>
      <w:r w:rsidRPr="00DF0680">
        <w:rPr>
          <w:rFonts w:cs="Times New Roman"/>
        </w:rPr>
        <w:t xml:space="preserve">FLAG-tagged MRE11 was then immuno-precipitated using M2-FLAG beads and once eluted, samples analysed with Western blotting, probing for RECQL5β. The result from this experiment remains unclear. In some cases, when repeating the immuno-precipitation, RECQL5β was only </w:t>
      </w:r>
      <w:r w:rsidR="002454F7" w:rsidRPr="00DF0680">
        <w:rPr>
          <w:rFonts w:cs="Times New Roman"/>
        </w:rPr>
        <w:t>precipitated</w:t>
      </w:r>
      <w:r w:rsidRPr="00DF0680">
        <w:rPr>
          <w:rFonts w:cs="Times New Roman"/>
        </w:rPr>
        <w:t xml:space="preserve"> with the full length MRE11 (Figure 6.6 </w:t>
      </w:r>
      <w:r w:rsidRPr="00DF0680">
        <w:rPr>
          <w:rFonts w:cs="Times New Roman"/>
        </w:rPr>
        <w:lastRenderedPageBreak/>
        <w:t xml:space="preserve">B). However, in other repeats, RECQL5β was </w:t>
      </w:r>
      <w:r w:rsidR="002454F7" w:rsidRPr="00DF0680">
        <w:rPr>
          <w:rFonts w:cs="Times New Roman"/>
        </w:rPr>
        <w:t xml:space="preserve">precipitated </w:t>
      </w:r>
      <w:r w:rsidRPr="00DF0680">
        <w:rPr>
          <w:rFonts w:cs="Times New Roman"/>
        </w:rPr>
        <w:t>with MRE11 full length and the Δ</w:t>
      </w:r>
      <w:r w:rsidRPr="00DF0680">
        <w:rPr>
          <w:rFonts w:cs="Times New Roman"/>
          <w:vertAlign w:val="subscript"/>
        </w:rPr>
        <w:t>5-7</w:t>
      </w:r>
      <w:r w:rsidRPr="00DF0680">
        <w:rPr>
          <w:rFonts w:cs="Times New Roman"/>
        </w:rPr>
        <w:t xml:space="preserve"> mutant.</w:t>
      </w:r>
    </w:p>
    <w:p w:rsidR="005F61C5" w:rsidRPr="00DF0680" w:rsidRDefault="005F61C5" w:rsidP="000627AA">
      <w:pPr>
        <w:rPr>
          <w:rFonts w:cs="Times New Roman"/>
        </w:rPr>
      </w:pPr>
    </w:p>
    <w:p w:rsidR="005F61C5" w:rsidRPr="00DF0680" w:rsidRDefault="005F61C5" w:rsidP="005F61C5">
      <w:pPr>
        <w:pStyle w:val="Caption"/>
        <w:jc w:val="center"/>
      </w:pPr>
      <w:r w:rsidRPr="00DF0680">
        <w:rPr>
          <w:rFonts w:cs="Times New Roman"/>
        </w:rPr>
        <w:drawing>
          <wp:inline distT="0" distB="0" distL="0" distR="0">
            <wp:extent cx="3766877" cy="5200650"/>
            <wp:effectExtent l="0" t="0" r="0"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srcRect/>
                    <a:stretch>
                      <a:fillRect/>
                    </a:stretch>
                  </pic:blipFill>
                  <pic:spPr bwMode="auto">
                    <a:xfrm>
                      <a:off x="0" y="0"/>
                      <a:ext cx="3774263" cy="5210847"/>
                    </a:xfrm>
                    <a:prstGeom prst="rect">
                      <a:avLst/>
                    </a:prstGeom>
                    <a:noFill/>
                    <a:ln w="9525">
                      <a:noFill/>
                      <a:miter lim="800000"/>
                      <a:headEnd/>
                      <a:tailEnd/>
                    </a:ln>
                  </pic:spPr>
                </pic:pic>
              </a:graphicData>
            </a:graphic>
          </wp:inline>
        </w:drawing>
      </w:r>
      <w:bookmarkStart w:id="795" w:name="_Toc410223788"/>
      <w:bookmarkStart w:id="796" w:name="_Toc417813930"/>
    </w:p>
    <w:p w:rsidR="005F61C5" w:rsidRPr="00DF0680" w:rsidRDefault="005F61C5" w:rsidP="005F61C5"/>
    <w:p w:rsidR="005F61C5" w:rsidRPr="00DF0680" w:rsidRDefault="005F61C5" w:rsidP="005F61C5">
      <w:pPr>
        <w:pStyle w:val="Caption"/>
      </w:pPr>
      <w:r w:rsidRPr="00DF0680">
        <w:t xml:space="preserve">Figure </w:t>
      </w:r>
      <w:fldSimple w:instr=" STYLEREF 1 \s ">
        <w:r w:rsidR="006119E3">
          <w:rPr>
            <w:noProof/>
          </w:rPr>
          <w:t>6</w:t>
        </w:r>
      </w:fldSimple>
      <w:r w:rsidR="006119E3">
        <w:t>.</w:t>
      </w:r>
      <w:fldSimple w:instr=" SEQ Figure \* ARABIC \s 1 ">
        <w:r w:rsidR="006119E3">
          <w:rPr>
            <w:noProof/>
          </w:rPr>
          <w:t>5</w:t>
        </w:r>
      </w:fldSimple>
      <w:r w:rsidRPr="00DF0680">
        <w:t xml:space="preserve"> – Sensitivity of MRC5V2 cells to hydroxyurea with RECQL5β and MRE11 depletion</w:t>
      </w:r>
      <w:bookmarkEnd w:id="795"/>
      <w:bookmarkEnd w:id="796"/>
      <w:r w:rsidRPr="00DF0680">
        <w:t xml:space="preserve"> </w:t>
      </w:r>
    </w:p>
    <w:p w:rsidR="005F61C5" w:rsidRPr="00DF0680" w:rsidRDefault="005F61C5" w:rsidP="005F61C5">
      <w:pPr>
        <w:spacing w:line="276" w:lineRule="auto"/>
      </w:pPr>
      <w:r w:rsidRPr="00DF0680">
        <w:t xml:space="preserve">MRC5V2 cells were depleted of either RECQL5β (Q5β), MRE11 or both using RNAi, or transfected with a non-targeting control (Con). 48 hours later, cells were either lysed and protein content analysed using Western blotting (A), or cells were replated into a clonogenic toxicity assay and exposed to increasing concentrations of hydroxyurea (B). There was no significant difference in sensitivity to hydroxyurea between any of the transfected cells. </w:t>
      </w:r>
    </w:p>
    <w:p w:rsidR="000627AA" w:rsidRPr="00DF0680" w:rsidRDefault="000627AA" w:rsidP="000627AA">
      <w:pPr>
        <w:rPr>
          <w:rFonts w:cs="Times New Roman"/>
        </w:rPr>
      </w:pPr>
    </w:p>
    <w:p w:rsidR="005F61C5" w:rsidRPr="00DF0680" w:rsidRDefault="005F61C5" w:rsidP="000627AA">
      <w:pPr>
        <w:rPr>
          <w:rFonts w:cs="Times New Roman"/>
        </w:rPr>
      </w:pPr>
      <w:r w:rsidRPr="00DF0680">
        <w:lastRenderedPageBreak/>
        <w:drawing>
          <wp:inline distT="0" distB="0" distL="0" distR="0">
            <wp:extent cx="5400040" cy="2780378"/>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5400040" cy="2780378"/>
                    </a:xfrm>
                    <a:prstGeom prst="rect">
                      <a:avLst/>
                    </a:prstGeom>
                    <a:noFill/>
                    <a:ln w="9525">
                      <a:noFill/>
                      <a:miter lim="800000"/>
                      <a:headEnd/>
                      <a:tailEnd/>
                    </a:ln>
                  </pic:spPr>
                </pic:pic>
              </a:graphicData>
            </a:graphic>
          </wp:inline>
        </w:drawing>
      </w:r>
    </w:p>
    <w:p w:rsidR="005F61C5" w:rsidRPr="00DF0680" w:rsidRDefault="005F61C5" w:rsidP="000627AA">
      <w:pPr>
        <w:rPr>
          <w:rFonts w:cs="Times New Roman"/>
        </w:rPr>
      </w:pPr>
    </w:p>
    <w:p w:rsidR="005F61C5" w:rsidRPr="00DF0680" w:rsidRDefault="005F61C5" w:rsidP="005F61C5">
      <w:pPr>
        <w:pStyle w:val="Caption"/>
      </w:pPr>
      <w:bookmarkStart w:id="797" w:name="_Toc410223789"/>
      <w:bookmarkStart w:id="798" w:name="_Toc417813931"/>
      <w:r w:rsidRPr="00DF0680">
        <w:t xml:space="preserve">Figure </w:t>
      </w:r>
      <w:fldSimple w:instr=" STYLEREF 1 \s ">
        <w:r w:rsidR="006119E3">
          <w:rPr>
            <w:noProof/>
          </w:rPr>
          <w:t>6</w:t>
        </w:r>
      </w:fldSimple>
      <w:r w:rsidR="006119E3">
        <w:t>.</w:t>
      </w:r>
      <w:fldSimple w:instr=" SEQ Figure \* ARABIC \s 1 ">
        <w:r w:rsidR="006119E3">
          <w:rPr>
            <w:noProof/>
          </w:rPr>
          <w:t>6</w:t>
        </w:r>
      </w:fldSimple>
      <w:r w:rsidRPr="00DF0680">
        <w:t xml:space="preserve"> – The binding of RECQL5β to Δ</w:t>
      </w:r>
      <w:r w:rsidRPr="00DF0680">
        <w:rPr>
          <w:vertAlign w:val="subscript"/>
        </w:rPr>
        <w:t>5-7</w:t>
      </w:r>
      <w:r w:rsidRPr="00DF0680">
        <w:t xml:space="preserve"> MRE11</w:t>
      </w:r>
      <w:bookmarkEnd w:id="797"/>
      <w:bookmarkEnd w:id="798"/>
    </w:p>
    <w:p w:rsidR="005F61C5" w:rsidRPr="00DF0680" w:rsidRDefault="005F61C5" w:rsidP="005F61C5">
      <w:pPr>
        <w:spacing w:line="276" w:lineRule="auto"/>
      </w:pPr>
      <w:r w:rsidRPr="00DF0680">
        <w:t>MRC5V2 cells were transfected with plasmids encoding a FLAG-tagged MRE11 or a FLAG-tagged mutant MRE11, with exons 5-7 deleted. One set of cells was mock transfected as a control. Cells were lysed and analysed for FLAG and MRE11 protein using Western blotting to check expression (A). FLAG-tagged proteins were immunoprecipitated, using M2-FLAG beads, from cell lysates samples analysed using Western blotting, probing for FLAG, MRE11 and RECQL5β (B).</w:t>
      </w:r>
    </w:p>
    <w:p w:rsidR="005F61C5" w:rsidRPr="00DF0680" w:rsidRDefault="005F61C5" w:rsidP="000627AA">
      <w:pPr>
        <w:rPr>
          <w:rFonts w:cs="Times New Roman"/>
        </w:rPr>
      </w:pPr>
    </w:p>
    <w:p w:rsidR="000627AA" w:rsidRPr="00DF0680" w:rsidRDefault="000627AA" w:rsidP="005F61C5">
      <w:pPr>
        <w:pStyle w:val="Heading2"/>
      </w:pPr>
      <w:bookmarkStart w:id="799" w:name="_Toc410223775"/>
      <w:bookmarkStart w:id="800" w:name="_Toc417204222"/>
      <w:bookmarkStart w:id="801" w:name="_Toc417204755"/>
      <w:bookmarkStart w:id="802" w:name="_Toc417204815"/>
      <w:r w:rsidRPr="00DF0680">
        <w:t>Discussion</w:t>
      </w:r>
      <w:bookmarkEnd w:id="799"/>
      <w:bookmarkEnd w:id="800"/>
      <w:bookmarkEnd w:id="801"/>
      <w:bookmarkEnd w:id="802"/>
    </w:p>
    <w:p w:rsidR="000627AA" w:rsidRPr="00DF0680" w:rsidRDefault="000627AA" w:rsidP="000627AA">
      <w:pPr>
        <w:rPr>
          <w:rFonts w:cs="Times New Roman"/>
        </w:rPr>
      </w:pPr>
      <w:r w:rsidRPr="00DF0680">
        <w:rPr>
          <w:rFonts w:cs="Times New Roman"/>
        </w:rPr>
        <w:t xml:space="preserve">Plotting MRE11 ΔCT values against RECQL5 and RECQL5β ΔCT values showed a </w:t>
      </w:r>
      <w:r w:rsidR="00FA1C3F" w:rsidRPr="00DF0680">
        <w:rPr>
          <w:rFonts w:cs="Times New Roman"/>
        </w:rPr>
        <w:t xml:space="preserve">moderate </w:t>
      </w:r>
      <w:r w:rsidRPr="00DF0680">
        <w:rPr>
          <w:rFonts w:cs="Times New Roman"/>
        </w:rPr>
        <w:t xml:space="preserve">positive correlation (Figure 6.1). </w:t>
      </w:r>
      <w:r w:rsidR="00FA1C3F" w:rsidRPr="00DF0680">
        <w:rPr>
          <w:rFonts w:cs="Times New Roman"/>
        </w:rPr>
        <w:t xml:space="preserve">In general, this means that when RECQL5 mRNA is high, MRE11 mRNA is high. </w:t>
      </w:r>
      <w:r w:rsidRPr="00DF0680">
        <w:rPr>
          <w:rFonts w:cs="Times New Roman"/>
        </w:rPr>
        <w:t xml:space="preserve">As RECQL5 and MRE11 are both involved in DNA damage repair, this result may not be surprising. What would be interesting to research is whether this </w:t>
      </w:r>
      <w:r w:rsidR="003C34C2" w:rsidRPr="00DF0680">
        <w:rPr>
          <w:rFonts w:cs="Times New Roman"/>
        </w:rPr>
        <w:t xml:space="preserve">is a causative link, perhaps by investigating whether </w:t>
      </w:r>
      <w:r w:rsidRPr="00DF0680">
        <w:rPr>
          <w:rFonts w:cs="Times New Roman"/>
        </w:rPr>
        <w:t xml:space="preserve">correlation would strengthen when cells were exposed to different DNA damaging agents. </w:t>
      </w:r>
    </w:p>
    <w:p w:rsidR="000627AA" w:rsidRPr="00DF0680" w:rsidRDefault="003C34C2" w:rsidP="000627AA">
      <w:pPr>
        <w:rPr>
          <w:rFonts w:cs="Times New Roman"/>
        </w:rPr>
      </w:pPr>
      <w:r w:rsidRPr="00DF0680">
        <w:rPr>
          <w:rFonts w:cs="Times New Roman"/>
        </w:rPr>
        <w:t>Although the mRNA expression correlates, u</w:t>
      </w:r>
      <w:r w:rsidR="000627AA" w:rsidRPr="00DF0680">
        <w:rPr>
          <w:rFonts w:cs="Times New Roman"/>
        </w:rPr>
        <w:t xml:space="preserve">nlike RECQL5, MRE11 mRNA expression was not altered in cancers compared to normal bladder tissue. There were also no differences in MRE11 mRNA expression between recurrent and non-recurrent cancers (Figure 6.2). </w:t>
      </w:r>
      <w:r w:rsidRPr="00DF0680">
        <w:rPr>
          <w:rFonts w:cs="Times New Roman"/>
        </w:rPr>
        <w:t xml:space="preserve">This may be due to different levels of correlation between the normal and cancer samples and reanalysing with a larger sample number in these separate sample </w:t>
      </w:r>
      <w:r w:rsidRPr="00DF0680">
        <w:rPr>
          <w:rFonts w:cs="Times New Roman"/>
        </w:rPr>
        <w:lastRenderedPageBreak/>
        <w:t xml:space="preserve">groups would help to investigate this. It may also be due to it only being a moderate correlation between the two different mRNAs. </w:t>
      </w:r>
      <w:r w:rsidR="000627AA" w:rsidRPr="00DF0680">
        <w:rPr>
          <w:rFonts w:cs="Times New Roman"/>
        </w:rPr>
        <w:t>The MRE11 protein does seem to be increased in the bladder cancer cells as the cancer cell lines showed higher protein expression when compared to the immortalised normal bladder cells (Figure 6.2). To determine whether MRE11 protein truly is up-regulated in bladder cancer, protein analysis will need to be done on primary</w:t>
      </w:r>
      <w:r w:rsidR="002454F7" w:rsidRPr="00DF0680">
        <w:rPr>
          <w:rFonts w:cs="Times New Roman"/>
        </w:rPr>
        <w:t xml:space="preserve"> patient-derived</w:t>
      </w:r>
      <w:r w:rsidR="000627AA" w:rsidRPr="00DF0680">
        <w:rPr>
          <w:rFonts w:cs="Times New Roman"/>
        </w:rPr>
        <w:t xml:space="preserve"> material. </w:t>
      </w:r>
    </w:p>
    <w:p w:rsidR="000627AA" w:rsidRPr="00DF0680" w:rsidRDefault="000627AA" w:rsidP="000627AA">
      <w:pPr>
        <w:rPr>
          <w:rFonts w:cs="Times New Roman"/>
        </w:rPr>
      </w:pPr>
      <w:r w:rsidRPr="00DF0680">
        <w:rPr>
          <w:rFonts w:cs="Times New Roman"/>
        </w:rPr>
        <w:t xml:space="preserve">MRE11 mRNA expression determined differences in RECQL5 mRNA expression between cancer and normal bladder samples. The higher RECQL5β mRNA seen in normal bladder samples (and higher RECQL5 and RECQL5β mRNA in recurrent cancers) was only apparent when MRE11 mRNA expression was higher than the average (Figure 6.3 A + C). When MRE11 mRNA expression was lower than average, no differences were seen (Figure 6.3 B + D). There were no differences in MRE11 mRNA between bladder cancer and normal bladder in the non-stratified data, in samples with high RECQL5 expression, or in samples with low RECQL5 expression. This indicates that MRE11 drives RECQL5 function, rather than the other way around. Although MRE11 has been shown to regulate transcription in meiosis for spore development in yeast </w:t>
      </w:r>
      <w:r w:rsidR="00F20EC0" w:rsidRPr="00DF0680">
        <w:rPr>
          <w:rFonts w:cs="Times New Roman"/>
        </w:rPr>
        <w:fldChar w:fldCharType="begin" w:fldLock="1"/>
      </w:r>
      <w:r w:rsidR="00332613" w:rsidRPr="00DF0680">
        <w:rPr>
          <w:rFonts w:cs="Times New Roman"/>
        </w:rPr>
        <w:instrText>ADDIN CSL_CITATION { "citationItems" : [ { "id" : "ITEM-1", "itemData" : { "DOI" : "10.1266/ggs.82.21", "ISSN" : "1880-5779", "author" : [ { "dropping-particle" : "", "family" : "Kugou", "given" : "Kazuto", "non-dropping-particle" : "", "parse-names" : false, "suffix" : "" }, { "dropping-particle" : "", "family" : "Sasanuma", "given" : "Hiroyuki", "non-dropping-particle" : "", "parse-names" : false, "suffix" : "" }, { "dropping-particle" : "", "family" : "Matsumoto", "given" : "Kouji", "non-dropping-particle" : "", "parse-names" : false, "suffix" : "" }, { "dropping-particle" : "", "family" : "Shirahige", "given" : "Katsuhiko", "non-dropping-particle" : "", "parse-names" : false, "suffix" : "" }, { "dropping-particle" : "", "family" : "Ohta", "given" : "Kunihiro", "non-dropping-particle" : "", "parse-names" : false, "suffix" : "" } ], "container-title" : "Genes &amp; Genetic Systems", "id" : "ITEM-1", "issue" : "1", "issued" : { "date-parts" : [ [ "2007" ] ] }, "page" : "21-33", "title" : "Mre11 mediates gene regulation in yeast spore development", "type" : "article-journal", "volume" : "82" }, "uris" : [ "http://www.mendeley.com/documents/?uuid=0789cde4-b696-43cd-ba72-26e856386555" ] } ], "mendeley" : { "formattedCitation" : "(Kugou et al. 2007)", "plainTextFormattedCitation" : "(Kugou et al. 2007)", "previouslyFormattedCitation" : "(Kugou et al. 2007)"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(Kugou et al. 2007)</w:t>
      </w:r>
      <w:r w:rsidR="00F20EC0" w:rsidRPr="00DF0680">
        <w:rPr>
          <w:rFonts w:cs="Times New Roman"/>
        </w:rPr>
        <w:fldChar w:fldCharType="end"/>
      </w:r>
      <w:r w:rsidRPr="00DF0680">
        <w:rPr>
          <w:rFonts w:cs="Times New Roman"/>
        </w:rPr>
        <w:t xml:space="preserve">, MRE11 has not </w:t>
      </w:r>
      <w:r w:rsidR="00B81DB3" w:rsidRPr="00DF0680">
        <w:rPr>
          <w:rFonts w:cs="Times New Roman"/>
        </w:rPr>
        <w:t xml:space="preserve">yet </w:t>
      </w:r>
      <w:r w:rsidRPr="00DF0680">
        <w:rPr>
          <w:rFonts w:cs="Times New Roman"/>
        </w:rPr>
        <w:t>been shown to have a role in transcr</w:t>
      </w:r>
      <w:r w:rsidR="00B81DB3" w:rsidRPr="00DF0680">
        <w:rPr>
          <w:rFonts w:cs="Times New Roman"/>
        </w:rPr>
        <w:t>iption in humans.</w:t>
      </w:r>
      <w:r w:rsidRPr="00DF0680">
        <w:rPr>
          <w:rFonts w:cs="Times New Roman"/>
        </w:rPr>
        <w:t xml:space="preserve"> </w:t>
      </w:r>
      <w:r w:rsidR="00B81DB3" w:rsidRPr="00DF0680">
        <w:rPr>
          <w:rFonts w:cs="Times New Roman"/>
        </w:rPr>
        <w:t xml:space="preserve">Whether </w:t>
      </w:r>
      <w:r w:rsidRPr="00DF0680">
        <w:rPr>
          <w:rFonts w:cs="Times New Roman"/>
        </w:rPr>
        <w:t xml:space="preserve">MRE11 </w:t>
      </w:r>
      <w:r w:rsidR="00B81DB3" w:rsidRPr="00DF0680">
        <w:rPr>
          <w:rFonts w:cs="Times New Roman"/>
        </w:rPr>
        <w:t>could directly up-regulate RECQL5 has not yet been investigated and could be an idea for further work</w:t>
      </w:r>
      <w:r w:rsidRPr="00DF0680">
        <w:rPr>
          <w:rFonts w:cs="Times New Roman"/>
        </w:rPr>
        <w:t xml:space="preserve">. It may be the case that the higher RECQL5 mRNA expression is required for genomic stability but in an MRE11 dependent manner. As MRE11 has a role in directing </w:t>
      </w:r>
      <w:r w:rsidR="00B81DB3" w:rsidRPr="00DF0680">
        <w:rPr>
          <w:rFonts w:cs="Times New Roman"/>
        </w:rPr>
        <w:t xml:space="preserve">the </w:t>
      </w:r>
      <w:r w:rsidRPr="00DF0680">
        <w:rPr>
          <w:rFonts w:cs="Times New Roman"/>
        </w:rPr>
        <w:t xml:space="preserve">DSB repair pathway </w:t>
      </w:r>
      <w:r w:rsidR="00F20EC0" w:rsidRPr="00DF0680">
        <w:rPr>
          <w:rFonts w:cs="Times New Roman"/>
        </w:rPr>
        <w:fldChar w:fldCharType="begin" w:fldLock="1"/>
      </w:r>
      <w:r w:rsidR="00332613" w:rsidRPr="00DF0680">
        <w:rPr>
          <w:rFonts w:cs="Times New Roman"/>
        </w:rPr>
        <w:instrText>ADDIN CSL_CITATION { "citationItems" : [ { "id" : "ITEM-1", "itemData" : { "DOI" : "10.1016/j.molcel.2013.11.003", "ISSN" : "1097-4164", "PMID" : "24316220", "abstract" : "MRE11 within the MRE11-RAD50-NBS1 (MRN) complex acts in DNA double-strand break repair (DSBR), detection, and signaling; yet, how its endo- and exonuclease activities regulate DSBR by nonhomologous end-joining (NHEJ) versus homologous recombination (HR) remains enigmatic. Here, we employed structure-based design with a focused chemical library to discover specific MRE11 endo- or exonuclease inhibitors. With these inhibitors, we examined repair pathway choice at DSBs generated in G2 following radiation exposure. While nuclease inhibition impairs radiation-induced replication protein A (RPA) chromatin binding, suggesting diminished resection, the inhibitors surprisingly direct different repair outcomes. Endonuclease inhibition promotes NHEJ in lieu of HR, while exonuclease inhibition confers a repair defect. Collectively, the results describe nuclease-specific MRE11 inhibitors, define distinct nuclease roles in DSB repair, and support a mechanism whereby MRE11 endonuclease initiates resection, thereby licensing HR followed by MRE11 exonuclease and EXO1/BLM bidirectional resection toward and away from the DNA end, which commits to HR.", "author" : [ { "dropping-particle" : "", "family" : "Shibata", "given" : "Atsushi", "non-dropping-particle" : "", "parse-names" : false, "suffix" : "" }, { "dropping-particle" : "", "family" : "Moiani", "given" : "Davide", "non-dropping-particle" : "", "parse-names" : false, "suffix" : "" }, { "dropping-particle" : "", "family" : "Arvai", "given" : "Andrew S", "non-dropping-particle" : "", "parse-names" : false, "suffix" : "" }, { "dropping-particle" : "", "family" : "Perry", "given" : "Jefferson", "non-dropping-particle" : "", "parse-names" : false, "suffix" : "" }, { "dropping-particle" : "", "family" : "Harding", "given" : "Shane M", "non-dropping-particle" : "", "parse-names" : false, "suffix" : "" }, { "dropping-particle" : "", "family" : "Genois", "given" : "Marie-Michelle", "non-dropping-particle" : "", "parse-names" : false, "suffix" : "" }, { "dropping-particle" : "", "family" : "Maity", "given" : "Ranjan", "non-dropping-particle" : "", "parse-names" : false, "suffix" : "" }, { "dropping-particle" : "", "family" : "Rossum-Fikkert", "given" : "Sari", "non-dropping-particle" : "van", "parse-names" : false, "suffix" : "" }, { "dropping-particle" : "", "family" : "Kertokalio", "given" : "Aryandi", "non-dropping-particle" : "", "parse-names" : false, "suffix" : "" }, { "dropping-particle" : "", "family" : "Romoli", "given" : "Filippo", "non-dropping-particle" : "", "parse-names" : false, "suffix" : "" }, { "dropping-particle" : "", "family" : "Ismail", "given" : "Amani", "non-dropping-particle" : "", "parse-names" : false, "suffix" : "" }, { "dropping-particle" : "", "family" : "Ismalaj", "given" : "Ermal", "non-dropping-particle" : "", "parse-names" : false, "suffix" : "" }, { "dropping-particle" : "", "family" : "Petricci", "given" : "Elena", "non-dropping-particle" : "", "parse-names" : false, "suffix" : "" }, { "dropping-particle" : "", "family" : "Neale", "given" : "Matthew J", "non-dropping-particle" : "", "parse-names" : false, "suffix" : "" }, { "dropping-particle" : "", "family" : "Bristow", "given" : "Robert G", "non-dropping-particle" : "", "parse-names" : false, "suffix" : "" }, { "dropping-particle" : "", "family" : "Masson", "given" : "Jean-Yves", "non-dropping-particle" : "", "parse-names" : false, "suffix" : "" }, { "dropping-particle" : "", "family" : "Wyman", "given" : "Claire", "non-dropping-particle" : "", "parse-names" : false, "suffix" : "" }, { "dropping-particle" : "", "family" : "Jeggo", "given" : "Penny a", "non-dropping-particle" : "", "parse-names" : false, "suffix" : "" }, { "dropping-particle" : "", "family" : "Tainer", "given" : "John a", "non-dropping-particle" : "", "parse-names" : false, "suffix" : "" } ], "container-title" : "Molecular Cell", "id" : "ITEM-1", "issue" : "1", "issued" : { "date-parts" : [ [ "2014", "12", "3" ] ] }, "page" : "7-18", "publisher" : "Elsevier Inc.", "title" : "DNA Double-Strand Break Repair Pathway Choice Is Directed by Distinct MRE11 Nuclease Activities.", "type" : "article-journal", "volume" : "53" }, "uris" : [ "http://www.mendeley.com/documents/?uuid=825867bc-4a2d-4450-99d7-47e7f96aa4d4" ] } ], "mendeley" : { "formattedCitation" : "(Shibata et al. 2014)", "plainTextFormattedCitation" : "(Shibata et al. 2014)", "previouslyFormattedCitation" : "(Shibata et al. 2014)" }, "properties" : { "noteIndex" : 0 }, "schema" : "https://github.com/citation-style-language/schema/raw/master/csl-citation.json" }</w:instrText>
      </w:r>
      <w:r w:rsidR="00F20EC0" w:rsidRPr="00DF0680">
        <w:rPr>
          <w:rFonts w:cs="Times New Roman"/>
        </w:rPr>
        <w:fldChar w:fldCharType="separate"/>
      </w:r>
      <w:r w:rsidR="00DA6E78" w:rsidRPr="00DF0680">
        <w:rPr>
          <w:rFonts w:cs="Times New Roman"/>
        </w:rPr>
        <w:t>(Shibata et al. 2014)</w:t>
      </w:r>
      <w:r w:rsidR="00F20EC0" w:rsidRPr="00DF0680">
        <w:rPr>
          <w:rFonts w:cs="Times New Roman"/>
        </w:rPr>
        <w:fldChar w:fldCharType="end"/>
      </w:r>
      <w:r w:rsidRPr="00DF0680">
        <w:rPr>
          <w:rFonts w:cs="Times New Roman"/>
        </w:rPr>
        <w:t xml:space="preserve">, RECQL5 may require MRE11 in order to exert its DNA damage repair function, possibly promoting synthesis-dependent strand annealing when recruited by MRE11 to double-strand breaks. </w:t>
      </w:r>
    </w:p>
    <w:p w:rsidR="000627AA" w:rsidRPr="00DF0680" w:rsidRDefault="000627AA" w:rsidP="000627AA">
      <w:pPr>
        <w:rPr>
          <w:rFonts w:cs="Times New Roman"/>
        </w:rPr>
      </w:pPr>
      <w:r w:rsidRPr="00DF0680">
        <w:rPr>
          <w:rFonts w:cs="Times New Roman"/>
        </w:rPr>
        <w:t>Depleting cells of MRE11, RECQL5β or both, did not increase sensitivity to hydroxyurea. Although MRE</w:t>
      </w:r>
      <w:r w:rsidR="009E7E57" w:rsidRPr="00DF0680">
        <w:rPr>
          <w:rFonts w:cs="Times New Roman"/>
        </w:rPr>
        <w:t>11 might bring RECQL5β into si</w:t>
      </w:r>
      <w:r w:rsidRPr="00DF0680">
        <w:rPr>
          <w:rFonts w:cs="Times New Roman"/>
        </w:rPr>
        <w:t>t</w:t>
      </w:r>
      <w:r w:rsidR="009E7E57" w:rsidRPr="00DF0680">
        <w:rPr>
          <w:rFonts w:cs="Times New Roman"/>
        </w:rPr>
        <w:t>e</w:t>
      </w:r>
      <w:r w:rsidRPr="00DF0680">
        <w:rPr>
          <w:rFonts w:cs="Times New Roman"/>
        </w:rPr>
        <w:t xml:space="preserve">s of DNA damage </w:t>
      </w:r>
      <w:r w:rsidR="00F20EC0" w:rsidRPr="00DF0680">
        <w:rPr>
          <w:rFonts w:cs="Times New Roman"/>
        </w:rPr>
        <w:fldChar w:fldCharType="begin" w:fldLock="1"/>
      </w:r>
      <w:r w:rsidR="00332613" w:rsidRPr="00DF0680">
        <w:rPr>
          <w:rFonts w:cs="Times New Roman"/>
        </w:rPr>
        <w:instrText>ADDIN CSL_CITATION { "citationItems" : [ { "id" : "ITEM-1", "itemData" : { "DOI" : "10.1093/nar/gkp147", "ISSN" : "1362-4962", "PMID" : "19270065", "abstract" : "RECQ5 DNA helicase suppresses homologous recombination (HR) possibly through disruption of RAD51 filaments. Here, we show that RECQ5 is constitutively associated with the MRE11-RAD50-NBS1 (MRN) complex, a primary sensor of DNA double-strand breaks (DSBs) that promotes DSB repair and regulates DNA damage signaling via activation of the ATM kinase. Experiments with purified proteins indicated that RECQ5 interacts with the MRN complex through both MRE11 and NBS1. Functional assays revealed that RECQ5 specifically inhibited the 3'--&gt;5' exonuclease activity of MRE11, while MRN had no effect on the helicase activity of RECQ5. At the cellular level, we observed that the MRN complex was required for the recruitment of RECQ5 to sites of DNA damage. Accumulation of RECQ5 at DSBs was neither dependent on MDC1 that mediates binding of MRN to DSB-flanking chromatin nor on CtIP that acts in conjunction with MRN to promote resection of DSBs for repair by HR. Collectively, these data suggest that the MRN complex recruits RECQ5 to sites of DNA damage to regulate DNA repair.", "author" : [ { "dropping-particle" : "", "family" : "Zheng", "given" : "Lu", "non-dropping-particle" : "", "parse-names" : false, "suffix" : "" }, { "dropping-particle" : "", "family" : "Kanagaraj", "given" : "Radhakrishnan", "non-dropping-particle" : "", "parse-names" : false, "suffix" : "" }, { "dropping-particle" : "", "family" : "Mihaljevic", "given" : "Boris", "non-dropping-particle" : "", "parse-names" : false, "suffix" : "" }, { "dropping-particle" : "", "family" : "Schwendener", "given" : "Sybille", "non-dropping-particle" : "", "parse-names" : false, "suffix" : "" }, { "dropping-particle" : "", "family" : "Sartori", "given" : "Alessandro a", "non-dropping-particle" : "", "parse-names" : false, "suffix" : "" }, { "dropping-particle" : "", "family" : "Gerrits", "given" : "Bertran", "non-dropping-particle" : "", "parse-names" : false, "suffix" : "" }, { "dropping-particle" : "", "family" : "Shevelev", "given" : "Igor", "non-dropping-particle" : "", "parse-names" : false, "suffix" : "" }, { "dropping-particle" : "", "family" : "Janscak", "given" : "Pavel", "non-dropping-particle" : "", "parse-names" : false, "suffix" : "" } ], "container-title" : "Nucleic Acids Research", "id" : "ITEM-1", "issue" : "8", "issued" : { "date-parts" : [ [ "2009", "5" ] ] }, "page" : "2645-57", "title" : "MRE11 complex links RECQ5 helicase to sites of DNA damage.", "type" : "article-journal", "volume" : "37" }, "uris" : [ "http://www.mendeley.com/documents/?uuid=1d2d60df-0a93-460f-abb4-64ead233ffa9" ] } ], "mendeley" : { "formattedCitation" : "(Zheng et al. 2009)", "plainTextFormattedCitation" : "(Zheng et al. 2009)", "previouslyFormattedCitation" : "(Zheng et al. 2009)"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(Zheng et al. 2009)</w:t>
      </w:r>
      <w:r w:rsidR="00F20EC0" w:rsidRPr="00DF0680">
        <w:rPr>
          <w:rFonts w:cs="Times New Roman"/>
        </w:rPr>
        <w:fldChar w:fldCharType="end"/>
      </w:r>
      <w:r w:rsidRPr="00DF0680">
        <w:rPr>
          <w:rFonts w:cs="Times New Roman"/>
        </w:rPr>
        <w:t xml:space="preserve">, it may be the case that the cell has other mechanisms that it can use to repair this damage if MRE11 or RECQL5 are absent. Because RECQL5 has been shown to promote repair of double-strand breaks by synthesis-dependent strand annealing </w:t>
      </w:r>
      <w:r w:rsidR="00F20EC0" w:rsidRPr="00DF0680">
        <w:rPr>
          <w:rFonts w:cs="Times New Roman"/>
        </w:rPr>
        <w:fldChar w:fldCharType="begin" w:fldLock="1"/>
      </w:r>
      <w:r w:rsidR="00332613" w:rsidRPr="00DF0680">
        <w:rPr>
          <w:rFonts w:cs="Times New Roman"/>
        </w:rPr>
        <w:instrText>ADDIN CSL_CITATION { "citationItems" : [ { "id" : "ITEM-1", "itemData" : { "DOI" : "10.1093/nar/gkt1263", "ISSN" : "1362-4962", "PMID" : "24319145", "abstract" : "Most mitotic homologous recombination (HR) events proceed via a synthesis-dependent strand annealing mechanism to avoid crossing over, which may give rise to chromosomal rearrangements and loss of heterozygosity. The molecular mechanisms controlling HR sub-pathway choice are poorly understood. Here, we show that human RECQ5, a DNA helicase that can disrupt RAD51 nucleoprotein filaments, promotes formation of non-crossover products during DNA double-strand break-induced HR and counteracts the inhibitory effect of RAD51 on RAD52-mediated DNA annealing in vitro and in vivo. Moreover, we demonstrate that RECQ5 deficiency is associated with an increased occupancy of RAD51 at a double-strand break site, and it also causes an elevation of sister chromatid exchanges on inactivation of the Holliday junction dissolution pathway or on induction of a high load of DNA damage in the cell. Collectively, our findings suggest that RECQ5 acts during the post-synaptic phase of synthesis-dependent strand annealing to prevent formation of aberrant RAD51 filaments on the extended invading strand, thus limiting its channeling into potentially hazardous crossover pathway of HR.", "author" : [ { "dropping-particle" : "", "family" : "Paliwal", "given" : "Shreya", "non-dropping-particle" : "", "parse-names" : false, "suffix" : "" }, { "dropping-particle" : "", "family" : "Kanagaraj", "given" : "Radhakrishnan", "non-dropping-particle" : "", "parse-names" : false, "suffix" : "" }, { "dropping-particle" : "", "family" : "Sturzenegger", "given" : "Andreas", "non-dropping-particle" : "", "parse-names" : false, "suffix" : "" }, { "dropping-particle" : "", "family" : "Burdova", "given" : "Kamila", "non-dropping-particle" : "", "parse-names" : false, "suffix" : "" }, { "dropping-particle" : "", "family" : "Janscak", "given" : "Pavel", "non-dropping-particle" : "", "parse-names" : false, "suffix" : "" } ], "container-title" : "Nucleic Acids Research", "id" : "ITEM-1", "issue" : "4", "issued" : { "date-parts" : [ [ "2013", "12", "6" ] ] }, "page" : "2380-90", "title" : "Human RECQ5 helicase promotes repair of DNA double-strand breaks by synthesis-dependent strand annealing.", "type" : "article-journal", "volume" : "42" }, "uris" : [ "http://www.mendeley.com/documents/?uuid=9756a8b4-6ceb-49b9-a51d-9f3ade3d9007" ] } ], "mendeley" : { "formattedCitation" : "(Paliwal et al. 2013)", "plainTextFormattedCitation" : "(Paliwal et al. 2013)", "previouslyFormattedCitation" : "(Paliwal et al. 2013)"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(Paliwal et al. 2013)</w:t>
      </w:r>
      <w:r w:rsidR="00F20EC0" w:rsidRPr="00DF0680">
        <w:rPr>
          <w:rFonts w:cs="Times New Roman"/>
        </w:rPr>
        <w:fldChar w:fldCharType="end"/>
      </w:r>
      <w:r w:rsidRPr="00DF0680">
        <w:rPr>
          <w:rFonts w:cs="Times New Roman"/>
        </w:rPr>
        <w:t>, it would be interesting to investigate the rates of crossover formation under these conditions and see whe</w:t>
      </w:r>
      <w:r w:rsidR="009E7E57" w:rsidRPr="00DF0680">
        <w:rPr>
          <w:rFonts w:cs="Times New Roman"/>
        </w:rPr>
        <w:t xml:space="preserve">ther this is dependent on MRE11. If MRE11 is required for RECQL5 to promote SDSA, then we may </w:t>
      </w:r>
      <w:r w:rsidR="00336FBD" w:rsidRPr="00DF0680">
        <w:rPr>
          <w:rFonts w:cs="Times New Roman"/>
        </w:rPr>
        <w:t>increase</w:t>
      </w:r>
      <w:r w:rsidR="009E7E57" w:rsidRPr="00DF0680">
        <w:rPr>
          <w:rFonts w:cs="Times New Roman"/>
        </w:rPr>
        <w:t xml:space="preserve"> cross-overs when MRE11 is depleted. </w:t>
      </w:r>
    </w:p>
    <w:p w:rsidR="000627AA" w:rsidRPr="00DF0680" w:rsidRDefault="000627AA" w:rsidP="000627AA">
      <w:pPr>
        <w:rPr>
          <w:rFonts w:cs="Times New Roman"/>
          <w:color w:val="FF0000"/>
        </w:rPr>
      </w:pPr>
      <w:r w:rsidRPr="00DF0680">
        <w:rPr>
          <w:rFonts w:cs="Times New Roman"/>
        </w:rPr>
        <w:lastRenderedPageBreak/>
        <w:t xml:space="preserve">Previous work has shown an interaction between RECQL5β and MRE11 </w:t>
      </w:r>
      <w:r w:rsidR="00F20EC0" w:rsidRPr="00DF0680">
        <w:rPr>
          <w:rFonts w:cs="Times New Roman"/>
        </w:rPr>
        <w:fldChar w:fldCharType="begin" w:fldLock="1"/>
      </w:r>
      <w:r w:rsidR="00332613" w:rsidRPr="00DF0680">
        <w:rPr>
          <w:rFonts w:cs="Times New Roman"/>
        </w:rPr>
        <w:instrText>ADDIN CSL_CITATION { "citationItems" : [ { "id" : "ITEM-1", "itemData" : { "DOI" : "10.1093/nar/gkp147", "ISSN" : "1362-4962", "PMID" : "19270065", "abstract" : "RECQ5 DNA helicase suppresses homologous recombination (HR) possibly through disruption of RAD51 filaments. Here, we show that RECQ5 is constitutively associated with the MRE11-RAD50-NBS1 (MRN) complex, a primary sensor of DNA double-strand breaks (DSBs) that promotes DSB repair and regulates DNA damage signaling via activation of the ATM kinase. Experiments with purified proteins indicated that RECQ5 interacts with the MRN complex through both MRE11 and NBS1. Functional assays revealed that RECQ5 specifically inhibited the 3'--&gt;5' exonuclease activity of MRE11, while MRN had no effect on the helicase activity of RECQ5. At the cellular level, we observed that the MRN complex was required for the recruitment of RECQ5 to sites of DNA damage. Accumulation of RECQ5 at DSBs was neither dependent on MDC1 that mediates binding of MRN to DSB-flanking chromatin nor on CtIP that acts in conjunction with MRN to promote resection of DSBs for repair by HR. Collectively, these data suggest that the MRN complex recruits RECQ5 to sites of DNA damage to regulate DNA repair.", "author" : [ { "dropping-particle" : "", "family" : "Zheng", "given" : "Lu", "non-dropping-particle" : "", "parse-names" : false, "suffix" : "" }, { "dropping-particle" : "", "family" : "Kanagaraj", "given" : "Radhakrishnan", "non-dropping-particle" : "", "parse-names" : false, "suffix" : "" }, { "dropping-particle" : "", "family" : "Mihaljevic", "given" : "Boris", "non-dropping-particle" : "", "parse-names" : false, "suffix" : "" }, { "dropping-particle" : "", "family" : "Schwendener", "given" : "Sybille", "non-dropping-particle" : "", "parse-names" : false, "suffix" : "" }, { "dropping-particle" : "", "family" : "Sartori", "given" : "Alessandro a", "non-dropping-particle" : "", "parse-names" : false, "suffix" : "" }, { "dropping-particle" : "", "family" : "Gerrits", "given" : "Bertran", "non-dropping-particle" : "", "parse-names" : false, "suffix" : "" }, { "dropping-particle" : "", "family" : "Shevelev", "given" : "Igor", "non-dropping-particle" : "", "parse-names" : false, "suffix" : "" }, { "dropping-particle" : "", "family" : "Janscak", "given" : "Pavel", "non-dropping-particle" : "", "parse-names" : false, "suffix" : "" } ], "container-title" : "Nucleic Acids Research", "id" : "ITEM-1", "issue" : "8", "issued" : { "date-parts" : [ [ "2009", "5" ] ] }, "page" : "2645-57", "title" : "MRE11 complex links RECQ5 helicase to sites of DNA damage.", "type" : "article-journal", "volume" : "37" }, "uris" : [ "http://www.mendeley.com/documents/?uuid=1d2d60df-0a93-460f-abb4-64ead233ffa9" ] } ], "mendeley" : { "formattedCitation" : "(Zheng et al. 2009)", "plainTextFormattedCitation" : "(Zheng et al. 2009)", "previouslyFormattedCitation" : "(Zheng et al. 2009)"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(Zheng et al. 2009)</w:t>
      </w:r>
      <w:r w:rsidR="00F20EC0" w:rsidRPr="00DF0680">
        <w:rPr>
          <w:rFonts w:cs="Times New Roman"/>
        </w:rPr>
        <w:fldChar w:fldCharType="end"/>
      </w:r>
      <w:r w:rsidRPr="00DF0680">
        <w:rPr>
          <w:rFonts w:cs="Times New Roman"/>
        </w:rPr>
        <w:t xml:space="preserve">. The work above has shown </w:t>
      </w:r>
      <w:r w:rsidR="009E7E57" w:rsidRPr="00DF0680">
        <w:rPr>
          <w:rFonts w:cs="Times New Roman"/>
        </w:rPr>
        <w:t xml:space="preserve">that endogenous </w:t>
      </w:r>
      <w:r w:rsidRPr="00DF0680">
        <w:rPr>
          <w:rFonts w:cs="Times New Roman"/>
        </w:rPr>
        <w:t>RECQL5β interacts with FLAG-tagged MRE11</w:t>
      </w:r>
      <w:r w:rsidR="009E7E57" w:rsidRPr="00DF0680">
        <w:rPr>
          <w:rFonts w:cs="Times New Roman"/>
        </w:rPr>
        <w:t xml:space="preserve">, using immunoprecipitation with </w:t>
      </w:r>
      <w:r w:rsidR="009E7E57" w:rsidRPr="00DF0680">
        <w:rPr>
          <w:rFonts w:ascii="Calibri" w:hAnsi="Calibri" w:cs="Times New Roman"/>
        </w:rPr>
        <w:t>α</w:t>
      </w:r>
      <w:r w:rsidR="009E7E57" w:rsidRPr="00DF0680">
        <w:rPr>
          <w:rFonts w:cs="Times New Roman"/>
        </w:rPr>
        <w:t>-FLAG beads,</w:t>
      </w:r>
      <w:r w:rsidRPr="00DF0680">
        <w:rPr>
          <w:rFonts w:cs="Times New Roman"/>
        </w:rPr>
        <w:t xml:space="preserve"> but whether the interaction site</w:t>
      </w:r>
      <w:r w:rsidR="009E7E57" w:rsidRPr="00DF0680">
        <w:rPr>
          <w:rFonts w:cs="Times New Roman"/>
        </w:rPr>
        <w:t xml:space="preserve"> lies</w:t>
      </w:r>
      <w:r w:rsidRPr="00DF0680">
        <w:rPr>
          <w:rFonts w:cs="Times New Roman"/>
        </w:rPr>
        <w:t xml:space="preserve"> within the</w:t>
      </w:r>
      <w:r w:rsidR="009E7E57" w:rsidRPr="00DF0680">
        <w:rPr>
          <w:rFonts w:cs="Times New Roman"/>
        </w:rPr>
        <w:t xml:space="preserve"> region encoded by</w:t>
      </w:r>
      <w:r w:rsidRPr="00DF0680">
        <w:rPr>
          <w:rFonts w:cs="Times New Roman"/>
        </w:rPr>
        <w:t xml:space="preserve"> exons 5-7 has yet to be determined. Interestingly, the cell line in which sensitivity to camptothecin was seen upon RECQL5 gene deletion was the colon cancer HCT116 line. This is the same cell line in which the </w:t>
      </w:r>
      <w:r w:rsidR="009E7E57" w:rsidRPr="00DF0680">
        <w:rPr>
          <w:rFonts w:cs="Times New Roman"/>
        </w:rPr>
        <w:t>Δ</w:t>
      </w:r>
      <w:r w:rsidR="009E7E57" w:rsidRPr="00DF0680">
        <w:rPr>
          <w:rFonts w:cs="Times New Roman"/>
          <w:vertAlign w:val="subscript"/>
        </w:rPr>
        <w:t>5-7</w:t>
      </w:r>
      <w:r w:rsidR="009E7E57" w:rsidRPr="00DF0680">
        <w:rPr>
          <w:rFonts w:cs="Times New Roman"/>
        </w:rPr>
        <w:t xml:space="preserve"> </w:t>
      </w:r>
      <w:r w:rsidRPr="00DF0680">
        <w:rPr>
          <w:rFonts w:cs="Times New Roman"/>
        </w:rPr>
        <w:t xml:space="preserve">MRE11 mutant is found </w:t>
      </w:r>
      <w:r w:rsidR="00F20EC0" w:rsidRPr="00DF0680">
        <w:rPr>
          <w:rFonts w:cs="Times New Roman"/>
        </w:rPr>
        <w:fldChar w:fldCharType="begin" w:fldLock="1"/>
      </w:r>
      <w:r w:rsidR="00332613" w:rsidRPr="00DF0680">
        <w:rPr>
          <w:rFonts w:cs="Times New Roman"/>
        </w:rPr>
        <w:instrText>ADDIN CSL_CITATION { "citationItems" : [ { "id" : "ITEM-1", "itemData" : { "DOI" : "10.1091/mbc.E07", "author" : [ { "dropping-particle" : "", "family" : "Wen", "given" : "Qin", "non-dropping-particle" : "", "parse-names" : false, "suffix" : "" }, { "dropping-particle" : "", "family" : "Scorah", "given" : "Jennifer", "non-dropping-particle" : "", "parse-names" : false, "suffix" : "" }, { "dropping-particle" : "", "family" : "Phear", "given" : "Geraldine", "non-dropping-particle" : "", "parse-names" : false, "suffix" : "" } ], "container-title" : "Molecular Biology of the Cell", "id" : "ITEM-1", "issue" : "4", "issued" : { "date-parts" : [ [ "2008" ] ] }, "page" : "1693-1705", "title" : "A Mutant Allele of MRE11 Found in Mismatch Repair-deficient Tumor Cells Suppresses the Cellular Response to DNA Replication Fork Stress in a Dominant Negative Manner", "type" : "article-journal", "volume" : "19" }, "uris" : [ "http://www.mendeley.com/documents/?uuid=b521fb80-cb2c-43c0-bfb7-398f530edd84" ] } ], "mendeley" : { "formattedCitation" : "(Wen et al. 2008)", "plainTextFormattedCitation" : "(Wen et al. 2008)", "previouslyFormattedCitation" : "(Wen et al. 2008)" }, "properties" : { "noteIndex" : 0 }, "schema" : "https://github.com/citation-style-language/schema/raw/master/csl-citation.json" }</w:instrText>
      </w:r>
      <w:r w:rsidR="00F20EC0" w:rsidRPr="00DF0680">
        <w:rPr>
          <w:rFonts w:cs="Times New Roman"/>
        </w:rPr>
        <w:fldChar w:fldCharType="separate"/>
      </w:r>
      <w:r w:rsidRPr="00DF0680">
        <w:rPr>
          <w:rFonts w:cs="Times New Roman"/>
        </w:rPr>
        <w:t>(Wen et al. 2008)</w:t>
      </w:r>
      <w:r w:rsidR="00F20EC0" w:rsidRPr="00DF0680">
        <w:rPr>
          <w:rFonts w:cs="Times New Roman"/>
        </w:rPr>
        <w:fldChar w:fldCharType="end"/>
      </w:r>
      <w:r w:rsidRPr="00DF0680">
        <w:rPr>
          <w:rFonts w:cs="Times New Roman"/>
        </w:rPr>
        <w:t xml:space="preserve">. Although our qRT-PCR and toxicity assay data suggest that RECQL5 and MRE11 function in the same pathway, upon camptothecin treatment, RECQL5 and MRE11 may function in separate pathways and when both are compromised, the cell cannot survive. </w:t>
      </w:r>
    </w:p>
    <w:p w:rsidR="00FE3028" w:rsidRPr="00DF0680" w:rsidRDefault="00FE3028" w:rsidP="00FE3028"/>
    <w:p w:rsidR="000627AA" w:rsidRPr="00DF0680" w:rsidRDefault="000627AA" w:rsidP="00FE3028">
      <w:pPr>
        <w:sectPr w:rsidR="000627AA" w:rsidRPr="00DF0680" w:rsidSect="0051096C">
          <w:headerReference w:type="default" r:id="rId85"/>
          <w:pgSz w:w="11906" w:h="16838"/>
          <w:pgMar w:top="1440" w:right="1134" w:bottom="1440" w:left="2268" w:header="709" w:footer="709" w:gutter="0"/>
          <w:cols w:space="708"/>
          <w:docGrid w:linePitch="360"/>
        </w:sectPr>
      </w:pPr>
    </w:p>
    <w:p w:rsidR="000627AA" w:rsidRPr="00DF0680" w:rsidRDefault="000627AA" w:rsidP="00E664FC">
      <w:pPr>
        <w:pStyle w:val="Heading1"/>
      </w:pPr>
      <w:bookmarkStart w:id="803" w:name="_Toc404769022"/>
      <w:bookmarkStart w:id="804" w:name="_Toc404780720"/>
      <w:bookmarkStart w:id="805" w:name="_Toc406743810"/>
      <w:bookmarkStart w:id="806" w:name="_Toc409182509"/>
      <w:bookmarkStart w:id="807" w:name="_Toc417204223"/>
      <w:bookmarkStart w:id="808" w:name="_Toc417204756"/>
      <w:bookmarkStart w:id="809" w:name="_Toc417204816"/>
      <w:r w:rsidRPr="00DF0680">
        <w:lastRenderedPageBreak/>
        <w:t>– Discussion</w:t>
      </w:r>
      <w:bookmarkEnd w:id="803"/>
      <w:bookmarkEnd w:id="804"/>
      <w:bookmarkEnd w:id="805"/>
      <w:bookmarkEnd w:id="806"/>
      <w:bookmarkEnd w:id="807"/>
      <w:bookmarkEnd w:id="808"/>
      <w:bookmarkEnd w:id="809"/>
      <w:r w:rsidRPr="00DF0680">
        <w:t xml:space="preserve"> </w:t>
      </w:r>
    </w:p>
    <w:sdt>
      <w:sdtPr>
        <w:rPr>
          <w:b w:val="0"/>
          <w:bCs/>
          <w:noProof w:val="0"/>
        </w:rPr>
        <w:id w:val="583881"/>
        <w:docPartObj>
          <w:docPartGallery w:val="Table of Contents"/>
          <w:docPartUnique/>
        </w:docPartObj>
      </w:sdtPr>
      <w:sdtEndPr>
        <w:rPr>
          <w:bCs w:val="0"/>
        </w:rPr>
      </w:sdtEndPr>
      <w:sdtContent>
        <w:p w:rsidR="000627AA" w:rsidRPr="00DF0680" w:rsidRDefault="00F20EC0" w:rsidP="00577EA5">
          <w:pPr>
            <w:pStyle w:val="TOC1"/>
            <w:rPr>
              <w:rFonts w:asciiTheme="minorHAnsi" w:eastAsiaTheme="minorEastAsia" w:hAnsiTheme="minorHAnsi"/>
              <w:noProof w:val="0"/>
              <w:sz w:val="22"/>
            </w:rPr>
          </w:pPr>
          <w:r w:rsidRPr="00DF0680">
            <w:rPr>
              <w:rFonts w:eastAsiaTheme="majorEastAsia"/>
              <w:bCs/>
              <w:noProof w:val="0"/>
              <w:sz w:val="28"/>
              <w:szCs w:val="28"/>
            </w:rPr>
            <w:fldChar w:fldCharType="begin"/>
          </w:r>
          <w:r w:rsidR="000627AA" w:rsidRPr="00DF0680">
            <w:rPr>
              <w:noProof w:val="0"/>
            </w:rPr>
            <w:instrText xml:space="preserve"> TOC \o "1-3" \h \z \u </w:instrText>
          </w:r>
          <w:r w:rsidRPr="00DF0680">
            <w:rPr>
              <w:rFonts w:eastAsiaTheme="majorEastAsia"/>
              <w:bCs/>
              <w:noProof w:val="0"/>
              <w:sz w:val="28"/>
              <w:szCs w:val="28"/>
            </w:rPr>
            <w:fldChar w:fldCharType="separate"/>
          </w:r>
        </w:p>
        <w:p w:rsidR="000627AA" w:rsidRPr="00DF0680" w:rsidRDefault="00F20EC0" w:rsidP="000627AA">
          <w:pPr>
            <w:pStyle w:val="TOC2"/>
            <w:rPr>
              <w:rFonts w:asciiTheme="minorHAnsi" w:eastAsiaTheme="minorEastAsia" w:hAnsiTheme="minorHAnsi"/>
              <w:noProof w:val="0"/>
              <w:sz w:val="22"/>
            </w:rPr>
          </w:pPr>
          <w:hyperlink w:anchor="_Toc409182510" w:history="1">
            <w:r w:rsidR="000627AA" w:rsidRPr="00DF0680">
              <w:rPr>
                <w:rStyle w:val="Hyperlink"/>
                <w:noProof w:val="0"/>
              </w:rPr>
              <w:t>7.1</w:t>
            </w:r>
            <w:r w:rsidR="000627AA" w:rsidRPr="00DF0680">
              <w:rPr>
                <w:rFonts w:asciiTheme="minorHAnsi" w:eastAsiaTheme="minorEastAsia" w:hAnsiTheme="minorHAnsi"/>
                <w:noProof w:val="0"/>
                <w:sz w:val="22"/>
              </w:rPr>
              <w:tab/>
            </w:r>
            <w:r w:rsidR="000627AA" w:rsidRPr="00DF0680">
              <w:rPr>
                <w:rStyle w:val="Hyperlink"/>
                <w:noProof w:val="0"/>
              </w:rPr>
              <w:t>RECQL5 expression in cancer</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_Toc409182510 \h </w:instrText>
            </w:r>
            <w:r w:rsidRPr="00DF0680">
              <w:rPr>
                <w:noProof w:val="0"/>
                <w:webHidden/>
              </w:rPr>
            </w:r>
            <w:r w:rsidRPr="00DF0680">
              <w:rPr>
                <w:noProof w:val="0"/>
                <w:webHidden/>
              </w:rPr>
              <w:fldChar w:fldCharType="separate"/>
            </w:r>
            <w:r w:rsidR="009801AF" w:rsidRPr="00DF0680">
              <w:rPr>
                <w:noProof w:val="0"/>
                <w:webHidden/>
              </w:rPr>
              <w:t>188</w:t>
            </w:r>
            <w:r w:rsidRPr="00DF0680">
              <w:rPr>
                <w:noProof w:val="0"/>
                <w:webHidden/>
              </w:rPr>
              <w:fldChar w:fldCharType="end"/>
            </w:r>
          </w:hyperlink>
        </w:p>
        <w:p w:rsidR="000627AA" w:rsidRPr="00DF0680" w:rsidRDefault="00F20EC0" w:rsidP="000627AA">
          <w:pPr>
            <w:pStyle w:val="TOC2"/>
            <w:rPr>
              <w:rFonts w:asciiTheme="minorHAnsi" w:eastAsiaTheme="minorEastAsia" w:hAnsiTheme="minorHAnsi"/>
              <w:noProof w:val="0"/>
              <w:sz w:val="22"/>
            </w:rPr>
          </w:pPr>
          <w:hyperlink w:anchor="_Toc409182511" w:history="1">
            <w:r w:rsidR="000627AA" w:rsidRPr="00DF0680">
              <w:rPr>
                <w:rStyle w:val="Hyperlink"/>
                <w:noProof w:val="0"/>
              </w:rPr>
              <w:t>7.2</w:t>
            </w:r>
            <w:r w:rsidR="000627AA" w:rsidRPr="00DF0680">
              <w:rPr>
                <w:rFonts w:asciiTheme="minorHAnsi" w:eastAsiaTheme="minorEastAsia" w:hAnsiTheme="minorHAnsi"/>
                <w:noProof w:val="0"/>
                <w:sz w:val="22"/>
              </w:rPr>
              <w:tab/>
            </w:r>
            <w:r w:rsidR="000627AA" w:rsidRPr="00DF0680">
              <w:rPr>
                <w:rStyle w:val="Hyperlink"/>
                <w:noProof w:val="0"/>
              </w:rPr>
              <w:t>RECQL5 as a potential target for cancer therapy</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_Toc409182511 \h </w:instrText>
            </w:r>
            <w:r w:rsidRPr="00DF0680">
              <w:rPr>
                <w:noProof w:val="0"/>
                <w:webHidden/>
              </w:rPr>
            </w:r>
            <w:r w:rsidRPr="00DF0680">
              <w:rPr>
                <w:noProof w:val="0"/>
                <w:webHidden/>
              </w:rPr>
              <w:fldChar w:fldCharType="separate"/>
            </w:r>
            <w:r w:rsidR="009801AF" w:rsidRPr="00DF0680">
              <w:rPr>
                <w:noProof w:val="0"/>
                <w:webHidden/>
              </w:rPr>
              <w:t>189</w:t>
            </w:r>
            <w:r w:rsidRPr="00DF0680">
              <w:rPr>
                <w:noProof w:val="0"/>
                <w:webHidden/>
              </w:rPr>
              <w:fldChar w:fldCharType="end"/>
            </w:r>
          </w:hyperlink>
        </w:p>
        <w:p w:rsidR="000627AA" w:rsidRPr="00DF0680" w:rsidRDefault="00F20EC0" w:rsidP="000627AA">
          <w:pPr>
            <w:pStyle w:val="TOC2"/>
            <w:rPr>
              <w:rFonts w:asciiTheme="minorHAnsi" w:eastAsiaTheme="minorEastAsia" w:hAnsiTheme="minorHAnsi"/>
              <w:noProof w:val="0"/>
              <w:sz w:val="22"/>
            </w:rPr>
          </w:pPr>
          <w:hyperlink w:anchor="_Toc409182512" w:history="1">
            <w:r w:rsidR="000627AA" w:rsidRPr="00DF0680">
              <w:rPr>
                <w:rStyle w:val="Hyperlink"/>
                <w:noProof w:val="0"/>
              </w:rPr>
              <w:t>7.3</w:t>
            </w:r>
            <w:r w:rsidR="000627AA" w:rsidRPr="00DF0680">
              <w:rPr>
                <w:rFonts w:asciiTheme="minorHAnsi" w:eastAsiaTheme="minorEastAsia" w:hAnsiTheme="minorHAnsi"/>
                <w:noProof w:val="0"/>
                <w:sz w:val="22"/>
              </w:rPr>
              <w:tab/>
            </w:r>
            <w:r w:rsidR="000627AA" w:rsidRPr="00DF0680">
              <w:rPr>
                <w:rStyle w:val="Hyperlink"/>
                <w:noProof w:val="0"/>
              </w:rPr>
              <w:t>RECQL5α and RECQL5γ</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_Toc409182512 \h </w:instrText>
            </w:r>
            <w:r w:rsidRPr="00DF0680">
              <w:rPr>
                <w:noProof w:val="0"/>
                <w:webHidden/>
              </w:rPr>
            </w:r>
            <w:r w:rsidRPr="00DF0680">
              <w:rPr>
                <w:noProof w:val="0"/>
                <w:webHidden/>
              </w:rPr>
              <w:fldChar w:fldCharType="separate"/>
            </w:r>
            <w:r w:rsidR="009801AF" w:rsidRPr="00DF0680">
              <w:rPr>
                <w:noProof w:val="0"/>
                <w:webHidden/>
              </w:rPr>
              <w:t>190</w:t>
            </w:r>
            <w:r w:rsidRPr="00DF0680">
              <w:rPr>
                <w:noProof w:val="0"/>
                <w:webHidden/>
              </w:rPr>
              <w:fldChar w:fldCharType="end"/>
            </w:r>
          </w:hyperlink>
        </w:p>
        <w:p w:rsidR="000627AA" w:rsidRPr="00DF0680" w:rsidRDefault="00F20EC0" w:rsidP="000627AA">
          <w:pPr>
            <w:pStyle w:val="TOC2"/>
            <w:rPr>
              <w:rFonts w:asciiTheme="minorHAnsi" w:eastAsiaTheme="minorEastAsia" w:hAnsiTheme="minorHAnsi"/>
              <w:noProof w:val="0"/>
              <w:sz w:val="22"/>
            </w:rPr>
          </w:pPr>
          <w:hyperlink w:anchor="_Toc409182513" w:history="1">
            <w:r w:rsidR="000627AA" w:rsidRPr="00DF0680">
              <w:rPr>
                <w:rStyle w:val="Hyperlink"/>
                <w:noProof w:val="0"/>
              </w:rPr>
              <w:t>7.4</w:t>
            </w:r>
            <w:r w:rsidR="000627AA" w:rsidRPr="00DF0680">
              <w:rPr>
                <w:rFonts w:asciiTheme="minorHAnsi" w:eastAsiaTheme="minorEastAsia" w:hAnsiTheme="minorHAnsi"/>
                <w:noProof w:val="0"/>
                <w:sz w:val="22"/>
              </w:rPr>
              <w:tab/>
            </w:r>
            <w:r w:rsidR="000627AA" w:rsidRPr="00DF0680">
              <w:rPr>
                <w:rStyle w:val="Hyperlink"/>
                <w:noProof w:val="0"/>
              </w:rPr>
              <w:t>RECQL5 and replication stress and DNA damage repair</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_Toc409182513 \h </w:instrText>
            </w:r>
            <w:r w:rsidRPr="00DF0680">
              <w:rPr>
                <w:noProof w:val="0"/>
                <w:webHidden/>
              </w:rPr>
            </w:r>
            <w:r w:rsidRPr="00DF0680">
              <w:rPr>
                <w:noProof w:val="0"/>
                <w:webHidden/>
              </w:rPr>
              <w:fldChar w:fldCharType="separate"/>
            </w:r>
            <w:r w:rsidR="009801AF" w:rsidRPr="00DF0680">
              <w:rPr>
                <w:noProof w:val="0"/>
                <w:webHidden/>
              </w:rPr>
              <w:t>191</w:t>
            </w:r>
            <w:r w:rsidRPr="00DF0680">
              <w:rPr>
                <w:noProof w:val="0"/>
                <w:webHidden/>
              </w:rPr>
              <w:fldChar w:fldCharType="end"/>
            </w:r>
          </w:hyperlink>
        </w:p>
        <w:p w:rsidR="000627AA" w:rsidRPr="00DF0680" w:rsidRDefault="00F20EC0" w:rsidP="000627AA">
          <w:pPr>
            <w:pStyle w:val="TOC2"/>
            <w:rPr>
              <w:rFonts w:asciiTheme="minorHAnsi" w:eastAsiaTheme="minorEastAsia" w:hAnsiTheme="minorHAnsi"/>
              <w:noProof w:val="0"/>
              <w:sz w:val="22"/>
            </w:rPr>
          </w:pPr>
          <w:hyperlink w:anchor="_Toc409182514" w:history="1">
            <w:r w:rsidR="000627AA" w:rsidRPr="00DF0680">
              <w:rPr>
                <w:rStyle w:val="Hyperlink"/>
                <w:noProof w:val="0"/>
              </w:rPr>
              <w:t>7.5</w:t>
            </w:r>
            <w:r w:rsidR="000627AA" w:rsidRPr="00DF0680">
              <w:rPr>
                <w:rFonts w:asciiTheme="minorHAnsi" w:eastAsiaTheme="minorEastAsia" w:hAnsiTheme="minorHAnsi"/>
                <w:noProof w:val="0"/>
                <w:sz w:val="22"/>
              </w:rPr>
              <w:tab/>
            </w:r>
            <w:r w:rsidR="000627AA" w:rsidRPr="00DF0680">
              <w:rPr>
                <w:rStyle w:val="Hyperlink"/>
                <w:noProof w:val="0"/>
              </w:rPr>
              <w:t>RECQL5 in S phase</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_Toc409182514 \h </w:instrText>
            </w:r>
            <w:r w:rsidRPr="00DF0680">
              <w:rPr>
                <w:noProof w:val="0"/>
                <w:webHidden/>
              </w:rPr>
            </w:r>
            <w:r w:rsidRPr="00DF0680">
              <w:rPr>
                <w:noProof w:val="0"/>
                <w:webHidden/>
              </w:rPr>
              <w:fldChar w:fldCharType="separate"/>
            </w:r>
            <w:r w:rsidR="009801AF" w:rsidRPr="00DF0680">
              <w:rPr>
                <w:noProof w:val="0"/>
                <w:webHidden/>
              </w:rPr>
              <w:t>194</w:t>
            </w:r>
            <w:r w:rsidRPr="00DF0680">
              <w:rPr>
                <w:noProof w:val="0"/>
                <w:webHidden/>
              </w:rPr>
              <w:fldChar w:fldCharType="end"/>
            </w:r>
          </w:hyperlink>
        </w:p>
        <w:p w:rsidR="000627AA" w:rsidRPr="00DF0680" w:rsidRDefault="00F20EC0" w:rsidP="000627AA">
          <w:pPr>
            <w:pStyle w:val="TOC2"/>
            <w:rPr>
              <w:rFonts w:asciiTheme="minorHAnsi" w:eastAsiaTheme="minorEastAsia" w:hAnsiTheme="minorHAnsi"/>
              <w:noProof w:val="0"/>
              <w:sz w:val="22"/>
            </w:rPr>
          </w:pPr>
          <w:hyperlink w:anchor="_Toc409182515" w:history="1">
            <w:r w:rsidR="000627AA" w:rsidRPr="00DF0680">
              <w:rPr>
                <w:rStyle w:val="Hyperlink"/>
                <w:noProof w:val="0"/>
              </w:rPr>
              <w:t>7.6</w:t>
            </w:r>
            <w:r w:rsidR="000627AA" w:rsidRPr="00DF0680">
              <w:rPr>
                <w:rFonts w:asciiTheme="minorHAnsi" w:eastAsiaTheme="minorEastAsia" w:hAnsiTheme="minorHAnsi"/>
                <w:noProof w:val="0"/>
                <w:sz w:val="22"/>
              </w:rPr>
              <w:tab/>
            </w:r>
            <w:r w:rsidR="000627AA" w:rsidRPr="00DF0680">
              <w:rPr>
                <w:rStyle w:val="Hyperlink"/>
                <w:noProof w:val="0"/>
              </w:rPr>
              <w:t>RECQL5 at the replication fork</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_Toc409182515 \h </w:instrText>
            </w:r>
            <w:r w:rsidRPr="00DF0680">
              <w:rPr>
                <w:noProof w:val="0"/>
                <w:webHidden/>
              </w:rPr>
            </w:r>
            <w:r w:rsidRPr="00DF0680">
              <w:rPr>
                <w:noProof w:val="0"/>
                <w:webHidden/>
              </w:rPr>
              <w:fldChar w:fldCharType="separate"/>
            </w:r>
            <w:r w:rsidR="009801AF" w:rsidRPr="00DF0680">
              <w:rPr>
                <w:noProof w:val="0"/>
                <w:webHidden/>
              </w:rPr>
              <w:t>194</w:t>
            </w:r>
            <w:r w:rsidRPr="00DF0680">
              <w:rPr>
                <w:noProof w:val="0"/>
                <w:webHidden/>
              </w:rPr>
              <w:fldChar w:fldCharType="end"/>
            </w:r>
          </w:hyperlink>
        </w:p>
        <w:p w:rsidR="000627AA" w:rsidRPr="00DF0680" w:rsidRDefault="00F20EC0" w:rsidP="000627AA">
          <w:pPr>
            <w:pStyle w:val="TOC2"/>
            <w:rPr>
              <w:rFonts w:asciiTheme="minorHAnsi" w:eastAsiaTheme="minorEastAsia" w:hAnsiTheme="minorHAnsi"/>
              <w:noProof w:val="0"/>
              <w:sz w:val="22"/>
            </w:rPr>
          </w:pPr>
          <w:hyperlink w:anchor="_Toc409182516" w:history="1">
            <w:r w:rsidR="000627AA" w:rsidRPr="00DF0680">
              <w:rPr>
                <w:rStyle w:val="Hyperlink"/>
                <w:noProof w:val="0"/>
              </w:rPr>
              <w:t>7.7</w:t>
            </w:r>
            <w:r w:rsidR="000627AA" w:rsidRPr="00DF0680">
              <w:rPr>
                <w:rFonts w:asciiTheme="minorHAnsi" w:eastAsiaTheme="minorEastAsia" w:hAnsiTheme="minorHAnsi"/>
                <w:noProof w:val="0"/>
                <w:sz w:val="22"/>
              </w:rPr>
              <w:tab/>
            </w:r>
            <w:r w:rsidR="000627AA" w:rsidRPr="00DF0680">
              <w:rPr>
                <w:rStyle w:val="Hyperlink"/>
                <w:noProof w:val="0"/>
              </w:rPr>
              <w:t>RECQL5 and transcription</w:t>
            </w:r>
            <w:r w:rsidR="000627AA" w:rsidRPr="00DF0680">
              <w:rPr>
                <w:noProof w:val="0"/>
                <w:webHidden/>
              </w:rPr>
              <w:tab/>
            </w:r>
            <w:r w:rsidRPr="00DF0680">
              <w:rPr>
                <w:noProof w:val="0"/>
                <w:webHidden/>
              </w:rPr>
              <w:fldChar w:fldCharType="begin"/>
            </w:r>
            <w:r w:rsidR="000627AA" w:rsidRPr="00DF0680">
              <w:rPr>
                <w:noProof w:val="0"/>
                <w:webHidden/>
              </w:rPr>
              <w:instrText xml:space="preserve"> PAGEREF _Toc409182516 \h </w:instrText>
            </w:r>
            <w:r w:rsidRPr="00DF0680">
              <w:rPr>
                <w:noProof w:val="0"/>
                <w:webHidden/>
              </w:rPr>
            </w:r>
            <w:r w:rsidRPr="00DF0680">
              <w:rPr>
                <w:noProof w:val="0"/>
                <w:webHidden/>
              </w:rPr>
              <w:fldChar w:fldCharType="separate"/>
            </w:r>
            <w:r w:rsidR="009801AF" w:rsidRPr="00DF0680">
              <w:rPr>
                <w:noProof w:val="0"/>
                <w:webHidden/>
              </w:rPr>
              <w:t>194</w:t>
            </w:r>
            <w:r w:rsidRPr="00DF0680">
              <w:rPr>
                <w:noProof w:val="0"/>
                <w:webHidden/>
              </w:rPr>
              <w:fldChar w:fldCharType="end"/>
            </w:r>
          </w:hyperlink>
        </w:p>
        <w:p w:rsidR="000627AA" w:rsidRPr="00DF0680" w:rsidRDefault="00F20EC0" w:rsidP="000627AA">
          <w:r w:rsidRPr="00DF0680">
            <w:fldChar w:fldCharType="end"/>
          </w:r>
        </w:p>
      </w:sdtContent>
    </w:sdt>
    <w:p w:rsidR="005F61C5" w:rsidRPr="00DF0680" w:rsidRDefault="005F61C5">
      <w:pPr>
        <w:spacing w:line="276" w:lineRule="auto"/>
        <w:jc w:val="left"/>
        <w:rPr>
          <w:szCs w:val="24"/>
        </w:rPr>
      </w:pPr>
      <w:r w:rsidRPr="00DF0680">
        <w:rPr>
          <w:szCs w:val="24"/>
        </w:rPr>
        <w:br w:type="page"/>
      </w:r>
    </w:p>
    <w:p w:rsidR="000627AA" w:rsidRPr="00DF0680" w:rsidRDefault="000627AA" w:rsidP="00E664FC">
      <w:pPr>
        <w:pStyle w:val="Heading2"/>
      </w:pPr>
      <w:bookmarkStart w:id="810" w:name="_Toc409182510"/>
      <w:bookmarkStart w:id="811" w:name="_Toc417204224"/>
      <w:bookmarkStart w:id="812" w:name="_Toc417204757"/>
      <w:bookmarkStart w:id="813" w:name="_Toc417204817"/>
      <w:r w:rsidRPr="00DF0680">
        <w:lastRenderedPageBreak/>
        <w:t>RECQL5 expression in cancer</w:t>
      </w:r>
      <w:bookmarkEnd w:id="810"/>
      <w:bookmarkEnd w:id="811"/>
      <w:bookmarkEnd w:id="812"/>
      <w:bookmarkEnd w:id="813"/>
    </w:p>
    <w:p w:rsidR="000627AA" w:rsidRPr="00DF0680" w:rsidRDefault="000627AA" w:rsidP="000627AA">
      <w:r w:rsidRPr="00DF0680">
        <w:t xml:space="preserve">The work described in this thesis has shown for the first time that RECQL5β </w:t>
      </w:r>
      <w:r w:rsidR="002D5EFB" w:rsidRPr="00DF0680">
        <w:t xml:space="preserve">protein </w:t>
      </w:r>
      <w:r w:rsidRPr="00DF0680">
        <w:t>is over-expressed in bladder cancer. This was shown in both primary bladder tumours and in bladder cancer cell lines. The expression of RECQ helicase</w:t>
      </w:r>
      <w:r w:rsidR="002D5EFB" w:rsidRPr="00DF0680">
        <w:t xml:space="preserve"> proteins</w:t>
      </w:r>
      <w:r w:rsidRPr="00DF0680">
        <w:t xml:space="preserve"> in cancer seems to be specific for both the helicase and the cancer. The work shown here identifies RECQL5 protein to be over-expressed in bladder cancer whereas others have shown RECQL5 to be reduced in colon cancer </w:t>
      </w:r>
      <w:r w:rsidR="00F20EC0" w:rsidRPr="00DF0680">
        <w:fldChar w:fldCharType="begin" w:fldLock="1"/>
      </w:r>
      <w:r w:rsidR="00332613" w:rsidRPr="00DF0680">
        <w:instrText>ADDIN CSL_CITATION { "citationItems" : [ { "id" : "ITEM-1", "itemData" : { "DOI" : "10.1593/tlo.13238", "author" : [ { "dropping-particle" : "", "family" : "Lao", "given" : "VV", "non-dropping-particle" : "", "parse-names" : false, "suffix" : "" } ], "container-title" : "Translational Oncology", "id" : "ITEM-1", "issue" : "4", "issued" : { "date-parts" : [ [ "2013" ] ] }, "page" : "458-469", "title" : "Altered RecQ Helicase Expression in Sporadic Primary Colorectal Cancers", "type" : "article-journal", "volume" : "6" }, "uris" : [ "http://www.mendeley.com/documents/?uuid=b44e8ddf-fde4-4929-870e-9b2e33fe92b7" ] } ], "mendeley" : { "formattedCitation" : "(Lao 2013)", "plainTextFormattedCitation" : "(Lao 2013)", "previouslyFormattedCitation" : "(Lao 2013)" }, "properties" : { "noteIndex" : 0 }, "schema" : "https://github.com/citation-style-language/schema/raw/master/csl-citation.json" }</w:instrText>
      </w:r>
      <w:r w:rsidR="00F20EC0" w:rsidRPr="00DF0680">
        <w:fldChar w:fldCharType="separate"/>
      </w:r>
      <w:r w:rsidRPr="00DF0680">
        <w:t>(Lao 2013)</w:t>
      </w:r>
      <w:r w:rsidR="00F20EC0" w:rsidRPr="00DF0680">
        <w:fldChar w:fldCharType="end"/>
      </w:r>
      <w:r w:rsidRPr="00DF0680">
        <w:t xml:space="preserve">. Association studies have also linked different RECQL5 SNPs to increased or decreased risk of cancers </w:t>
      </w:r>
      <w:r w:rsidR="00F20EC0" w:rsidRPr="00DF0680">
        <w:fldChar w:fldCharType="begin" w:fldLock="1"/>
      </w:r>
      <w:r w:rsidR="00332613" w:rsidRPr="00DF0680">
        <w:instrText>ADDIN CSL_CITATION { "citationItems" : [ { "id" : "ITEM-1", "itemData" : { "DOI" : "10.1007/s13277-013-1351-5", "ISSN" : "1423-0380", "PMID" : "24213927", "abstract" : "RECQL is a DNA helicase involved in DNA mismatch repair. Previous studies indicated that the RECQL gene mutation was associated with human cancers. In the present study, we investigated the association between polymorphisms of RECQL gene and laryngeal cancer in a Chinese population. Four polymorphisms of the RECQL5 gene (rs820186, rs820196, rs820200, and rs4789223) were genotyped by the TaqMan method in 275 patients with larynx cancer and 300 age- and sex-matched non-cancer controls. We found that rs820196 polymorphism of RECQL5 was associated with larynx cancer, the CC genotype (16.4 % vs 9.3 %, P = 0.013) and C allele (42 % vs 34.2 %, P = 0.006) was common in larynx cancer patients than in the control subjects, respectively. Haplotype analysis showed that GCGA (OR = 18.955, 95 % confidence interval (CI) 9.479 ~ 37.905; P &lt; 0.001) and GTTG (OR = 1.684; 95 % CI 1.327 ~ 2.137; P &lt; 0.001) were associated with increased risk for larynx cancer. However, ACGA (OR = 0.605; 95 % CI 0.430 ~ 0.852; P = 0.003), GCGG (OR = 0.636; 95 % CI 0.411 ~ 0.982; P = 0.039), and GTGG (OR = 0.194; 95 % CI 0.104 ~ 0.361; P &lt; 0.001) were associated with decreased risk for larynx cancer. The present study indicated that RECQL5 genetic polymorphism and haplotypes were associated with larynx cancer in a Chinese population.", "author" : [ { "dropping-particle" : "", "family" : "Qi", "given" : "Ying", "non-dropping-particle" : "", "parse-names" : false, "suffix" : "" }, { "dropping-particle" : "", "family" : "Zhou", "given" : "Xu", "non-dropping-particle" : "", "parse-names" : false, "suffix" : "" } ], "container-title" : "Tumour Biology", "id" : "ITEM-1", "issue" : "3", "issued" : { "date-parts" : [ [ "2014", "11", "9" ] ] }, "page" : "2669-73", "title" : "Haplotype analysis of RECQL5 gene and laryngeal cancer.", "type" : "article-journal", "volume" : "35" }, "uris" : [ "http://www.mendeley.com/documents/?uuid=d4ce2835-6c0e-4d38-89d5-5a4beb41d58b" ] }, { "id" : "ITEM-2", "itemData" : { "DOI" : "10.1007/s13277-013-1425-4", "ISSN" : "1423-0380", "PMID" : "24287950", "abstract" : "Despite the knowledge on many genetic variants present in osteosarcoma, the complexity of this disease precludes placing its biology into a simple conceptual framework. RECQL is a DNA helicase involved in DNA mismatch repair and has been reported to be associated with many human cancers. We aimed to investigate the association of RECQL genetic polymorphism with osteosarcoma in a Chinese population. We selected three polymorphisms of the RECQL5 gene (rs820196, rs820200, and rs4789223) in the present study. TaqMan method was utilized for genotyping these three SNPs in 212 patients with osteosarcoma and 240 age- and sex-matched noncancer controls. In our study, we found that CC genotype in rs820196 (17.5 vs 8.3 %, P = 0.005) and AA genotype in rs4789223 (21.7 vs 14.2, P &lt; 0.001) were more frequent in osteosarcoma group compared to the control group, respectively. We also found that the C allele of rs820196 (OR = 1.492, 95 % CI 1.138\u223c1.951; P = 0.004) and A allele of rs4789223 (OR = 1.767, 95 % CI: 1.354 \u223c 2.301; P &lt; 0.001) were common in the osteosarcoma patients than those in the control subjects, respectively. Haplotype analysis showed that TTA (OR = 3.469, 95 % CI 1.798\u223c6.695; P &lt; 0.001) was associated with increased risk for osteosarcoma. However, the TTG (OR = 0.578, 95 % CI 0.442\u223c0.756) was associated with decreased risk for osteosarcoma. Our results suggested that RECQL5 genetic polymorphisms were associated with osteosarcoma in a Chinese population.", "author" : [ { "dropping-particle" : "", "family" : "Zhi", "given" : "Li-Qiang", "non-dropping-particle" : "", "parse-names" : false, "suffix" : "" }, { "dropping-particle" : "", "family" : "Ma", "given" : "Wei", "non-dropping-particle" : "", "parse-names" : false, "suffix" : "" }, { "dropping-particle" : "", "family" : "Zhang", "given" : "Hong", "non-dropping-particle" : "", "parse-names" : false, "suffix" : "" }, { "dropping-particle" : "", "family" : "Zeng", "given" : "Si-Xiang", "non-dropping-particle" : "", "parse-names" : false, "suffix" : "" }, { "dropping-particle" : "", "family" : "Chen", "given" : "Bo", "non-dropping-particle" : "", "parse-names" : false, "suffix" : "" } ], "container-title" : "Tumour Biology", "id" : "ITEM-2", "issue" : "4", "issued" : { "date-parts" : [ [ "2014", "11", "28" ] ] }, "page" : "3255-9", "title" : "Association of RECQL5 gene polymorphisms and osteosarcoma in a Chinese Han population.", "type" : "article-journal", "volume" : "35" }, "uris" : [ "http://www.mendeley.com/documents/?uuid=15677740-4f29-43b0-97e7-24de9216c3ee" ] } ], "mendeley" : { "formattedCitation" : "(Qi &amp; Zhou 2014; Zhi et al. 2014)", "plainTextFormattedCitation" : "(Qi &amp; Zhou 2014; Zhi et al. 2014)", "previouslyFormattedCitation" : "(Qi &amp; Zhou 2014; Zhi et al. 2014)" }, "properties" : { "noteIndex" : 0 }, "schema" : "https://github.com/citation-style-language/schema/raw/master/csl-citation.json" }</w:instrText>
      </w:r>
      <w:r w:rsidR="00F20EC0" w:rsidRPr="00DF0680">
        <w:fldChar w:fldCharType="separate"/>
      </w:r>
      <w:r w:rsidR="00DA6E78" w:rsidRPr="00DF0680">
        <w:t>(Qi &amp; Zhou 2014; Zhi et al. 2014)</w:t>
      </w:r>
      <w:r w:rsidR="00F20EC0" w:rsidRPr="00DF0680">
        <w:fldChar w:fldCharType="end"/>
      </w:r>
      <w:r w:rsidRPr="00DF0680">
        <w:t xml:space="preserve">. Consistent with RECQL5, expression </w:t>
      </w:r>
      <w:r w:rsidR="00A04DEF" w:rsidRPr="00DF0680">
        <w:t xml:space="preserve">of other RECQ helicases </w:t>
      </w:r>
      <w:r w:rsidRPr="00DF0680">
        <w:t>can be higher or lower</w:t>
      </w:r>
      <w:r w:rsidR="00A04DEF" w:rsidRPr="00DF0680">
        <w:t xml:space="preserve"> in cancer</w:t>
      </w:r>
      <w:r w:rsidRPr="00DF0680">
        <w:t xml:space="preserve"> than in normal tissues. It is well established that defects and deficiency of BLM, WRN and RECQL4 can lead to increased susceptibil</w:t>
      </w:r>
      <w:r w:rsidR="00A04DEF" w:rsidRPr="00DF0680">
        <w:t>ity to cancer, however, there are</w:t>
      </w:r>
      <w:r w:rsidRPr="00DF0680">
        <w:t xml:space="preserve"> data suggesting that sporadic cancers can have increased levels of these helicases, with WRN helicase being increased in colorectal cancer cells and RECQL4 showing increased expression in prostate cancer cells </w:t>
      </w:r>
      <w:r w:rsidR="00F20EC0" w:rsidRPr="00DF0680">
        <w:fldChar w:fldCharType="begin" w:fldLock="1"/>
      </w:r>
      <w:r w:rsidR="00332613" w:rsidRPr="00DF0680">
        <w:instrText>ADDIN CSL_CITATION { "citationItems" : [ { "id" : "ITEM-1", "itemData" : { "DOI" : "10.1593/tlo.13238", "author" : [ { "dropping-particle" : "", "family" : "Lao", "given" : "VV", "non-dropping-particle" : "", "parse-names" : false, "suffix" : "" } ], "container-title" : "Translational Oncology", "id" : "ITEM-1", "issue" : "4", "issued" : { "date-parts" : [ [ "2013" ] ] }, "page" : "458-469", "title" : "Altered RecQ Helicase Expression in Sporadic Primary Colorectal Cancers", "type" : "article-journal", "volume" : "6" }, "uris" : [ "http://www.mendeley.com/documents/?uuid=b44e8ddf-fde4-4929-870e-9b2e33fe92b7" ] }, { "id" : "ITEM-2", "itemData" : { "DOI" : "10.1158/0008-5472.CAN-10-1743", "ISSN" : "1538-7445", "PMID" : "21045146", "abstract" : "Prostate cancer is the second leading cause of cancer-associated deaths among men in the western countries. Here, we report that human RecQL4 helicase, which is implicated in the pathogenesis of a subset of cancer-prone Rothmund-Thomson syndrome, is highly elevated in metastatic prostate cancer cell lines. Increased RecQL4 expression was also detected in human prostate tumor tissues as a function of tumor grade with the highest expression level in metastatic tumor samples, suggesting that RecQL4 may be a potential prognostic factor for advanced stage of prostate cancer. Transient and stable suppression of RecQL4 by small interfering RNA and short hairpin RNA vectors drastically reduced the growth and survival of metastatic prostate cancer cells, indicating that RecQL4 is a prosurvival factor for prostate cancer cells. RecQL4 suppression led to increased poly(ADP-ribose) polymerase (PARP) synthesis and RecQL4-suppressed prostate cancer cells underwent an extensive apoptotic death in a PARP-1-dependent manner. Most notably, RecQL4 knockdown in metastatic prostate cancer cells drastically reduced their cell invasiveness in vitro and tumorigenicity in vivo, showing that RecQL4 is essential for prostate cancer promotion. Observation of a direct interaction of retinoblastoma (Rb) and E2F1 proteins with RecQL4 promoter suggests that Rb-E2F1 pathway may regulate RecQL4 expression. Collectively, our study shows that RecQL4 is an essential factor for prostate carcinogenesis.", "author" : [ { "dropping-particle" : "", "family" : "Su", "given" : "Yanrong", "non-dropping-particle" : "", "parse-names" : false, "suffix" : "" }, { "dropping-particle" : "", "family" : "Meador", "given" : "Jarah a", "non-dropping-particle" : "", "parse-names" : false, "suffix" : "" }, { "dropping-particle" : "", "family" : "Calaf", "given" : "Gloria M", "non-dropping-particle" : "", "parse-names" : false, "suffix" : "" }, { "dropping-particle" : "", "family" : "Proietti De-Santis", "given" : "Luca", "non-dropping-particle" : "", "parse-names" : false, "suffix" : "" }, { "dropping-particle" : "", "family" : "Zhao", "given" : "Yongliang", "non-dropping-particle" : "", "parse-names" : false, "suffix" : "" }, { "dropping-particle" : "", "family" : "Bohr", "given" : "Vilhelm a", "non-dropping-particle" : "", "parse-names" : false, "suffix" : "" }, { "dropping-particle" : "", "family" : "Balajee", "given" : "Adayabalam S", "non-dropping-particle" : "", "parse-names" : false, "suffix" : "" } ], "container-title" : "Cancer Research", "id" : "ITEM-2", "issue" : "22", "issued" : { "date-parts" : [ [ "2010", "11", "15" ] ] }, "page" : "9207-17", "title" : "Human RecQL4 helicase plays critical roles in prostate carcinogenesis.", "type" : "article-journal", "volume" : "70" }, "uris" : [ "http://www.mendeley.com/documents/?uuid=b6af4e0e-07e5-4977-a203-6a327b033fff" ] } ], "mendeley" : { "formattedCitation" : "(Lao 2013; Su et al. 2010)", "plainTextFormattedCitation" : "(Lao 2013; Su et al. 2010)", "previouslyFormattedCitation" : "(Lao 2013; Su et al. 2010)" }, "properties" : { "noteIndex" : 0 }, "schema" : "https://github.com/citation-style-language/schema/raw/master/csl-citation.json" }</w:instrText>
      </w:r>
      <w:r w:rsidR="00F20EC0" w:rsidRPr="00DF0680">
        <w:fldChar w:fldCharType="separate"/>
      </w:r>
      <w:r w:rsidRPr="00DF0680">
        <w:t>(Lao 2013; Su et al. 2010)</w:t>
      </w:r>
      <w:r w:rsidR="00F20EC0" w:rsidRPr="00DF0680">
        <w:fldChar w:fldCharType="end"/>
      </w:r>
      <w:r w:rsidRPr="00DF0680">
        <w:t xml:space="preserve">. RECQL1 protein has also been shown to be highly expressed in glioblastoma, colon cancer and tongue squamous cell carcinoma </w:t>
      </w:r>
      <w:r w:rsidR="00F20EC0" w:rsidRPr="00DF0680">
        <w:fldChar w:fldCharType="begin" w:fldLock="1"/>
      </w:r>
      <w:r w:rsidR="00332613" w:rsidRPr="00DF0680">
        <w:instrText>ADDIN CSL_CITATION { "citationItems" : [ { "id" : "ITEM-1", "itemData" : { "DOI" : "10.1159/000358721", "ISSN" : "1421-9778", "PMID" : "24854846", "abstract" : "Background/Aims: RECQL1, a member of the human RECQ helicase family, participates in DNA repair. Recent reports showed that RECQL1 silencing in cancer cells resulted in mitotic catastrophe, which prevented tumor growth in murine models. However, its therapeutic potential has never been examined in tongue squamous cell carcinoma (SCC). Methods: To explore the role of RECQL1 in the development of tongue SCC, we used RNA interference technology to silence RECQL1 in SCC-9 and SCC-15 human tongue SCC cell lines, and to subsequently evaluate its effects both in vitro and in vivo. Results: After RECQL1 was silenced in SCC cells by siRNA, we observed downregulation of RECQL1 mRNA and protein in cancer cells. RECQL1 is one of the predicted miR-203 targets, and we found that miR-203 downregulated the expression of RECQL1 at the post-transcriptional level. RECQL1-shRNA or miR-203 overexpression inhibited SCC-9 cell growth. In addition, there was accumulation of cells in the sub-G1 fraction and increased apoptosis 72 h post-transfection. In addition, knockdown of RECQL1 led to a strong anticancer effect, as the tumorigenicity of SCC-9 cells was inhibited in vivo. Moreover, we found that two immunosuppressive factors were also significantly downregulated upon RECQL1 knockdown or miR-203 overexpression in vitro. Conclusion: Collectively, these results indicate that RECQL1 plays an important regulatory role in cancer cell proliferation and tumor progression. \u00a9 2014 S. Karger AG, Basel.", "author" : [ { "dropping-particle" : "", "family" : "Tao", "given" : "Jiang", "non-dropping-particle" : "", "parse-names" : false, "suffix" : "" }, { "dropping-particle" : "", "family" : "Tao", "given" : "Suxiong", "non-dropping-particle" : "", "parse-names" : false, "suffix" : "" }, { "dropping-particle" : "", "family" : "Han", "given" : "Junli", "non-dropping-particle" : "", "parse-names" : false, "suffix" : "" }, { "dropping-particle" : "", "family" : "Zhou", "given" : "Zhuojun", "non-dropping-particle" : "", "parse-names" : false, "suffix" : "" }, { "dropping-particle" : "", "family" : "Zhang", "given" : "Xiaoping", "non-dropping-particle" : "", "parse-names" : false, "suffix" : "" }, { "dropping-particle" : "", "family" : "Wang", "given" : "Haining", "non-dropping-particle" : "", "parse-names" : false, "suffix" : "" }, { "dropping-particle" : "", "family" : "Chen", "given" : "Rongjing", "non-dropping-particle" : "", "parse-names" : false, "suffix" : "" }, { "dropping-particle" : "", "family" : "Ji", "given" : "Fang", "non-dropping-particle" : "", "parse-names" : false, "suffix" : "" }, { "dropping-particle" : "", "family" : "Zhu", "given" : "Yaqin", "non-dropping-particle" : "", "parse-names" : false, "suffix" : "" } ], "container-title" : "Cellular Physiology and Biochemistry", "id" : "ITEM-1", "issue" : "5", "issued" : { "date-parts" : [ [ "2014", "1" ] ] }, "page" : "1579-90", "title" : "RECQL1 Plays an Important Role in the Development of Tongue Squamous Cell Carcinoma.", "type" : "article-journal", "volume" : "33" }, "uris" : [ "http://www.mendeley.com/documents/?uuid=5042ac45-cfc5-4da4-a24d-7a59ccae3a1d" ] }, { "id" : "ITEM-2", "itemData" : { "DOI" : "10.1186/1476-4598-10-83", "ISSN" : "1476-4598", "PMID" : "21752281", "abstract" : "BACKGROUND: RecQ helicases play an essential role in the maintenance of genome stability. In humans, loss of RecQ helicase function is linked with predisposition to cancer and/or premature ageing. Current data show that the specific depletion of the human RECQ1 helicase leads to mitotic catastrophe in cancer cells and inhibition of tumor growth in mice.\n\nRESULTS: Here, we show that RECQ1 is highly expressed in various types of solid tumors. However, only in the case of brain gliomas, the high expression of RECQ1 in glioblastoma tissues is paralleled by a lower expression in the control samples due to the poor expression of RECQ1 in non-dividing tissues. This conclusion is validated by immunohistochemical analysis of a tissue microarray containing 63 primary glioblastomas and 19 perilesional tissue samples, as control. We also show that acute depletion of RECQ1 by RNAi results in a significant reduction of cellular proliferation, perturbation of S-phase progression, and spontaneous \u03b3-H2AX foci formation in T98G and U-87 glioblastoma cells. Moreover, RECQ1 depleted T98G and U-87 cells are hypersensitive to HU or temozolomide treatment.\n\nCONCLUSIONS: Collectively, these results indicate that RECQ1 has a unique and important role in the maintenance of genome integrity. Our results also suggest that RECQ1 might represent a new suitable target for anti cancer therapies aimed to arrest cell proliferation in brain gliomas.", "author" : [ { "dropping-particle" : "", "family" : "Mendoza-Maldonado", "given" : "Ramiro", "non-dropping-particle" : "", "parse-names" : false, "suffix" : "" }, { "dropping-particle" : "", "family" : "Faoro", "given" : "Valentina", "non-dropping-particle" : "", "parse-names" : false, "suffix" : "" }, { "dropping-particle" : "", "family" : "Bajpai", "given" : "Sailesh", "non-dropping-particle" : "", "parse-names" : false, "suffix" : "" }, { "dropping-particle" : "", "family" : "Berti", "given" : "Matteo", "non-dropping-particle" : "", "parse-names" : false, "suffix" : "" }, { "dropping-particle" : "", "family" : "Odreman", "given" : "Federico", "non-dropping-particle" : "", "parse-names" : false, "suffix" : "" }, { "dropping-particle" : "", "family" : "Vindigni", "given" : "Marco", "non-dropping-particle" : "", "parse-names" : false, "suffix" : "" }, { "dropping-particle" : "", "family" : "Ius", "given" : "Tamara", "non-dropping-particle" : "", "parse-names" : false, "suffix" : "" }, { "dropping-particle" : "", "family" : "Ghasemian", "given" : "Abdollah", "non-dropping-particle" : "", "parse-names" : false, "suffix" : "" }, { "dropping-particle" : "", "family" : "Bonin", "given" : "Serena", "non-dropping-particle" : "", "parse-names" : false, "suffix" : "" }, { "dropping-particle" : "", "family" : "Skrap", "given" : "Miran", "non-dropping-particle" : "", "parse-names" : false, "suffix" : "" }, { "dropping-particle" : "", "family" : "Stanta", "given" : "Giorgio", "non-dropping-particle" : "", "parse-names" : false, "suffix" : "" }, { "dropping-particle" : "", "family" : "Vindigni", "given" : "Alessandro", "non-dropping-particle" : "", "parse-names" : false, "suffix" : "" } ], "container-title" : "Molecular Cancer", "id" : "ITEM-2", "issue" : "1", "issued" : { "date-parts" : [ [ "2011", "1" ] ] }, "page" : "83", "publisher" : "BioMed Central Ltd", "title" : "The human RECQ1 helicase is highly expressed in glioblastoma and plays an important role in tumor cell proliferation.", "type" : "article-journal", "volume" : "10" }, "uris" : [ "http://www.mendeley.com/documents/?uuid=e60b525c-c930-47ea-b109-6ac7e01779bd" ] }, { "id" : "ITEM-3", "itemData" : { "DOI" : "10.1593/tlo.13238", "author" : [ { "dropping-particle" : "", "family" : "Lao", "given" : "VV", "non-dropping-particle" : "", "parse-names" : false, "suffix" : "" } ], "container-title" : "Translational Oncology", "id" : "ITEM-3", "issue" : "4", "issued" : { "date-parts" : [ [ "2013" ] ] }, "page" : "458-469", "title" : "Altered RecQ Helicase Expression in Sporadic Primary Colorectal Cancers", "type" : "article-journal", "volume" : "6" }, "uris" : [ "http://www.mendeley.com/documents/?uuid=b44e8ddf-fde4-4929-870e-9b2e33fe92b7" ] } ], "mendeley" : { "formattedCitation" : "(Tao et al. 2014; Mendoza-Maldonado et al. 2011; Lao 2013)", "plainTextFormattedCitation" : "(Tao et al. 2014; Mendoza-Maldonado et al. 2011; Lao 2013)", "previouslyFormattedCitation" : "(Tao et al. 2014; Mendoza-Maldonado et al. 2011; Lao 2013)" }, "properties" : { "noteIndex" : 0 }, "schema" : "https://github.com/citation-style-language/schema/raw/master/csl-citation.json" }</w:instrText>
      </w:r>
      <w:r w:rsidR="00F20EC0" w:rsidRPr="00DF0680">
        <w:fldChar w:fldCharType="separate"/>
      </w:r>
      <w:r w:rsidRPr="00DF0680">
        <w:t>(Tao et al. 2014; Mendoza-Maldonado et al. 2011; Lao 2013)</w:t>
      </w:r>
      <w:r w:rsidR="00F20EC0" w:rsidRPr="00DF0680">
        <w:fldChar w:fldCharType="end"/>
      </w:r>
      <w:r w:rsidRPr="00DF0680">
        <w:t>. It may be that when cancers are not caused by genetic instability generated through a lack of a RECQ helicase, they require in</w:t>
      </w:r>
      <w:r w:rsidR="002D5EFB" w:rsidRPr="00DF0680">
        <w:t>creased levels of RECQ helicases</w:t>
      </w:r>
      <w:r w:rsidRPr="00DF0680">
        <w:t xml:space="preserve"> to deal with the increase in genomic stress generated through alternative defective repair pathways.</w:t>
      </w:r>
    </w:p>
    <w:p w:rsidR="000627AA" w:rsidRPr="00DF0680" w:rsidRDefault="000627AA" w:rsidP="000627AA">
      <w:r w:rsidRPr="00DF0680">
        <w:t xml:space="preserve">Although the over-expression of RECQL5 has only been identified in </w:t>
      </w:r>
      <w:r w:rsidR="00027BC8" w:rsidRPr="00DF0680">
        <w:t xml:space="preserve">these </w:t>
      </w:r>
      <w:r w:rsidRPr="00DF0680">
        <w:t>bladder cancer</w:t>
      </w:r>
      <w:r w:rsidR="00027BC8" w:rsidRPr="00DF0680">
        <w:t xml:space="preserve"> cells</w:t>
      </w:r>
      <w:r w:rsidRPr="00DF0680">
        <w:t xml:space="preserve">, it is not yet determined whether a high level of RECQL5 protein is a common mechanism in cancers. Although the described protein data show RECQL5 as over-expressed in </w:t>
      </w:r>
      <w:r w:rsidR="00027BC8" w:rsidRPr="00DF0680">
        <w:t xml:space="preserve">bladder </w:t>
      </w:r>
      <w:r w:rsidRPr="00DF0680">
        <w:t xml:space="preserve">cancer, the mRNA data here and other published work, shows that RECQL5 mRNA is in fact decreased </w:t>
      </w:r>
      <w:r w:rsidR="00F20EC0" w:rsidRPr="00DF0680">
        <w:fldChar w:fldCharType="begin" w:fldLock="1"/>
      </w:r>
      <w:r w:rsidR="00332613" w:rsidRPr="00DF0680">
        <w:instrText>ADDIN CSL_CITATION { "citationItems" : [ { "id" : "ITEM-1", "itemData" : { "DOI" : "10.1593/tlo.13238", "author" : [ { "dropping-particle" : "", "family" : "Lao", "given" : "VV", "non-dropping-particle" : "", "parse-names" : false, "suffix" : "" } ], "container-title" : "Translational Oncology", "id" : "ITEM-1", "issue" : "4", "issued" : { "date-parts" : [ [ "2013" ] ] }, "page" : "458-469", "title" : "Altered RecQ Helicase Expression in Sporadic Primary Colorectal Cancers", "type" : "article-journal", "volume" : "6" }, "uris" : [ "http://www.mendeley.com/documents/?uuid=b44e8ddf-fde4-4929-870e-9b2e33fe92b7" ] } ], "mendeley" : { "formattedCitation" : "(Lao 2013)", "plainTextFormattedCitation" : "(Lao 2013)", "previouslyFormattedCitation" : "(Lao 2013)" }, "properties" : { "noteIndex" : 0 }, "schema" : "https://github.com/citation-style-language/schema/raw/master/csl-citation.json" }</w:instrText>
      </w:r>
      <w:r w:rsidR="00F20EC0" w:rsidRPr="00DF0680">
        <w:fldChar w:fldCharType="separate"/>
      </w:r>
      <w:r w:rsidRPr="00DF0680">
        <w:t>(Lao 2013)</w:t>
      </w:r>
      <w:r w:rsidR="00F20EC0" w:rsidRPr="00DF0680">
        <w:fldChar w:fldCharType="end"/>
      </w:r>
      <w:r w:rsidRPr="00DF0680">
        <w:t xml:space="preserve">. Although in </w:t>
      </w:r>
      <w:r w:rsidR="00FC27C7" w:rsidRPr="00DF0680">
        <w:t>the EJ bladder cancer cell line</w:t>
      </w:r>
      <w:r w:rsidRPr="00DF0680">
        <w:t xml:space="preserve">, it was shown that regulation of translation initiation is deregulated, possibly leading to increased protein synthesis, it is unclear whether this occurs in other cancers. As the same paper that showed decreased RECQL5 mRNA in colorectal cancers also showed a decrease in protein, this may indicate </w:t>
      </w:r>
      <w:r w:rsidR="00A04DEF" w:rsidRPr="00DF0680">
        <w:t xml:space="preserve">that </w:t>
      </w:r>
      <w:r w:rsidRPr="00DF0680">
        <w:t>the identified translation deregulation is unique to</w:t>
      </w:r>
      <w:r w:rsidR="00FC27C7" w:rsidRPr="00DF0680">
        <w:t xml:space="preserve"> this bladder cancer cell line</w:t>
      </w:r>
      <w:r w:rsidRPr="00DF0680">
        <w:t xml:space="preserve">. </w:t>
      </w:r>
      <w:r w:rsidR="008D2E44" w:rsidRPr="00DF0680">
        <w:t>U</w:t>
      </w:r>
      <w:r w:rsidR="00027BC8" w:rsidRPr="00DF0680">
        <w:t xml:space="preserve">sing paired samples with both mRNA and protein material would </w:t>
      </w:r>
      <w:r w:rsidR="008D2E44" w:rsidRPr="00DF0680">
        <w:t xml:space="preserve">be </w:t>
      </w:r>
      <w:r w:rsidR="00027BC8" w:rsidRPr="00DF0680">
        <w:t>use</w:t>
      </w:r>
      <w:r w:rsidR="008D2E44" w:rsidRPr="00DF0680">
        <w:t xml:space="preserve">ful to </w:t>
      </w:r>
      <w:r w:rsidR="00FC27C7" w:rsidRPr="00DF0680">
        <w:t>investigat</w:t>
      </w:r>
      <w:r w:rsidR="008D2E44" w:rsidRPr="00DF0680">
        <w:t>e</w:t>
      </w:r>
      <w:r w:rsidR="00FC27C7" w:rsidRPr="00DF0680">
        <w:t xml:space="preserve"> whether this</w:t>
      </w:r>
      <w:r w:rsidR="00027BC8" w:rsidRPr="00DF0680">
        <w:t xml:space="preserve"> phenomenon </w:t>
      </w:r>
      <w:r w:rsidR="00FC27C7" w:rsidRPr="00DF0680">
        <w:t>holds true.</w:t>
      </w:r>
    </w:p>
    <w:p w:rsidR="000627AA" w:rsidRPr="00DF0680" w:rsidRDefault="000627AA" w:rsidP="000627AA">
      <w:r w:rsidRPr="00DF0680">
        <w:lastRenderedPageBreak/>
        <w:t xml:space="preserve">The role of eIF2α in cancer is unclear. Our EJ cells could have increased GADD34 which promotes dephosphorylation of eIF2α </w:t>
      </w:r>
      <w:r w:rsidR="00F20EC0" w:rsidRPr="00DF0680">
        <w:fldChar w:fldCharType="begin" w:fldLock="1"/>
      </w:r>
      <w:r w:rsidR="00332613" w:rsidRPr="00DF0680">
        <w:instrText>ADDIN CSL_CITATION { "citationItems" : [ { "id" : "ITEM-1", "itemData" : { "DOI" : "10.1128/MCB.23.4.1292", "author" : [ { "dropping-particle" : "", "family" : "Brush", "given" : "MH", "non-dropping-particle" : "", "parse-names" : false, "suffix" : "" }, { "dropping-particle" : "", "family" : "Weiser", "given" : "DC", "non-dropping-particle" : "", "parse-names" : false, "suffix" : "" }, { "dropping-particle" : "", "family" : "Shenolikar", "given" : "Shirish", "non-dropping-particle" : "", "parse-names" : false, "suffix" : "" } ], "container-title" : "Molecular and Cellular Biology", "id" : "ITEM-1", "issue" : "4", "issued" : { "date-parts" : [ [ "2003" ] ] }, "page" : "1292-303", "title" : "Growth arrest and DNA damage-inducible protein GADD34 targets protein phosphatase 1 alpha to the endoplasmic reticulum and promotes dephosphorylation of the alpha subunit of eukaryotic translation initiation factor 2", "type" : "article-journal", "volume" : "23" }, "uris" : [ "http://www.mendeley.com/documents/?uuid=036f53ee-4630-4c0a-bcb1-2ccc255e03a9" ] } ], "mendeley" : { "formattedCitation" : "(Brush et al. 2003)", "plainTextFormattedCitation" : "(Brush et al. 2003)", "previouslyFormattedCitation" : "(Brush et al. 2003)" }, "properties" : { "noteIndex" : 0 }, "schema" : "https://github.com/citation-style-language/schema/raw/master/csl-citation.json" }</w:instrText>
      </w:r>
      <w:r w:rsidR="00F20EC0" w:rsidRPr="00DF0680">
        <w:fldChar w:fldCharType="separate"/>
      </w:r>
      <w:r w:rsidRPr="00DF0680">
        <w:t>(Brush et al. 2003)</w:t>
      </w:r>
      <w:r w:rsidR="00F20EC0" w:rsidRPr="00DF0680">
        <w:fldChar w:fldCharType="end"/>
      </w:r>
      <w:r w:rsidRPr="00DF0680">
        <w:t xml:space="preserve">. The defective phosphorylation of eIF2α is also implicated in the transformation of human fibroblasts and this decreased phosphorylation seen may be left over from when the cell was first transformed </w:t>
      </w:r>
      <w:r w:rsidR="00F20EC0" w:rsidRPr="00DF0680">
        <w:fldChar w:fldCharType="begin" w:fldLock="1"/>
      </w:r>
      <w:r w:rsidR="00332613" w:rsidRPr="00DF0680">
        <w:instrText>ADDIN CSL_CITATION { "citationItems" : [ { "id" : "ITEM-1", "itemData" : { "DOI" : "10.1128/MCB.24.5.2025-2040.2004", "ISSN" : "0270-7306", "author" : [ { "dropping-particle" : "", "family" : "Perkins", "given" : "D. J.", "non-dropping-particle" : "", "parse-names" : false, "suffix" : "" }, { "dropping-particle" : "", "family" : "Barber", "given" : "G. N.", "non-dropping-particle" : "", "parse-names" : false, "suffix" : "" } ], "container-title" : "Molecular and Cellular Biology", "id" : "ITEM-1", "issue" : "5", "issued" : { "date-parts" : [ [ "2004", "2", "13" ] ] }, "page" : "2025-2040", "title" : "Defects in Translational Regulation Mediated by the \u00a0 Subunit of Eukaryotic Initiation Factor 2 Inhibit Antiviral Activity and Facilitate the Malignant Transformation of Human Fibroblasts", "type" : "article-journal", "volume" : "24" }, "uris" : [ "http://www.mendeley.com/documents/?uuid=451f7883-5e1d-460c-883f-a41ae744ab09" ] } ], "mendeley" : { "formattedCitation" : "(Perkins &amp; Barber 2004)", "plainTextFormattedCitation" : "(Perkins &amp; Barber 2004)", "previouslyFormattedCitation" : "(Perkins &amp; Barber 2004)" }, "properties" : { "noteIndex" : 0 }, "schema" : "https://github.com/citation-style-language/schema/raw/master/csl-citation.json" }</w:instrText>
      </w:r>
      <w:r w:rsidR="00F20EC0" w:rsidRPr="00DF0680">
        <w:fldChar w:fldCharType="separate"/>
      </w:r>
      <w:r w:rsidRPr="00DF0680">
        <w:t>(Perkins &amp; Barber 2004)</w:t>
      </w:r>
      <w:r w:rsidR="00F20EC0" w:rsidRPr="00DF0680">
        <w:fldChar w:fldCharType="end"/>
      </w:r>
      <w:r w:rsidRPr="00DF0680">
        <w:t xml:space="preserve">. There are a number of mechanisms to alter translation that are deregulated in cancer, but decreased phosphorylation of eIF2α has not yet been shown to be a common cancer phenotype </w:t>
      </w:r>
      <w:r w:rsidR="00F20EC0" w:rsidRPr="00DF0680">
        <w:fldChar w:fldCharType="begin" w:fldLock="1"/>
      </w:r>
      <w:r w:rsidR="00332613" w:rsidRPr="00DF0680">
        <w:instrText>ADDIN CSL_CITATION { "citationItems" : [ { "id" : "ITEM-1", "itemData" : { "DOI" : "10.1038/nrc2824", "ISSN" : "1474-1768", "PMID" : "20332778", "abstract" : "Remarkable progress has been made in defining a new understanding of the role of mRNA translation and protein synthesis in human cancer. Translational control is a crucial component of cancer development and progression, directing both global control of protein synthesis and selective translation of specific mRNAs that promote tumour cell survival, angiogenesis, transformation, invasion and metastasis. Translational control of cancer is multifaceted, involving alterations in translation factor levels and activities unique to different types of cancers, disease stages and the tumour microenvironment. Several clinical efforts are underway to target specific components of the translation apparatus or unique mRNA translation elements for cancer therapeutics.", "author" : [ { "dropping-particle" : "", "family" : "Silvera", "given" : "Deborah", "non-dropping-particle" : "", "parse-names" : false, "suffix" : "" }, { "dropping-particle" : "", "family" : "Formenti", "given" : "Silvia C", "non-dropping-particle" : "", "parse-names" : false, "suffix" : "" }, { "dropping-particle" : "", "family" : "Schneider", "given" : "Robert J", "non-dropping-particle" : "", "parse-names" : false, "suffix" : "" } ], "container-title" : "Nature Reviews. Cancer", "id" : "ITEM-1", "issue" : "4", "issued" : { "date-parts" : [ [ "2010", "5" ] ] }, "page" : "254-66", "publisher" : "Nature Publishing Group", "title" : "Translational control in cancer.", "type" : "article-journal", "volume" : "10" }, "uris" : [ "http://www.mendeley.com/documents/?uuid=7bc17100-ab4a-40c9-875c-fc1461c4b2b0" ] } ], "mendeley" : { "formattedCitation" : "(Silvera et al. 2010)", "plainTextFormattedCitation" : "(Silvera et al. 2010)", "previouslyFormattedCitation" : "(Silvera et al. 2010)" }, "properties" : { "noteIndex" : 0 }, "schema" : "https://github.com/citation-style-language/schema/raw/master/csl-citation.json" }</w:instrText>
      </w:r>
      <w:r w:rsidR="00F20EC0" w:rsidRPr="00DF0680">
        <w:fldChar w:fldCharType="separate"/>
      </w:r>
      <w:r w:rsidRPr="00DF0680">
        <w:t>(Silvera et al. 2010)</w:t>
      </w:r>
      <w:r w:rsidR="00F20EC0" w:rsidRPr="00DF0680">
        <w:fldChar w:fldCharType="end"/>
      </w:r>
      <w:r w:rsidRPr="00DF0680">
        <w:t xml:space="preserve">. </w:t>
      </w:r>
    </w:p>
    <w:p w:rsidR="000627AA" w:rsidRPr="00DF0680" w:rsidRDefault="000627AA" w:rsidP="000627AA">
      <w:r w:rsidRPr="00DF0680">
        <w:t xml:space="preserve">This work did not rule out a specific translation regulation for the RECQL5 transcript. There is previous work showing RECQL1 gene expression is regulated by a miRNA </w:t>
      </w:r>
      <w:r w:rsidR="00F20EC0" w:rsidRPr="00DF0680">
        <w:fldChar w:fldCharType="begin" w:fldLock="1"/>
      </w:r>
      <w:r w:rsidR="00332613" w:rsidRPr="00DF0680">
        <w:instrText>ADDIN CSL_CITATION { "citationItems" : [ { "id" : "ITEM-1", "itemData" : { "DOI" : "10.1159/000358721", "ISSN" : "1421-9778", "PMID" : "24854846", "abstract" : "Background/Aims: RECQL1, a member of the human RECQ helicase family, participates in DNA repair. Recent reports showed that RECQL1 silencing in cancer cells resulted in mitotic catastrophe, which prevented tumor growth in murine models. However, its therapeutic potential has never been examined in tongue squamous cell carcinoma (SCC). Methods: To explore the role of RECQL1 in the development of tongue SCC, we used RNA interference technology to silence RECQL1 in SCC-9 and SCC-15 human tongue SCC cell lines, and to subsequently evaluate its effects both in vitro and in vivo. Results: After RECQL1 was silenced in SCC cells by siRNA, we observed downregulation of RECQL1 mRNA and protein in cancer cells. RECQL1 is one of the predicted miR-203 targets, and we found that miR-203 downregulated the expression of RECQL1 at the post-transcriptional level. RECQL1-shRNA or miR-203 overexpression inhibited SCC-9 cell growth. In addition, there was accumulation of cells in the sub-G1 fraction and increased apoptosis 72 h post-transfection. In addition, knockdown of RECQL1 led to a strong anticancer effect, as the tumorigenicity of SCC-9 cells was inhibited in vivo. Moreover, we found that two immunosuppressive factors were also significantly downregulated upon RECQL1 knockdown or miR-203 overexpression in vitro. Conclusion: Collectively, these results indicate that RECQL1 plays an important regulatory role in cancer cell proliferation and tumor progression. \u00a9 2014 S. Karger AG, Basel.", "author" : [ { "dropping-particle" : "", "family" : "Tao", "given" : "Jiang", "non-dropping-particle" : "", "parse-names" : false, "suffix" : "" }, { "dropping-particle" : "", "family" : "Tao", "given" : "Suxiong", "non-dropping-particle" : "", "parse-names" : false, "suffix" : "" }, { "dropping-particle" : "", "family" : "Han", "given" : "Junli", "non-dropping-particle" : "", "parse-names" : false, "suffix" : "" }, { "dropping-particle" : "", "family" : "Zhou", "given" : "Zhuojun", "non-dropping-particle" : "", "parse-names" : false, "suffix" : "" }, { "dropping-particle" : "", "family" : "Zhang", "given" : "Xiaoping", "non-dropping-particle" : "", "parse-names" : false, "suffix" : "" }, { "dropping-particle" : "", "family" : "Wang", "given" : "Haining", "non-dropping-particle" : "", "parse-names" : false, "suffix" : "" }, { "dropping-particle" : "", "family" : "Chen", "given" : "Rongjing", "non-dropping-particle" : "", "parse-names" : false, "suffix" : "" }, { "dropping-particle" : "", "family" : "Ji", "given" : "Fang", "non-dropping-particle" : "", "parse-names" : false, "suffix" : "" }, { "dropping-particle" : "", "family" : "Zhu", "given" : "Yaqin", "non-dropping-particle" : "", "parse-names" : false, "suffix" : "" } ], "container-title" : "Cellular Physiology and Biochemistry", "id" : "ITEM-1", "issue" : "5", "issued" : { "date-parts" : [ [ "2014", "1" ] ] }, "page" : "1579-90", "title" : "RECQL1 Plays an Important Role in the Development of Tongue Squamous Cell Carcinoma.", "type" : "article-journal", "volume" : "33" }, "uris" : [ "http://www.mendeley.com/documents/?uuid=5042ac45-cfc5-4da4-a24d-7a59ccae3a1d" ] } ], "mendeley" : { "formattedCitation" : "(Tao et al. 2014)", "plainTextFormattedCitation" : "(Tao et al. 2014)", "previouslyFormattedCitation" : "(Tao et al. 2014)" }, "properties" : { "noteIndex" : 0 }, "schema" : "https://github.com/citation-style-language/schema/raw/master/csl-citation.json" }</w:instrText>
      </w:r>
      <w:r w:rsidR="00F20EC0" w:rsidRPr="00DF0680">
        <w:fldChar w:fldCharType="separate"/>
      </w:r>
      <w:r w:rsidRPr="00DF0680">
        <w:t>(Tao et al. 2014)</w:t>
      </w:r>
      <w:r w:rsidR="00F20EC0" w:rsidRPr="00DF0680">
        <w:fldChar w:fldCharType="end"/>
      </w:r>
      <w:r w:rsidRPr="00DF0680">
        <w:t xml:space="preserve">, and although the above work has shown this not to be the case for RECQL5 in bladder cancer cells through the 3’UTR, this cannot be ruled out as a mechanism for regulation in other cells, or for miRNAs targeting other areas of the mRNA. </w:t>
      </w:r>
    </w:p>
    <w:p w:rsidR="000627AA" w:rsidRPr="00DF0680" w:rsidRDefault="000627AA" w:rsidP="00E664FC">
      <w:pPr>
        <w:pStyle w:val="Heading2"/>
      </w:pPr>
      <w:bookmarkStart w:id="814" w:name="_Toc409182511"/>
      <w:bookmarkStart w:id="815" w:name="_Toc417204225"/>
      <w:bookmarkStart w:id="816" w:name="_Toc417204758"/>
      <w:bookmarkStart w:id="817" w:name="_Toc417204818"/>
      <w:r w:rsidRPr="00DF0680">
        <w:t>RECQL5 as a potential target for cancer therapy</w:t>
      </w:r>
      <w:bookmarkEnd w:id="814"/>
      <w:bookmarkEnd w:id="815"/>
      <w:bookmarkEnd w:id="816"/>
      <w:bookmarkEnd w:id="817"/>
    </w:p>
    <w:p w:rsidR="000627AA" w:rsidRPr="00DF0680" w:rsidRDefault="000627AA" w:rsidP="000627AA">
      <w:r w:rsidRPr="00DF0680">
        <w:t xml:space="preserve">Depleting RECQL5 in the over-expressing bladder cancer cell line EJ significantly reduced proliferation, whereas it had no effect in the normal bladder cell line NHU hTERT. The novel finding that the depletion in normal cells did not affect proliferation suggests that the cancer cells have more need of the helicase, possibly due to increased endogenous DNA damage or replication stress. In agreement with this work, RECQL5 has been shown previously to be required for cancer cell proliferation </w:t>
      </w:r>
      <w:r w:rsidR="00F20EC0" w:rsidRPr="00DF0680">
        <w:fldChar w:fldCharType="begin" w:fldLock="1"/>
      </w:r>
      <w:r w:rsidR="00332613" w:rsidRPr="00DF0680">
        <w:instrText>ADDIN CSL_CITATION { "citationItems" : [ { "id" : "ITEM-1", "itemData" : { "DOI" : "10.1093/nar/gkr844", "ISSN" : "1362-4962", "PMID" : "22013166", "abstract" : "DNA decatenation mediated by Topoisomerase II is required to separate the interlinked sister chromatids post-replication. SGS1, a yeast homolog of the human RecQ family of helicases interacts with Topoisomerase II and plays a role in chromosome segregation, but this functional interaction has yet to be identified in higher organisms. Here, we report a physical and functional interaction of Topoisomerase II\u03b1 with RECQL5, one of five mammalian RecQ helicases, during DNA replication. Direct interaction of RECQL5 with Topoisomerase II\u03b1 stimulates the decatenation activity of Topoisomerase II\u03b1. Consistent with these observations, RECQL5 co-localizes with Topoisomerase II\u03b1 during S-phase of the cell cycle. Moreover, cells with stable depletions of RECQL5 display a slow proliferation rate, a G2/M cell cycle arrest and late S-phase cycling defects. Metaphase spreads generated from RECQL5-depleted cells exhibit undercondensed and entangled chromosomes. Further, RECQL5-depleted cells activate a G2/M checkpoint and undergo apoptosis. These phenotypes are similar to those observed when Topoisomerase II catalytic activity is inhibited. These results reveal an important role for RECQL5 in the maintenance of genomic stability and a new insight into the decatenation process.", "author" : [ { "dropping-particle" : "", "family" : "Ramamoorthy", "given" : "Mahesh", "non-dropping-particle" : "", "parse-names" : false, "suffix" : "" }, { "dropping-particle" : "", "family" : "Tadokoro", "given" : "Takashi", "non-dropping-particle" : "", "parse-names" : false, "suffix" : "" }, { "dropping-particle" : "", "family" : "Rybanska", "given" : "Ivana", "non-dropping-particle" : "", "parse-names" : false, "suffix" : "" }, { "dropping-particle" : "", "family" : "Ghosh", "given" : "Avik K", "non-dropping-particle" : "", "parse-names" : false, "suffix" : "" }, { "dropping-particle" : "", "family" : "Wersto", "given" : "Robert", "non-dropping-particle" : "", "parse-names" : false, "suffix" : "" }, { "dropping-particle" : "", "family" : "May", "given" : "Alfred", "non-dropping-particle" : "", "parse-names" : false, "suffix" : "" }, { "dropping-particle" : "", "family" : "Kulikowicz", "given" : "Tomasz", "non-dropping-particle" : "", "parse-names" : false, "suffix" : "" }, { "dropping-particle" : "", "family" : "Sykora", "given" : "Peter", "non-dropping-particle" : "", "parse-names" : false, "suffix" : "" }, { "dropping-particle" : "", "family" : "Croteau", "given" : "Deborah L", "non-dropping-particle" : "", "parse-names" : false, "suffix" : "" }, { "dropping-particle" : "", "family" : "Bohr", "given" : "Vilhelm a", "non-dropping-particle" : "", "parse-names" : false, "suffix" : "" } ], "container-title" : "Nucleic Acids Research", "id" : "ITEM-1", "issue" : "4", "issued" : { "date-parts" : [ [ "2012", "2" ] ] }, "page" : "1621-35", "title" : "RECQL5 cooperates with Topoisomerase II alpha in DNA decatenation and cell cycle progression.", "type" : "article-journal", "volume" : "40" }, "uris" : [ "http://www.mendeley.com/documents/?uuid=a954ba82-7067-44f7-869a-184b84cbec77" ] } ], "mendeley" : { "formattedCitation" : "(Ramamoorthy et al. 2012)", "plainTextFormattedCitation" : "(Ramamoorthy et al. 2012)", "previouslyFormattedCitation" : "(Ramamoorthy et al. 2012)" }, "properties" : { "noteIndex" : 0 }, "schema" : "https://github.com/citation-style-language/schema/raw/master/csl-citation.json" }</w:instrText>
      </w:r>
      <w:r w:rsidR="00F20EC0" w:rsidRPr="00DF0680">
        <w:fldChar w:fldCharType="separate"/>
      </w:r>
      <w:r w:rsidRPr="00DF0680">
        <w:t>(Ramamoorthy et al. 2012)</w:t>
      </w:r>
      <w:r w:rsidR="00F20EC0" w:rsidRPr="00DF0680">
        <w:fldChar w:fldCharType="end"/>
      </w:r>
      <w:r w:rsidRPr="00DF0680">
        <w:t>. This could point to a potential role for RECQL5 as a target for inhibition in cancer treatment. Performing apoptosis assays to determine whether survival is affected as well, may provide more data and could strengthen a case for RECQL5 as a therapeutic target.  The work here, showing RECQL5β depletion causing an increase in sensitivity to camptothecin, may indicate a potential effect for an inhibitor to increase sensitivity to chemotherapies.</w:t>
      </w:r>
    </w:p>
    <w:p w:rsidR="000627AA" w:rsidRPr="00DF0680" w:rsidRDefault="000627AA" w:rsidP="000627AA">
      <w:r w:rsidRPr="00DF0680">
        <w:t xml:space="preserve">This then leads to the question of whether RECQL5 could be targeted for therapy. Whether RECQL5 is a druggable target is yet to be determined but specific inhibitors for WRN and BLM helicases have been identified. The BLM inhibitor ML216, binds in a non-competitive manner and inhibits DNA binding </w:t>
      </w:r>
      <w:r w:rsidR="00F20EC0" w:rsidRPr="00DF0680">
        <w:fldChar w:fldCharType="begin" w:fldLock="1"/>
      </w:r>
      <w:r w:rsidR="00332613" w:rsidRPr="00DF0680">
        <w:instrText>ADDIN CSL_CITATION { "citationItems" : [ { "id" : "ITEM-1", "itemData" : { "DOI" : "10.1016/j.bmcl.2013.08.025", "ISSN" : "1464-3405", "PMID" : "24012121", "abstract" : "Human cells utilize a variety of complex DNA repair mechanisms in order to combat constant mutagenic and cytotoxic threats from both exogenous and endogenous sources. The RecQ family of DNA helicases, which includes Bloom helicase (BLM), plays an important function in DNA repair by unwinding complementary strands of duplex DNA as well as atypical DNA structures such as Holliday junctions. Mutations of the BLM gene can result in Bloom syndrome, an autosomal recessive disorder associated with cancer predisposition. BLM-deficient cells exhibit increased sensitivity to DNA damaging agents indicating that a selective BLM inhibitor could be useful in potentiating the anticancer activity of these agents. In this work, we describe the medicinal chemistry optimization of the hit molecule following a quantitative high-throughput screen of &gt;355,000 compounds. These efforts lead to the identification of ML216 and related analogs, which possess potent BLM inhibition and exhibit selectivity over related helicases. Moreover, these compounds demonstrated cellular activity by inducing sister chromatid exchanges, a hallmark of Bloom syndrome.", "author" : [ { "dropping-particle" : "", "family" : "Rosenthal", "given" : "Andrew S", "non-dropping-particle" : "", "parse-names" : false, "suffix" : "" }, { "dropping-particle" : "", "family" : "Dexheimer", "given" : "Thomas S", "non-dropping-particle" : "", "parse-names" : false, "suffix" : "" }, { "dropping-particle" : "", "family" : "Gileadi", "given" : "Opher", "non-dropping-particle" : "", "parse-names" : false, "suffix" : "" }, { "dropping-particle" : "", "family" : "Nguyen", "given" : "Giang H", "non-dropping-particle" : "", "parse-names" : false, "suffix" : "" }, { "dropping-particle" : "", "family" : "Chu", "given" : "Wai Kit", "non-dropping-particle" : "", "parse-names" : false, "suffix" : "" }, { "dropping-particle" : "", "family" : "Hickson", "given" : "Ian D", "non-dropping-particle" : "", "parse-names" : false, "suffix" : "" }, { "dropping-particle" : "", "family" : "Jadhav", "given" : "Ajit", "non-dropping-particle" : "", "parse-names" : false, "suffix" : "" }, { "dropping-particle" : "", "family" : "Simeonov", "given" : "Anton", "non-dropping-particle" : "", "parse-names" : false, "suffix" : "" }, { "dropping-particle" : "", "family" : "Maloney", "given" : "David J", "non-dropping-particle" : "", "parse-names" : false, "suffix" : "" } ], "container-title" : "Bioorganic &amp; Medicinal Chemistry Letters", "id" : "ITEM-1", "issue" : "20", "issued" : { "date-parts" : [ [ "2013", "10", "15" ] ] }, "page" : "5660-6", "publisher" : "Elsevier Ltd", "title" : "Synthesis and SAR studies of 5-(pyridin-4-yl)-1,3,4-thiadiazol-2-amine derivatives as potent inhibitors of Bloom helicase.", "type" : "article-journal", "volume" : "23" }, "uris" : [ "http://www.mendeley.com/documents/?uuid=49991617-0b2d-4a54-9fce-bc1546bd5036" ] } ], "mendeley" : { "formattedCitation" : "(Rosenthal et al. 2013)", "plainTextFormattedCitation" : "(Rosenthal et al. 2013)", "previouslyFormattedCitation" : "(Rosenthal et al. 2013)" }, "properties" : { "noteIndex" : 0 }, "schema" : "https://github.com/citation-style-language/schema/raw/master/csl-citation.json" }</w:instrText>
      </w:r>
      <w:r w:rsidR="00F20EC0" w:rsidRPr="00DF0680">
        <w:fldChar w:fldCharType="separate"/>
      </w:r>
      <w:r w:rsidRPr="00DF0680">
        <w:t>(Rosenthal et al. 2013)</w:t>
      </w:r>
      <w:r w:rsidR="00F20EC0" w:rsidRPr="00DF0680">
        <w:fldChar w:fldCharType="end"/>
      </w:r>
      <w:r w:rsidRPr="00DF0680">
        <w:t>. It also causes sensitisation to aphidicolin, induces sister chromatid exchanges and has anti</w:t>
      </w:r>
      <w:r w:rsidR="00336FBD">
        <w:t>-</w:t>
      </w:r>
      <w:r w:rsidRPr="00DF0680">
        <w:t xml:space="preserve">proliferative effects </w:t>
      </w:r>
      <w:r w:rsidR="00F20EC0" w:rsidRPr="00DF0680">
        <w:fldChar w:fldCharType="begin" w:fldLock="1"/>
      </w:r>
      <w:r w:rsidR="00332613" w:rsidRPr="00DF0680">
        <w:instrText>ADDIN CSL_CITATION { "citationItems" : [ { "id" : "ITEM-1", "itemData" : { "DOI" : "10.1016/j.chembiol.2012.10.016", "ISSN" : "1879-1301", "PMID" : "23352139", "abstract" : "The Bloom's syndrome protein, BLM, is a member of the conserved RecQ helicase family. Although cell lines lacking BLM exist, these exhibit progressive genomic instability that makes distinguishing primary from secondary effects of BLM loss problematic. In order to be able to acutely disable BLM function in cells, we undertook a high throughput screen of a chemical compound library for small molecule inhibitors of BLM. We present ML216, a potent inhibitor of the DNA unwinding activity of BLM. ML216 shows cell-based activity and can induce sister chromatid exchanges, enhance the toxicity of aphidicolin, and exert antiproliferative activity in cells expressing BLM, but not those lacking BLM. These data indicate that ML216 shows strong selectivity for BLM in cultured cells. We discuss the potential utility of such a BLM-targeting compound as an anticancer agent.", "author" : [ { "dropping-particle" : "", "family" : "Nguyen", "given" : "Giang Huong", "non-dropping-particle" : "", "parse-names" : false, "suffix" : "" }, { "dropping-particle" : "", "family" : "Dexheimer", "given" : "Thomas S", "non-dropping-particle" : "", "parse-names" : false, "suffix" : "" }, { "dropping-particle" : "", "family" : "Rosenthal", "given" : "Andrew S", "non-dropping-particle" : "", "parse-names" : false, "suffix" : "" }, { "dropping-particle" : "", "family" : "Chu", "given" : "Wai Kit", "non-dropping-particle" : "", "parse-names" : false, "suffix" : "" }, { "dropping-particle" : "", "family" : "Singh", "given" : "Dharmendra Kumar", "non-dropping-particle" : "", "parse-names" : false, "suffix" : "" }, { "dropping-particle" : "", "family" : "Mosedale", "given" : "Georgina", "non-dropping-particle" : "", "parse-names" : false, "suffix" : "" }, { "dropping-particle" : "", "family" : "Bachrati", "given" : "Csan\u00e1d Z", "non-dropping-particle" : "", "parse-names" : false, "suffix" : "" }, { "dropping-particle" : "", "family" : "Schultz", "given" : "Lena", "non-dropping-particle" : "", "parse-names" : false, "suffix" : "" }, { "dropping-particle" : "", "family" : "Sakurai", "given" : "Masaaki", "non-dropping-particle" : "", "parse-names" : false, "suffix" : "" }, { "dropping-particle" : "", "family" : "Savitsky", "given" : "Pavel", "non-dropping-particle" : "", "parse-names" : false, "suffix" : "" }, { "dropping-particle" : "", "family" : "Abu", "given" : "Mika", "non-dropping-particle" : "", "parse-names" : false, "suffix" : "" }, { "dropping-particle" : "", "family" : "McHugh", "given" : "Peter J", "non-dropping-particle" : "", "parse-names" : false, "suffix" : "" }, { "dropping-particle" : "", "family" : "Bohr", "given" : "Vilhelm a", "non-dropping-particle" : "", "parse-names" : false, "suffix" : "" }, { "dropping-particle" : "", "family" : "Harris", "given" : "Curtis C", "non-dropping-particle" : "", "parse-names" : false, "suffix" : "" }, { "dropping-particle" : "", "family" : "Jadhav", "given" : "Ajit", "non-dropping-particle" : "", "parse-names" : false, "suffix" : "" }, { "dropping-particle" : "", "family" : "Gileadi", "given" : "Opher", "non-dropping-particle" : "", "parse-names" : false, "suffix" : "" }, { "dropping-particle" : "", "family" : "Maloney", "given" : "David J", "non-dropping-particle" : "", "parse-names" : false, "suffix" : "" }, { "dropping-particle" : "", "family" : "Simeonov", "given" : "Anton", "non-dropping-particle" : "", "parse-names" : false, "suffix" : "" }, { "dropping-particle" : "", "family" : "Hickson", "given" : "Ian D", "non-dropping-particle" : "", "parse-names" : false, "suffix" : "" } ], "container-title" : "Chemistry &amp; Biology", "id" : "ITEM-1", "issue" : "1", "issued" : { "date-parts" : [ [ "2013", "1", "24" ] ] }, "page" : "55-62", "title" : "A small molecule inhibitor of the BLM helicase modulates chromosome stability in human cells.", "type" : "article-journal", "volume" : "20" }, "uris" : [ "http://www.mendeley.com/documents/?uuid=de2e16bb-6653-4556-9337-2c81caca4441" ] } ], "mendeley" : { "formattedCitation" : "(Nguyen et al. 2013)", "plainTextFormattedCitation" : "(Nguyen et al. 2013)", "previouslyFormattedCitation" : "(Nguyen et al. 2013)" }, "properties" : { "noteIndex" : 0 }, "schema" : "https://github.com/citation-style-language/schema/raw/master/csl-citation.json" }</w:instrText>
      </w:r>
      <w:r w:rsidR="00F20EC0" w:rsidRPr="00DF0680">
        <w:fldChar w:fldCharType="separate"/>
      </w:r>
      <w:r w:rsidRPr="00DF0680">
        <w:t>(Nguyen et al. 2013)</w:t>
      </w:r>
      <w:r w:rsidR="00F20EC0" w:rsidRPr="00DF0680">
        <w:fldChar w:fldCharType="end"/>
      </w:r>
      <w:r w:rsidRPr="00DF0680">
        <w:t xml:space="preserve">. NSC 19630, a specific WRN inhibitor, also </w:t>
      </w:r>
      <w:r w:rsidRPr="00DF0680">
        <w:lastRenderedPageBreak/>
        <w:t xml:space="preserve">inhibits DNA binding, causes increased DNA damage, apoptosis and increases sensitivity to PARP inhibitors </w:t>
      </w:r>
      <w:r w:rsidR="00F20EC0" w:rsidRPr="00DF0680">
        <w:fldChar w:fldCharType="begin" w:fldLock="1"/>
      </w:r>
      <w:r w:rsidR="00DA6E78" w:rsidRPr="00DF0680">
        <w:instrText>ADDIN CSL_CITATION { "citationItems" : [ { "id" : "ITEM-1", "itemData" : { "DOI" : "10.1073/pnas.1006423108", "ISSN" : "1091-6490", "PMID" : "21220316", "abstract" : "Modulation of DNA repair proteins by small molecules has attracted great interest. An in vitro helicase activity screen was used to identify molecules that modulate DNA unwinding by Werner syndrome helicase (WRN), mutated in the premature aging disorder Werner syndrome. A small molecule from the National Cancer Institute Diversity Set designated NSC 19630 [1-(propoxymethyl)-maleimide] was identified that inhibited WRN helicase activity but did not affect other DNA helicases [Bloom syndrome (BLM), Fanconi anemia group J (FANCJ), RECQ1, RecQ, UvrD, or DnaB). Exposure of human cells to NSC 19630 dramatically impaired growth and proliferation, induced apoptosis in a WRN-dependent manner, and resulted in elevated \u03b3-H2AX and proliferating cell nuclear antigen (PCNA) foci. NSC 19630 exposure led to delayed S-phase progression, consistent with the accumulation of stalled replication forks, and to DNA damage in a WRN-dependent manner. Exposure to NSC 19630 sensitized cancer cells to the G-quadruplex-binding compound telomestatin or a poly(ADP ribose) polymerase (PARP) inhibitor. Sublethal dosage of NSC 19630 and the chemotherapy drug topotecan acted synergistically to inhibit cell proliferation and induce DNA damage. The use of this WRN helicase inhibitor molecule may provide insight into the importance of WRN-mediated pathway(s) important for DNA repair and the replicational stress response.", "author" : [ { "dropping-particle" : "", "family" : "Aggarwal", "given" : "Monika", "non-dropping-particle" : "", "parse-names" : false, "suffix" : "" }, { "dropping-particle" : "", "family" : "Sommers", "given" : "Joshua a", "non-dropping-particle" : "", "parse-names" : false, "suffix" : "" }, { "dropping-particle" : "", "family" : "Shoemaker", "given" : "Robert H", "non-dropping-particle" : "", "parse-names" : false, "suffix" : "" }, { "dropping-particle" : "", "family" : "Brosh", "given" : "Robert M", "non-dropping-particle" : "", "parse-names" : false, "suffix" : "" } ], "container-title" : "Proceedings of the National Academy of Sciences", "id" : "ITEM-1", "issue" : "4", "issued" : { "date-parts" : [ [ "2011", "1", "25" ] ] }, "page" : "1525-30", "title" : "Inhibition of helicase activity by a small molecule impairs Werner syndrome helicase (WRN) function in the cellular response to DNA damage or replication stress.", "type" : "article-journal", "volume" : "108" }, "uris" : [ "http://www.mendeley.com/documents/?uuid=6918ac75-017d-4f1a-ae2c-8d4bcbd7be61" ] } ], "mendeley" : { "formattedCitation" : "(Aggarwal et al. 2011)", "plainTextFormattedCitation" : "(Aggarwal et al. 2011)", "previouslyFormattedCitation" : "(Aggarwal et al. 2011)" }, "properties" : { "noteIndex" : 0 }, "schema" : "https://github.com/citation-style-language/schema/raw/master/csl-citation.json" }</w:instrText>
      </w:r>
      <w:r w:rsidR="00F20EC0" w:rsidRPr="00DF0680">
        <w:fldChar w:fldCharType="separate"/>
      </w:r>
      <w:r w:rsidRPr="00DF0680">
        <w:t>(Aggarwal et al. 2011)</w:t>
      </w:r>
      <w:r w:rsidR="00F20EC0" w:rsidRPr="00DF0680">
        <w:fldChar w:fldCharType="end"/>
      </w:r>
      <w:r w:rsidRPr="00DF0680">
        <w:t xml:space="preserve">. A RECQL5 inhibitor could target the C-terminus which is completely unique to the RECQ helicase family but more work on </w:t>
      </w:r>
      <w:r w:rsidR="00A95108" w:rsidRPr="00DF0680">
        <w:t>the functions of RECQL5’s domains</w:t>
      </w:r>
      <w:r w:rsidRPr="00DF0680">
        <w:t xml:space="preserve"> will be required to identify a site that could be disrupted for therapeutic benefit. As RECQL5 null cells have increased frequency of sister chromatid exchanges (SCEs) </w:t>
      </w:r>
      <w:r w:rsidR="00F20EC0" w:rsidRPr="00DF0680">
        <w:fldChar w:fldCharType="begin" w:fldLock="1"/>
      </w:r>
      <w:r w:rsidR="00332613" w:rsidRPr="00DF0680">
        <w:instrText>ADDIN CSL_CITATION { "citationItems" : [ { "id" : "ITEM-1", "itemData" : { "DOI" : "10.1128/MCB.25.9.3431", "author" : [ { "dropping-particle" : "", "family" : "Hu", "given" : "Yiduo", "non-dropping-particle" : "", "parse-names" : false, "suffix" : "" }, { "dropping-particle" : "", "family" : "Lu", "given" : "Xincheng", "non-dropping-particle" : "", "parse-names" : false, "suffix" : "" }, { "dropping-particle" : "", "family" : "Barnes", "given" : "Ellen", "non-dropping-particle" : "", "parse-names" : false, "suffix" : "" }, { "dropping-particle" : "", "family" : "Yan", "given" : "Min", "non-dropping-particle" : "", "parse-names" : false, "suffix" : "" } ], "container-title" : "Molecular and Cellular Biology", "id" : "ITEM-1", "issue" : "9", "issued" : { "date-parts" : [ [ "2005" ] ] }, "page" : "3431-42", "title" : "Recql5 and Blm RecQ DNA helicases have nonredundant roles in suppressing crossovers", "type" : "article-journal", "volume" : "25" }, "uris" : [ "http://www.mendeley.com/documents/?uuid=8789f443-2e71-463f-a585-a2e2e66e441d" ] } ], "mendeley" : { "formattedCitation" : "(Hu et al. 2005)", "plainTextFormattedCitation" : "(Hu et al. 2005)", "previouslyFormattedCitation" : "(Hu et al. 2005)" }, "properties" : { "noteIndex" : 0 }, "schema" : "https://github.com/citation-style-language/schema/raw/master/csl-citation.json" }</w:instrText>
      </w:r>
      <w:r w:rsidR="00F20EC0" w:rsidRPr="00DF0680">
        <w:fldChar w:fldCharType="separate"/>
      </w:r>
      <w:r w:rsidRPr="00DF0680">
        <w:t>(Hu et al. 2005)</w:t>
      </w:r>
      <w:r w:rsidR="00F20EC0" w:rsidRPr="00DF0680">
        <w:fldChar w:fldCharType="end"/>
      </w:r>
      <w:r w:rsidRPr="00DF0680">
        <w:t xml:space="preserve">, it can be hypothesised that  one effect of a RECQL5 inhibitor would be an increased frequency of SCEs. Although this may increase genomic instability of cells, this may not provide cancer specific cell death. The proliferation data </w:t>
      </w:r>
      <w:r w:rsidR="00A95108" w:rsidRPr="00DF0680">
        <w:t>(</w:t>
      </w:r>
      <w:r w:rsidR="00F20EC0" w:rsidRPr="00DF0680">
        <w:fldChar w:fldCharType="begin"/>
      </w:r>
      <w:r w:rsidR="00A95108" w:rsidRPr="00DF0680">
        <w:instrText xml:space="preserve"> REF _Ref419549928 \h </w:instrText>
      </w:r>
      <w:r w:rsidR="00F20EC0" w:rsidRPr="00DF0680">
        <w:fldChar w:fldCharType="separate"/>
      </w:r>
      <w:r w:rsidR="009801AF" w:rsidRPr="00DF0680">
        <w:t>Figure 5.7</w:t>
      </w:r>
      <w:r w:rsidR="00F20EC0" w:rsidRPr="00DF0680">
        <w:fldChar w:fldCharType="end"/>
      </w:r>
      <w:r w:rsidR="00A95108" w:rsidRPr="00DF0680">
        <w:t xml:space="preserve">) </w:t>
      </w:r>
      <w:r w:rsidRPr="00DF0680">
        <w:t xml:space="preserve">suggest that proliferation may be affected by RECQL5 inhibition as well. This could be followed up by an apoptosis assay to determine if RECQL5 depletion causes apoptosis in cancer cells, like RECQL1 </w:t>
      </w:r>
      <w:r w:rsidR="00F20EC0" w:rsidRPr="00DF0680">
        <w:fldChar w:fldCharType="begin" w:fldLock="1"/>
      </w:r>
      <w:r w:rsidR="00332613" w:rsidRPr="00DF0680">
        <w:instrText>ADDIN CSL_CITATION { "citationItems" : [ { "id" : "ITEM-1", "itemData" : { "DOI" : "10.1159/000358721", "ISSN" : "1421-9778", "PMID" : "24854846", "abstract" : "Background/Aims: RECQL1, a member of the human RECQ helicase family, participates in DNA repair. Recent reports showed that RECQL1 silencing in cancer cells resulted in mitotic catastrophe, which prevented tumor growth in murine models. However, its therapeutic potential has never been examined in tongue squamous cell carcinoma (SCC). Methods: To explore the role of RECQL1 in the development of tongue SCC, we used RNA interference technology to silence RECQL1 in SCC-9 and SCC-15 human tongue SCC cell lines, and to subsequently evaluate its effects both in vitro and in vivo. Results: After RECQL1 was silenced in SCC cells by siRNA, we observed downregulation of RECQL1 mRNA and protein in cancer cells. RECQL1 is one of the predicted miR-203 targets, and we found that miR-203 downregulated the expression of RECQL1 at the post-transcriptional level. RECQL1-shRNA or miR-203 overexpression inhibited SCC-9 cell growth. In addition, there was accumulation of cells in the sub-G1 fraction and increased apoptosis 72 h post-transfection. In addition, knockdown of RECQL1 led to a strong anticancer effect, as the tumorigenicity of SCC-9 cells was inhibited in vivo. Moreover, we found that two immunosuppressive factors were also significantly downregulated upon RECQL1 knockdown or miR-203 overexpression in vitro. Conclusion: Collectively, these results indicate that RECQL1 plays an important regulatory role in cancer cell proliferation and tumor progression. \u00a9 2014 S. Karger AG, Basel.", "author" : [ { "dropping-particle" : "", "family" : "Tao", "given" : "Jiang", "non-dropping-particle" : "", "parse-names" : false, "suffix" : "" }, { "dropping-particle" : "", "family" : "Tao", "given" : "Suxiong", "non-dropping-particle" : "", "parse-names" : false, "suffix" : "" }, { "dropping-particle" : "", "family" : "Han", "given" : "Junli", "non-dropping-particle" : "", "parse-names" : false, "suffix" : "" }, { "dropping-particle" : "", "family" : "Zhou", "given" : "Zhuojun", "non-dropping-particle" : "", "parse-names" : false, "suffix" : "" }, { "dropping-particle" : "", "family" : "Zhang", "given" : "Xiaoping", "non-dropping-particle" : "", "parse-names" : false, "suffix" : "" }, { "dropping-particle" : "", "family" : "Wang", "given" : "Haining", "non-dropping-particle" : "", "parse-names" : false, "suffix" : "" }, { "dropping-particle" : "", "family" : "Chen", "given" : "Rongjing", "non-dropping-particle" : "", "parse-names" : false, "suffix" : "" }, { "dropping-particle" : "", "family" : "Ji", "given" : "Fang", "non-dropping-particle" : "", "parse-names" : false, "suffix" : "" }, { "dropping-particle" : "", "family" : "Zhu", "given" : "Yaqin", "non-dropping-particle" : "", "parse-names" : false, "suffix" : "" } ], "container-title" : "Cellular Physiology and Biochemistry", "id" : "ITEM-1", "issue" : "5", "issued" : { "date-parts" : [ [ "2014", "1" ] ] }, "page" : "1579-90", "title" : "RECQL1 Plays an Important Role in the Development of Tongue Squamous Cell Carcinoma.", "type" : "article-journal", "volume" : "33" }, "uris" : [ "http://www.mendeley.com/documents/?uuid=5042ac45-cfc5-4da4-a24d-7a59ccae3a1d" ] } ], "mendeley" : { "formattedCitation" : "(Tao et al. 2014)", "plainTextFormattedCitation" : "(Tao et al. 2014)", "previouslyFormattedCitation" : "(Tao et al. 2014)" }, "properties" : { "noteIndex" : 0 }, "schema" : "https://github.com/citation-style-language/schema/raw/master/csl-citation.json" }</w:instrText>
      </w:r>
      <w:r w:rsidR="00F20EC0" w:rsidRPr="00DF0680">
        <w:fldChar w:fldCharType="separate"/>
      </w:r>
      <w:r w:rsidRPr="00DF0680">
        <w:t>(Tao et al. 2014)</w:t>
      </w:r>
      <w:r w:rsidR="00F20EC0" w:rsidRPr="00DF0680">
        <w:fldChar w:fldCharType="end"/>
      </w:r>
      <w:r w:rsidRPr="00DF0680">
        <w:t>. Other groups’ work</w:t>
      </w:r>
      <w:r w:rsidR="00A95108" w:rsidRPr="00DF0680">
        <w:t xml:space="preserve"> using RECQL5 depletion</w:t>
      </w:r>
      <w:r w:rsidRPr="00DF0680">
        <w:t xml:space="preserve"> indicate that an inhibitor of RECQL5 could sensitise cells to trioxalen and hydrogen peroxide </w:t>
      </w:r>
      <w:r w:rsidR="00F20EC0" w:rsidRPr="00DF0680">
        <w:fldChar w:fldCharType="begin" w:fldLock="1"/>
      </w:r>
      <w:r w:rsidR="00332613" w:rsidRPr="00DF0680">
        <w:instrText>ADDIN CSL_CITATION { "citationItems" : [ { "id" : "ITEM-1", "itemData" : { "DOI" : "10.1091/mbc.E12-02-0110", "ISSN" : "1939-4586", "PMID" : "22973052", "abstract" : "Human RECQL5 is a member of the RecQ helicase family, which maintains genome stability via participation in many DNA metabolic processes, including DNA repair. Human cells lacking RECQL5 display chromosomal instability. We find that cells depleted of RECQL5 are sensitive to oxidative stress, accumulate endogenous DNA damage, and increase the cellular poly(ADP-ribosyl)ate response. In contrast to the RECQ helicase family members WRN, BLM, and RECQL4, RECQL5 accumulates at laser-induced single-strand breaks in normal human cells. RECQL5 depletion affects the levels of PARP-1 and XRCC1, and our collective results suggest that RECQL5 modulates and/or directly participates in base excision repair of endogenous DNA damage, thereby promoting chromosome stability in normal human cells.", "author" : [ { "dropping-particle" : "", "family" : "Tadokoro", "given" : "Takashi", "non-dropping-particle" : "", "parse-names" : false, "suffix" : "" }, { "dropping-particle" : "", "family" : "Ramamoorthy", "given" : "Mahesh", "non-dropping-particle" : "", "parse-names" : false, "suffix" : "" }, { "dropping-particle" : "", "family" : "Popuri", "given" : "Venkateswarlu", "non-dropping-particle" : "", "parse-names" : false, "suffix" : "" }, { "dropping-particle" : "", "family" : "May", "given" : "Alfred", "non-dropping-particle" : "", "parse-names" : false, "suffix" : "" }, { "dropping-particle" : "", "family" : "Tian", "given" : "Jingyan", "non-dropping-particle" : "", "parse-names" : false, "suffix" : "" }, { "dropping-particle" : "", "family" : "Sykora", "given" : "Peter", "non-dropping-particle" : "", "parse-names" : false, "suffix" : "" }, { "dropping-particle" : "", "family" : "Rybanska", "given" : "Ivana", "non-dropping-particle" : "", "parse-names" : false, "suffix" : "" }, { "dropping-particle" : "", "family" : "Wilson", "given" : "David M", "non-dropping-particle" : "", "parse-names" : false, "suffix" : "" }, { "dropping-particle" : "", "family" : "Croteau", "given" : "Deborah L", "non-dropping-particle" : "", "parse-names" : false, "suffix" : "" }, { "dropping-particle" : "", "family" : "Bohr", "given" : "Vilhelm a", "non-dropping-particle" : "", "parse-names" : false, "suffix" : "" } ], "container-title" : "Molecular Biology of the Cell", "id" : "ITEM-1", "issue" : "21", "issued" : { "date-parts" : [ [ "2012", "11" ] ] }, "page" : "4273-85", "title" : "Human RECQL5 participates in the removal of endogenous DNA damage.", "type" : "article-journal", "volume" : "23" }, "uris" : [ "http://www.mendeley.com/documents/?uuid=709cad32-1f72-47d8-b9d4-df1d02a4cd55" ] }, { "id" : "ITEM-2", "itemData" : { "author" : [ { "dropping-particle" : "", "family" : "Ramamoorthy", "given" : "M", "non-dropping-particle" : "", "parse-names" : false, "suffix" : "" }, { "dropping-particle" : "", "family" : "May", "given" : "A", "non-dropping-particle" : "", "parse-names" : false, "suffix" : "" }, { "dropping-particle" : "", "family" : "Tadokoro", "given" : "T", "non-dropping-particle" : "", "parse-names" : false, "suffix" : "" } ], "container-title" : "Carcinogenesis", "id" : "ITEM-2", "issue" : "10", "issued" : { "date-parts" : [ [ "2013" ] ] }, "page" : "2218-30", "title" : "The RecQ helicase RECQL5 participates in psoralen induced interstrand cross-link repair", "type" : "article-journal", "volume" : "34" }, "uris" : [ "http://www.mendeley.com/documents/?uuid=2dfa4b55-333a-49c7-80f3-68d770f619a6" ] } ], "mendeley" : { "formattedCitation" : "(Tadokoro et al. 2012; Ramamoorthy et al. 2013)", "plainTextFormattedCitation" : "(Tadokoro et al. 2012; Ramamoorthy et al. 2013)", "previouslyFormattedCitation" : "(Tadokoro et al. 2012; Ramamoorthy et al. 2013)" }, "properties" : { "noteIndex" : 0 }, "schema" : "https://github.com/citation-style-language/schema/raw/master/csl-citation.json" }</w:instrText>
      </w:r>
      <w:r w:rsidR="00F20EC0" w:rsidRPr="00DF0680">
        <w:fldChar w:fldCharType="separate"/>
      </w:r>
      <w:r w:rsidRPr="00DF0680">
        <w:t>(Tadokoro et al. 2012; Ramamoorthy et al. 2013)</w:t>
      </w:r>
      <w:r w:rsidR="00F20EC0" w:rsidRPr="00DF0680">
        <w:fldChar w:fldCharType="end"/>
      </w:r>
      <w:r w:rsidR="00A95108" w:rsidRPr="00DF0680">
        <w:t>. If the helicase-</w:t>
      </w:r>
      <w:r w:rsidRPr="00DF0680">
        <w:t>dead RECQL5 is an accurate model of how the inhibitor would work, then it may in</w:t>
      </w:r>
      <w:r w:rsidR="00A95108" w:rsidRPr="00DF0680">
        <w:t>crease sensitivity to thymidine-</w:t>
      </w:r>
      <w:r w:rsidRPr="00DF0680">
        <w:t xml:space="preserve">induced replication stresses </w:t>
      </w:r>
      <w:r w:rsidR="00F20EC0" w:rsidRPr="00DF0680">
        <w:fldChar w:fldCharType="begin" w:fldLock="1"/>
      </w:r>
      <w:r w:rsidR="0033261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fldChar w:fldCharType="separate"/>
      </w:r>
      <w:r w:rsidRPr="00DF0680">
        <w:t>(Blundred et al. 2010)</w:t>
      </w:r>
      <w:r w:rsidR="00F20EC0" w:rsidRPr="00DF0680">
        <w:fldChar w:fldCharType="end"/>
      </w:r>
      <w:r w:rsidRPr="00DF0680">
        <w:t xml:space="preserve"> but whether it would increase sensitivity to replication stress in general is yet to be determined.</w:t>
      </w:r>
    </w:p>
    <w:p w:rsidR="000627AA" w:rsidRPr="00DF0680" w:rsidRDefault="000627AA" w:rsidP="00E664FC">
      <w:pPr>
        <w:pStyle w:val="Heading2"/>
      </w:pPr>
      <w:bookmarkStart w:id="818" w:name="_Toc409182512"/>
      <w:bookmarkStart w:id="819" w:name="_Toc417204226"/>
      <w:bookmarkStart w:id="820" w:name="_Toc417204759"/>
      <w:bookmarkStart w:id="821" w:name="_Toc417204819"/>
      <w:r w:rsidRPr="00DF0680">
        <w:t>RECQL5α and RECQL5γ</w:t>
      </w:r>
      <w:bookmarkEnd w:id="818"/>
      <w:bookmarkEnd w:id="819"/>
      <w:bookmarkEnd w:id="820"/>
      <w:bookmarkEnd w:id="821"/>
      <w:r w:rsidRPr="00DF0680">
        <w:t xml:space="preserve"> </w:t>
      </w:r>
    </w:p>
    <w:p w:rsidR="000627AA" w:rsidRPr="00DF0680" w:rsidRDefault="000627AA" w:rsidP="000627AA">
      <w:r w:rsidRPr="00DF0680">
        <w:t xml:space="preserve">Probing for all three isoforms of RECQL5 showed an increase in RECQL5 mRNA expression in cancers that recurred compared to those that did not. Probing for RECQL5β alone did not show this relationship (Figure 3.1). This suggests a role for RECQL5 α and γ in promoting cancer recurrence. Due to their sub-cellular location, and lack of interacting motifs for RAD51, PCNA and </w:t>
      </w:r>
      <w:r w:rsidR="00577EA5" w:rsidRPr="00DF0680">
        <w:t>RNA Pol II</w:t>
      </w:r>
      <w:r w:rsidRPr="00DF0680">
        <w:t xml:space="preserve">, it seems unlikely that they have a role in genome stability but as they still have the helicase domain and zinc binding motif, it cannot be ruled out </w:t>
      </w:r>
      <w:r w:rsidR="00F20EC0" w:rsidRPr="00DF0680">
        <w:fldChar w:fldCharType="begin" w:fldLock="1"/>
      </w:r>
      <w:r w:rsidR="00332613" w:rsidRPr="00DF0680">
        <w:instrText>ADDIN CSL_CITATION { "citationItems" : [ { "id" : "ITEM-1", "itemData" : { "ISSN" : "1362-4962", "PMID" : "10710432", "abstract" : "The RecQ helicase superfamily has been implicated in DNA repair and recombination. At least five human RecQ-related genes exist: RecQ1, BLM, WRN, RecQ4 and RecQ5. Mutations in BLM, WRN and RecQ4 are associated with Bloom, Werner and Rothmund-Thomson syndromes, respectively, involving a predisposition to malignancies and a cellular phenotype that includes increased chromosome instability. RecQ5 is small, containing only a core part of the RecQ helicase, but three isomer transcripts code for small RecQ5alpha (corresponding to the original RecQ5 with 410 amino acids), new large RecQ5beta (991 amino acids) and small RecQ5gamma (435 amino acids) proteins that contain the core helicase motifs. By determining the genomic structure, we found that the three isoforms are generated by differential splicing from the RecQ5 gene that contains at least 19 exons. Northern blot analysis using a RecQ5beta-specific probe indicates that RecQ5beta mRNA is expressed strongly in the testis. Immunocytochemical staining of three N-terminally tagged RecQ5 isomers expressed in 293EBNA cells showed that RecQ5beta migrates to the nucleus and exists exclusively in the nucleoplasm, while the small RecQ5alpha and RecQ5gamma proteins stay in the cytoplasm. Immunoprecipitation and an extended cytochemical experiment suggested that the nucleoplasmic RecQ5beta, like yeast Sgs1 DNA helicase, binds to topoisomerases 3alpha and 3beta, but not to topoisomerase 1. These results predict that RecQ5beta may have an important role in DNA metabolism and may also be related to a distinct genetic disease.", "author" : [ { "dropping-particle" : "", "family" : "Shimamoto", "given" : "a", "non-dropping-particle" : "", "parse-names" : false, "suffix" : "" }, { "dropping-particle" : "", "family" : "Nishikawa", "given" : "K", "non-dropping-particle" : "", "parse-names" : false, "suffix" : "" }, { "dropping-particle" : "", "family" : "Kitao", "given" : "S", "non-dropping-particle" : "", "parse-names" : false, "suffix" : "" }, { "dropping-particle" : "", "family" : "Furuichi", "given" : "Y", "non-dropping-particle" : "", "parse-names" : false, "suffix" : "" } ], "container-title" : "Nucleic Acids Research", "id" : "ITEM-1", "issue" : "7", "issued" : { "date-parts" : [ [ "2000", "4", "1" ] ] }, "page" : "1647-55", "title" : "Human RecQ5beta, a large isomer of RecQ5 DNA helicase, localizes in the nucleoplasm and interacts with topoisomerases 3alpha and 3beta.", "type" : "article-journal", "volume" : "28" }, "uris" : [ "http://www.mendeley.com/documents/?uuid=408234f2-1554-45e7-a4d8-f46d3df3f0cb" ] } ], "mendeley" : { "formattedCitation" : "(Shimamoto et al. 2000)", "plainTextFormattedCitation" : "(Shimamoto et al. 2000)", "previouslyFormattedCitation" : "(Shimamoto et al. 2000)" }, "properties" : { "noteIndex" : 0 }, "schema" : "https://github.com/citation-style-language/schema/raw/master/csl-citation.json" }</w:instrText>
      </w:r>
      <w:r w:rsidR="00F20EC0" w:rsidRPr="00DF0680">
        <w:fldChar w:fldCharType="separate"/>
      </w:r>
      <w:r w:rsidRPr="00DF0680">
        <w:t>(Shimamoto et al. 2000)</w:t>
      </w:r>
      <w:r w:rsidR="00F20EC0" w:rsidRPr="00DF0680">
        <w:fldChar w:fldCharType="end"/>
      </w:r>
      <w:r w:rsidRPr="00DF0680">
        <w:t>. It is possible that they are localised in the mitochondria</w:t>
      </w:r>
      <w:r w:rsidR="00A95108" w:rsidRPr="00DF0680">
        <w:t>,</w:t>
      </w:r>
      <w:r w:rsidRPr="00DF0680">
        <w:t xml:space="preserve"> </w:t>
      </w:r>
      <w:r w:rsidR="00A95108" w:rsidRPr="00DF0680">
        <w:t xml:space="preserve">like RECQL4, </w:t>
      </w:r>
      <w:r w:rsidRPr="00DF0680">
        <w:t xml:space="preserve">where they could promote cell survival after cancer treatment, allowing cancer cells to survive and re-grow, causing tumour recurrence.  </w:t>
      </w:r>
    </w:p>
    <w:p w:rsidR="000627AA" w:rsidRPr="00DF0680" w:rsidRDefault="000627AA" w:rsidP="000627AA">
      <w:r w:rsidRPr="00DF0680">
        <w:t xml:space="preserve">There was no difference in any of the experiments between cells that were transfected with the siRNAs that targeted all three RECQL5 isoforms or cells that were transfected with siRNAs that targeted just the RECQL5β isoform. There is some indication that the RECQL5β siRNAs more effectively deplete cells of RECQL5β and this may be why </w:t>
      </w:r>
      <w:r w:rsidRPr="00DF0680">
        <w:lastRenderedPageBreak/>
        <w:t xml:space="preserve">there is a larger and more significant difference in the reduced proliferation effect we see in the bladder cancer cell line compared to immortalised normals (Figure 5.7). This work has not examined if there is an effect of the alpha and gamma isoforms of RECQL5 on replication stress or proliferation. The RECQL5 siRNA may deplete cells of these two isoforms as well as RECQL5β but this has not been determined. Due to the over-lapping of the isoform sequences, it is difficult to design </w:t>
      </w:r>
      <w:r w:rsidR="00A95108" w:rsidRPr="00DF0680">
        <w:t xml:space="preserve">isoform specific </w:t>
      </w:r>
      <w:r w:rsidRPr="00DF0680">
        <w:t xml:space="preserve">probes for qRT-PCR and antibodies for Western blotting and thus is difficult to investigate. </w:t>
      </w:r>
    </w:p>
    <w:p w:rsidR="000627AA" w:rsidRPr="00DF0680" w:rsidRDefault="000627AA" w:rsidP="000627AA">
      <w:r w:rsidRPr="00DF0680">
        <w:t xml:space="preserve">If an inhibitor was designed that targets the helicase domain of RECQL5, it would inhibit all 3 isoforms. This may provide a benefit in reducing tumour recurrence if α and γ isoforms of RECQL5 do have a function in promoting bladder cancer recurrence (Figure 3.1). </w:t>
      </w:r>
    </w:p>
    <w:p w:rsidR="000627AA" w:rsidRPr="00DF0680" w:rsidRDefault="000627AA" w:rsidP="00E664FC">
      <w:pPr>
        <w:pStyle w:val="Heading2"/>
      </w:pPr>
      <w:bookmarkStart w:id="822" w:name="_Toc409182513"/>
      <w:bookmarkStart w:id="823" w:name="_Toc417204227"/>
      <w:bookmarkStart w:id="824" w:name="_Toc417204760"/>
      <w:bookmarkStart w:id="825" w:name="_Toc417204820"/>
      <w:r w:rsidRPr="00DF0680">
        <w:t>RECQL5 and replication stress and DNA damage repair</w:t>
      </w:r>
      <w:bookmarkEnd w:id="822"/>
      <w:bookmarkEnd w:id="823"/>
      <w:bookmarkEnd w:id="824"/>
      <w:bookmarkEnd w:id="825"/>
    </w:p>
    <w:p w:rsidR="000627AA" w:rsidRPr="00DF0680" w:rsidRDefault="000627AA" w:rsidP="000627AA">
      <w:r w:rsidRPr="00DF0680">
        <w:t xml:space="preserve">When RECQL5 is completely removed from mouse embryonic fibroblasts and HCT116 cells, they are more sensitive to CPT and show increased DNA damage </w:t>
      </w:r>
      <w:r w:rsidR="00F20EC0" w:rsidRPr="00DF0680">
        <w:fldChar w:fldCharType="begin" w:fldLock="1"/>
      </w:r>
      <w:r w:rsidR="00332613" w:rsidRPr="00DF0680">
        <w:instrText>ADDIN CSL_CITATION { "citationItems" : [ { "id" : "ITEM-1", "itemData" : { "DOI" : "10.1091/mbc.E08-06-0565", "ISSN" : "1939-4586", "PMID" : "18987339", "abstract" : "Disruption of replication can lead to loss of genome integrity and increase of cancer susceptibility in mammals. Thus, a replication impediment constitutes a formidable challenge to these organisms. Recent studies indicate that homologous recombination (HR) plays an important role in suppressing genome instability and promoting cell survival after exposure to various replication inhibitors, including a topoisomerase I inhibitor, camptothecin (CPT). Here, we report that the deletion of RecQ helicase Recql5 in mouse ES cells and embryonic fibroblast (MEF) cells resulted in a significant increase in CPT sensitivity and a profound reduction in DNA replication after the treatment with CPT, but not other DNA-damaging agents. This CPT-induced cell death is replication dependent and occurs primarily after the cells had exited the first cell cycle after CPT treatment. Furthermore, we show that Recql5 functions nonredundantly with Rad51, a key factor for HR to protect mouse ES cells from CPT-induced cytotoxicity. These new findings strongly suggest that Recql5 plays an important role in maintaining active DNA replication to prevent the collapse of replication forks and the accumulation of DSBs in order to preserve genome integrity and to prevent cell death after replication stress as a result of topoisomerase I poisoning.", "author" : [ { "dropping-particle" : "", "family" : "Hu", "given" : "Yiduo", "non-dropping-particle" : "", "parse-names" : false, "suffix" : "" }, { "dropping-particle" : "", "family" : "Lu", "given" : "Xincheng", "non-dropping-particle" : "", "parse-names" : false, "suffix" : "" }, { "dropping-particle" : "", "family" : "Zhou", "given" : "Guangjin", "non-dropping-particle" : "", "parse-names" : false, "suffix" : "" }, { "dropping-particle" : "", "family" : "Barnes", "given" : "Ellen L", "non-dropping-particle" : "", "parse-names" : false, "suffix" : "" }, { "dropping-particle" : "", "family" : "Luo", "given" : "Guangbin", "non-dropping-particle" : "", "parse-names" : false, "suffix" : "" } ], "container-title" : "Molecular Biology of the Cell", "id" : "ITEM-1", "issue" : "1", "issued" : { "date-parts" : [ [ "2009", "1" ] ] }, "page" : "114-23", "title" : "Recql5 plays an important role in DNA replication and cell survival after camptothecin treatment.", "type" : "article-journal", "volume" : "20" }, "uris" : [ "http://www.mendeley.com/documents/?uuid=acf9f23d-1453-499d-9549-0b89779a80a3" ] }, { "id" : "ITEM-2", "itemData" : { "DOI" : "10.1042/BSR20100108", "ISSN" : "1573-4935", "PMID" : "21210765", "abstract" : "Camptothecins (CPTs) are an important class of effective anticancer agents that target type I topoisomerase in humans. Irinotecan and topotecan are currently used to treat various types of cancers and many CPT derivatives are being developed. However, these drugs are only effective in a small percentage of each type of cancers and the molecular underpinning for this individualized response to the drug has remained elusive. Thus, identification of the main determinants for cell survival in response to this unique class of drug should help to improve their clinical applications. In this study, we examined whether RECQL5 constituted an important determinant of CPT resistance in colon cancer cells. Specifically, RECQL5 deficient derivatives of both DDL1 and HCT116 cells, two colorectal cancer cell lines were generated by adenovirus-based somatic gene targeting experiments and the CPT sensitivity between the RECQL5 proficient parental lines and their corresponding RECQL5 deficient derivatives were examined. We found that deletion of RECQL5 from DDL1 and HCT116 both resulted in a significant enhancement in CPT sensitivity under in vitro cultured condition. More importantly, xenograft tumors derived from RECQL5 deficient HCT116 cells but not those from the parental line could be cured by a CPT-based therapy in nude mice. Thus, this study has identified RECQL5 as a major determinant for CPT resistance in colorectal cancer cells and a potential candidate as a biomarker for irinotecan-based treatment for colon cancer.", "author" : [ { "dropping-particle" : "", "family" : "Wang", "given" : "Xiaoqi", "non-dropping-particle" : "", "parse-names" : false, "suffix" : "" }, { "dropping-particle" : "", "family" : "Lu", "given" : "Xincheng", "non-dropping-particle" : "", "parse-names" : false, "suffix" : "" }, { "dropping-particle" : "", "family" : "Zhou", "given" : "Guangjin", "non-dropping-particle" : "", "parse-names" : false, "suffix" : "" }, { "dropping-particle" : "", "family" : "Lou", "given" : "Hua", "non-dropping-particle" : "", "parse-names" : false, "suffix" : "" }, { "dropping-particle" : "", "family" : "Luo", "given" : "Guangbin", "non-dropping-particle" : "", "parse-names" : false, "suffix" : "" } ], "container-title" : "Bioscience Reports", "id" : "ITEM-2", "issue" : "5", "issued" : { "date-parts" : [ [ "2011", "1", "6" ] ] }, "page" : "363-369", "title" : "RECQL5 is an important determinant for camptothecin tolerance in human colorectal cancer cells.", "type" : "article-journal", "volume" : "31" }, "uris" : [ "http://www.mendeley.com/documents/?uuid=d813dd37-89ef-43b6-8abd-e56e7edf5180" ] } ], "mendeley" : { "formattedCitation" : "(Hu et al. 2009; Wang et al. 2011)", "plainTextFormattedCitation" : "(Hu et al. 2009; Wang et al. 2011)", "previouslyFormattedCitation" : "(Hu et al. 2009; Wang et al. 2011)" }, "properties" : { "noteIndex" : 0 }, "schema" : "https://github.com/citation-style-language/schema/raw/master/csl-citation.json" }</w:instrText>
      </w:r>
      <w:r w:rsidR="00F20EC0" w:rsidRPr="00DF0680">
        <w:fldChar w:fldCharType="separate"/>
      </w:r>
      <w:r w:rsidRPr="00DF0680">
        <w:t>(Hu et al. 2009; Wang et al. 2011)</w:t>
      </w:r>
      <w:r w:rsidR="00F20EC0" w:rsidRPr="00DF0680">
        <w:fldChar w:fldCharType="end"/>
      </w:r>
      <w:r w:rsidRPr="00DF0680">
        <w:t xml:space="preserve">. Our data in </w:t>
      </w:r>
      <w:r w:rsidR="00471D18" w:rsidRPr="00DF0680">
        <w:t>MRC5V2</w:t>
      </w:r>
      <w:r w:rsidRPr="00DF0680">
        <w:t xml:space="preserve"> cells conflict with this although the cancer cell line EJ was more sensitive to camptothecin when depleted of RECQL5β using siRNA (Figure 4.6). Previous work has shown that over-expressing RECQL5β provides resistance to thymidine induced replication stress </w:t>
      </w:r>
      <w:r w:rsidR="00F20EC0" w:rsidRPr="00DF0680">
        <w:fldChar w:fldCharType="begin" w:fldLock="1"/>
      </w:r>
      <w:r w:rsidR="0033261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fldChar w:fldCharType="separate"/>
      </w:r>
      <w:r w:rsidRPr="00DF0680">
        <w:t>(Blundred et al. 2010)</w:t>
      </w:r>
      <w:r w:rsidR="00F20EC0" w:rsidRPr="00DF0680">
        <w:fldChar w:fldCharType="end"/>
      </w:r>
      <w:r w:rsidRPr="00DF0680">
        <w:t>. However, no s</w:t>
      </w:r>
      <w:r w:rsidR="00E8385A" w:rsidRPr="00DF0680">
        <w:t>tudies with thymidine in RECQL5-</w:t>
      </w:r>
      <w:r w:rsidRPr="00DF0680">
        <w:t>depleted cells have been done before. Here, no change in sensitivity to dT was seen in RECQL5</w:t>
      </w:r>
      <w:r w:rsidR="00E8385A" w:rsidRPr="00DF0680">
        <w:t>-</w:t>
      </w:r>
      <w:r w:rsidRPr="00DF0680">
        <w:t xml:space="preserve">depleted </w:t>
      </w:r>
      <w:r w:rsidR="00471D18" w:rsidRPr="00DF0680">
        <w:t>MRC5V2</w:t>
      </w:r>
      <w:r w:rsidRPr="00DF0680">
        <w:t xml:space="preserve"> cells. Neither was there a change in DNA damage detected by </w:t>
      </w:r>
      <w:r w:rsidR="00E8385A" w:rsidRPr="00DF0680">
        <w:t xml:space="preserve">staining for </w:t>
      </w:r>
      <w:r w:rsidRPr="00DF0680">
        <w:t xml:space="preserve">γH2AX (Figure 4.9). In a similar fashion, no difference was seen in DNA damage signalling through Chk1 or γH2AX during hydroxyurea-induced replication stress. </w:t>
      </w:r>
    </w:p>
    <w:p w:rsidR="000627AA" w:rsidRPr="00DF0680" w:rsidRDefault="000627AA" w:rsidP="000627AA">
      <w:r w:rsidRPr="00DF0680">
        <w:t xml:space="preserve">When comparing these data and previous results with RECQL5 and camptothecin, a major difference here is that siRNA was used rather than a complete gene knockout. Therefore it could be argued that RECQL5 has not been completely depleted. This could mean a residual amount of the protein is sufficient to maintain stability and survival in replication stress. In addition, previous studies were in HCT116 cells whereas here EJ and </w:t>
      </w:r>
      <w:r w:rsidR="00471D18" w:rsidRPr="00DF0680">
        <w:t>MRC5V2</w:t>
      </w:r>
      <w:r w:rsidRPr="00DF0680">
        <w:t xml:space="preserve"> cells were used. Interestingly, HCT116 cells have been shown to contain an MRE11 mutant </w:t>
      </w:r>
      <w:r w:rsidR="00F20EC0" w:rsidRPr="00DF0680">
        <w:fldChar w:fldCharType="begin" w:fldLock="1"/>
      </w:r>
      <w:r w:rsidR="00332613" w:rsidRPr="00DF0680">
        <w:instrText>ADDIN CSL_CITATION { "citationItems" : [ { "id" : "ITEM-1", "itemData" : { "DOI" : "10.1091/mbc.E07", "author" : [ { "dropping-particle" : "", "family" : "Wen", "given" : "Qin", "non-dropping-particle" : "", "parse-names" : false, "suffix" : "" }, { "dropping-particle" : "", "family" : "Scorah", "given" : "Jennifer", "non-dropping-particle" : "", "parse-names" : false, "suffix" : "" }, { "dropping-particle" : "", "family" : "Phear", "given" : "Geraldine", "non-dropping-particle" : "", "parse-names" : false, "suffix" : "" } ], "container-title" : "Molecular Biology of the Cell", "id" : "ITEM-1", "issue" : "4", "issued" : { "date-parts" : [ [ "2008" ] ] }, "page" : "1693-1705", "title" : "A Mutant Allele of MRE11 Found in Mismatch Repair-deficient Tumor Cells Suppresses the Cellular Response to DNA Replication Fork Stress in a Dominant Negative Manner", "type" : "article-journal", "volume" : "19" }, "uris" : [ "http://www.mendeley.com/documents/?uuid=b521fb80-cb2c-43c0-bfb7-398f530edd84" ] } ], "mendeley" : { "formattedCitation" : "(Wen et al. 2008)", "plainTextFormattedCitation" : "(Wen et al. 2008)", "previouslyFormattedCitation" : "(Wen et al. 2008)" }, "properties" : { "noteIndex" : 0 }, "schema" : "https://github.com/citation-style-language/schema/raw/master/csl-citation.json" }</w:instrText>
      </w:r>
      <w:r w:rsidR="00F20EC0" w:rsidRPr="00DF0680">
        <w:fldChar w:fldCharType="separate"/>
      </w:r>
      <w:r w:rsidRPr="00DF0680">
        <w:t>(Wen et al. 2008)</w:t>
      </w:r>
      <w:r w:rsidR="00F20EC0" w:rsidRPr="00DF0680">
        <w:fldChar w:fldCharType="end"/>
      </w:r>
      <w:r w:rsidRPr="00DF0680">
        <w:t xml:space="preserve"> and RECQL5 interacts with the wild-type MRE11 protein </w:t>
      </w:r>
      <w:r w:rsidR="00F20EC0" w:rsidRPr="00DF0680">
        <w:fldChar w:fldCharType="begin" w:fldLock="1"/>
      </w:r>
      <w:r w:rsidR="00332613" w:rsidRPr="00DF0680">
        <w:instrText>ADDIN CSL_CITATION { "citationItems" : [ { "id" : "ITEM-1", "itemData" : { "DOI" : "10.1093/nar/gkp147", "ISSN" : "1362-4962", "PMID" : "19270065", "abstract" : "RECQ5 DNA helicase suppresses homologous recombination (HR) possibly through disruption of RAD51 filaments. Here, we show that RECQ5 is constitutively associated with the MRE11-RAD50-NBS1 (MRN) complex, a primary sensor of DNA double-strand breaks (DSBs) that promotes DSB repair and regulates DNA damage signaling via activation of the ATM kinase. Experiments with purified proteins indicated that RECQ5 interacts with the MRN complex through both MRE11 and NBS1. Functional assays revealed that RECQ5 specifically inhibited the 3'--&gt;5' exonuclease activity of MRE11, while MRN had no effect on the helicase activity of RECQ5. At the cellular level, we observed that the MRN complex was required for the recruitment of RECQ5 to sites of DNA damage. Accumulation of RECQ5 at DSBs was neither dependent on MDC1 that mediates binding of MRN to DSB-flanking chromatin nor on CtIP that acts in conjunction with MRN to promote resection of DSBs for repair by HR. Collectively, these data suggest that the MRN complex recruits RECQ5 to sites of DNA damage to regulate DNA repair.", "author" : [ { "dropping-particle" : "", "family" : "Zheng", "given" : "Lu", "non-dropping-particle" : "", "parse-names" : false, "suffix" : "" }, { "dropping-particle" : "", "family" : "Kanagaraj", "given" : "Radhakrishnan", "non-dropping-particle" : "", "parse-names" : false, "suffix" : "" }, { "dropping-particle" : "", "family" : "Mihaljevic", "given" : "Boris", "non-dropping-particle" : "", "parse-names" : false, "suffix" : "" }, { "dropping-particle" : "", "family" : "Schwendener", "given" : "Sybille", "non-dropping-particle" : "", "parse-names" : false, "suffix" : "" }, { "dropping-particle" : "", "family" : "Sartori", "given" : "Alessandro a", "non-dropping-particle" : "", "parse-names" : false, "suffix" : "" }, { "dropping-particle" : "", "family" : "Gerrits", "given" : "Bertran", "non-dropping-particle" : "", "parse-names" : false, "suffix" : "" }, { "dropping-particle" : "", "family" : "Shevelev", "given" : "Igor", "non-dropping-particle" : "", "parse-names" : false, "suffix" : "" }, { "dropping-particle" : "", "family" : "Janscak", "given" : "Pavel", "non-dropping-particle" : "", "parse-names" : false, "suffix" : "" } ], "container-title" : "Nucleic Acids Research", "id" : "ITEM-1", "issue" : "8", "issued" : { "date-parts" : [ [ "2009", "5" ] ] }, "page" : "2645-57", "title" : "MRE11 complex links RECQ5 helicase to sites of DNA damage.", "type" : "article-journal", "volume" : "37" }, "uris" : [ "http://www.mendeley.com/documents/?uuid=1d2d60df-0a93-460f-abb4-64ead233ffa9" ] } ], "mendeley" : { "formattedCitation" : "(Zheng et al. 2009)", "plainTextFormattedCitation" : "(Zheng et al. 2009)", "previouslyFormattedCitation" : "(Zheng et al. 2009)" }, "properties" : { "noteIndex" : 0 }, "schema" : "https://github.com/citation-style-language/schema/raw/master/csl-citation.json" }</w:instrText>
      </w:r>
      <w:r w:rsidR="00F20EC0" w:rsidRPr="00DF0680">
        <w:fldChar w:fldCharType="separate"/>
      </w:r>
      <w:r w:rsidRPr="00DF0680">
        <w:t>(Zheng et al. 2009)</w:t>
      </w:r>
      <w:r w:rsidR="00F20EC0" w:rsidRPr="00DF0680">
        <w:fldChar w:fldCharType="end"/>
      </w:r>
      <w:r w:rsidRPr="00DF0680">
        <w:t xml:space="preserve">. This may imply that in colon cancer </w:t>
      </w:r>
      <w:r w:rsidRPr="00DF0680">
        <w:lastRenderedPageBreak/>
        <w:t>cells, RECQL5 is required in the absence of functional MRE11. However, this does not explain the sensitivity seen in MEFs.</w:t>
      </w:r>
    </w:p>
    <w:p w:rsidR="000627AA" w:rsidRPr="00DF0680" w:rsidRDefault="000627AA" w:rsidP="000627AA">
      <w:r w:rsidRPr="00DF0680">
        <w:t xml:space="preserve">The thymidine resistance seen in RECQL5 over-expressing </w:t>
      </w:r>
      <w:r w:rsidR="00471D18" w:rsidRPr="00DF0680">
        <w:t>MRC5V2</w:t>
      </w:r>
      <w:r w:rsidRPr="00DF0680">
        <w:t xml:space="preserve"> cells </w:t>
      </w:r>
      <w:r w:rsidR="00F20EC0" w:rsidRPr="00DF0680">
        <w:fldChar w:fldCharType="begin" w:fldLock="1"/>
      </w:r>
      <w:r w:rsidR="0033261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fldChar w:fldCharType="separate"/>
      </w:r>
      <w:r w:rsidRPr="00DF0680">
        <w:t>(Blundred et al. 2010)</w:t>
      </w:r>
      <w:r w:rsidR="00F20EC0" w:rsidRPr="00DF0680">
        <w:fldChar w:fldCharType="end"/>
      </w:r>
      <w:r w:rsidRPr="00DF0680">
        <w:t xml:space="preserve">, was not replicated when RECQL5 was over-expressed in the EJ cell line and may point to a cell-line specific effect for </w:t>
      </w:r>
      <w:r w:rsidR="00471D18" w:rsidRPr="00DF0680">
        <w:t>MRC5V2</w:t>
      </w:r>
      <w:r w:rsidRPr="00DF0680">
        <w:t xml:space="preserve"> cells. Alternatively, this may be because there is already increased RECQL5 protein the EJs. However, consistent with </w:t>
      </w:r>
      <w:r w:rsidR="00471D18" w:rsidRPr="00DF0680">
        <w:t>MRC5V2</w:t>
      </w:r>
      <w:r w:rsidRPr="00DF0680">
        <w:t xml:space="preserve"> cells, sensitivity is not seen when RECQL5 is depleted in EJ cells and in</w:t>
      </w:r>
      <w:r w:rsidR="00E8385A" w:rsidRPr="00DF0680">
        <w:t xml:space="preserve"> </w:t>
      </w:r>
      <w:r w:rsidRPr="00DF0680">
        <w:t>fact cells become more resistant to thymidine without RECQL5β (Figure 5.6). It may be due to EJ cells being a cancer cell line and therefore responding differently to DNA damage or it may be because in this experiment, RECQL5 was only transiently over-expressed.</w:t>
      </w:r>
    </w:p>
    <w:p w:rsidR="000627AA" w:rsidRPr="00DF0680" w:rsidRDefault="000627AA" w:rsidP="000627AA">
      <w:r w:rsidRPr="00DF0680">
        <w:t>It may be the case that RECQL5 is influenci</w:t>
      </w:r>
      <w:r w:rsidR="00E8385A" w:rsidRPr="00DF0680">
        <w:t>ng the expression of other specific</w:t>
      </w:r>
      <w:r w:rsidRPr="00DF0680">
        <w:t xml:space="preserve"> DNA damage</w:t>
      </w:r>
      <w:r w:rsidR="00E8385A" w:rsidRPr="00DF0680">
        <w:t xml:space="preserve"> response</w:t>
      </w:r>
      <w:r w:rsidRPr="00DF0680">
        <w:t xml:space="preserve"> genes. One study suggests that RECQL5 can influence the expression of PARP1 and XRCC1, both involved in base excision repair (BER) </w:t>
      </w:r>
      <w:r w:rsidR="00F20EC0" w:rsidRPr="00DF0680">
        <w:fldChar w:fldCharType="begin" w:fldLock="1"/>
      </w:r>
      <w:r w:rsidR="00332613" w:rsidRPr="00DF0680">
        <w:instrText>ADDIN CSL_CITATION { "citationItems" : [ { "id" : "ITEM-1", "itemData" : { "DOI" : "10.1091/mbc.E12-02-0110", "ISSN" : "1939-4586", "PMID" : "22973052", "abstract" : "Human RECQL5 is a member of the RecQ helicase family, which maintains genome stability via participation in many DNA metabolic processes, including DNA repair. Human cells lacking RECQL5 display chromosomal instability. We find that cells depleted of RECQL5 are sensitive to oxidative stress, accumulate endogenous DNA damage, and increase the cellular poly(ADP-ribosyl)ate response. In contrast to the RECQ helicase family members WRN, BLM, and RECQL4, RECQL5 accumulates at laser-induced single-strand breaks in normal human cells. RECQL5 depletion affects the levels of PARP-1 and XRCC1, and our collective results suggest that RECQL5 modulates and/or directly participates in base excision repair of endogenous DNA damage, thereby promoting chromosome stability in normal human cells.", "author" : [ { "dropping-particle" : "", "family" : "Tadokoro", "given" : "Takashi", "non-dropping-particle" : "", "parse-names" : false, "suffix" : "" }, { "dropping-particle" : "", "family" : "Ramamoorthy", "given" : "Mahesh", "non-dropping-particle" : "", "parse-names" : false, "suffix" : "" }, { "dropping-particle" : "", "family" : "Popuri", "given" : "Venkateswarlu", "non-dropping-particle" : "", "parse-names" : false, "suffix" : "" }, { "dropping-particle" : "", "family" : "May", "given" : "Alfred", "non-dropping-particle" : "", "parse-names" : false, "suffix" : "" }, { "dropping-particle" : "", "family" : "Tian", "given" : "Jingyan", "non-dropping-particle" : "", "parse-names" : false, "suffix" : "" }, { "dropping-particle" : "", "family" : "Sykora", "given" : "Peter", "non-dropping-particle" : "", "parse-names" : false, "suffix" : "" }, { "dropping-particle" : "", "family" : "Rybanska", "given" : "Ivana", "non-dropping-particle" : "", "parse-names" : false, "suffix" : "" }, { "dropping-particle" : "", "family" : "Wilson", "given" : "David M", "non-dropping-particle" : "", "parse-names" : false, "suffix" : "" }, { "dropping-particle" : "", "family" : "Croteau", "given" : "Deborah L", "non-dropping-particle" : "", "parse-names" : false, "suffix" : "" }, { "dropping-particle" : "", "family" : "Bohr", "given" : "Vilhelm a", "non-dropping-particle" : "", "parse-names" : false, "suffix" : "" } ], "container-title" : "Molecular Biology of the Cell", "id" : "ITEM-1", "issue" : "21", "issued" : { "date-parts" : [ [ "2012", "11" ] ] }, "page" : "4273-85", "title" : "Human RECQL5 participates in the removal of endogenous DNA damage.", "type" : "article-journal", "volume" : "23" }, "uris" : [ "http://www.mendeley.com/documents/?uuid=709cad32-1f72-47d8-b9d4-df1d02a4cd55" ] } ], "mendeley" : { "formattedCitation" : "(Tadokoro et al. 2012)", "plainTextFormattedCitation" : "(Tadokoro et al. 2012)", "previouslyFormattedCitation" : "(Tadokoro et al. 2012)" }, "properties" : { "noteIndex" : 0 }, "schema" : "https://github.com/citation-style-language/schema/raw/master/csl-citation.json" }</w:instrText>
      </w:r>
      <w:r w:rsidR="00F20EC0" w:rsidRPr="00DF0680">
        <w:fldChar w:fldCharType="separate"/>
      </w:r>
      <w:r w:rsidRPr="00DF0680">
        <w:t>(Tadokoro et al. 2012)</w:t>
      </w:r>
      <w:r w:rsidR="00F20EC0" w:rsidRPr="00DF0680">
        <w:fldChar w:fldCharType="end"/>
      </w:r>
      <w:r w:rsidRPr="00DF0680">
        <w:t>. Stable constitutive depletion of RECQL5 transcript levels using shRNA caused the expression of PARP1 and XRCC1 to be reduced by approximately 40%. These cells had incorporated a short hairpin sequence that can deplete cells of the target gene in a stable manner, facilitating growth without RECQL5 for long periods of time, longer than that which can be achieved by siRNA transfection. Thus</w:t>
      </w:r>
      <w:r w:rsidR="00E8385A" w:rsidRPr="00DF0680">
        <w:t>,</w:t>
      </w:r>
      <w:r w:rsidRPr="00DF0680">
        <w:t xml:space="preserve"> cells where RECQL5 gene was de</w:t>
      </w:r>
      <w:r w:rsidR="00E8385A" w:rsidRPr="00DF0680">
        <w:t>leted</w:t>
      </w:r>
      <w:r w:rsidRPr="00DF0680">
        <w:t xml:space="preserve"> would have been cultured for a long time without the helicase, potentially allowing any gene expression changes to occur, including PARP1 and</w:t>
      </w:r>
      <w:r w:rsidR="00E8385A" w:rsidRPr="00DF0680">
        <w:t xml:space="preserve"> XRCC1. The sensitivity of the mouse embryonic RECQL5-null</w:t>
      </w:r>
      <w:r w:rsidRPr="00DF0680">
        <w:t xml:space="preserve"> cells </w:t>
      </w:r>
      <w:r w:rsidR="00E8385A" w:rsidRPr="00DF0680">
        <w:t xml:space="preserve">from Hu el al. </w:t>
      </w:r>
      <w:r w:rsidRPr="00DF0680">
        <w:t xml:space="preserve">to camptothecin may be due to a decrease in the single-strand break repair proteins XRCC1 and PARP1. These </w:t>
      </w:r>
      <w:r w:rsidR="00E8385A" w:rsidRPr="00DF0680">
        <w:t>protein</w:t>
      </w:r>
      <w:r w:rsidRPr="00DF0680">
        <w:t xml:space="preserve">s are both responsible for repair of single strand breaks that are generated by camptothecin </w:t>
      </w:r>
      <w:r w:rsidR="00F20EC0" w:rsidRPr="00DF0680">
        <w:fldChar w:fldCharType="begin" w:fldLock="1"/>
      </w:r>
      <w:r w:rsidR="00332613" w:rsidRPr="00DF0680">
        <w:instrText>ADDIN CSL_CITATION { "citationItems" : [ { "id" : "ITEM-1", "itemData" : { "author" : [ { "dropping-particle" : "", "family" : "Park", "given" : "SY", "non-dropping-particle" : "", "parse-names" : false, "suffix" : "" }, { "dropping-particle" : "", "family" : "Lam", "given" : "Wing", "non-dropping-particle" : "", "parse-names" : false, "suffix" : "" }, { "dropping-particle" : "", "family" : "Cheng", "given" : "Yung-chi", "non-dropping-particle" : "", "parse-names" : false, "suffix" : "" } ], "container-title" : "Cancer Research", "id" : "ITEM-1", "issue" : "2", "issued" : { "date-parts" : [ [ "2002" ] ] }, "page" : "459-465", "title" : "X-ray repair cross-complementing gene I protein plays an important role in camptothecin resistance", "type" : "article-journal", "volume" : "62" }, "uris" : [ "http://www.mendeley.com/documents/?uuid=fa2a310a-5f25-493d-839b-48ad3d76f236" ] }, { "id" : "ITEM-2", "itemData" : { "DOI" : "10.1158/1078-0432.CCR-05-1224", "ISBN" : "4419124644", "ISSN" : "1078-0432", "PMID" : "16322308", "abstract" : "Poly(ADP-ribose) polymerase (PARP) inhibitors enhance DNA topoisomerase I (topo I) poison-induced cytotoxicity and antitumor activity in vitro and in vivo, but the mechanism has not been defined. We investigated the role of PARP-1 in the response to topo I poisons using PARP-1-/- and PARP-1+/+ mouse embryonic fibroblasts and the potent PARP-1 inhibitor, AG14361 (Ki &lt; 5 nmol/L). PARP-1-/- mouse embryonic fibroblasts were 3-fold more sensitive to topotecan than PARP-1+/+ mouse embryonic fibroblasts (GI50, 21 and 65 nmol/L, respectively). AG14361 caused a &gt;3-fold sensitization of PARP-1+/+ cells to topotecan compared with a &lt;1.4-fold sensitization in PARP-1-/- cells. In human leukemia K562 cells, AG14361 caused a 2-fold sensitization to camptothecin-induced cytotoxicity. AG14361 did not affect the cellular activity of topo I as determined by measurement of cleavable complexes and topo I relaxation activity, showing that sensitization was not due to topo I activation. In contrast, repair of DNA following camptothecin removal, normally very rapid, was significantly retarded by AG14361, resulting in a 62% inhibition of repair 10 minutes after camptothecin removal. This led to a 20% increase in the net accumulation of camptothecin-induced DNA strand break levels in cells coexposed to AG14361 for 16 hours. We investigated the DNA repair mechanism involved using a panel of DNA repair-deficient Chinese hamster ovary cells. AG14361 significantly potentiated camptothecin-mediated cytotoxicity in all cells, except the base excision repair-deficient EM9 cells. Therefore, the most likely mechanism for the potentiation of topo I poison-mediated cytotoxicity by AG14361 is via PARP-1-dependent base excision repair.", "author" : [ { "dropping-particle" : "", "family" : "Smith", "given" : "Lisa M", "non-dropping-particle" : "", "parse-names" : false, "suffix" : "" }, { "dropping-particle" : "", "family" : "Willmore", "given" : "Elaine", "non-dropping-particle" : "", "parse-names" : false, "suffix" : "" }, { "dropping-particle" : "", "family" : "Austin", "given" : "Caroline a", "non-dropping-particle" : "", "parse-names" : false, "suffix" : "" }, { "dropping-particle" : "", "family" : "Curtin", "given" : "Nicola J", "non-dropping-particle" : "", "parse-names" : false, "suffix" : "" } ], "container-title" : "Clinical Cancer Research", "id" : "ITEM-2", "issue" : "23", "issued" : { "date-parts" : [ [ "2005", "12", "1" ] ] }, "page" : "8449-57", "title" : "The novel poly(ADP-Ribose) polymerase inhibitor, AG14361, sensitizes cells to topoisomerase I poisons by increasing the persistence of DNA strand breaks.", "type" : "article-journal", "volume" : "11" }, "uris" : [ "http://www.mendeley.com/documents/?uuid=885ef8ba-5831-49e8-9103-d14d9c8c946d" ] } ], "mendeley" : { "formattedCitation" : "(Park et al. 2002; Smith et al. 2005)", "plainTextFormattedCitation" : "(Park et al. 2002; Smith et al. 2005)", "previouslyFormattedCitation" : "(Park et al. 2002; Smith et al. 2005)" }, "properties" : { "noteIndex" : 0 }, "schema" : "https://github.com/citation-style-language/schema/raw/master/csl-citation.json" }</w:instrText>
      </w:r>
      <w:r w:rsidR="00F20EC0" w:rsidRPr="00DF0680">
        <w:fldChar w:fldCharType="separate"/>
      </w:r>
      <w:r w:rsidRPr="00DF0680">
        <w:t>(Park et al. 2002; Smith et al. 2005)</w:t>
      </w:r>
      <w:r w:rsidR="00F20EC0" w:rsidRPr="00DF0680">
        <w:fldChar w:fldCharType="end"/>
      </w:r>
      <w:r w:rsidR="00E8385A" w:rsidRPr="00DF0680">
        <w:t xml:space="preserve">. </w:t>
      </w:r>
      <w:r w:rsidRPr="00DF0680">
        <w:t xml:space="preserve">If </w:t>
      </w:r>
      <w:r w:rsidR="00E8385A" w:rsidRPr="00DF0680">
        <w:t xml:space="preserve">RECQL5 depletion </w:t>
      </w:r>
      <w:r w:rsidRPr="00DF0680">
        <w:t>require</w:t>
      </w:r>
      <w:r w:rsidR="00E8385A" w:rsidRPr="00DF0680">
        <w:t>s</w:t>
      </w:r>
      <w:r w:rsidRPr="00DF0680">
        <w:t xml:space="preserve"> more than 48 hours to affect the level of </w:t>
      </w:r>
      <w:r w:rsidR="00E8385A" w:rsidRPr="00DF0680">
        <w:t xml:space="preserve">other </w:t>
      </w:r>
      <w:r w:rsidRPr="00DF0680">
        <w:t>protein</w:t>
      </w:r>
      <w:r w:rsidR="00E8385A" w:rsidRPr="00DF0680">
        <w:t>s (such as XRCC1 and PARP1)</w:t>
      </w:r>
      <w:r w:rsidRPr="00DF0680">
        <w:t>, they would not be seen in the systems used here i.e. transfection with siRNA. However, the rescue experiment</w:t>
      </w:r>
      <w:r w:rsidR="00E8385A" w:rsidRPr="00DF0680">
        <w:t>, using a doxycyclin-regulated promoter to express RECQL5 in RECQL5-null cells</w:t>
      </w:r>
      <w:r w:rsidRPr="00DF0680">
        <w:t xml:space="preserve"> </w:t>
      </w:r>
      <w:r w:rsidR="00F20EC0" w:rsidRPr="00DF0680">
        <w:fldChar w:fldCharType="begin" w:fldLock="1"/>
      </w:r>
      <w:r w:rsidR="00332613" w:rsidRPr="00DF0680">
        <w:instrText>ADDIN CSL_CITATION { "citationItems" : [ { "id" : "ITEM-1", "itemData" : { "DOI" : "10.1091/mbc.E08-06-0565", "ISSN" : "1939-4586", "PMID" : "18987339", "abstract" : "Disruption of replication can lead to loss of genome integrity and increase of cancer susceptibility in mammals. Thus, a replication impediment constitutes a formidable challenge to these organisms. Recent studies indicate that homologous recombination (HR) plays an important role in suppressing genome instability and promoting cell survival after exposure to various replication inhibitors, including a topoisomerase I inhibitor, camptothecin (CPT). Here, we report that the deletion of RecQ helicase Recql5 in mouse ES cells and embryonic fibroblast (MEF) cells resulted in a significant increase in CPT sensitivity and a profound reduction in DNA replication after the treatment with CPT, but not other DNA-damaging agents. This CPT-induced cell death is replication dependent and occurs primarily after the cells had exited the first cell cycle after CPT treatment. Furthermore, we show that Recql5 functions nonredundantly with Rad51, a key factor for HR to protect mouse ES cells from CPT-induced cytotoxicity. These new findings strongly suggest that Recql5 plays an important role in maintaining active DNA replication to prevent the collapse of replication forks and the accumulation of DSBs in order to preserve genome integrity and to prevent cell death after replication stress as a result of topoisomerase I poisoning.", "author" : [ { "dropping-particle" : "", "family" : "Hu", "given" : "Yiduo", "non-dropping-particle" : "", "parse-names" : false, "suffix" : "" }, { "dropping-particle" : "", "family" : "Lu", "given" : "Xincheng", "non-dropping-particle" : "", "parse-names" : false, "suffix" : "" }, { "dropping-particle" : "", "family" : "Zhou", "given" : "Guangjin", "non-dropping-particle" : "", "parse-names" : false, "suffix" : "" }, { "dropping-particle" : "", "family" : "Barnes", "given" : "Ellen L", "non-dropping-particle" : "", "parse-names" : false, "suffix" : "" }, { "dropping-particle" : "", "family" : "Luo", "given" : "Guangbin", "non-dropping-particle" : "", "parse-names" : false, "suffix" : "" } ], "container-title" : "Molecular Biology of the Cell", "id" : "ITEM-1", "issue" : "1", "issued" : { "date-parts" : [ [ "2009", "1" ] ] }, "page" : "114-23", "title" : "Recql5 plays an important role in DNA replication and cell survival after camptothecin treatment.", "type" : "article-journal", "volume" : "20" }, "uris" : [ "http://www.mendeley.com/documents/?uuid=acf9f23d-1453-499d-9549-0b89779a80a3" ] } ], "mendeley" : { "formattedCitation" : "(Hu et al. 2009)", "plainTextFormattedCitation" : "(Hu et al. 2009)", "previouslyFormattedCitation" : "(Hu et al. 2009)" }, "properties" : { "noteIndex" : 0 }, "schema" : "https://github.com/citation-style-language/schema/raw/master/csl-citation.json" }</w:instrText>
      </w:r>
      <w:r w:rsidR="00F20EC0" w:rsidRPr="00DF0680">
        <w:fldChar w:fldCharType="separate"/>
      </w:r>
      <w:r w:rsidRPr="00DF0680">
        <w:t>(Hu et al. 2009)</w:t>
      </w:r>
      <w:r w:rsidR="00F20EC0" w:rsidRPr="00DF0680">
        <w:fldChar w:fldCharType="end"/>
      </w:r>
      <w:r w:rsidR="00E8385A" w:rsidRPr="00DF0680">
        <w:t>,</w:t>
      </w:r>
      <w:r w:rsidRPr="00DF0680">
        <w:t xml:space="preserve"> does imply that camptothecin sensitivity is a RECQL5 specific effect but as the paper did not specify the length of incubation with </w:t>
      </w:r>
      <w:r w:rsidR="00E8385A" w:rsidRPr="00DF0680">
        <w:t>doxycyclin</w:t>
      </w:r>
      <w:r w:rsidRPr="00DF0680">
        <w:t xml:space="preserve"> to rescue levels of RECQL5, it may still be the case that it is restoring levels of XRCC1 and PARP1 back to wild-type levels. </w:t>
      </w:r>
    </w:p>
    <w:p w:rsidR="000627AA" w:rsidRPr="00DF0680" w:rsidRDefault="000627AA" w:rsidP="000627AA">
      <w:r w:rsidRPr="00DF0680">
        <w:lastRenderedPageBreak/>
        <w:t xml:space="preserve">It has not been shown whether increasing RECQL5 levels would increase transcript levels of PARP1 and XRCC1 but lack of resistance to camptothecin in over-expressing cells suggests it does not </w:t>
      </w:r>
      <w:r w:rsidR="00F20EC0" w:rsidRPr="00DF0680">
        <w:fldChar w:fldCharType="begin" w:fldLock="1"/>
      </w:r>
      <w:r w:rsidR="0033261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"id" : "ITEM-2", "itemData" : { "author" : [ { "dropping-particle" : "", "family" : "Park", "given" : "SY", "non-dropping-particle" : "", "parse-names" : false, "suffix" : "" }, { "dropping-particle" : "", "family" : "Lam", "given" : "Wing", "non-dropping-particle" : "", "parse-names" : false, "suffix" : "" }, { "dropping-particle" : "", "family" : "Cheng", "given" : "Yung-chi", "non-dropping-particle" : "", "parse-names" : false, "suffix" : "" } ], "container-title" : "Cancer Research", "id" : "ITEM-2", "issue" : "2", "issued" : { "date-parts" : [ [ "2002" ] ] }, "page" : "459-465", "title" : "X-ray repair cross-complementing gene I protein plays an important role in camptothecin resistance", "type" : "article-journal", "volume" : "62" }, "uris" : [ "http://www.mendeley.com/documents/?uuid=fa2a310a-5f25-493d-839b-48ad3d76f236" ] } ], "mendeley" : { "formattedCitation" : "(Blundred et al. 2010; Park et al. 2002)", "plainTextFormattedCitation" : "(Blundred et al. 2010; Park et al. 2002)", "previouslyFormattedCitation" : "(Blundred et al. 2010; Park et al. 2002)" }, "properties" : { "noteIndex" : 0 }, "schema" : "https://github.com/citation-style-language/schema/raw/master/csl-citation.json" }</w:instrText>
      </w:r>
      <w:r w:rsidR="00F20EC0" w:rsidRPr="00DF0680">
        <w:fldChar w:fldCharType="separate"/>
      </w:r>
      <w:r w:rsidRPr="00DF0680">
        <w:t>(Blundred et al. 2010; Park et al. 2002)</w:t>
      </w:r>
      <w:r w:rsidR="00F20EC0" w:rsidRPr="00DF0680">
        <w:fldChar w:fldCharType="end"/>
      </w:r>
      <w:r w:rsidRPr="00DF0680">
        <w:t>. As thymidine causes replication stress without cau</w:t>
      </w:r>
      <w:r w:rsidR="006F475F" w:rsidRPr="00DF0680">
        <w:t>sing any strand breaks (apart f</w:t>
      </w:r>
      <w:r w:rsidRPr="00DF0680">
        <w:t>r</w:t>
      </w:r>
      <w:r w:rsidR="006F475F" w:rsidRPr="00DF0680">
        <w:t>o</w:t>
      </w:r>
      <w:r w:rsidRPr="00DF0680">
        <w:t xml:space="preserve">m when forks collapse), it is difficult to envisage whether over-expressing RECQL5 to increase levels of XRCC1 and PARP1 would provide resistance to thymidine and as expression of a helicase-dead RECQL5 causes cells to become more sensitive to thymidine, it suggests a more direct helicase effect </w:t>
      </w:r>
      <w:r w:rsidR="00F20EC0" w:rsidRPr="00DF0680">
        <w:fldChar w:fldCharType="begin" w:fldLock="1"/>
      </w:r>
      <w:r w:rsidR="0033261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fldChar w:fldCharType="separate"/>
      </w:r>
      <w:r w:rsidRPr="00DF0680">
        <w:t>(Blundred et al. 2010)</w:t>
      </w:r>
      <w:r w:rsidR="00F20EC0" w:rsidRPr="00DF0680">
        <w:fldChar w:fldCharType="end"/>
      </w:r>
      <w:r w:rsidRPr="00DF0680">
        <w:t xml:space="preserve">. </w:t>
      </w:r>
    </w:p>
    <w:p w:rsidR="000627AA" w:rsidRPr="00DF0680" w:rsidRDefault="000627AA" w:rsidP="000627AA">
      <w:r w:rsidRPr="00DF0680">
        <w:t xml:space="preserve">RECQL5 may be involved in the replication stress induced by DNA crosslinking. Recent work has identified RECQL5 as responsible for the removal of Rad51 foci after interstrand crosslink (ICL) damage </w:t>
      </w:r>
      <w:r w:rsidR="00F20EC0" w:rsidRPr="00DF0680">
        <w:fldChar w:fldCharType="begin" w:fldLock="1"/>
      </w:r>
      <w:r w:rsidR="00332613" w:rsidRPr="00DF0680">
        <w:instrText>ADDIN CSL_CITATION { "citationItems" : [ { "id" : "ITEM-1", "itemData" : { "DOI" : "10.1016/j.bbamcr.2014.01.005", "ISSN" : "0006-3002", "PMID" : "24418621", "abstract" : "RecQ family DNA helicases function in the maintenance of genome stability. Mice deficient in RecQL5, one of five RecQ helicases, show a cancer predisposition phenotype, suggesting that RecQL5 plays a tumor suppressor role. RecQL5 interacts with Rad51, a key factor in homologous recombination (HR), and displaces Rad51 from Rad51-single stranded DNA (ssDNA) filaments in vitro. However, the precise roles of RecQL5 in the cell remain elusive. Here, we present evidence suggesting that RecQL5 is involved in DNA interstrand crosslink (ICL) repair. Chicken DT40 RECQL5 gene knockout (KO) cells showed sensitivity to ICL-inducing agents such as cisplatin (CDDP) and mitomycin C (MMC) and a higher number of chromosome aberrations in the presence of MMC than wild-type cells. The phenotypes of RECQL5 KO cells resembled those of Fanconi anemia gene KO cells. Genetic analysis using corresponding gene knockout cells showed that RecQL5 is involved in the FANCD1 (BRCA2)-dependent ICL repair pathway in which Rad51-ssDNA filament formation is promoted by BRCA2. The disappearance but not appearance of Rad51-foci was delayed in RECQL5 KO cells after MMC treatment. Deletion of Rad54, which processes the Rad51-ssDNA filament in HR, in RECQL5 KO cells increased sensitivity to CDDP and further delayed the disappearance of Rad51-foci, suggesting that RecQL5 and Rad54 have different effects on the Rad51-ssDNA filament. Furthermore, the frequency and variation of CDDP-induced gene conversion at the immunoglobulin locus were increased in RECQL5 KO cells. These results suggest that RecQL5 plays a role in regulating the incidence and quality of ICL-induced recombination.", "author" : [ { "dropping-particle" : "", "family" : "Hosono", "given" : "Yoshifumi", "non-dropping-particle" : "", "parse-names" : false, "suffix" : "" }, { "dropping-particle" : "", "family" : "Abe", "given" : "Takuya", "non-dropping-particle" : "", "parse-names" : false, "suffix" : "" }, { "dropping-particle" : "", "family" : "Ishiai", "given" : "Masamichi", "non-dropping-particle" : "", "parse-names" : false, "suffix" : "" }, { "dropping-particle" : "", "family" : "Islam", "given" : "M Nurul", "non-dropping-particle" : "", "parse-names" : false, "suffix" : "" }, { "dropping-particle" : "", "family" : "Arakawa", "given" : "Hiroshi", "non-dropping-particle" : "", "parse-names" : false, "suffix" : "" }, { "dropping-particle" : "", "family" : "Wang", "given" : "Weidong", "non-dropping-particle" : "", "parse-names" : false, "suffix" : "" }, { "dropping-particle" : "", "family" : "Takeda", "given" : "Shunichi", "non-dropping-particle" : "", "parse-names" : false, "suffix" : "" }, { "dropping-particle" : "", "family" : "Ishii", "given" : "Yutaka", "non-dropping-particle" : "", "parse-names" : false, "suffix" : "" }, { "dropping-particle" : "", "family" : "Takata", "given" : "Minoru", "non-dropping-particle" : "", "parse-names" : false, "suffix" : "" }, { "dropping-particle" : "", "family" : "Seki", "given" : "Masayuki", "non-dropping-particle" : "", "parse-names" : false, "suffix" : "" }, { "dropping-particle" : "", "family" : "Enomoto", "given" : "Takemi", "non-dropping-particle" : "", "parse-names" : false, "suffix" : "" } ], "container-title" : "Biochimica ee Biophysica Acta", "id" : "ITEM-1", "issue" : "5", "issued" : { "date-parts" : [ [ "2014", "5" ] ] }, "page" : "1002-12", "publisher" : "Elsevier B.V.", "title" : "Tumor suppressor RecQL5 controls recombination induced by DNA crosslinking agents.", "type" : "article-journal", "volume" : "1843" }, "uris" : [ "http://www.mendeley.com/documents/?uuid=84b0a93a-cb61-43cb-b1d8-5b4cb9044372" ] } ], "mendeley" : { "formattedCitation" : "(Hosono et al. 2014)", "plainTextFormattedCitation" : "(Hosono et al. 2014)", "previouslyFormattedCitation" : "(Hosono et al. 2014)" }, "properties" : { "noteIndex" : 0 }, "schema" : "https://github.com/citation-style-language/schema/raw/master/csl-citation.json" }</w:instrText>
      </w:r>
      <w:r w:rsidR="00F20EC0" w:rsidRPr="00DF0680">
        <w:fldChar w:fldCharType="separate"/>
      </w:r>
      <w:r w:rsidRPr="00DF0680">
        <w:t>(Hosono et al. 2014)</w:t>
      </w:r>
      <w:r w:rsidR="00F20EC0" w:rsidRPr="00DF0680">
        <w:fldChar w:fldCharType="end"/>
      </w:r>
      <w:r w:rsidRPr="00DF0680">
        <w:t xml:space="preserve">. RECQL5 knock-out cells were more sensitive to crosslinking reagents and more chromosome aberrations and CDDP-induced gene conversions were seen. RECQL5 requires the KIX domain to be recruited to ICL but is not dependent on </w:t>
      </w:r>
      <w:r w:rsidR="00577EA5" w:rsidRPr="00DF0680">
        <w:t>RNA Pol II</w:t>
      </w:r>
      <w:r w:rsidRPr="00DF0680">
        <w:t xml:space="preserve"> binding or transcription </w:t>
      </w:r>
      <w:r w:rsidR="00F20EC0" w:rsidRPr="00DF0680">
        <w:fldChar w:fldCharType="begin" w:fldLock="1"/>
      </w:r>
      <w:r w:rsidR="00DA6E78" w:rsidRPr="00DF0680">
        <w:instrText>ADDIN CSL_CITATION { "citationItems" : [ { "id" : "ITEM-1", "itemData" : { "author" : [ { "dropping-particle" : "", "family" : "Ramamoorthy", "given" : "M", "non-dropping-particle" : "", "parse-names" : false, "suffix" : "" }, { "dropping-particle" : "", "family" : "May", "given" : "A", "non-dropping-particle" : "", "parse-names" : false, "suffix" : "" }, { "dropping-particle" : "", "family" : "Tadokoro", "given" : "T", "non-dropping-particle" : "", "parse-names" : false, "suffix" : "" } ], "container-title" : "Carcinogenesis", "id" : "ITEM-1", "issue" : "10", "issued" : { "date-parts" : [ [ "2013" ] ] }, "page" : "2218-30", "title" : "The RecQ helicase RECQL5 participates in psoralen induced interstrand cross-link repair", "type" : "article-journal", "volume" : "34" }, "uris" : [ "http://www.mendeley.com/documents/?uuid=2dfa4b55-333a-49c7-80f3-68d770f619a6" ] } ], "mendeley" : { "formattedCitation" : "(Ramamoorthy et al. 2013)", "plainTextFormattedCitation" : "(Ramamoorthy et al. 2013)", "previouslyFormattedCitation" : "(Ramamoorthy et al. 2013)" }, "properties" : { "noteIndex" : 0 }, "schema" : "https://github.com/citation-style-language/schema/raw/master/csl-citation.json" }</w:instrText>
      </w:r>
      <w:r w:rsidR="00F20EC0" w:rsidRPr="00DF0680">
        <w:fldChar w:fldCharType="separate"/>
      </w:r>
      <w:r w:rsidRPr="00DF0680">
        <w:t>(Ramamoorthy et al. 2013)</w:t>
      </w:r>
      <w:r w:rsidR="00F20EC0" w:rsidRPr="00DF0680">
        <w:fldChar w:fldCharType="end"/>
      </w:r>
      <w:r w:rsidRPr="00DF0680">
        <w:t xml:space="preserve">. RECQL5 could be reducing crossovers by disrupting RAD51 filament formation and promoting SDSA </w:t>
      </w:r>
      <w:r w:rsidR="00F20EC0" w:rsidRPr="00DF0680">
        <w:fldChar w:fldCharType="begin" w:fldLock="1"/>
      </w:r>
      <w:r w:rsidR="00332613" w:rsidRPr="00DF0680">
        <w:instrText>ADDIN CSL_CITATION { "citationItems" : [ { "id" : "ITEM-1", "itemData" : { "DOI" : "10.1093/nar/gkt1263", "ISSN" : "1362-4962", "PMID" : "24319145", "abstract" : "Most mitotic homologous recombination (HR) events proceed via a synthesis-dependent strand annealing mechanism to avoid crossing over, which may give rise to chromosomal rearrangements and loss of heterozygosity. The molecular mechanisms controlling HR sub-pathway choice are poorly understood. Here, we show that human RECQ5, a DNA helicase that can disrupt RAD51 nucleoprotein filaments, promotes formation of non-crossover products during DNA double-strand break-induced HR and counteracts the inhibitory effect of RAD51 on RAD52-mediated DNA annealing in vitro and in vivo. Moreover, we demonstrate that RECQ5 deficiency is associated with an increased occupancy of RAD51 at a double-strand break site, and it also causes an elevation of sister chromatid exchanges on inactivation of the Holliday junction dissolution pathway or on induction of a high load of DNA damage in the cell. Collectively, our findings suggest that RECQ5 acts during the post-synaptic phase of synthesis-dependent strand annealing to prevent formation of aberrant RAD51 filaments on the extended invading strand, thus limiting its channeling into potentially hazardous crossover pathway of HR.", "author" : [ { "dropping-particle" : "", "family" : "Paliwal", "given" : "Shreya", "non-dropping-particle" : "", "parse-names" : false, "suffix" : "" }, { "dropping-particle" : "", "family" : "Kanagaraj", "given" : "Radhakrishnan", "non-dropping-particle" : "", "parse-names" : false, "suffix" : "" }, { "dropping-particle" : "", "family" : "Sturzenegger", "given" : "Andreas", "non-dropping-particle" : "", "parse-names" : false, "suffix" : "" }, { "dropping-particle" : "", "family" : "Burdova", "given" : "Kamila", "non-dropping-particle" : "", "parse-names" : false, "suffix" : "" }, { "dropping-particle" : "", "family" : "Janscak", "given" : "Pavel", "non-dropping-particle" : "", "parse-names" : false, "suffix" : "" } ], "container-title" : "Nucleic Acids Research", "id" : "ITEM-1", "issue" : "4", "issued" : { "date-parts" : [ [ "2013", "12", "6" ] ] }, "page" : "2380-90", "title" : "Human RECQ5 helicase promotes repair of DNA double-strand breaks by synthesis-dependent strand annealing.", "type" : "article-journal", "volume" : "42" }, "uris" : [ "http://www.mendeley.com/documents/?uuid=9756a8b4-6ceb-49b9-a51d-9f3ade3d9007" ] } ], "mendeley" : { "formattedCitation" : "(Paliwal et al. 2013)", "plainTextFormattedCitation" : "(Paliwal et al. 2013)", "previouslyFormattedCitation" : "(Paliwal et al. 2013)" }, "properties" : { "noteIndex" : 0 }, "schema" : "https://github.com/citation-style-language/schema/raw/master/csl-citation.json" }</w:instrText>
      </w:r>
      <w:r w:rsidR="00F20EC0" w:rsidRPr="00DF0680">
        <w:fldChar w:fldCharType="separate"/>
      </w:r>
      <w:r w:rsidRPr="00DF0680">
        <w:t>(Paliwal et al. 2013)</w:t>
      </w:r>
      <w:r w:rsidR="00F20EC0" w:rsidRPr="00DF0680">
        <w:fldChar w:fldCharType="end"/>
      </w:r>
      <w:r w:rsidRPr="00DF0680">
        <w:t xml:space="preserve">. Here, response to ICLs was not examined but may be of interest given the use of </w:t>
      </w:r>
      <w:r w:rsidR="006F475F" w:rsidRPr="00DF0680">
        <w:t xml:space="preserve">the interstrand crosslinker </w:t>
      </w:r>
      <w:r w:rsidRPr="00DF0680">
        <w:t xml:space="preserve">cisplatin in the treatment of bladder cancer. </w:t>
      </w:r>
    </w:p>
    <w:p w:rsidR="000627AA" w:rsidRPr="00DF0680" w:rsidRDefault="000627AA" w:rsidP="000627AA">
      <w:r w:rsidRPr="00DF0680">
        <w:t>RECQL5’s DNA damage repair role may be more to do with strand breaks than stalled replication forks. The helicase has</w:t>
      </w:r>
      <w:r w:rsidR="00155191" w:rsidRPr="00DF0680">
        <w:t xml:space="preserve"> been shown to accumulate at single strand break</w:t>
      </w:r>
      <w:r w:rsidRPr="00DF0680">
        <w:t xml:space="preserve">s </w:t>
      </w:r>
      <w:r w:rsidR="00F20EC0" w:rsidRPr="00DF0680">
        <w:fldChar w:fldCharType="begin" w:fldLock="1"/>
      </w:r>
      <w:r w:rsidR="00332613" w:rsidRPr="00DF0680">
        <w:instrText>ADDIN CSL_CITATION { "citationItems" : [ { "id" : "ITEM-1", "itemData" : { "DOI" : "10.1091/mbc.E12-02-0110", "ISSN" : "1939-4586", "PMID" : "22973052", "abstract" : "Human RECQL5 is a member of the RecQ helicase family, which maintains genome stability via participation in many DNA metabolic processes, including DNA repair. Human cells lacking RECQL5 display chromosomal instability. We find that cells depleted of RECQL5 are sensitive to oxidative stress, accumulate endogenous DNA damage, and increase the cellular poly(ADP-ribosyl)ate response. In contrast to the RECQ helicase family members WRN, BLM, and RECQL4, RECQL5 accumulates at laser-induced single-strand breaks in normal human cells. RECQL5 depletion affects the levels of PARP-1 and XRCC1, and our collective results suggest that RECQL5 modulates and/or directly participates in base excision repair of endogenous DNA damage, thereby promoting chromosome stability in normal human cells.", "author" : [ { "dropping-particle" : "", "family" : "Tadokoro", "given" : "Takashi", "non-dropping-particle" : "", "parse-names" : false, "suffix" : "" }, { "dropping-particle" : "", "family" : "Ramamoorthy", "given" : "Mahesh", "non-dropping-particle" : "", "parse-names" : false, "suffix" : "" }, { "dropping-particle" : "", "family" : "Popuri", "given" : "Venkateswarlu", "non-dropping-particle" : "", "parse-names" : false, "suffix" : "" }, { "dropping-particle" : "", "family" : "May", "given" : "Alfred", "non-dropping-particle" : "", "parse-names" : false, "suffix" : "" }, { "dropping-particle" : "", "family" : "Tian", "given" : "Jingyan", "non-dropping-particle" : "", "parse-names" : false, "suffix" : "" }, { "dropping-particle" : "", "family" : "Sykora", "given" : "Peter", "non-dropping-particle" : "", "parse-names" : false, "suffix" : "" }, { "dropping-particle" : "", "family" : "Rybanska", "given" : "Ivana", "non-dropping-particle" : "", "parse-names" : false, "suffix" : "" }, { "dropping-particle" : "", "family" : "Wilson", "given" : "David M", "non-dropping-particle" : "", "parse-names" : false, "suffix" : "" }, { "dropping-particle" : "", "family" : "Croteau", "given" : "Deborah L", "non-dropping-particle" : "", "parse-names" : false, "suffix" : "" }, { "dropping-particle" : "", "family" : "Bohr", "given" : "Vilhelm a", "non-dropping-particle" : "", "parse-names" : false, "suffix" : "" } ], "container-title" : "Molecular Biology of the Cell", "id" : "ITEM-1", "issue" : "21", "issued" : { "date-parts" : [ [ "2012", "11" ] ] }, "page" : "4273-85", "title" : "Human RECQL5 participates in the removal of endogenous DNA damage.", "type" : "article-journal", "volume" : "23" }, "uris" : [ "http://www.mendeley.com/documents/?uuid=709cad32-1f72-47d8-b9d4-df1d02a4cd55" ] } ], "mendeley" : { "formattedCitation" : "(Tadokoro et al. 2012)", "plainTextFormattedCitation" : "(Tadokoro et al. 2012)", "previouslyFormattedCitation" : "(Tadokoro et al. 2012)" }, "properties" : { "noteIndex" : 0 }, "schema" : "https://github.com/citation-style-language/schema/raw/master/csl-citation.json" }</w:instrText>
      </w:r>
      <w:r w:rsidR="00F20EC0" w:rsidRPr="00DF0680">
        <w:fldChar w:fldCharType="separate"/>
      </w:r>
      <w:r w:rsidRPr="00DF0680">
        <w:t>(Tadokoro et al. 2012)</w:t>
      </w:r>
      <w:r w:rsidR="00F20EC0" w:rsidRPr="00DF0680">
        <w:fldChar w:fldCharType="end"/>
      </w:r>
      <w:r w:rsidRPr="00DF0680">
        <w:t xml:space="preserve"> and DSBs </w:t>
      </w:r>
      <w:r w:rsidR="00F20EC0" w:rsidRPr="00DF0680">
        <w:fldChar w:fldCharType="begin" w:fldLock="1"/>
      </w:r>
      <w:r w:rsidR="00724E72" w:rsidRPr="00DF0680">
        <w:instrText>ADDIN CSL_CITATION { "citationItems" : [ { "id" : "ITEM-1", "itemData" : { "DOI" : "10.1016/j.dnarep.2012.05.001", "ISSN" : "1568-7856", "PMID" : "22633600", "abstract" : "RECQL5 is one of the five human RecQ helicases, involved in the maintenance of genomic integrity. While much insight has been gained into the function of the Werner (WRN) and Bloom syndrome proteins (BLM), little is known about RECQL5. We have analyzed the recruitment and retention dynamics of RECQL5 at laser-induced DNA double strand breaks (DSBs) relative to other human RecQ helicases. RECQL5-depleted cells accumulate persistent 53BP1 foci followed by \u03b3-irradiation, indicating a potential role of RECQL5 in the processing of DSBs. Real time imaging of live cells using confocal laser microscopy shows that RECQL5 is recruited early to laser-induced DSBs and remains for a shorter duration than BLM and WRN, but persist longer than RECQL4. These studies illustrate the differential involvement of RecQ helicases in the DSB repair process. Mapping of domains within RECQL5 that are necessary for recruitment to DSBs revealed that both the helicase and KIX domains are required for DNA damage recognition and stable association of RECQL5 to the DSB sites. Previous studies have shown that MRE11 is essential for the recruitment of RECQL5 to the DSB sites. Here we show that the recruitment of RECQL5 does not depend on the exonuclease activity of MRE11 or on active transcription by RNA polymerase II, one of the prominent interacting partners of RECQL5. Also, the recruitment of RECQL5 to laser-induced damage sites is independent of the presence of other DNA damage signaling and repair proteins BLM, WRN and ATM.", "author" : [ { "dropping-particle" : "", "family" : "Popuri", "given" : "Venkateswarlu", "non-dropping-particle" : "", "parse-names" : false, "suffix" : "" }, { "dropping-particle" : "", "family" : "Ramamoorthy", "given" : "Mahesh", "non-dropping-particle" : "", "parse-names" : false, "suffix" : "" }, { "dropping-particle" : "", "family" : "Tadokoro", "given" : "Takashi", "non-dropping-particle" : "", "parse-names" : false, "suffix" : "" }, { "dropping-particle" : "", "family" : "Singh", "given" : "Dharmendra Kumar", "non-dropping-particle" : "", "parse-names" : false, "suffix" : "" }, { "dropping-particle" : "", "family" : "Karmakar", "given" : "Parimal", "non-dropping-particle" : "", "parse-names" : false, "suffix" : "" }, { "dropping-particle" : "", "family" : "Croteau", "given" : "Deborah L", "non-dropping-particle" : "", "parse-names" : false, "suffix" : "" }, { "dropping-particle" : "", "family" : "Bohr", "given" : "Vilhelm a", "non-dropping-particle" : "", "parse-names" : false, "suffix" : "" } ], "container-title" : "DNA Repair", "id" : "ITEM-1", "issue" : "7", "issued" : { "date-parts" : [ [ "2012", "7", "1" ] ] }, "page" : "624-35", "publisher" : "Elsevier B.V.", "title" : "Recruitment and retention dynamics of RECQL5 at DNA double strand break sites.", "type" : "article-journal", "volume" : "11" }, "uris" : [ "http://www.mendeley.com/documents/?uuid=e77c3c40-dad5-440c-a1b9-2f425259d77c" ] } ], "mendeley" : { "formattedCitation" : "(Popuri et al. 2012b)", "plainTextFormattedCitation" : "(Popuri et al. 2012b)", "previouslyFormattedCitation" : "(Popuri et al. 2012b)" }, "properties" : { "noteIndex" : 0 }, "schema" : "https://github.com/citation-style-language/schema/raw/master/csl-citation.json" }</w:instrText>
      </w:r>
      <w:r w:rsidR="00F20EC0" w:rsidRPr="00DF0680">
        <w:fldChar w:fldCharType="separate"/>
      </w:r>
      <w:r w:rsidR="00EA1B48" w:rsidRPr="00DF0680">
        <w:t>(Popuri et al. 2012b)</w:t>
      </w:r>
      <w:r w:rsidR="00F20EC0" w:rsidRPr="00DF0680">
        <w:fldChar w:fldCharType="end"/>
      </w:r>
      <w:r w:rsidRPr="00DF0680">
        <w:t>. It may be that RECQL5’s role at these sites is to inhib</w:t>
      </w:r>
      <w:r w:rsidR="006F475F" w:rsidRPr="00DF0680">
        <w:t>it</w:t>
      </w:r>
      <w:r w:rsidRPr="00DF0680">
        <w:t xml:space="preserve"> repair by homologous recombination and </w:t>
      </w:r>
      <w:r w:rsidR="006F475F" w:rsidRPr="00DF0680">
        <w:t xml:space="preserve">inhibit </w:t>
      </w:r>
      <w:r w:rsidRPr="00DF0680">
        <w:t xml:space="preserve">crossovers by promoting alternative repair by synthesis-dependent strand annealing (SDSA) </w:t>
      </w:r>
      <w:r w:rsidR="00F20EC0" w:rsidRPr="00DF0680">
        <w:fldChar w:fldCharType="begin" w:fldLock="1"/>
      </w:r>
      <w:r w:rsidR="00332613" w:rsidRPr="00DF0680">
        <w:instrText>ADDIN CSL_CITATION { "citationItems" : [ { "id" : "ITEM-1", "itemData" : { "DOI" : "10.1093/nar/gkt1263", "ISSN" : "1362-4962", "PMID" : "24319145", "abstract" : "Most mitotic homologous recombination (HR) events proceed via a synthesis-dependent strand annealing mechanism to avoid crossing over, which may give rise to chromosomal rearrangements and loss of heterozygosity. The molecular mechanisms controlling HR sub-pathway choice are poorly understood. Here, we show that human RECQ5, a DNA helicase that can disrupt RAD51 nucleoprotein filaments, promotes formation of non-crossover products during DNA double-strand break-induced HR and counteracts the inhibitory effect of RAD51 on RAD52-mediated DNA annealing in vitro and in vivo. Moreover, we demonstrate that RECQ5 deficiency is associated with an increased occupancy of RAD51 at a double-strand break site, and it also causes an elevation of sister chromatid exchanges on inactivation of the Holliday junction dissolution pathway or on induction of a high load of DNA damage in the cell. Collectively, our findings suggest that RECQ5 acts during the post-synaptic phase of synthesis-dependent strand annealing to prevent formation of aberrant RAD51 filaments on the extended invading strand, thus limiting its channeling into potentially hazardous crossover pathway of HR.", "author" : [ { "dropping-particle" : "", "family" : "Paliwal", "given" : "Shreya", "non-dropping-particle" : "", "parse-names" : false, "suffix" : "" }, { "dropping-particle" : "", "family" : "Kanagaraj", "given" : "Radhakrishnan", "non-dropping-particle" : "", "parse-names" : false, "suffix" : "" }, { "dropping-particle" : "", "family" : "Sturzenegger", "given" : "Andreas", "non-dropping-particle" : "", "parse-names" : false, "suffix" : "" }, { "dropping-particle" : "", "family" : "Burdova", "given" : "Kamila", "non-dropping-particle" : "", "parse-names" : false, "suffix" : "" }, { "dropping-particle" : "", "family" : "Janscak", "given" : "Pavel", "non-dropping-particle" : "", "parse-names" : false, "suffix" : "" } ], "container-title" : "Nucleic Acids Research", "id" : "ITEM-1", "issue" : "4", "issued" : { "date-parts" : [ [ "2013", "12", "6" ] ] }, "page" : "2380-90", "title" : "Human RECQ5 helicase promotes repair of DNA double-strand breaks by synthesis-dependent strand annealing.", "type" : "article-journal", "volume" : "42" }, "uris" : [ "http://www.mendeley.com/documents/?uuid=9756a8b4-6ceb-49b9-a51d-9f3ade3d9007" ] } ], "mendeley" : { "formattedCitation" : "(Paliwal et al. 2013)", "plainTextFormattedCitation" : "(Paliwal et al. 2013)", "previouslyFormattedCitation" : "(Paliwal et al. 2013)" }, "properties" : { "noteIndex" : 0 }, "schema" : "https://github.com/citation-style-language/schema/raw/master/csl-citation.json" }</w:instrText>
      </w:r>
      <w:r w:rsidR="00F20EC0" w:rsidRPr="00DF0680">
        <w:fldChar w:fldCharType="separate"/>
      </w:r>
      <w:r w:rsidRPr="00DF0680">
        <w:t>(Paliwal et al. 2013)</w:t>
      </w:r>
      <w:r w:rsidR="00F20EC0" w:rsidRPr="00DF0680">
        <w:fldChar w:fldCharType="end"/>
      </w:r>
      <w:r w:rsidRPr="00DF0680">
        <w:t xml:space="preserve">. </w:t>
      </w:r>
    </w:p>
    <w:p w:rsidR="000627AA" w:rsidRPr="00DF0680" w:rsidRDefault="000627AA" w:rsidP="000627AA">
      <w:r w:rsidRPr="00DF0680">
        <w:t xml:space="preserve">This also could be when a role for MRE11 becomes important. MRE11 is required for the recruitment of RECQL5 to sites of DSBs </w:t>
      </w:r>
      <w:r w:rsidR="00F20EC0" w:rsidRPr="00DF0680">
        <w:fldChar w:fldCharType="begin" w:fldLock="1"/>
      </w:r>
      <w:r w:rsidR="00332613" w:rsidRPr="00DF0680">
        <w:instrText>ADDIN CSL_CITATION { "citationItems" : [ { "id" : "ITEM-1", "itemData" : { "DOI" : "10.1093/nar/gkp147", "ISSN" : "1362-4962", "PMID" : "19270065", "abstract" : "RECQ5 DNA helicase suppresses homologous recombination (HR) possibly through disruption of RAD51 filaments. Here, we show that RECQ5 is constitutively associated with the MRE11-RAD50-NBS1 (MRN) complex, a primary sensor of DNA double-strand breaks (DSBs) that promotes DSB repair and regulates DNA damage signaling via activation of the ATM kinase. Experiments with purified proteins indicated that RECQ5 interacts with the MRN complex through both MRE11 and NBS1. Functional assays revealed that RECQ5 specifically inhibited the 3'--&gt;5' exonuclease activity of MRE11, while MRN had no effect on the helicase activity of RECQ5. At the cellular level, we observed that the MRN complex was required for the recruitment of RECQ5 to sites of DNA damage. Accumulation of RECQ5 at DSBs was neither dependent on MDC1 that mediates binding of MRN to DSB-flanking chromatin nor on CtIP that acts in conjunction with MRN to promote resection of DSBs for repair by HR. Collectively, these data suggest that the MRN complex recruits RECQ5 to sites of DNA damage to regulate DNA repair.", "author" : [ { "dropping-particle" : "", "family" : "Zheng", "given" : "Lu", "non-dropping-particle" : "", "parse-names" : false, "suffix" : "" }, { "dropping-particle" : "", "family" : "Kanagaraj", "given" : "Radhakrishnan", "non-dropping-particle" : "", "parse-names" : false, "suffix" : "" }, { "dropping-particle" : "", "family" : "Mihaljevic", "given" : "Boris", "non-dropping-particle" : "", "parse-names" : false, "suffix" : "" }, { "dropping-particle" : "", "family" : "Schwendener", "given" : "Sybille", "non-dropping-particle" : "", "parse-names" : false, "suffix" : "" }, { "dropping-particle" : "", "family" : "Sartori", "given" : "Alessandro a", "non-dropping-particle" : "", "parse-names" : false, "suffix" : "" }, { "dropping-particle" : "", "family" : "Gerrits", "given" : "Bertran", "non-dropping-particle" : "", "parse-names" : false, "suffix" : "" }, { "dropping-particle" : "", "family" : "Shevelev", "given" : "Igor", "non-dropping-particle" : "", "parse-names" : false, "suffix" : "" }, { "dropping-particle" : "", "family" : "Janscak", "given" : "Pavel", "non-dropping-particle" : "", "parse-names" : false, "suffix" : "" } ], "container-title" : "Nucleic Acids Research", "id" : "ITEM-1", "issue" : "8", "issued" : { "date-parts" : [ [ "2009", "5" ] ] }, "page" : "2645-57", "title" : "MRE11 complex links RECQ5 helicase to sites of DNA damage.", "type" : "article-journal", "volume" : "37" }, "uris" : [ "http://www.mendeley.com/documents/?uuid=1d2d60df-0a93-460f-abb4-64ead233ffa9" ] } ], "mendeley" : { "formattedCitation" : "(Zheng et al. 2009)", "plainTextFormattedCitation" : "(Zheng et al. 2009)", "previouslyFormattedCitation" : "(Zheng et al. 2009)" }, "properties" : { "noteIndex" : 0 }, "schema" : "https://github.com/citation-style-language/schema/raw/master/csl-citation.json" }</w:instrText>
      </w:r>
      <w:r w:rsidR="00F20EC0" w:rsidRPr="00DF0680">
        <w:fldChar w:fldCharType="separate"/>
      </w:r>
      <w:r w:rsidRPr="00DF0680">
        <w:t>(Zheng et al. 2009)</w:t>
      </w:r>
      <w:r w:rsidR="00F20EC0" w:rsidRPr="00DF0680">
        <w:fldChar w:fldCharType="end"/>
      </w:r>
      <w:r w:rsidRPr="00DF0680">
        <w:t xml:space="preserve">. In the bladder cancer data, when there are high levels of MRE11 </w:t>
      </w:r>
      <w:r w:rsidR="006F475F" w:rsidRPr="00DF0680">
        <w:t xml:space="preserve">mRNA </w:t>
      </w:r>
      <w:r w:rsidRPr="00DF0680">
        <w:t xml:space="preserve">expression, there is increased RECQL5 </w:t>
      </w:r>
      <w:r w:rsidR="006F475F" w:rsidRPr="00DF0680">
        <w:t xml:space="preserve">mRNA </w:t>
      </w:r>
      <w:r w:rsidRPr="00DF0680">
        <w:t xml:space="preserve">in normal bladder samples. Here, we have shown that in low MRE11 </w:t>
      </w:r>
      <w:r w:rsidR="006F475F" w:rsidRPr="00DF0680">
        <w:t xml:space="preserve">mRNA </w:t>
      </w:r>
      <w:r w:rsidRPr="00DF0680">
        <w:t xml:space="preserve">expressing samples, there is no difference between RECQL5 </w:t>
      </w:r>
      <w:r w:rsidR="006F475F" w:rsidRPr="00DF0680">
        <w:t>mRNA</w:t>
      </w:r>
      <w:r w:rsidRPr="00DF0680">
        <w:t xml:space="preserve"> levels between normal and cancerous bladder tissue (</w:t>
      </w:r>
      <w:r w:rsidR="00F20EC0" w:rsidRPr="00DF0680">
        <w:fldChar w:fldCharType="begin"/>
      </w:r>
      <w:r w:rsidR="006F475F" w:rsidRPr="00DF0680">
        <w:instrText xml:space="preserve"> REF _Ref419551052 \h </w:instrText>
      </w:r>
      <w:r w:rsidR="00F20EC0" w:rsidRPr="00DF0680">
        <w:fldChar w:fldCharType="separate"/>
      </w:r>
      <w:r w:rsidR="009801AF" w:rsidRPr="00DF0680">
        <w:t>Figure 6.3</w:t>
      </w:r>
      <w:r w:rsidR="00F20EC0" w:rsidRPr="00DF0680">
        <w:fldChar w:fldCharType="end"/>
      </w:r>
      <w:r w:rsidRPr="00DF0680">
        <w:t xml:space="preserve">). This could mean that RECQL5 </w:t>
      </w:r>
      <w:r w:rsidR="006F475F" w:rsidRPr="00DF0680">
        <w:t xml:space="preserve">mRNA </w:t>
      </w:r>
      <w:r w:rsidRPr="00DF0680">
        <w:t xml:space="preserve">requires MRE11 </w:t>
      </w:r>
      <w:r w:rsidR="006F475F" w:rsidRPr="00DF0680">
        <w:t xml:space="preserve">mRNA </w:t>
      </w:r>
      <w:r w:rsidRPr="00DF0680">
        <w:t xml:space="preserve">expression to function and provide genomic stability, </w:t>
      </w:r>
      <w:r w:rsidR="006F475F" w:rsidRPr="00DF0680">
        <w:t>although how this works at a protein level is yet to be investigated</w:t>
      </w:r>
      <w:r w:rsidRPr="00DF0680">
        <w:t xml:space="preserve">. </w:t>
      </w:r>
    </w:p>
    <w:p w:rsidR="000627AA" w:rsidRPr="00DF0680" w:rsidRDefault="000627AA" w:rsidP="00E664FC">
      <w:pPr>
        <w:pStyle w:val="Heading2"/>
      </w:pPr>
      <w:bookmarkStart w:id="826" w:name="_Toc409182514"/>
      <w:bookmarkStart w:id="827" w:name="_Toc417204228"/>
      <w:bookmarkStart w:id="828" w:name="_Toc417204761"/>
      <w:bookmarkStart w:id="829" w:name="_Toc417204821"/>
      <w:r w:rsidRPr="00DF0680">
        <w:lastRenderedPageBreak/>
        <w:t>RECQL5 in S phase</w:t>
      </w:r>
      <w:bookmarkEnd w:id="826"/>
      <w:bookmarkEnd w:id="827"/>
      <w:bookmarkEnd w:id="828"/>
      <w:bookmarkEnd w:id="829"/>
      <w:r w:rsidRPr="00DF0680">
        <w:t xml:space="preserve"> </w:t>
      </w:r>
    </w:p>
    <w:p w:rsidR="000627AA" w:rsidRPr="00DF0680" w:rsidRDefault="000627AA" w:rsidP="000627AA">
      <w:r w:rsidRPr="00DF0680">
        <w:t>We have shown that cells depleted of RECQL5 have a defective S phase checkpoint response in thymidine induced replication stress (Figure 5.11). Previous work has shown that RECQL5 form</w:t>
      </w:r>
      <w:r w:rsidR="006F475F" w:rsidRPr="00DF0680">
        <w:t>s</w:t>
      </w:r>
      <w:r w:rsidRPr="00DF0680">
        <w:t xml:space="preserve"> foci in S phase, and over-expressing the protein allows bypass of thymidine-induced S phase arrest </w:t>
      </w:r>
      <w:r w:rsidR="00F20EC0" w:rsidRPr="00DF0680">
        <w:fldChar w:fldCharType="begin" w:fldLock="1"/>
      </w:r>
      <w:r w:rsidR="00332613" w:rsidRPr="00DF0680">
        <w:instrText>ADDIN CSL_CITATION { "citationItems" : [ { "id" : "ITEM-1", "itemData" : { "DOI" : "10.1016/j.dnarep.2010.06.009", "ISSN" : "1568-7856", "PMID" : "20643585", "abstract" : "Accurate DNA replication is essential to genome integrity and is controlled by five human RecQ helicases, of which at least three prevent cancer and ageing. Here, we have studied the role of RECQL5, which is the least characterised of the five human RecQ helicases. We demonstrate that overexpressed RECQL5 promotes survival during thymidine-induced slowing of replication forks in human cells. The RECQL5 protein relocates specifically to stalled replication forks and suppresses thymidine-induced RPA foci, CHK1 signalling, homologous recombination and gammaH2AX activation. It is unlikely that RECQL5 promotes survival through translesion synthesis as PCNA ubiquitylation is also reduced. Interestingly, we also found that overexpressing RECQL5 relieves cells of the cell cycle arrest normally imposed by thymidine, but without causing mutations. In conclusion, we propose that RECQL5 stabilises the replication fork allowing replication to overcome the effects of thymidine and complete the cell cycle.", "author" : [ { "dropping-particle" : "", "family" : "Blundred", "given" : "Rachel", "non-dropping-particle" : "", "parse-names" : false, "suffix" : "" }, { "dropping-particle" : "", "family" : "Myers", "given" : "Katie", "non-dropping-particle" : "", "parse-names" : false, "suffix" : "" }, { "dropping-particle" : "", "family" : "Helleday", "given" : "Thomas", "non-dropping-particle" : "", "parse-names" : false, "suffix" : "" }, { "dropping-particle" : "", "family" : "Goldman", "given" : "Alastair S H", "non-dropping-particle" : "", "parse-names" : false, "suffix" : "" }, { "dropping-particle" : "", "family" : "Bryant", "given" : "Helen E", "non-dropping-particle" : "", "parse-names" : false, "suffix" : "" } ], "container-title" : "DNA Repair", "id" : "ITEM-1", "issue" : "9", "issued" : { "date-parts" : [ [ "2010", "9", "4" ] ] }, "page" : "964-75", "publisher" : "Elsevier B.V.", "title" : "Human RECQL5 overcomes thymidine-induced replication stress.", "type" : "article-journal", "volume" : "9" }, "uris" : [ "http://www.mendeley.com/documents/?uuid=ff4f8a47-f854-4c78-9a0a-5fc009ca5d91" ] } ], "mendeley" : { "formattedCitation" : "(Blundred et al. 2010)", "plainTextFormattedCitation" : "(Blundred et al. 2010)", "previouslyFormattedCitation" : "(Blundred et al. 2010)" }, "properties" : { "noteIndex" : 0 }, "schema" : "https://github.com/citation-style-language/schema/raw/master/csl-citation.json" }</w:instrText>
      </w:r>
      <w:r w:rsidR="00F20EC0" w:rsidRPr="00DF0680">
        <w:fldChar w:fldCharType="separate"/>
      </w:r>
      <w:r w:rsidRPr="00DF0680">
        <w:t>(Blundred et al. 2010)</w:t>
      </w:r>
      <w:r w:rsidR="00F20EC0" w:rsidRPr="00DF0680">
        <w:fldChar w:fldCharType="end"/>
      </w:r>
      <w:r w:rsidRPr="00DF0680">
        <w:t xml:space="preserve">. </w:t>
      </w:r>
      <w:r w:rsidR="006F475F" w:rsidRPr="00DF0680">
        <w:t>In contrast</w:t>
      </w:r>
      <w:r w:rsidRPr="00DF0680">
        <w:t xml:space="preserve"> with this, here it is shown that depleting RECQL5 in the same cell line reduces the S-phase arrest seen when cells are treated with thymidine. If RECQL5 is promoting a specific repair pathway and inhibiting another, perhaps having an excess of RECQL5 allows cells to repair damage more quickly using that particular promoted pathway. On the other hand, if RECQL5 is depleted, there may be no inhibition to the competing pathway, allowing cells to repair more quickly and progress through S phase. When there are endogenous levels of RECQL5 in wild-type cells, </w:t>
      </w:r>
      <w:r w:rsidR="006F475F" w:rsidRPr="00DF0680">
        <w:t>the cell</w:t>
      </w:r>
      <w:r w:rsidRPr="00DF0680">
        <w:t xml:space="preserve"> may progress through S phase slower during arrest, </w:t>
      </w:r>
      <w:r w:rsidR="006F475F" w:rsidRPr="00DF0680">
        <w:t>using a slower repair pathway</w:t>
      </w:r>
      <w:r w:rsidRPr="00DF0680">
        <w:t>.</w:t>
      </w:r>
    </w:p>
    <w:p w:rsidR="000627AA" w:rsidRPr="00DF0680" w:rsidRDefault="000627AA" w:rsidP="00E664FC">
      <w:pPr>
        <w:pStyle w:val="Heading2"/>
      </w:pPr>
      <w:bookmarkStart w:id="830" w:name="_Toc409182515"/>
      <w:bookmarkStart w:id="831" w:name="_Toc417204229"/>
      <w:bookmarkStart w:id="832" w:name="_Toc417204762"/>
      <w:bookmarkStart w:id="833" w:name="_Toc417204822"/>
      <w:r w:rsidRPr="00DF0680">
        <w:t>RECQL5 at the replication fork</w:t>
      </w:r>
      <w:bookmarkEnd w:id="830"/>
      <w:bookmarkEnd w:id="831"/>
      <w:bookmarkEnd w:id="832"/>
      <w:bookmarkEnd w:id="833"/>
    </w:p>
    <w:p w:rsidR="000627AA" w:rsidRPr="00DF0680" w:rsidRDefault="000627AA" w:rsidP="000627AA">
      <w:r w:rsidRPr="00DF0680">
        <w:t xml:space="preserve">The novel work here has shown that over-expressing RECQL5β increases replication speed but that depleting cells of RECQL5 using siRNA does not affect replication fork dynamics (Figure 4.1 – 4.5). Bloom Syndrome cells and Werner Syndrome cells do show slower endogenous fork speed but it difficult to interpret the level of BLM and WRN deficiency and whether this is to the same extent as siRNA </w:t>
      </w:r>
      <w:r w:rsidR="00F20EC0" w:rsidRPr="00DF0680">
        <w:fldChar w:fldCharType="begin" w:fldLock="1"/>
      </w:r>
      <w:r w:rsidR="00332613" w:rsidRPr="00DF0680">
        <w:instrText>ADDIN CSL_CITATION { "citationItems" : [ { "id" : "ITEM-1", "itemData" : { "DOI" : "10.1158/1541-7786.MCR-07-0028", "ISBN" : "3014965944", "ISSN" : "1541-7786", "PMID" : "17634426", "abstract" : "The Bloom syndrome helicase (BLM) is critical for genomic stability. A defect in BLM activity results in the cancer-predisposing Bloom syndrome (BS). Here, we report that BLM-deficient cell lines and primary fibroblasts display an endogenously activated DNA double-strand break checkpoint response with prominent levels of phosphorylated histone H2AX (gamma-H2AX), Chk2 (p(T68)Chk2), and ATM (p(S1981)ATM) colocalizing in nuclear foci. Interestingly, the mitotic fraction of gamma-H2AX foci did not seem to be higher in BLM-deficient cells, indicating that these lesions form transiently during interphase. Pulse labeling with iododeoxyuridine and immunofluorescence microscopy showed the colocalization of gamma-H2AX, ATM, and Chk2 together with replication foci. Those foci costained for Rad51, indicating homologous recombination at these replication sites. We therefore analyzed replication in BS cells using a single molecule approach on combed DNA fibers. In addition to a higher frequency of replication fork barriers, BS cells displayed a reduced average fork velocity and global reduction of interorigin distances indicative of an elevated frequency of origin firing. Because BS is one of the most penetrant cancer-predisposing hereditary diseases, it is likely that the lack of BLM engages the cells in a situation similar to precancerous tissues with replication stress. To our knowledge, this is the first report of high ATM-Chk2 kinase activation and its linkage to replication defects in a BS model.", "author" : [ { "dropping-particle" : "", "family" : "Rao", "given" : "V Ashutosh", "non-dropping-particle" : "", "parse-names" : false, "suffix" : "" }, { "dropping-particle" : "", "family" : "Conti", "given" : "Chiara", "non-dropping-particle" : "", "parse-names" : false, "suffix" : "" }, { "dropping-particle" : "", "family" : "Guirouilh-Barbat", "given" : "Josee", "non-dropping-particle" : "", "parse-names" : false, "suffix" : "" }, { "dropping-particle" : "", "family" : "Nakamura", "given" : "Asako", "non-dropping-particle" : "", "parse-names" : false, "suffix" : "" }, { "dropping-particle" : "", "family" : "Miao", "given" : "Ze-Hong", "non-dropping-particle" : "", "parse-names" : false, "suffix" : "" }, { "dropping-particle" : "", "family" : "Davies", "given" : "Sally L", "non-dropping-particle" : "", "parse-names" : false, "suffix" : "" }, { "dropping-particle" : "", "family" : "Sacc\u00e1", "given" : "Barbara", "non-dropping-particle" : "", "parse-names" : false, "suffix" : "" }, { "dropping-particle" : "", "family" : "Hickson", "given" : "Ian D", "non-dropping-particle" : "", "parse-names" : false, "suffix" : "" }, { "dropping-particle" : "", "family" : "Bensimon", "given" : "Aaron", "non-dropping-particle" : "", "parse-names" : false, "suffix" : "" }, { "dropping-particle" : "", "family" : "Pommier", "given" : "Yves", "non-dropping-particle" : "", "parse-names" : false, "suffix" : "" } ], "container-title" : "Molecular Cancer Research", "id" : "ITEM-1", "issue" : "7", "issued" : { "date-parts" : [ [ "2007", "7" ] ] }, "page" : "713-24", "title" : "Endogenous gamma-H2AX-ATM-Chk2 checkpoint activation in Bloom's syndrome helicase deficient cells is related to DNA replication arrested forks.", "type" : "article-journal", "volume" : "5" }, "uris" : [ "http://www.mendeley.com/documents/?uuid=ae58f9bc-cd4a-4849-a1bb-b657469c1ba7" ] }, { "id" : "ITEM-2", "itemData" : { "author" : [ { "dropping-particle" : "", "family" : "Rodr\u00edguez-L\u00f3pez", "given" : "Ana M", "non-dropping-particle" : "", "parse-names" : false, "suffix" : "" }, { "dropping-particle" : "", "family" : "Jackson", "given" : "Dean A", "non-dropping-particle" : "", "parse-names" : false, "suffix" : "" }, { "dropping-particle" : "", "family" : "Iborra", "given" : "Francisco", "non-dropping-particle" : "", "parse-names" : false, "suffix" : "" }, { "dropping-particle" : "", "family" : "Cox", "given" : "Lynne S", "non-dropping-particle" : "", "parse-names" : false, "suffix" : "" } ], "container-title" : "Aging Cell", "id" : "ITEM-2", "issue" : "1", "issued" : { "date-parts" : [ [ "2002" ] ] }, "page" : "30-39", "title" : "Asymmetry of DNA replication fork progression in Werner\u2019s syndrome", "type" : "article-journal", "volume" : "1" }, "uris" : [ "http://www.mendeley.com/documents/?uuid=ecb57a06-0a76-4e89-b16d-46545149ff0b" ] } ], "mendeley" : { "formattedCitation" : "(Rao et al. 2007; Rodr\u00edguez-L\u00f3pez et al. 2002)", "plainTextFormattedCitation" : "(Rao et al. 2007; Rodr\u00edguez-L\u00f3pez et al. 2002)", "previouslyFormattedCitation" : "(Rao et al. 2007; Rodr\u00edguez-L\u00f3pez et al. 2002)" }, "properties" : { "noteIndex" : 0 }, "schema" : "https://github.com/citation-style-language/schema/raw/master/csl-citation.json" }</w:instrText>
      </w:r>
      <w:r w:rsidR="00F20EC0" w:rsidRPr="00DF0680">
        <w:fldChar w:fldCharType="separate"/>
      </w:r>
      <w:r w:rsidR="00DA6E78" w:rsidRPr="00DF0680">
        <w:t>(Rao et al. 2007; Rodríguez-López et al. 2002)</w:t>
      </w:r>
      <w:r w:rsidR="00F20EC0" w:rsidRPr="00DF0680">
        <w:fldChar w:fldCharType="end"/>
      </w:r>
      <w:r w:rsidRPr="00DF0680">
        <w:t xml:space="preserve">. The over-expressing cells’ increased fork speed was </w:t>
      </w:r>
      <w:r w:rsidR="006F475F" w:rsidRPr="00DF0680">
        <w:t>brought back to normal levels</w:t>
      </w:r>
      <w:r w:rsidRPr="00DF0680">
        <w:t xml:space="preserve"> with siRNA (Figure 4.2) implying that it is a direct effect of RECQL5 rather than any gene expression changes but the experiment was not </w:t>
      </w:r>
      <w:r w:rsidR="006F475F" w:rsidRPr="00DF0680">
        <w:t xml:space="preserve">performed </w:t>
      </w:r>
      <w:r w:rsidRPr="00DF0680">
        <w:t>on the drug treated samples so there is still work to be done if protection of replication / transcription stress induced fork slowing is to be confirmed as a direct RECQL5 effect. Although the endogenous fork speed may be explained through increased XRCC1 and PARP1 removing any endogenous single strand breaks, the fork speed changes when tra</w:t>
      </w:r>
      <w:r w:rsidR="00FA00E0" w:rsidRPr="00DF0680">
        <w:t>nscription is inhibited suggest</w:t>
      </w:r>
      <w:r w:rsidRPr="00DF0680">
        <w:t xml:space="preserve"> a role at the transcription / replication boundary.</w:t>
      </w:r>
    </w:p>
    <w:p w:rsidR="000627AA" w:rsidRPr="00DF0680" w:rsidRDefault="000627AA" w:rsidP="006F475F">
      <w:pPr>
        <w:pStyle w:val="Heading2"/>
      </w:pPr>
      <w:bookmarkStart w:id="834" w:name="_Toc409182516"/>
      <w:bookmarkStart w:id="835" w:name="_Toc417204230"/>
      <w:bookmarkStart w:id="836" w:name="_Toc417204763"/>
      <w:bookmarkStart w:id="837" w:name="_Toc417204823"/>
      <w:r w:rsidRPr="00DF0680">
        <w:t>RECQL5 and transcription</w:t>
      </w:r>
      <w:bookmarkEnd w:id="834"/>
      <w:bookmarkEnd w:id="835"/>
      <w:bookmarkEnd w:id="836"/>
      <w:bookmarkEnd w:id="837"/>
    </w:p>
    <w:p w:rsidR="000627AA" w:rsidRPr="00DF0680" w:rsidRDefault="000627AA" w:rsidP="000627AA">
      <w:r w:rsidRPr="00DF0680">
        <w:t xml:space="preserve">It is well established that RECQL5 binds to </w:t>
      </w:r>
      <w:r w:rsidR="00577EA5" w:rsidRPr="00DF0680">
        <w:t>RNA Pol II</w:t>
      </w:r>
      <w:r w:rsidRPr="00DF0680">
        <w:t xml:space="preserve"> </w:t>
      </w:r>
      <w:r w:rsidR="00F20EC0" w:rsidRPr="00DF0680">
        <w:fldChar w:fldCharType="begin" w:fldLock="1"/>
      </w:r>
      <w:r w:rsidR="00332613" w:rsidRPr="00DF0680">
        <w:instrText>ADDIN CSL_CITATION { "citationItems" : [ { "id" : "ITEM-1", "itemData" : { "DOI" : "10.1074/jbc.M109.015750", "ISBN" : "4420726938", "ISSN" : "0021-9258", "PMID" : "19570979", "abstract" : "DNA helicases of the RECQ family are important for maintaining genome integrity, from bacteria to humans. Although progress has been made in understanding the biochemical role of some human RECQ helicases, that of RECQL5 remains elusive. We recently reported that RECQL5 interacts with RNA polymerase II (RNAPII), pointing to a role for the protein in transcription. Here, we show that RECQL5 inhibits both initiation and elongation in transcription assays reconstituted with highly purified general transcription factors and RNAPII. Such inhibition is not observed with the related, much more active RECQL1 helicase or with a version of RECQL5 that has normal helicase activity but is impaired in its ability to interact with RNAPII. Indeed, RECQL5 helicase activity is not required for inhibition. We discuss our findings in light of the fact that RECQ5(-/-) mice have elevated levels of DNA recombination and a higher incidence of cancer.", "author" : [ { "dropping-particle" : "", "family" : "Ayg\u00fcn", "given" : "Ozan", "non-dropping-particle" : "", "parse-names" : false, "suffix" : "" }, { "dropping-particle" : "", "family" : "Xu", "given" : "Xiaohua", "non-dropping-particle" : "", "parse-names" : false, "suffix" : "" }, { "dropping-particle" : "", "family" : "Liu", "given" : "Yilun", "non-dropping-particle" : "", "parse-names" : false, "suffix" : "" }, { "dropping-particle" : "", "family" : "Takahashi", "given" : "Hidehisa", "non-dropping-particle" : "", "parse-names" : false, "suffix" : "" }, { "dropping-particle" : "", "family" : "Kong", "given" : "Stephanie E", "non-dropping-particle" : "", "parse-names" : false, "suffix" : "" }, { "dropping-particle" : "", "family" : "Conaway", "given" : "Ronald C", "non-dropping-particle" : "", "parse-names" : false, "suffix" : "" }, { "dropping-particle" : "", "family" : "Conaway", "given" : "Joan W", "non-dropping-particle" : "", "parse-names" : false, "suffix" : "" }, { "dropping-particle" : "", "family" : "Svejstrup", "given" : "Jesper Q", "non-dropping-particle" : "", "parse-names" : false, "suffix" : "" } ], "container-title" : "The Journal of Biological Chemistry", "id" : "ITEM-1", "issue" : "35", "issued" : { "date-parts" : [ [ "2009", "8", "28" ] ] }, "page" : "23197-203", "title" : "Direct inhibition of RNA polymerase II transcription by RECQL5.", "type" : "article-journal", "volume" : "284" }, "uris" : [ "http://www.mendeley.com/documents/?uuid=0cbdd15c-30e6-4120-a668-e55d5db9f8fb" ] }, { "id" : "ITEM-2", "itemData" : { "DOI" : "10.1128/MCB.01137-10", "ISSN" : "1098-5549", "PMID" : "21402780", "abstract" : "The conserved RECQ5 DNA helicase is a tumor suppressor in mammalian cells. Defects in RECQ5 lead to the accumulation of spontaneous DNA double-stranded breaks (DSBs) during replication, despite the fact that these cells are proficient in DSB repair by homologous recombination (HR). The reason for this is unknown. Here, we demonstrate that these DSBs are linked to RNA polymerase II (RNAPII)-dependent transcription. In human RECQ5-depleted cells, active RNAPII accumulates on chromatin, and DNA breaks are associated with an RNAPII-dependent transcribed locus. Hence, transcription inhibition eliminates both active RNAPII and spontaneous DSB formation. In addition, the regulatory effect of RECQ5 on transcription and its interaction with RNAPII are enhanced in S-phase cells, supporting a role for RECQ5 in preventing transcription-associated DSBs during replication. Finally, we show that the SET2-RPB1 interaction (SRI) domain of human RECQ5 is important for suppressing spontaneous DSBs and the p53-dependent transcription stress response caused by the stalling of active RNAPII on DNA. Thus, our studies provide novel insights into a mechanism by which RECQ5 regulates the transcription machinery via its dynamic interaction with RNAPII, thereby preventing genome instability.", "author" : [ { "dropping-particle" : "", "family" : "Li", "given" : "Min", "non-dropping-particle" : "", "parse-names" : false, "suffix" : "" }, { "dropping-particle" : "", "family" : "Xu", "given" : "Xiaohua", "non-dropping-particle" : "", "parse-names" : false, "suffix" : "" }, { "dropping-particle" : "", "family" : "Liu", "given" : "Yilun", "non-dropping-particle" : "", "parse-names" : false, "suffix" : "" } ], "container-title" : "Molecular and Cellular Biology", "id" : "ITEM-2", "issue" : "10", "issued" : { "date-parts" : [ [ "2011", "5" ] ] }, "page" : "2090-9", "title" : "The SET2-RPB1 interaction domain of human RECQ5 is important for transcription-associated genome stability.", "type" : "article-journal", "volume" : "31" }, "uris" : [ "http://www.mendeley.com/documents/?uuid=d85024d5-b596-4ac4-bbf7-6e648a3c5bef" ] }, { "id" : "ITEM-3", "itemData" : { "DOI" : "10.1073/pnas.0804424105", "ISSN" : "1091-6490", "PMID" : "18562274", "abstract" : "Although the active forms of factors involved in DNA-related processes such as DNA replication, repair, and transcription are associated with chromatin, proteins are rarely purified from this source. Here, we describe a protocol for the isolation of chromatin-associated factors and use it to identify proteins interacting with human RNA polymerase II (RNAPII). Our data establish RECQ5 helicase as a bona fide RNAPII-associated protein. The RECQ5-RNAPII interaction is direct and is mediated by the RPB1 subunit of RNAPII, and RECQ5 appears to be the only member of the human RECQ family of helicases that associates with RNAPII. These data suggest an unexpected role for RECQ5 helicase at the interface of transcription and genomic stability.", "author" : [ { "dropping-particle" : "", "family" : "Ayg\u00fcn", "given" : "Ozan", "non-dropping-particle" : "", "parse-names" : false, "suffix" : "" }, { "dropping-particle" : "", "family" : "Svejstrup", "given" : "Jesper", "non-dropping-particle" : "", "parse-names" : false, "suffix" : "" }, { "dropping-particle" : "", "family" : "Liu", "given" : "Yilun", "non-dropping-particle" : "", "parse-names" : false, "suffix" : "" } ], "container-title" : "Proceedings of the National Academy of Sciences", "id" : "ITEM-3", "issue" : "25", "issued" : { "date-parts" : [ [ "2008", "6", "24" ] ] }, "page" : "8580-4", "title" : "A RECQ5-RNA polymerase II association identified by targeted proteomic analysis of human chromatin.", "type" : "article-journal", "volume" : "105" }, "uris" : [ "http://www.mendeley.com/documents/?uuid=9b2350a4-753b-4c52-8b72-641f5c2a4488" ] } ], "mendeley" : { "formattedCitation" : "(Ayg\u00fcn et al. 2009; Li et al. 2011; Ayg\u00fcn et al. 2008)", "plainTextFormattedCitation" : "(Ayg\u00fcn et al. 2009; Li et al. 2011; Ayg\u00fcn et al. 2008)", "previouslyFormattedCitation" : "(Ayg\u00fcn et al. 2009; Li et al. 2011; Ayg\u00fcn et al. 2008)" }, "properties" : { "noteIndex" : 0 }, "schema" : "https://github.com/citation-style-language/schema/raw/master/csl-citation.json" }</w:instrText>
      </w:r>
      <w:r w:rsidR="00F20EC0" w:rsidRPr="00DF0680">
        <w:fldChar w:fldCharType="separate"/>
      </w:r>
      <w:r w:rsidRPr="00DF0680">
        <w:t>(Aygün et al. 2009; Li et al. 2011; Aygün et al. 2008)</w:t>
      </w:r>
      <w:r w:rsidR="00F20EC0" w:rsidRPr="00DF0680">
        <w:fldChar w:fldCharType="end"/>
      </w:r>
      <w:r w:rsidRPr="00DF0680">
        <w:t xml:space="preserve">. RECQL5 has also been shown to control transcription speed, with increased levels of RECQL5 slowing down transcription whereas decreased levels </w:t>
      </w:r>
      <w:r w:rsidRPr="00DF0680">
        <w:lastRenderedPageBreak/>
        <w:t xml:space="preserve">cause increased transcription speed </w:t>
      </w:r>
      <w:r w:rsidR="00F20EC0" w:rsidRPr="00DF0680">
        <w:fldChar w:fldCharType="begin" w:fldLock="1"/>
      </w:r>
      <w:r w:rsidR="00DA6E78" w:rsidRPr="00DF0680">
        <w:instrText>ADDIN CSL_CITATION { "citationItems" : [ { "id" : "ITEM-1", "itemData" : { "DOI" : "10.1016/j.cell.2014.03.048", "ISSN" : "1097-4172", "PMID" : "24836610", "abstract" : "RECQL5 is the sole member of the RECQ family of helicases associated with RNA polymerase II (RNAPII). We now show that RECQL5 is a general elongation factor that is important for preserving genome stability during transcription. Depletion or overexpression of RECQL5 results in corresponding shifts in the genome-wide RNAPII density profile. Elongation is particularly affected, with RECQL5 depletion causing a striking increase in the average rate, concurrent with increased stalling, pausing, arrest, and/or backtracking (transcription stress). RECQL5 therefore controls the movement of RNAPII across genes. Loss of RECQL5 also results in the loss or gain of genomic regions, with the breakpoints of lost regions located in genes and common fragile sites. The chromosomal breakpoints overlap with areas of elevated transcription stress, suggesting that RECQL5 suppresses such stress and its detrimental effects, and thereby prevents genome instability in the transcribed region of genes.", "author" : [ { "dropping-particle" : "", "family" : "Saponaro", "given" : "Marco", "non-dropping-particle" : "", "parse-names" : false, "suffix" : "" }, { "dropping-particle" : "", "family" : "Kantidakis", "given" : "Theodoros", "non-dropping-particle" : "", "parse-names" : false, "suffix" : "" }, { "dropping-particle" : "", "family" : "Mitter", "given" : "Richard", "non-dropping-particle" : "", "parse-names" : false, "suffix" : "" }, { "dropping-particle" : "", "family" : "Kelly", "given" : "Gavin P", "non-dropping-particle" : "", "parse-names" : false, "suffix" : "" }, { "dropping-particle" : "", "family" : "Heron", "given" : "Mark", "non-dropping-particle" : "", "parse-names" : false, "suffix" : "" }, { "dropping-particle" : "", "family" : "Williams", "given" : "Hannah", "non-dropping-particle" : "", "parse-names" : false, "suffix" : "" }, { "dropping-particle" : "", "family" : "S\u00f6ding", "given" : "Johannes", "non-dropping-particle" : "", "parse-names" : false, "suffix" : "" }, { "dropping-particle" : "", "family" : "Stewart", "given" : "Aengus", "non-dropping-particle" : "", "parse-names" : false, "suffix" : "" }, { "dropping-particle" : "", "family" : "Svejstrup", "given" : "Jesper Q", "non-dropping-particle" : "", "parse-names" : false, "suffix" : "" } ], "container-title" : "Cell", "id" : "ITEM-1", "issue" : "5", "issued" : { "date-parts" : [ [ "2014", "5", "14" ] ] }, "page" : "1037-1049", "title" : "RECQL5 Controls Transcript Elongation and Suppresses Genome Instability Associated with Transcription Stress.", "type" : "article-journal", "volume" : "157" }, "uris" : [ "http://www.mendeley.com/documents/?uuid=ae7d68fc-366a-46fc-ba2b-41a985d31baf" ] } ], "mendeley" : { "formattedCitation" : "(Saponaro et al. 2014)", "plainTextFormattedCitation" : "(Saponaro et al. 2014)", "previouslyFormattedCitation" : "(Saponaro et al. 2014)" }, "properties" : { "noteIndex" : 0 }, "schema" : "https://github.com/citation-style-language/schema/raw/master/csl-citation.json" }</w:instrText>
      </w:r>
      <w:r w:rsidR="00F20EC0" w:rsidRPr="00DF0680">
        <w:fldChar w:fldCharType="separate"/>
      </w:r>
      <w:r w:rsidRPr="00DF0680">
        <w:t>(Saponaro et al. 2014)</w:t>
      </w:r>
      <w:r w:rsidR="00F20EC0" w:rsidRPr="00DF0680">
        <w:fldChar w:fldCharType="end"/>
      </w:r>
      <w:r w:rsidRPr="00DF0680">
        <w:t xml:space="preserve">. RECQL5 null cells also have common chromosomal rearrangements and approximately 90% of genomic losses occurred within genes </w:t>
      </w:r>
      <w:r w:rsidR="00F20EC0" w:rsidRPr="00DF0680">
        <w:fldChar w:fldCharType="begin" w:fldLock="1"/>
      </w:r>
      <w:r w:rsidR="00DA6E78" w:rsidRPr="00DF0680">
        <w:instrText>ADDIN CSL_CITATION { "citationItems" : [ { "id" : "ITEM-1", "itemData" : { "DOI" : "10.1016/j.cell.2014.03.048", "ISSN" : "1097-4172", "PMID" : "24836610", "abstract" : "RECQL5 is the sole member of the RECQ family of helicases associated with RNA polymerase II (RNAPII). We now show that RECQL5 is a general elongation factor that is important for preserving genome stability during transcription. Depletion or overexpression of RECQL5 results in corresponding shifts in the genome-wide RNAPII density profile. Elongation is particularly affected, with RECQL5 depletion causing a striking increase in the average rate, concurrent with increased stalling, pausing, arrest, and/or backtracking (transcription stress). RECQL5 therefore controls the movement of RNAPII across genes. Loss of RECQL5 also results in the loss or gain of genomic regions, with the breakpoints of lost regions located in genes and common fragile sites. The chromosomal breakpoints overlap with areas of elevated transcription stress, suggesting that RECQL5 suppresses such stress and its detrimental effects, and thereby prevents genome instability in the transcribed region of genes.", "author" : [ { "dropping-particle" : "", "family" : "Saponaro", "given" : "Marco", "non-dropping-particle" : "", "parse-names" : false, "suffix" : "" }, { "dropping-particle" : "", "family" : "Kantidakis", "given" : "Theodoros", "non-dropping-particle" : "", "parse-names" : false, "suffix" : "" }, { "dropping-particle" : "", "family" : "Mitter", "given" : "Richard", "non-dropping-particle" : "", "parse-names" : false, "suffix" : "" }, { "dropping-particle" : "", "family" : "Kelly", "given" : "Gavin P", "non-dropping-particle" : "", "parse-names" : false, "suffix" : "" }, { "dropping-particle" : "", "family" : "Heron", "given" : "Mark", "non-dropping-particle" : "", "parse-names" : false, "suffix" : "" }, { "dropping-particle" : "", "family" : "Williams", "given" : "Hannah", "non-dropping-particle" : "", "parse-names" : false, "suffix" : "" }, { "dropping-particle" : "", "family" : "S\u00f6ding", "given" : "Johannes", "non-dropping-particle" : "", "parse-names" : false, "suffix" : "" }, { "dropping-particle" : "", "family" : "Stewart", "given" : "Aengus", "non-dropping-particle" : "", "parse-names" : false, "suffix" : "" }, { "dropping-particle" : "", "family" : "Svejstrup", "given" : "Jesper Q", "non-dropping-particle" : "", "parse-names" : false, "suffix" : "" } ], "container-title" : "Cell", "id" : "ITEM-1", "issue" : "5", "issued" : { "date-parts" : [ [ "2014", "5", "14" ] ] }, "page" : "1037-1049", "title" : "RECQL5 Controls Transcript Elongation and Suppresses Genome Instability Associated with Transcription Stress.", "type" : "article-journal", "volume" : "157" }, "uris" : [ "http://www.mendeley.com/documents/?uuid=ae7d68fc-366a-46fc-ba2b-41a985d31baf" ] } ], "mendeley" : { "formattedCitation" : "(Saponaro et al. 2014)", "plainTextFormattedCitation" : "(Saponaro et al. 2014)", "previouslyFormattedCitation" : "(Saponaro et al. 2014)" }, "properties" : { "noteIndex" : 0 }, "schema" : "https://github.com/citation-style-language/schema/raw/master/csl-citation.json" }</w:instrText>
      </w:r>
      <w:r w:rsidR="00F20EC0" w:rsidRPr="00DF0680">
        <w:fldChar w:fldCharType="separate"/>
      </w:r>
      <w:r w:rsidRPr="00DF0680">
        <w:t>(Saponaro et al. 2014)</w:t>
      </w:r>
      <w:r w:rsidR="00F20EC0" w:rsidRPr="00DF0680">
        <w:fldChar w:fldCharType="end"/>
      </w:r>
      <w:r w:rsidRPr="00DF0680">
        <w:t>.  The fact</w:t>
      </w:r>
      <w:r w:rsidR="00FA00E0" w:rsidRPr="00DF0680">
        <w:t xml:space="preserve"> that</w:t>
      </w:r>
      <w:r w:rsidRPr="00DF0680">
        <w:t xml:space="preserve"> RECQL5-depletion induced DNA damage is rescued by transcription inhibition suggests a possible replication-transcription collision repair </w:t>
      </w:r>
      <w:r w:rsidR="00FA00E0" w:rsidRPr="00DF0680">
        <w:t>role</w:t>
      </w:r>
      <w:r w:rsidRPr="00DF0680">
        <w:t xml:space="preserve"> for RECQL5 </w:t>
      </w:r>
      <w:r w:rsidR="00F20EC0" w:rsidRPr="00DF0680">
        <w:fldChar w:fldCharType="begin" w:fldLock="1"/>
      </w:r>
      <w:r w:rsidR="00332613" w:rsidRPr="00DF0680">
        <w:instrText>ADDIN CSL_CITATION { "citationItems" : [ { "id" : "ITEM-1", "itemData" : { "DOI" : "10.1128/MCB.01137-10", "ISSN" : "1098-5549", "PMID" : "21402780", "abstract" : "The conserved RECQ5 DNA helicase is a tumor suppressor in mammalian cells. Defects in RECQ5 lead to the accumulation of spontaneous DNA double-stranded breaks (DSBs) during replication, despite the fact that these cells are proficient in DSB repair by homologous recombination (HR). The reason for this is unknown. Here, we demonstrate that these DSBs are linked to RNA polymerase II (RNAPII)-dependent transcription. In human RECQ5-depleted cells, active RNAPII accumulates on chromatin, and DNA breaks are associated with an RNAPII-dependent transcribed locus. Hence, transcription inhibition eliminates both active RNAPII and spontaneous DSB formation. In addition, the regulatory effect of RECQ5 on transcription and its interaction with RNAPII are enhanced in S-phase cells, supporting a role for RECQ5 in preventing transcription-associated DSBs during replication. Finally, we show that the SET2-RPB1 interaction (SRI) domain of human RECQ5 is important for suppressing spontaneous DSBs and the p53-dependent transcription stress response caused by the stalling of active RNAPII on DNA. Thus, our studies provide novel insights into a mechanism by which RECQ5 regulates the transcription machinery via its dynamic interaction with RNAPII, thereby preventing genome instability.", "author" : [ { "dropping-particle" : "", "family" : "Li", "given" : "Min", "non-dropping-particle" : "", "parse-names" : false, "suffix" : "" }, { "dropping-particle" : "", "family" : "Xu", "given" : "Xiaohua", "non-dropping-particle" : "", "parse-names" : false, "suffix" : "" }, { "dropping-particle" : "", "family" : "Liu", "given" : "Yilun", "non-dropping-particle" : "", "parse-names" : false, "suffix" : "" } ], "container-title" : "Molecular and Cellular Biology", "id" : "ITEM-1", "issue" : "10", "issued" : { "date-parts" : [ [ "2011", "5" ] ] }, "page" : "2090-9", "title" : "The SET2-RPB1 interaction domain of human RECQ5 is important for transcription-associated genome stability.", "type" : "article-journal", "volume" : "31" }, "uris" : [ "http://www.mendeley.com/documents/?uuid=d85024d5-b596-4ac4-bbf7-6e648a3c5bef" ] } ], "mendeley" : { "formattedCitation" : "(Li et al. 2011)", "plainTextFormattedCitation" : "(Li et al. 2011)", "previouslyFormattedCitation" : "(Li et al. 2011)" }, "properties" : { "noteIndex" : 0 }, "schema" : "https://github.com/citation-style-language/schema/raw/master/csl-citation.json" }</w:instrText>
      </w:r>
      <w:r w:rsidR="00F20EC0" w:rsidRPr="00DF0680">
        <w:fldChar w:fldCharType="separate"/>
      </w:r>
      <w:r w:rsidRPr="00DF0680">
        <w:t>(Li et al. 2011)</w:t>
      </w:r>
      <w:r w:rsidR="00F20EC0" w:rsidRPr="00DF0680">
        <w:fldChar w:fldCharType="end"/>
      </w:r>
      <w:r w:rsidRPr="00DF0680">
        <w:t xml:space="preserve">. </w:t>
      </w:r>
    </w:p>
    <w:p w:rsidR="000627AA" w:rsidRPr="00DF0680" w:rsidRDefault="000627AA" w:rsidP="000627AA">
      <w:r w:rsidRPr="00DF0680">
        <w:t xml:space="preserve">The </w:t>
      </w:r>
      <w:r w:rsidR="00FA00E0" w:rsidRPr="00DF0680">
        <w:t xml:space="preserve">replication </w:t>
      </w:r>
      <w:r w:rsidRPr="00DF0680">
        <w:t>f</w:t>
      </w:r>
      <w:r w:rsidR="00FA00E0" w:rsidRPr="00DF0680">
        <w:t>ork data presented here suggest</w:t>
      </w:r>
      <w:r w:rsidRPr="00DF0680">
        <w:t xml:space="preserve"> that the helicase-dead RECQL5 provides an increase in fork speed when cells are exposed to replication or transcription inhibition but not when both are inhibited (Figure 4.10 A). This adds to the hypothesis that RECQL5 has a role where replication and transcription meet. The helicase dead RECQL5 may still have a role in repairing damage such as transcription-replication collisions despite its lack of helicase and ATPase activity. Although RECQL5 K58R cannot disrupt D-loops, it can still anneal DNA and bind to RAD51 </w:t>
      </w:r>
      <w:r w:rsidR="00F20EC0" w:rsidRPr="00DF0680">
        <w:fldChar w:fldCharType="begin" w:fldLock="1"/>
      </w:r>
      <w:r w:rsidR="00332613" w:rsidRPr="00DF0680">
        <w:instrText>ADDIN CSL_CITATION { "citationItems" : [ { "id" : "ITEM-1", "itemData" : { "DOI" : "10.1038/sj.emboj.7600301", "ISSN" : "0261-4189", "PMID" : "15241474", "abstract" : "Proteins belonging to the highly conserved RecQ helicase family are essential for the maintenance of genomic stability. Here, we describe the biochemical properties of the human RECQ5beta protein. Like BLM and WRN, RECQ5beta is an ATP-dependent 3'-5' DNA helicase that can promote migration of Holliday junctions. However, RECQ5beta required the single-stranded DNA-binding protein RPA in order to mediate the efficient unwinding of oligonucleotide-based substrates. Surprisingly, we found that RECQ5beta possesses an intrinsic DNA strand-annealing activity that is inhibited by RPA. Analysis of deletion variants of RECQ5beta revealed that the DNA helicase activity resides in the conserved N-terminal portion of the protein, whereas strand annealing is mediated by the unique C-terminal domain. Moreover, the strand-annealing activity of RECQ5beta was strongly inhibited by ATPgammaS, a poorly hydrolyzable analog of ATP. This effect was alleviated by mutations in the ATP-binding motif of RECQ5beta, indicating that the ATP-bound form of the protein cannot promote strand annealing. This is the first demonstration of a DNA helicase with an intrinsic DNA strand-annealing function residing in a separate domain.", "author" : [ { "dropping-particle" : "", "family" : "Garcia", "given" : "Patrick L", "non-dropping-particle" : "", "parse-names" : false, "suffix" : "" }, { "dropping-particle" : "", "family" : "Liu", "given" : "Yilun", "non-dropping-particle" : "", "parse-names" : false, "suffix" : "" }, { "dropping-particle" : "", "family" : "Jiricny", "given" : "Josef", "non-dropping-particle" : "", "parse-names" : false, "suffix" : "" }, { "dropping-particle" : "", "family" : "West", "given" : "Stephen C", "non-dropping-particle" : "", "parse-names" : false, "suffix" : "" }, { "dropping-particle" : "", "family" : "Janscak", "given" : "Pavel", "non-dropping-particle" : "", "parse-names" : false, "suffix" : "" } ], "container-title" : "The EMBO Journal", "id" : "ITEM-1", "issue" : "14", "issued" : { "date-parts" : [ [ "2004", "7", "21" ] ] }, "page" : "2882-91", "title" : "Human RECQ5beta, a protein with DNA helicase and strand-annealing activities in a single polypeptide.", "type" : "article-journal", "volume" : "23" }, "uris" : [ "http://www.mendeley.com/documents/?uuid=2a27854f-75a4-4e43-9214-4e4c1b2886c3" ] }, { "id" : "ITEM-2", "itemData" : { "DOI" : "10.1101/gad.1609107", "ISSN" : "0890-9369", "PMID" : "18003859", "abstract" : "Members of the RecQ helicase family play critical roles in genome maintenance. There are five RecQ homologs in mammals, and defects in three of these (BLM, WRN, and RECQL4) give rise to cancer predisposition syndromes in humans. RECQL and RECQL5 have not been associated with a human disease. Here we show that deletion of Recql5 in mice results in cancer susceptibility. Recql5-deficient cells exhibit elevated frequencies of spontaneous DNA double-strand breaks and homologous recombination (HR) as scored using a reporter that harbors a direct repeat, and are prone to gross chromosomal rearrangements in response to replication stress. To understand how RECQL5 regulates HR, we use purified proteins to demonstrate that human RECQL5 binds the Rad51 recombinase and inhibits Rad51-mediated D-loop formation. By biochemical means and electron microscopy, we show that RECQL5 displaces Rad51 from single-stranded DNA (ssDNA) in a reaction that requires ATP hydrolysis and RPA. Together, our results identify RECQL5 as an important tumor suppressor that may act by preventing inappropriate HR events via Rad51 presynaptic filament disruption.", "author" : [ { "dropping-particle" : "", "family" : "Hu", "given" : "Yiduo", "non-dropping-particle" : "", "parse-names" : false, "suffix" : "" }, { "dropping-particle" : "", "family" : "Raynard", "given" : "Steven", "non-dropping-particle" : "", "parse-names" : false, "suffix" : "" }, { "dropping-particle" : "", "family" : "Sehorn", "given" : "Michael G", "non-dropping-particle" : "", "parse-names" : false, "suffix" : "" }, { "dropping-particle" : "", "family" : "Lu", "given" : "Xincheng", "non-dropping-particle" : "", "parse-names" : false, "suffix" : "" }, { "dropping-particle" : "", "family" : "Bussen", "given" : "Wendy", "non-dropping-particle" : "", "parse-names" : false, "suffix" : "" }, { "dropping-particle" : "", "family" : "Zheng", "given" : "Lu", "non-dropping-particle" : "", "parse-names" : false, "suffix" : "" }, { "dropping-particle" : "", "family" : "Stark", "given" : "Jeremy M", "non-dropping-particle" : "", "parse-names" : false, "suffix" : "" }, { "dropping-particle" : "", "family" : "Barnes", "given" : "Ellen L", "non-dropping-particle" : "", "parse-names" : false, "suffix" : "" }, { "dropping-particle" : "", "family" : "Chi", "given" : "Peter", "non-dropping-particle" : "", "parse-names" : false, "suffix" : "" }, { "dropping-particle" : "", "family" : "Janscak", "given" : "Pavel", "non-dropping-particle" : "", "parse-names" : false, "suffix" : "" }, { "dropping-particle" : "", "family" : "Jasin", "given" : "Maria", "non-dropping-particle" : "", "parse-names" : false, "suffix" : "" }, { "dropping-particle" : "", "family" : "Vogel", "given" : "Hannes", "non-dropping-particle" : "", "parse-names" : false, "suffix" : "" }, { "dropping-particle" : "", "family" : "Sung", "given" : "Patrick", "non-dropping-particle" : "", "parse-names" : false, "suffix" : "" }, { "dropping-particle" : "", "family" : "Luo", "given" : "Guangbin", "non-dropping-particle" : "", "parse-names" : false, "suffix" : "" } ], "container-title" : "Genes &amp; Development", "id" : "ITEM-2", "issue" : "23", "issued" : { "date-parts" : [ [ "2007", "12", "1" ] ] }, "page" : "3073-84", "title" : "RECQL5/Recql5 helicase regulates homologous recombination and suppresses tumor formation via disruption of Rad51 presynaptic filaments.", "type" : "article-journal", "volume" : "21" }, "uris" : [ "http://www.mendeley.com/documents/?uuid=569f0011-a132-4c3c-8afd-04e50c78a14c" ] }, { "id" : "ITEM-3", "itemData" : { "DOI" : "10.1128/MCB.01583-09", "ISSN" : "1098-5549", "PMID" : "20231364", "abstract" : "The RecQL5 helicase is essential for maintaining genome stability and reducing cancer risk. To elucidate its mechanism of action, we purified a RecQL5-associated complex and identified its major component as RNA polymerase II (Pol II). Bioinformatics and structural modeling-guided mutagenesis revealed two conserved regions in RecQL5 as KIX and SRI domains, already known in transcriptional regulators for Pol II. The RecQL5-KIX domain binds both initiation (Pol IIa) and elongation (Pol IIo) forms of the polymerase, whereas the RecQL5-SRI domain interacts only with the elongation form. Fully functional RecQL5 requires both helicase activity and associations with the initiation polymerase, because mutants lacking either activity are partially defective in the suppression of sister chromatid exchange and resistance to camptothecin-induced DNA damage, and mutants lacking both activities are completely defective. We propose that RecQL5 promotes genome stabilization through two parallel mechanisms: by participation in homologous recombination-dependent DNA repair as a RecQ helicase and by regulating the initiation of Pol II to reduce transcription-associated replication impairment and recombination.", "author" : [ { "dropping-particle" : "", "family" : "Islam", "given" : "M Nurul", "non-dropping-particle" : "", "parse-names" : false, "suffix" : "" }, { "dropping-particle" : "", "family" : "Fox", "given" : "David", "non-dropping-particle" : "", "parse-names" : false, "suffix" : "" }, { "dropping-particle" : "", "family" : "Guo", "given" : "Rong", "non-dropping-particle" : "", "parse-names" : false, "suffix" : "" }, { "dropping-particle" : "", "family" : "Enomoto", "given" : "Takemi", "non-dropping-particle" : "", "parse-names" : false, "suffix" : "" }, { "dropping-particle" : "", "family" : "Wang", "given" : "Weidong", "non-dropping-particle" : "", "parse-names" : false, "suffix" : "" } ], "container-title" : "Molecular and Cellular Biology", "id" : "ITEM-3", "issue" : "10", "issued" : { "date-parts" : [ [ "2010", "5" ] ] }, "note" : "From Duplicate 2 ( ", "page" : "2460-72", "title" : "RecQL5 promotes genome stabilization through two parallel mechanisms--interacting with RNA polymerase II and acting as a helicase.", "type" : "article-journal", "volume" : "30" }, "uris" : [ "http://www.mendeley.com/documents/?uuid=1f20b96b-2b4e-477b-b382-d7890c861cb3" ] } ], "mendeley" : { "formattedCitation" : "(Garcia et al. 2004; Hu et al. 2007; Islam et al. 2010)", "plainTextFormattedCitation" : "(Garcia et al. 2004; Hu et al. 2007; Islam et al. 2010)", "previouslyFormattedCitation" : "(Garcia et al. 2004; Hu et al. 2007; Islam et al. 2010)" }, "properties" : { "noteIndex" : 0 }, "schema" : "https://github.com/citation-style-language/schema/raw/master/csl-citation.json" }</w:instrText>
      </w:r>
      <w:r w:rsidR="00F20EC0" w:rsidRPr="00DF0680">
        <w:fldChar w:fldCharType="separate"/>
      </w:r>
      <w:r w:rsidRPr="00DF0680">
        <w:t>(Garcia et al. 2004; Hu et al. 2007; Islam et al. 2010)</w:t>
      </w:r>
      <w:r w:rsidR="00F20EC0" w:rsidRPr="00DF0680">
        <w:fldChar w:fldCharType="end"/>
      </w:r>
      <w:r w:rsidRPr="00DF0680">
        <w:t>. RECQL5 K58R may promote an alternate repair pathway when replication-transcription collisions occur that do not require a helicase function. Alternatively, adding CPT or DRB may be relieving the c</w:t>
      </w:r>
      <w:r w:rsidR="00FA00E0" w:rsidRPr="00DF0680">
        <w:t>ell of stress that the helicase-</w:t>
      </w:r>
      <w:r w:rsidRPr="00DF0680">
        <w:t xml:space="preserve">dead RECQL5 is causing, </w:t>
      </w:r>
      <w:r w:rsidR="00FA00E0" w:rsidRPr="00DF0680">
        <w:t xml:space="preserve">in the form of dominate negative effects, </w:t>
      </w:r>
      <w:r w:rsidRPr="00DF0680">
        <w:t xml:space="preserve">which then allows replication forks to move faster. </w:t>
      </w:r>
    </w:p>
    <w:p w:rsidR="000627AA" w:rsidRPr="00DF0680" w:rsidRDefault="000627AA" w:rsidP="000627AA">
      <w:r w:rsidRPr="00DF0680">
        <w:t>However, the immunofluorescence DNA damage foci data do not support the DNA fibre data. The DRB treatment did not cause any damage and the damage caused by camptothecin was not reduced by the addition of DRB (Figure 4.11 – 4.14), perhaps suggesting that each individual drug treatment is not causing increased transcription-replication collisions. In addition, no increase in damage was seen in the helicase-dead RECQL5 expressing cells. Any future work on</w:t>
      </w:r>
      <w:r w:rsidR="00FA00E0" w:rsidRPr="00DF0680">
        <w:t xml:space="preserve"> this area would require optimis</w:t>
      </w:r>
      <w:r w:rsidRPr="00DF0680">
        <w:t xml:space="preserve">ation of the drug treatments to see if any reduction in DNA damage could be achieved from </w:t>
      </w:r>
      <w:r w:rsidR="00FA00E0" w:rsidRPr="00DF0680">
        <w:t>replication or transcription stressors alone</w:t>
      </w:r>
      <w:r w:rsidRPr="00DF0680">
        <w:t xml:space="preserve">, to </w:t>
      </w:r>
      <w:r w:rsidR="00FA00E0" w:rsidRPr="00DF0680">
        <w:t>both replication and transcription stressors together</w:t>
      </w:r>
      <w:r w:rsidRPr="00DF0680">
        <w:t xml:space="preserve">. The differences in sensitivity of each technique may explain the differences in response to replication stress seen. As DNA fibre analysis is a highly sensitive technique, a more sensitive technique than confocal immunofluorescence may be required to see the small increases in replication stress seen with DNA fibre analysis. Work on super resolution light microscopy has shown that the replication foci seen in standard confocal microscopy represent multiple events. This technique could show differences in the results of replication and transcription inhibition on DNA damage and </w:t>
      </w:r>
      <w:r w:rsidRPr="00DF0680">
        <w:lastRenderedPageBreak/>
        <w:t xml:space="preserve">thus change the interpretation of the role of RECQL5 at replication-transcription collision sites </w:t>
      </w:r>
      <w:r w:rsidR="00F20EC0" w:rsidRPr="00DF0680">
        <w:fldChar w:fldCharType="begin" w:fldLock="1"/>
      </w:r>
      <w:r w:rsidR="00332613" w:rsidRPr="00DF0680">
        <w:instrText>ADDIN CSL_CITATION { "citationItems" : [ { "id" : "ITEM-1", "itemData" : { "DOI" : "10.1186/1471-2121-10-88", "ISSN" : "1471-2121", "PMID" : "20015367", "abstract" : "BACKGROUND: DNA replication in human cells is performed in discrete sub-nuclear locations known as replication foci or factories. These factories form in the nucleus during S phase and are sites of DNA synthesis and high local concentrations of enzymes required for chromatin replication. Why these structures are required, and how they are organised internally has yet to be identified. It has been difficult to analyse the structure of these factories as they are small in size and thus below the resolution limit of the standard confocal microscope. We have used stimulated emission depletion (STED) microscopy, which improves on the resolving power of the confocal microscope, to probe the structure of these factories at sub-diffraction limit resolution. RESULTS: Using immunofluorescent imaging of PCNA (proliferating cell nuclear antigen) and RPA (replication protein A) we show that factories are smaller in size (approximately 150 nm diameter), and greater in number (up to 1400 in an early S- phase nucleus), than is determined by confocal imaging. The replication inhibitor hydroxyurea caused an approximately 40% reduction in number and a 30% increase in diameter of replication factories, changes that were not clearly identified by standard confocal imaging. CONCLUSIONS: These measurements for replication factory size now approach the dimensions suggested by electron microscopy. This agreement between these two methods, that use very different sample preparation and imaging conditions, suggests that we have arrived at a true measurement for the size of these structures. The number of individual factories present in a single nucleus that we measure using this system is greater than has been previously reported. This analysis therefore suggests that each replication factory contains fewer active replication forks than previously envisaged.", "author" : [ { "dropping-particle" : "", "family" : "Cseresnyes", "given" : "Zoltan", "non-dropping-particle" : "", "parse-names" : false, "suffix" : "" }, { "dropping-particle" : "", "family" : "Schwarz", "given" : "Ulf", "non-dropping-particle" : "", "parse-names" : false, "suffix" : "" }, { "dropping-particle" : "", "family" : "Green", "given" : "Catherine M", "non-dropping-particle" : "", "parse-names" : false, "suffix" : "" } ], "container-title" : "BMC Cell Biology", "id" : "ITEM-1", "issued" : { "date-parts" : [ [ "2009", "1" ] ] }, "page" : "88", "title" : "Analysis of replication factories in human cells by super-resolution light microscopy.", "type" : "article-journal", "volume" : "10" }, "uris" : [ "http://www.mendeley.com/documents/?uuid=cf923329-d3fc-4e03-9e2b-d3df164b7460" ] } ], "mendeley" : { "formattedCitation" : "(Cseresnyes et al. 2009)", "plainTextFormattedCitation" : "(Cseresnyes et al. 2009)", "previouslyFormattedCitation" : "(Cseresnyes et al. 2009)" }, "properties" : { "noteIndex" : 0 }, "schema" : "https://github.com/citation-style-language/schema/raw/master/csl-citation.json" }</w:instrText>
      </w:r>
      <w:r w:rsidR="00F20EC0" w:rsidRPr="00DF0680">
        <w:fldChar w:fldCharType="separate"/>
      </w:r>
      <w:r w:rsidRPr="00DF0680">
        <w:t>(Cseresnyes et al. 2009)</w:t>
      </w:r>
      <w:r w:rsidR="00F20EC0" w:rsidRPr="00DF0680">
        <w:fldChar w:fldCharType="end"/>
      </w:r>
      <w:r w:rsidRPr="00DF0680">
        <w:t>.</w:t>
      </w:r>
    </w:p>
    <w:p w:rsidR="0051096C" w:rsidRPr="00DF0680" w:rsidRDefault="000627AA" w:rsidP="000627AA">
      <w:r w:rsidRPr="00DF0680">
        <w:t xml:space="preserve">We have shown that despite RECQL5β mRNA levels </w:t>
      </w:r>
      <w:r w:rsidR="00FA00E0" w:rsidRPr="00DF0680">
        <w:t>being</w:t>
      </w:r>
      <w:r w:rsidRPr="00DF0680">
        <w:t xml:space="preserve"> lower in bladder cancers, protein levels are higher when compared to normal bladder tissue and this </w:t>
      </w:r>
      <w:r w:rsidR="00FA00E0" w:rsidRPr="00DF0680">
        <w:t>may be</w:t>
      </w:r>
      <w:r w:rsidRPr="00DF0680">
        <w:t xml:space="preserve"> regulated through translation initiation. Work here has also shown RECQL5 has a role in maintaining fork speed</w:t>
      </w:r>
      <w:r w:rsidR="00FA00E0" w:rsidRPr="00DF0680">
        <w:t xml:space="preserve"> in normal replication</w:t>
      </w:r>
      <w:r w:rsidRPr="00DF0680">
        <w:t xml:space="preserve"> and in replication and transcription stress. Whether RECQL5 has a role in repairing </w:t>
      </w:r>
      <w:r w:rsidR="00FA00E0" w:rsidRPr="00DF0680">
        <w:t xml:space="preserve">damage caused </w:t>
      </w:r>
      <w:r w:rsidRPr="00DF0680">
        <w:t>replication stress, or whether</w:t>
      </w:r>
      <w:r w:rsidR="005922AD" w:rsidRPr="00DF0680">
        <w:rPr>
          <w:i/>
        </w:rPr>
        <w:t xml:space="preserve"> </w:t>
      </w:r>
      <w:r w:rsidR="005922AD" w:rsidRPr="00DF0680">
        <w:t>its</w:t>
      </w:r>
      <w:r w:rsidR="005922AD" w:rsidRPr="00DF0680">
        <w:rPr>
          <w:i/>
        </w:rPr>
        <w:t xml:space="preserve"> </w:t>
      </w:r>
      <w:r w:rsidRPr="00DF0680">
        <w:t xml:space="preserve">primary function is in single strand break repair, is still undetermined and investigating relationships between RECQL5, PARP1 and XRCC1 and replication fork progression could be an interesting avenue for future study.  </w:t>
      </w:r>
    </w:p>
    <w:p w:rsidR="0051096C" w:rsidRPr="00DF0680" w:rsidRDefault="0051096C" w:rsidP="000627AA">
      <w:pPr>
        <w:sectPr w:rsidR="0051096C" w:rsidRPr="00DF0680" w:rsidSect="0051096C">
          <w:headerReference w:type="default" r:id="rId86"/>
          <w:pgSz w:w="11906" w:h="16838"/>
          <w:pgMar w:top="1440" w:right="1134" w:bottom="1440" w:left="2268" w:header="709" w:footer="709" w:gutter="0"/>
          <w:cols w:space="708"/>
          <w:docGrid w:linePitch="360"/>
        </w:sectPr>
      </w:pPr>
    </w:p>
    <w:p w:rsidR="000627AA" w:rsidRPr="00DF0680" w:rsidRDefault="001D549F" w:rsidP="00E664FC">
      <w:pPr>
        <w:pStyle w:val="Heading1"/>
        <w:numPr>
          <w:ilvl w:val="0"/>
          <w:numId w:val="0"/>
        </w:numPr>
        <w:ind w:left="360" w:hanging="360"/>
      </w:pPr>
      <w:bookmarkStart w:id="838" w:name="_Toc417204231"/>
      <w:bookmarkStart w:id="839" w:name="_Toc417204764"/>
      <w:bookmarkStart w:id="840" w:name="_Toc417204824"/>
      <w:r w:rsidRPr="00DF0680">
        <w:lastRenderedPageBreak/>
        <w:t>References</w:t>
      </w:r>
      <w:bookmarkEnd w:id="838"/>
      <w:bookmarkEnd w:id="839"/>
      <w:bookmarkEnd w:id="840"/>
    </w:p>
    <w:p w:rsidR="00341643" w:rsidRPr="00DF0680" w:rsidRDefault="00F20EC0">
      <w:pPr>
        <w:pStyle w:val="NormalWeb"/>
        <w:ind w:left="480" w:hanging="480"/>
        <w:divId w:val="930774447"/>
      </w:pPr>
      <w:r w:rsidRPr="00DF0680">
        <w:fldChar w:fldCharType="begin" w:fldLock="1"/>
      </w:r>
      <w:r w:rsidR="00DA6E78" w:rsidRPr="00DF0680">
        <w:instrText xml:space="preserve">ADDIN Mendeley Bibliography CSL_BIBLIOGRAPHY </w:instrText>
      </w:r>
      <w:r w:rsidRPr="00DF0680">
        <w:fldChar w:fldCharType="separate"/>
      </w:r>
      <w:r w:rsidR="00341643" w:rsidRPr="00DF0680">
        <w:t xml:space="preserve">Ababou, M., Dutertre, S. &amp; Lécluse, Y., 2000. ATM-dependent phosphorylation and accumulation of endogenous BLM protein in response to ionizing radiation. </w:t>
      </w:r>
      <w:r w:rsidR="00341643" w:rsidRPr="00DF0680">
        <w:rPr>
          <w:i/>
          <w:iCs/>
        </w:rPr>
        <w:t>Oncogene</w:t>
      </w:r>
      <w:r w:rsidR="00341643" w:rsidRPr="00DF0680">
        <w:t>, 19(52), pp.5955–5963.</w:t>
      </w:r>
    </w:p>
    <w:p w:rsidR="00341643" w:rsidRPr="00DF0680" w:rsidRDefault="00341643">
      <w:pPr>
        <w:pStyle w:val="NormalWeb"/>
        <w:ind w:left="480" w:hanging="480"/>
        <w:divId w:val="930774447"/>
      </w:pPr>
      <w:r w:rsidRPr="00DF0680">
        <w:t xml:space="preserve">Aboussekhra, A., Biggerstaff, M., Shivji, M.K., Vilpo, J.A., Moncollin, V., Podust, V.N., Protić, M., Hübscher, U., Egly, J.M. &amp; Wood, R.D., 1995. Mammalian DNA nucleotide excision repair reconstituted with purified protein components. </w:t>
      </w:r>
      <w:r w:rsidRPr="00DF0680">
        <w:rPr>
          <w:i/>
          <w:iCs/>
        </w:rPr>
        <w:t>Cell</w:t>
      </w:r>
      <w:r w:rsidRPr="00DF0680">
        <w:t>, 80(6), pp.859–68.</w:t>
      </w:r>
    </w:p>
    <w:p w:rsidR="00341643" w:rsidRPr="00DF0680" w:rsidRDefault="00341643">
      <w:pPr>
        <w:pStyle w:val="NormalWeb"/>
        <w:ind w:left="480" w:hanging="480"/>
        <w:divId w:val="930774447"/>
      </w:pPr>
      <w:r w:rsidRPr="00DF0680">
        <w:t xml:space="preserve">Achar, Y.J., Balogh, D. &amp; Haracska, L., 2011. Coordinated protein and DNA remodeling by human HLTF on stalled replication fork. </w:t>
      </w:r>
      <w:r w:rsidRPr="00DF0680">
        <w:rPr>
          <w:i/>
          <w:iCs/>
        </w:rPr>
        <w:t>Proceedings of the National Academy of Sciences</w:t>
      </w:r>
      <w:r w:rsidRPr="00DF0680">
        <w:t>, 108(34), pp.14073–8.</w:t>
      </w:r>
    </w:p>
    <w:p w:rsidR="00341643" w:rsidRPr="00DF0680" w:rsidRDefault="00341643">
      <w:pPr>
        <w:pStyle w:val="NormalWeb"/>
        <w:ind w:left="480" w:hanging="480"/>
        <w:divId w:val="930774447"/>
      </w:pPr>
      <w:r w:rsidRPr="00DF0680">
        <w:t xml:space="preserve">Acharya, S., Kaul, Z., Gocha, A.S., Martinez, A.R., Harris, J., Parvin, J.D. &amp; Groden, J., 2014. Association of BLM and BRCA1 during Telomere Maintenance in ALT Cells. </w:t>
      </w:r>
      <w:r w:rsidRPr="00DF0680">
        <w:rPr>
          <w:i/>
          <w:iCs/>
        </w:rPr>
        <w:t>PloS One</w:t>
      </w:r>
      <w:r w:rsidRPr="00DF0680">
        <w:t>, 9(8), p.e103819.</w:t>
      </w:r>
    </w:p>
    <w:p w:rsidR="00341643" w:rsidRPr="00DF0680" w:rsidRDefault="00341643">
      <w:pPr>
        <w:pStyle w:val="NormalWeb"/>
        <w:ind w:left="480" w:hanging="480"/>
        <w:divId w:val="930774447"/>
      </w:pPr>
      <w:r w:rsidRPr="00DF0680">
        <w:t xml:space="preserve">Acharya, S., Wilson, T., Gradia, S., Kane, M.F., Guerrette, S., Marsischky, G.T., Kolodner, R. &amp; Fishel, R., 1996. hMSH2 forms specific mispair-binding complexes with hMSH3 and hMSH6. </w:t>
      </w:r>
      <w:r w:rsidRPr="00DF0680">
        <w:rPr>
          <w:i/>
          <w:iCs/>
        </w:rPr>
        <w:t>Proceedings of the National Academy of Sciences</w:t>
      </w:r>
      <w:r w:rsidRPr="00DF0680">
        <w:t>, 93(24), pp.13629–34.</w:t>
      </w:r>
    </w:p>
    <w:p w:rsidR="00341643" w:rsidRPr="00DF0680" w:rsidRDefault="00341643">
      <w:pPr>
        <w:pStyle w:val="NormalWeb"/>
        <w:ind w:left="480" w:hanging="480"/>
        <w:divId w:val="930774447"/>
      </w:pPr>
      <w:r w:rsidRPr="00DF0680">
        <w:t xml:space="preserve">Aggarwal, M., Sommers, J. a, Shoemaker, R.H. &amp; Brosh, R.M., 2011. Inhibition of helicase activity by a small molecule impairs Werner syndrome helicase (WRN) function in the cellular response to DNA damage or replication stress. </w:t>
      </w:r>
      <w:r w:rsidRPr="00DF0680">
        <w:rPr>
          <w:i/>
          <w:iCs/>
        </w:rPr>
        <w:t>Proceedings of the National Academy of Sciences</w:t>
      </w:r>
      <w:r w:rsidRPr="00DF0680">
        <w:t>, 108(4), pp.1525–30.</w:t>
      </w:r>
    </w:p>
    <w:p w:rsidR="00341643" w:rsidRPr="00DF0680" w:rsidRDefault="00341643">
      <w:pPr>
        <w:pStyle w:val="NormalWeb"/>
        <w:ind w:left="480" w:hanging="480"/>
        <w:divId w:val="930774447"/>
      </w:pPr>
      <w:r w:rsidRPr="00DF0680">
        <w:t xml:space="preserve">Agrelo, R., Cheng, W.-H., Setien, F., Ropero, S., Espada, J., Fraga, M.F., Herranz, M., Paz, M.F., Sanchez-Cespedes, M., Artiga, M.J., Guerrero, D., Castells, A., von Kobbe, C., Bohr, V. a &amp; Esteller, M., 2006. Epigenetic inactivation of the premature aging Werner syndrome gene in human cancer. </w:t>
      </w:r>
      <w:r w:rsidRPr="00DF0680">
        <w:rPr>
          <w:i/>
          <w:iCs/>
        </w:rPr>
        <w:t>Proceedings of the National Academy of Sciences</w:t>
      </w:r>
      <w:r w:rsidRPr="00DF0680">
        <w:t>, 103(23), pp.8822–7.</w:t>
      </w:r>
    </w:p>
    <w:p w:rsidR="00341643" w:rsidRPr="00DF0680" w:rsidRDefault="00341643">
      <w:pPr>
        <w:pStyle w:val="NormalWeb"/>
        <w:ind w:left="480" w:hanging="480"/>
        <w:divId w:val="930774447"/>
      </w:pPr>
      <w:r w:rsidRPr="00DF0680">
        <w:t xml:space="preserve">Aguilar-Quesada, R., Muñoz-Gámez, J.A., Martín-Oliva, D., Peralta, A., Valenzuela, M.T., Matínez-Romero, R., Quiles-Pérez, R., Menissier-de Murcia, J., de Murcia, G., Ruiz de Almodóvar, M. &amp; Oliver, F.J., 2007. Interaction between ATM and PARP-1 in response to DNA damage and sensitization of ATM deficient cells through PARP inhibition. </w:t>
      </w:r>
      <w:r w:rsidRPr="00DF0680">
        <w:rPr>
          <w:i/>
          <w:iCs/>
        </w:rPr>
        <w:t>BMC Molecular Biology</w:t>
      </w:r>
      <w:r w:rsidRPr="00DF0680">
        <w:t>, 8, p.29.</w:t>
      </w:r>
    </w:p>
    <w:p w:rsidR="00341643" w:rsidRPr="00DF0680" w:rsidRDefault="00341643">
      <w:pPr>
        <w:pStyle w:val="NormalWeb"/>
        <w:ind w:left="480" w:hanging="480"/>
        <w:divId w:val="930774447"/>
      </w:pPr>
      <w:r w:rsidRPr="00DF0680">
        <w:t xml:space="preserve">Ahnesorg, P., Smith, P. &amp; Jackson, S.P., 2006. XLF interacts with the XRCC4-DNA ligase IV complex to promote DNA nonhomologous end-joining. </w:t>
      </w:r>
      <w:r w:rsidRPr="00DF0680">
        <w:rPr>
          <w:i/>
          <w:iCs/>
        </w:rPr>
        <w:t>Cell</w:t>
      </w:r>
      <w:r w:rsidRPr="00DF0680">
        <w:t>, 124(2), pp.301–13.</w:t>
      </w:r>
    </w:p>
    <w:p w:rsidR="00341643" w:rsidRPr="00DF0680" w:rsidRDefault="00341643">
      <w:pPr>
        <w:pStyle w:val="NormalWeb"/>
        <w:ind w:left="480" w:hanging="480"/>
        <w:divId w:val="930774447"/>
      </w:pPr>
      <w:r w:rsidRPr="00DF0680">
        <w:t xml:space="preserve">Al-Minawi, A.Z., Saleh-Gohari, N. &amp; Helleday, T., 2008. The ERCC1/XPF endonuclease is required for efficient single-strand annealing and gene conversion in mammalian cells. </w:t>
      </w:r>
      <w:r w:rsidRPr="00DF0680">
        <w:rPr>
          <w:i/>
          <w:iCs/>
        </w:rPr>
        <w:t>Nucleic Acids Research</w:t>
      </w:r>
      <w:r w:rsidRPr="00DF0680">
        <w:t>, 36(1), pp.1–9.</w:t>
      </w:r>
    </w:p>
    <w:p w:rsidR="00341643" w:rsidRPr="00DF0680" w:rsidRDefault="00341643">
      <w:pPr>
        <w:pStyle w:val="NormalWeb"/>
        <w:ind w:left="480" w:hanging="480"/>
        <w:divId w:val="930774447"/>
      </w:pPr>
      <w:r w:rsidRPr="00DF0680">
        <w:lastRenderedPageBreak/>
        <w:t xml:space="preserve">Amin, A.D., Chaix, A.B.H., Mason, R.P., Badge, R.M. &amp; Borts, R.H., 2010. The roles of the Saccharomyces cerevisiae RecQ helicase SGS1 in meiotic genome surveillance. </w:t>
      </w:r>
      <w:r w:rsidRPr="00DF0680">
        <w:rPr>
          <w:i/>
          <w:iCs/>
        </w:rPr>
        <w:t>PloS One</w:t>
      </w:r>
      <w:r w:rsidRPr="00DF0680">
        <w:t>, 5(11), p.e15380.</w:t>
      </w:r>
    </w:p>
    <w:p w:rsidR="00341643" w:rsidRPr="00DF0680" w:rsidRDefault="00341643">
      <w:pPr>
        <w:pStyle w:val="NormalWeb"/>
        <w:ind w:left="480" w:hanging="480"/>
        <w:divId w:val="930774447"/>
      </w:pPr>
      <w:r w:rsidRPr="00DF0680">
        <w:t xml:space="preserve">Ammazzalorso, F., Pirzio, L.M., Bignami, M., Franchitto, A. &amp; Pichierri, P., 2010. ATR and ATM differently regulate WRN to prevent DSBs at stalled replication forks and promote replication fork recovery. </w:t>
      </w:r>
      <w:r w:rsidRPr="00DF0680">
        <w:rPr>
          <w:i/>
          <w:iCs/>
        </w:rPr>
        <w:t>The EMBO Journal</w:t>
      </w:r>
      <w:r w:rsidRPr="00DF0680">
        <w:t>, 29(18), pp.3156–69.</w:t>
      </w:r>
    </w:p>
    <w:p w:rsidR="00341643" w:rsidRPr="00DF0680" w:rsidRDefault="00341643">
      <w:pPr>
        <w:pStyle w:val="NormalWeb"/>
        <w:ind w:left="480" w:hanging="480"/>
        <w:divId w:val="930774447"/>
      </w:pPr>
      <w:r w:rsidRPr="00DF0680">
        <w:t xml:space="preserve">Aoto, H., Tsuchida, J., Nishina, Y., Nishimune, Y., Asano, A. &amp; Tajima, S., 1995. Isolation of a Novel cDNA that Encodes a Protein Localized to the Pre-Acrosome Region of Spermatids. </w:t>
      </w:r>
      <w:r w:rsidRPr="00DF0680">
        <w:rPr>
          <w:i/>
          <w:iCs/>
        </w:rPr>
        <w:t>European Journal of Biochemistry</w:t>
      </w:r>
      <w:r w:rsidRPr="00DF0680">
        <w:t>, 234(1), pp.8–15.</w:t>
      </w:r>
    </w:p>
    <w:p w:rsidR="00341643" w:rsidRPr="00DF0680" w:rsidRDefault="00341643">
      <w:pPr>
        <w:pStyle w:val="NormalWeb"/>
        <w:ind w:left="480" w:hanging="480"/>
        <w:divId w:val="930774447"/>
      </w:pPr>
      <w:r w:rsidRPr="00DF0680">
        <w:t xml:space="preserve">Arzimanoglou, I., Gilbert, F. &amp; Barber, H., 1998. Microsatellite instability in human solid tumors. </w:t>
      </w:r>
      <w:r w:rsidRPr="00DF0680">
        <w:rPr>
          <w:i/>
          <w:iCs/>
        </w:rPr>
        <w:t>Cancer</w:t>
      </w:r>
      <w:r w:rsidRPr="00DF0680">
        <w:t>, 82(10), pp.1808–1820.</w:t>
      </w:r>
    </w:p>
    <w:p w:rsidR="00341643" w:rsidRPr="00DF0680" w:rsidRDefault="00341643">
      <w:pPr>
        <w:pStyle w:val="NormalWeb"/>
        <w:ind w:left="480" w:hanging="480"/>
        <w:divId w:val="930774447"/>
      </w:pPr>
      <w:r w:rsidRPr="00DF0680">
        <w:t xml:space="preserve">Avemann, K., Knippers, R., Koller, T. &amp; Sogo, J.M., 1988. Camptothecin, a specific inhibitor of type I DNA topoisomerase, induces DNA breakage at replication forks. </w:t>
      </w:r>
      <w:r w:rsidRPr="00DF0680">
        <w:rPr>
          <w:i/>
          <w:iCs/>
        </w:rPr>
        <w:t>Molecular and Cellular Biology</w:t>
      </w:r>
      <w:r w:rsidRPr="00DF0680">
        <w:t>, 8(8), pp.3026–34.</w:t>
      </w:r>
    </w:p>
    <w:p w:rsidR="00341643" w:rsidRPr="00DF0680" w:rsidRDefault="00341643">
      <w:pPr>
        <w:pStyle w:val="NormalWeb"/>
        <w:ind w:left="480" w:hanging="480"/>
        <w:divId w:val="930774447"/>
      </w:pPr>
      <w:r w:rsidRPr="00DF0680">
        <w:t xml:space="preserve">Aygün, O., Svejstrup, J. &amp; Liu, Y., 2008. A RECQ5-RNA polymerase II association identified by targeted proteomic analysis of human chromatin. </w:t>
      </w:r>
      <w:r w:rsidRPr="00DF0680">
        <w:rPr>
          <w:i/>
          <w:iCs/>
        </w:rPr>
        <w:t>Proceedings of the National Academy of Sciences</w:t>
      </w:r>
      <w:r w:rsidRPr="00DF0680">
        <w:t>, 105(25), pp.8580–4.</w:t>
      </w:r>
    </w:p>
    <w:p w:rsidR="00341643" w:rsidRPr="00DF0680" w:rsidRDefault="00341643">
      <w:pPr>
        <w:pStyle w:val="NormalWeb"/>
        <w:ind w:left="480" w:hanging="480"/>
        <w:divId w:val="930774447"/>
      </w:pPr>
      <w:r w:rsidRPr="00DF0680">
        <w:t xml:space="preserve">Aygün, O., Xu, X., Liu, Y., Takahashi, H., Kong, S.E., Conaway, R.C., Conaway, J.W. &amp; Svejstrup, J.Q., 2009. Direct inhibition of RNA polymerase II transcription by RECQL5. </w:t>
      </w:r>
      <w:r w:rsidRPr="00DF0680">
        <w:rPr>
          <w:i/>
          <w:iCs/>
        </w:rPr>
        <w:t>The Journal of Biological Chemistry</w:t>
      </w:r>
      <w:r w:rsidRPr="00DF0680">
        <w:t>, 284(35), pp.23197–203.</w:t>
      </w:r>
    </w:p>
    <w:p w:rsidR="00341643" w:rsidRPr="00DF0680" w:rsidRDefault="00341643">
      <w:pPr>
        <w:pStyle w:val="NormalWeb"/>
        <w:ind w:left="480" w:hanging="480"/>
        <w:divId w:val="930774447"/>
      </w:pPr>
      <w:r w:rsidRPr="00DF0680">
        <w:t xml:space="preserve">Azam, M., Lee, J.Y., Abraham, V., Chanoux, R., Schoenly, K. a &amp; Johnson, F.B., 2006. Evidence that the S.cerevisiae Sgs1 protein facilitates recombinational repair of telomeres during senescence. </w:t>
      </w:r>
      <w:r w:rsidRPr="00DF0680">
        <w:rPr>
          <w:i/>
          <w:iCs/>
        </w:rPr>
        <w:t>Nucleic Acids Research</w:t>
      </w:r>
      <w:r w:rsidRPr="00DF0680">
        <w:t>, 34(2), pp.506–16.</w:t>
      </w:r>
    </w:p>
    <w:p w:rsidR="00341643" w:rsidRPr="00DF0680" w:rsidRDefault="00341643">
      <w:pPr>
        <w:pStyle w:val="NormalWeb"/>
        <w:ind w:left="480" w:hanging="480"/>
        <w:divId w:val="930774447"/>
      </w:pPr>
      <w:r w:rsidRPr="00DF0680">
        <w:t xml:space="preserve">Bahr, A., Graeve, F. De, Kedinger, C. &amp; Chatton, B., 1998. Point mutations causing Bloom’s syndrome abolish ATPase and DNA helicase activities of the BLM protein. </w:t>
      </w:r>
      <w:r w:rsidRPr="00DF0680">
        <w:rPr>
          <w:i/>
          <w:iCs/>
        </w:rPr>
        <w:t>Oncogene</w:t>
      </w:r>
      <w:r w:rsidRPr="00DF0680">
        <w:t>, 17(20), pp.2565–71.</w:t>
      </w:r>
    </w:p>
    <w:p w:rsidR="00341643" w:rsidRPr="00DF0680" w:rsidRDefault="00341643">
      <w:pPr>
        <w:pStyle w:val="NormalWeb"/>
        <w:ind w:left="480" w:hanging="480"/>
        <w:divId w:val="930774447"/>
      </w:pPr>
      <w:r w:rsidRPr="00DF0680">
        <w:t xml:space="preserve">Bakkenist, C.J. &amp; Kastan, M.B., 2003. DNA damage activates ATM through intermolecular autophosphorylation and dimer dissociation. </w:t>
      </w:r>
      <w:r w:rsidRPr="00DF0680">
        <w:rPr>
          <w:i/>
          <w:iCs/>
        </w:rPr>
        <w:t>Nature</w:t>
      </w:r>
      <w:r w:rsidRPr="00DF0680">
        <w:t>, 421(6922), pp.499–506.</w:t>
      </w:r>
    </w:p>
    <w:p w:rsidR="00341643" w:rsidRPr="00DF0680" w:rsidRDefault="00341643">
      <w:pPr>
        <w:pStyle w:val="NormalWeb"/>
        <w:ind w:left="480" w:hanging="480"/>
        <w:divId w:val="930774447"/>
      </w:pPr>
      <w:r w:rsidRPr="00DF0680">
        <w:t xml:space="preserve">Baltin, J., Leist, S., Odronitz, F., Wollscheid, H.-P., Baack, M., Kapitza, T., Schaarschmidt, D. &amp; Knippers, R., 2006. DNA replication in protein extracts from human cells requires ORC and Mcm proteins. </w:t>
      </w:r>
      <w:r w:rsidRPr="00DF0680">
        <w:rPr>
          <w:i/>
          <w:iCs/>
        </w:rPr>
        <w:t>The Journal of Biological Chemistry</w:t>
      </w:r>
      <w:r w:rsidRPr="00DF0680">
        <w:t>, 281(18), pp.12428–35.</w:t>
      </w:r>
    </w:p>
    <w:p w:rsidR="00341643" w:rsidRPr="00DF0680" w:rsidRDefault="00341643">
      <w:pPr>
        <w:pStyle w:val="NormalWeb"/>
        <w:ind w:left="480" w:hanging="480"/>
        <w:divId w:val="930774447"/>
      </w:pPr>
      <w:r w:rsidRPr="00DF0680">
        <w:t xml:space="preserve">Banin, S., Moyal, L., Shieh, S.-Y., Taya, Y., Anderson, C.W., Chessa, L., Smorodinsky, N.I., Prives, C., Reiss, Y., Shiloh, Y. &amp; Ziv, Y., 1998. Enhanced Phosphorylation of p53 by ATM in Response to DNA Damage. </w:t>
      </w:r>
      <w:r w:rsidRPr="00DF0680">
        <w:rPr>
          <w:i/>
          <w:iCs/>
        </w:rPr>
        <w:t>Science</w:t>
      </w:r>
      <w:r w:rsidRPr="00DF0680">
        <w:t>, 281(5383), pp.1674–1677.</w:t>
      </w:r>
    </w:p>
    <w:p w:rsidR="00341643" w:rsidRPr="00DF0680" w:rsidRDefault="00341643">
      <w:pPr>
        <w:pStyle w:val="NormalWeb"/>
        <w:ind w:left="480" w:hanging="480"/>
        <w:divId w:val="930774447"/>
      </w:pPr>
      <w:r w:rsidRPr="00DF0680">
        <w:lastRenderedPageBreak/>
        <w:t xml:space="preserve">Bansbach, C.E., Bétous, R., Lovejoy, C. a, Glick, G.G. &amp; Cortez, D., 2009. The annealing helicase SMARCAL1 maintains genome integrity at stalled replication forks. </w:t>
      </w:r>
      <w:r w:rsidRPr="00DF0680">
        <w:rPr>
          <w:i/>
          <w:iCs/>
        </w:rPr>
        <w:t>Genes &amp; Development</w:t>
      </w:r>
      <w:r w:rsidRPr="00DF0680">
        <w:t>, 23(20), pp.2405–14.</w:t>
      </w:r>
    </w:p>
    <w:p w:rsidR="00341643" w:rsidRPr="00DF0680" w:rsidRDefault="00341643">
      <w:pPr>
        <w:pStyle w:val="NormalWeb"/>
        <w:ind w:left="480" w:hanging="480"/>
        <w:divId w:val="930774447"/>
      </w:pPr>
      <w:r w:rsidRPr="00DF0680">
        <w:t xml:space="preserve">Bao, S., Tibbetts, R. &amp; Brumbaugh, K., 2001. ATR/ATM-mediated phosphorylation of human Rad17 is required for genotoxic stress responses. </w:t>
      </w:r>
      <w:r w:rsidRPr="00DF0680">
        <w:rPr>
          <w:i/>
          <w:iCs/>
        </w:rPr>
        <w:t>Nature</w:t>
      </w:r>
      <w:r w:rsidRPr="00DF0680">
        <w:t>, 411(6840), pp.969–974.</w:t>
      </w:r>
    </w:p>
    <w:p w:rsidR="00341643" w:rsidRPr="00DF0680" w:rsidRDefault="00341643">
      <w:pPr>
        <w:pStyle w:val="NormalWeb"/>
        <w:ind w:left="480" w:hanging="480"/>
        <w:divId w:val="930774447"/>
      </w:pPr>
      <w:r w:rsidRPr="00DF0680">
        <w:t xml:space="preserve">Barefield, C. &amp; Karlseder, J., 2012. The BLM helicase contributes to telomere maintenance through processing of late-replicating intermediate structures. </w:t>
      </w:r>
      <w:r w:rsidRPr="00DF0680">
        <w:rPr>
          <w:i/>
          <w:iCs/>
        </w:rPr>
        <w:t>Nucleic Acids Research</w:t>
      </w:r>
      <w:r w:rsidRPr="00DF0680">
        <w:t>, 40(15), pp.7358–67.</w:t>
      </w:r>
    </w:p>
    <w:p w:rsidR="00341643" w:rsidRPr="00DF0680" w:rsidRDefault="00341643">
      <w:pPr>
        <w:pStyle w:val="NormalWeb"/>
        <w:ind w:left="480" w:hanging="480"/>
        <w:divId w:val="930774447"/>
      </w:pPr>
      <w:r w:rsidRPr="00DF0680">
        <w:t xml:space="preserve">Bartek, J. &amp; Lukas, J., 2003. Chk1 and Chk2 kinases in checkpoint control and cancer. </w:t>
      </w:r>
      <w:r w:rsidRPr="00DF0680">
        <w:rPr>
          <w:i/>
          <w:iCs/>
        </w:rPr>
        <w:t>Cancer Cell</w:t>
      </w:r>
      <w:r w:rsidRPr="00DF0680">
        <w:t>, 3(5), pp.421–9.</w:t>
      </w:r>
    </w:p>
    <w:p w:rsidR="00341643" w:rsidRPr="00DF0680" w:rsidRDefault="00341643">
      <w:pPr>
        <w:pStyle w:val="NormalWeb"/>
        <w:ind w:left="480" w:hanging="480"/>
        <w:divId w:val="930774447"/>
      </w:pPr>
      <w:r w:rsidRPr="00DF0680">
        <w:t xml:space="preserve">Basile, G., Leuzzi, G., Pichierri, P. &amp; Franchitto, A., 2014. Checkpoint-dependent and independent roles of the Werner syndrome protein in preserving genome integrity in response to mild replication stress. </w:t>
      </w:r>
      <w:r w:rsidRPr="00DF0680">
        <w:rPr>
          <w:i/>
          <w:iCs/>
        </w:rPr>
        <w:t>Nucleic Acids Research</w:t>
      </w:r>
      <w:r w:rsidRPr="00DF0680">
        <w:t>, 42(20), pp.12628–39.</w:t>
      </w:r>
    </w:p>
    <w:p w:rsidR="00341643" w:rsidRPr="00DF0680" w:rsidRDefault="00341643">
      <w:pPr>
        <w:pStyle w:val="NormalWeb"/>
        <w:ind w:left="480" w:hanging="480"/>
        <w:divId w:val="930774447"/>
      </w:pPr>
      <w:r w:rsidRPr="00DF0680">
        <w:t xml:space="preserve">Baynton, K., Otterlei, M., Bjørås, M., von Kobbe, C., Bohr, V. a &amp; Seeberg, E., 2003. WRN interacts physically and functionally with the recombination mediator protein RAD52. </w:t>
      </w:r>
      <w:r w:rsidRPr="00DF0680">
        <w:rPr>
          <w:i/>
          <w:iCs/>
        </w:rPr>
        <w:t>The Journal of Biological Chemistry</w:t>
      </w:r>
      <w:r w:rsidRPr="00DF0680">
        <w:t>, 278(38), pp.36476–86.</w:t>
      </w:r>
    </w:p>
    <w:p w:rsidR="00341643" w:rsidRPr="00DF0680" w:rsidRDefault="00341643">
      <w:pPr>
        <w:pStyle w:val="NormalWeb"/>
        <w:ind w:left="480" w:hanging="480"/>
        <w:divId w:val="930774447"/>
      </w:pPr>
      <w:r w:rsidRPr="00DF0680">
        <w:t xml:space="preserve">Beamish, H., Kedar, P., Kaneko, H., Chen, P., Fukao, T., Peng, C., Beresten, S., Gueven, N., Purdie, D., Lees-Miller, S., Ellis, N., Kondo, N. &amp; Lavin, M.F., 2002. Functional link between BLM defective in Bloom’s syndrome and the ataxia-telangiectasia-mutated protein, ATM. </w:t>
      </w:r>
      <w:r w:rsidRPr="00DF0680">
        <w:rPr>
          <w:i/>
          <w:iCs/>
        </w:rPr>
        <w:t>The Journal of Biological Chemistry</w:t>
      </w:r>
      <w:r w:rsidRPr="00DF0680">
        <w:t>, 277(34), pp.30515–23.</w:t>
      </w:r>
    </w:p>
    <w:p w:rsidR="00341643" w:rsidRPr="00DF0680" w:rsidRDefault="00341643">
      <w:pPr>
        <w:pStyle w:val="NormalWeb"/>
        <w:ind w:left="480" w:hanging="480"/>
        <w:divId w:val="930774447"/>
      </w:pPr>
      <w:r w:rsidRPr="00DF0680">
        <w:t xml:space="preserve">Beauséjour, C., Krtolica, A. &amp; Galimi, F., 2003. Reversal of human cellular senescence: roles of the p53 and p16 pathways. </w:t>
      </w:r>
      <w:r w:rsidRPr="00DF0680">
        <w:rPr>
          <w:i/>
          <w:iCs/>
        </w:rPr>
        <w:t>The EMBO Journal</w:t>
      </w:r>
      <w:r w:rsidRPr="00DF0680">
        <w:t>, 22(16), pp.4212–22.</w:t>
      </w:r>
    </w:p>
    <w:p w:rsidR="00341643" w:rsidRPr="00DF0680" w:rsidRDefault="00341643">
      <w:pPr>
        <w:pStyle w:val="NormalWeb"/>
        <w:ind w:left="480" w:hanging="480"/>
        <w:divId w:val="930774447"/>
      </w:pPr>
      <w:r w:rsidRPr="00DF0680">
        <w:t xml:space="preserve">Benham, F., Cottell, D.C., Franks, L.M. &amp; Wilson, P.D., 1977. Alkaline phosphatase activity in human bladder tumor cell lines. </w:t>
      </w:r>
      <w:r w:rsidRPr="00DF0680">
        <w:rPr>
          <w:i/>
          <w:iCs/>
        </w:rPr>
        <w:t>Journal of Histochemistry &amp; Cytochemistry</w:t>
      </w:r>
      <w:r w:rsidRPr="00DF0680">
        <w:t>, 25(4), pp.266–274.</w:t>
      </w:r>
    </w:p>
    <w:p w:rsidR="00341643" w:rsidRPr="00DF0680" w:rsidRDefault="00341643">
      <w:pPr>
        <w:pStyle w:val="NormalWeb"/>
        <w:ind w:left="480" w:hanging="480"/>
        <w:divId w:val="930774447"/>
      </w:pPr>
      <w:r w:rsidRPr="00DF0680">
        <w:t xml:space="preserve">Bennardo, N., Cheng, A., Huang, N. &amp; Stark, J.M., 2008. Alternative-NHEJ is a mechanistically distinct pathway of mammalian chromosome break repair. </w:t>
      </w:r>
      <w:r w:rsidRPr="00DF0680">
        <w:rPr>
          <w:i/>
          <w:iCs/>
        </w:rPr>
        <w:t>PLoS Genetics</w:t>
      </w:r>
      <w:r w:rsidRPr="00DF0680">
        <w:t>, 4(6), p.e1000110.</w:t>
      </w:r>
    </w:p>
    <w:p w:rsidR="00341643" w:rsidRPr="00DF0680" w:rsidRDefault="00341643">
      <w:pPr>
        <w:pStyle w:val="NormalWeb"/>
        <w:ind w:left="480" w:hanging="480"/>
        <w:divId w:val="930774447"/>
      </w:pPr>
      <w:r w:rsidRPr="00DF0680">
        <w:t xml:space="preserve">Bennett, R. a, Wilson, D.M., Wong, D. &amp; Demple, B., 1997. Interaction of human apurinic endonuclease and DNA polymerase beta in the base excision repair pathway. </w:t>
      </w:r>
      <w:r w:rsidRPr="00DF0680">
        <w:rPr>
          <w:i/>
          <w:iCs/>
        </w:rPr>
        <w:t>Proceedings of the National Academy of Sciences</w:t>
      </w:r>
      <w:r w:rsidRPr="00DF0680">
        <w:t>, 94(14), pp.7166–9.</w:t>
      </w:r>
    </w:p>
    <w:p w:rsidR="00341643" w:rsidRPr="00DF0680" w:rsidRDefault="00341643">
      <w:pPr>
        <w:pStyle w:val="NormalWeb"/>
        <w:ind w:left="480" w:hanging="480"/>
        <w:divId w:val="930774447"/>
      </w:pPr>
      <w:r w:rsidRPr="00DF0680">
        <w:t xml:space="preserve">Bennett, R.J., 1998. Purification and Characterization of the Sgs1 DNA Helicase Activity of Saccharomyces cerevisiae. </w:t>
      </w:r>
      <w:r w:rsidRPr="00DF0680">
        <w:rPr>
          <w:i/>
          <w:iCs/>
        </w:rPr>
        <w:t>Journal of Biological Chemistry</w:t>
      </w:r>
      <w:r w:rsidRPr="00DF0680">
        <w:t>, 273(16), pp.9644–9650.</w:t>
      </w:r>
    </w:p>
    <w:p w:rsidR="00341643" w:rsidRPr="00DF0680" w:rsidRDefault="00341643">
      <w:pPr>
        <w:pStyle w:val="NormalWeb"/>
        <w:ind w:left="480" w:hanging="480"/>
        <w:divId w:val="930774447"/>
      </w:pPr>
      <w:r w:rsidRPr="00DF0680">
        <w:lastRenderedPageBreak/>
        <w:t xml:space="preserve">Bermudez, V.P., Lindsey-Boltz, L. a, Cesare, A.J., Maniwa, Y., Griffith, J.D., Hurwitz, J. &amp; Sancar, A., 2003. Loading of the human 9-1-1 checkpoint complex onto DNA by the checkpoint clamp loader hRad17-replication factor C complex in vitro. </w:t>
      </w:r>
      <w:r w:rsidRPr="00DF0680">
        <w:rPr>
          <w:i/>
          <w:iCs/>
        </w:rPr>
        <w:t>Proceedings of the National Academy of Sciences</w:t>
      </w:r>
      <w:r w:rsidRPr="00DF0680">
        <w:t>, 100(4), pp.1633–8.</w:t>
      </w:r>
    </w:p>
    <w:p w:rsidR="00341643" w:rsidRPr="00DF0680" w:rsidRDefault="00341643">
      <w:pPr>
        <w:pStyle w:val="NormalWeb"/>
        <w:ind w:left="480" w:hanging="480"/>
        <w:divId w:val="930774447"/>
      </w:pPr>
      <w:r w:rsidRPr="00DF0680">
        <w:t xml:space="preserve">Berti, M., Chaudhuri, A.R., Thangavel, S., Gomathinayagam, S., Kenig, S., Vujanovic, M., Odreman, F., Glatter, T., Graziano, S., Mendoza-maldonado, R., Marino, F., Lucic, B., Biasin, V., Gstaiger, M., Aebersold, R., Sidorova, J.M., Jr, R.J.M., Lopes, M. &amp; Vindigni, A., 2013. Human RECQ1 promotes restart of replication forks reversed by DNA topoisomerase I inhibition. </w:t>
      </w:r>
      <w:r w:rsidRPr="00DF0680">
        <w:rPr>
          <w:i/>
          <w:iCs/>
        </w:rPr>
        <w:t>Nature Structural &amp; Molecular Biology</w:t>
      </w:r>
      <w:r w:rsidRPr="00DF0680">
        <w:t>, 20(3), pp.347–54.</w:t>
      </w:r>
    </w:p>
    <w:p w:rsidR="00341643" w:rsidRPr="00DF0680" w:rsidRDefault="00341643">
      <w:pPr>
        <w:pStyle w:val="NormalWeb"/>
        <w:ind w:left="480" w:hanging="480"/>
        <w:divId w:val="930774447"/>
      </w:pPr>
      <w:r w:rsidRPr="00DF0680">
        <w:t xml:space="preserve">Bétous, R., Mason, A.C., Rambo, R.P., Bansbach, C.E., Badu-Nkansah, A., Sirbu, B.M., Eichman, B.F. &amp; Cortez, D., 2012. SMARCAL1 catalyzes fork regression and Holliday junction migration to maintain genome stability during DNA replication. </w:t>
      </w:r>
      <w:r w:rsidRPr="00DF0680">
        <w:rPr>
          <w:i/>
          <w:iCs/>
        </w:rPr>
        <w:t>Genes &amp; Development</w:t>
      </w:r>
      <w:r w:rsidRPr="00DF0680">
        <w:t>, 26(2), pp.151–62.</w:t>
      </w:r>
    </w:p>
    <w:p w:rsidR="00341643" w:rsidRPr="00DF0680" w:rsidRDefault="00341643">
      <w:pPr>
        <w:pStyle w:val="NormalWeb"/>
        <w:ind w:left="480" w:hanging="480"/>
        <w:divId w:val="930774447"/>
      </w:pPr>
      <w:r w:rsidRPr="00DF0680">
        <w:t xml:space="preserve">Bétous, R., Pillaire, M.-J., Pierini, L., van der Laan, S., Recolin, B., Ohl-Séguy, E., Guo, C., Niimi, N., Grúz, P., Nohmi, T., Friedberg, E., Cazaux, C., Maiorano, D. &amp; Hoffmann, J.-S., 2013. DNA polymerase κ-dependent DNA synthesis at stalled replication forks is important for CHK1 activation. </w:t>
      </w:r>
      <w:r w:rsidRPr="00DF0680">
        <w:rPr>
          <w:i/>
          <w:iCs/>
        </w:rPr>
        <w:t>The EMBO Journal</w:t>
      </w:r>
      <w:r w:rsidRPr="00DF0680">
        <w:t>, 32(15), pp.2172–85.</w:t>
      </w:r>
    </w:p>
    <w:p w:rsidR="00341643" w:rsidRPr="00DF0680" w:rsidRDefault="00341643">
      <w:pPr>
        <w:pStyle w:val="NormalWeb"/>
        <w:ind w:left="480" w:hanging="480"/>
        <w:divId w:val="930774447"/>
      </w:pPr>
      <w:r w:rsidRPr="00DF0680">
        <w:t xml:space="preserve">Bhattacharyya, a, Ear, U.S., Koller, B.H., Weichselbaum, R.R. &amp; Bishop, D.K., 2000. The breast cancer susceptibility gene BRCA1 is required for subnuclear assembly of Rad51 and survival following treatment with the DNA cross-linking agent cisplatin. </w:t>
      </w:r>
      <w:r w:rsidRPr="00DF0680">
        <w:rPr>
          <w:i/>
          <w:iCs/>
        </w:rPr>
        <w:t>The Journal of Biological Chemistry</w:t>
      </w:r>
      <w:r w:rsidRPr="00DF0680">
        <w:t>, 275(31), pp.23899–903.</w:t>
      </w:r>
    </w:p>
    <w:p w:rsidR="00341643" w:rsidRPr="00DF0680" w:rsidRDefault="00341643">
      <w:pPr>
        <w:pStyle w:val="NormalWeb"/>
        <w:ind w:left="480" w:hanging="480"/>
        <w:divId w:val="930774447"/>
      </w:pPr>
      <w:r w:rsidRPr="00DF0680">
        <w:t xml:space="preserve">Bi, X., Barkley, L.R., Slater, D.M., Tateishi, S., Yamaizumi, M., Ohmori, H. &amp; Vaziri, C., 2006. Rad18 regulates DNA polymerase kappa and is required for recovery from S-phase checkpoint-mediated arrest. </w:t>
      </w:r>
      <w:r w:rsidRPr="00DF0680">
        <w:rPr>
          <w:i/>
          <w:iCs/>
        </w:rPr>
        <w:t>Molecular and Cellular Biology</w:t>
      </w:r>
      <w:r w:rsidRPr="00DF0680">
        <w:t>, 26(9), pp.3527–40.</w:t>
      </w:r>
    </w:p>
    <w:p w:rsidR="00341643" w:rsidRPr="00DF0680" w:rsidRDefault="00341643">
      <w:pPr>
        <w:pStyle w:val="NormalWeb"/>
        <w:ind w:left="480" w:hanging="480"/>
        <w:divId w:val="930774447"/>
      </w:pPr>
      <w:r w:rsidRPr="00DF0680">
        <w:t xml:space="preserve">Bianchi, V., Pontis, E. &amp; Reichard, P., 1986. Changes of deoxyribonucleoside triphosphate pools induced by hydroxyurea and their relation to DNA synthesis. </w:t>
      </w:r>
      <w:r w:rsidRPr="00DF0680">
        <w:rPr>
          <w:i/>
          <w:iCs/>
        </w:rPr>
        <w:t>The Journal of Biological Chemistry</w:t>
      </w:r>
      <w:r w:rsidRPr="00DF0680">
        <w:t>, 261(34), pp.16037–42.</w:t>
      </w:r>
    </w:p>
    <w:p w:rsidR="00341643" w:rsidRPr="00DF0680" w:rsidRDefault="00341643">
      <w:pPr>
        <w:pStyle w:val="NormalWeb"/>
        <w:ind w:left="480" w:hanging="480"/>
        <w:divId w:val="930774447"/>
      </w:pPr>
      <w:r w:rsidRPr="00DF0680">
        <w:t xml:space="preserve">Bianco, J.N., Poli, J., Saksouk, J., Bacal, J., Silva, M.J., Yoshida, K., Lin, Y.L., Tourrière, H., Lengronne, A. &amp; Pasero, P., 2012. Analysis of DNA replication profiles in budding yeast and mammalian cells using DNA combing. </w:t>
      </w:r>
      <w:r w:rsidRPr="00DF0680">
        <w:rPr>
          <w:i/>
          <w:iCs/>
        </w:rPr>
        <w:t>Methods</w:t>
      </w:r>
      <w:r w:rsidRPr="00DF0680">
        <w:t>, 57(2), pp.149–157.</w:t>
      </w:r>
    </w:p>
    <w:p w:rsidR="00341643" w:rsidRPr="00DF0680" w:rsidRDefault="00341643">
      <w:pPr>
        <w:pStyle w:val="NormalWeb"/>
        <w:ind w:left="480" w:hanging="480"/>
        <w:divId w:val="930774447"/>
      </w:pPr>
      <w:r w:rsidRPr="00DF0680">
        <w:t xml:space="preserve">Bienko, M., Green, C.M., Crosetto, N., Rudolf, F., Zapart, G., Coull, B., Kannouche, P., Wider, G., Peter, M., Lehmann, A.R., Hofmann, K. &amp; Dikic, I., 2005. Ubiquitin-binding domains in Y-family polymerases regulate translesion synthesis. </w:t>
      </w:r>
      <w:r w:rsidRPr="00DF0680">
        <w:rPr>
          <w:i/>
          <w:iCs/>
        </w:rPr>
        <w:t>Science</w:t>
      </w:r>
      <w:r w:rsidRPr="00DF0680">
        <w:t>, 310(5755), pp.1821–4.</w:t>
      </w:r>
    </w:p>
    <w:p w:rsidR="00341643" w:rsidRPr="00DF0680" w:rsidRDefault="00341643">
      <w:pPr>
        <w:pStyle w:val="NormalWeb"/>
        <w:ind w:left="480" w:hanging="480"/>
        <w:divId w:val="930774447"/>
      </w:pPr>
      <w:r w:rsidRPr="00DF0680">
        <w:t xml:space="preserve">Bignold, L.P., Coghlan, B.L.D. &amp; Jersmann, H.P.A., 2006. Cancer morphology, carcinogenesis and genetic instability: a background. </w:t>
      </w:r>
      <w:r w:rsidRPr="00DF0680">
        <w:rPr>
          <w:i/>
          <w:iCs/>
        </w:rPr>
        <w:t>Experientia Supplementum</w:t>
      </w:r>
      <w:r w:rsidRPr="00DF0680">
        <w:t>, (96), pp.1–24.</w:t>
      </w:r>
    </w:p>
    <w:p w:rsidR="00341643" w:rsidRPr="00DF0680" w:rsidRDefault="00341643">
      <w:pPr>
        <w:pStyle w:val="NormalWeb"/>
        <w:ind w:left="480" w:hanging="480"/>
        <w:divId w:val="930774447"/>
      </w:pPr>
      <w:r w:rsidRPr="00DF0680">
        <w:lastRenderedPageBreak/>
        <w:t xml:space="preserve">Bjergbaek, L., Cobb, J. a, Tsai-Pflugfelder, M. &amp; Gasser, S.M., 2005. Mechanistically distinct roles for Sgs1p in checkpoint activation and replication fork maintenance. </w:t>
      </w:r>
      <w:r w:rsidRPr="00DF0680">
        <w:rPr>
          <w:i/>
          <w:iCs/>
        </w:rPr>
        <w:t>The EMBO Journal</w:t>
      </w:r>
      <w:r w:rsidRPr="00DF0680">
        <w:t>, 24(2), pp.405–17.</w:t>
      </w:r>
    </w:p>
    <w:p w:rsidR="00341643" w:rsidRPr="00DF0680" w:rsidRDefault="00341643">
      <w:pPr>
        <w:pStyle w:val="NormalWeb"/>
        <w:ind w:left="480" w:hanging="480"/>
        <w:divId w:val="930774447"/>
      </w:pPr>
      <w:r w:rsidRPr="00DF0680">
        <w:t xml:space="preserve">Bjursell, G. &amp; Reichard, P., 1973. Effects of thymidine on deoxyribonucleoside triphosphate pools and deoxyribonucleic acid synthesis in Chinese hamster ovary cells. </w:t>
      </w:r>
      <w:r w:rsidRPr="00DF0680">
        <w:rPr>
          <w:i/>
          <w:iCs/>
        </w:rPr>
        <w:t>Journal of Biological Chemistry</w:t>
      </w:r>
      <w:r w:rsidRPr="00DF0680">
        <w:t>, 218(11), pp.3904–3909.</w:t>
      </w:r>
    </w:p>
    <w:p w:rsidR="00341643" w:rsidRPr="00DF0680" w:rsidRDefault="00341643">
      <w:pPr>
        <w:pStyle w:val="NormalWeb"/>
        <w:ind w:left="480" w:hanging="480"/>
        <w:divId w:val="930774447"/>
      </w:pPr>
      <w:r w:rsidRPr="00DF0680">
        <w:t xml:space="preserve">Blastyák, A., Hajdú, I., Unk, I. &amp; Haracska, L., 2010. Role of double-stranded DNA translocase activity of human HLTF in replication of damaged DNA. </w:t>
      </w:r>
      <w:r w:rsidRPr="00DF0680">
        <w:rPr>
          <w:i/>
          <w:iCs/>
        </w:rPr>
        <w:t>Molecular and Cellular Biology</w:t>
      </w:r>
      <w:r w:rsidRPr="00DF0680">
        <w:t>, 30(3), pp.684–93.</w:t>
      </w:r>
    </w:p>
    <w:p w:rsidR="00341643" w:rsidRPr="00DF0680" w:rsidRDefault="00341643">
      <w:pPr>
        <w:pStyle w:val="NormalWeb"/>
        <w:ind w:left="480" w:hanging="480"/>
        <w:divId w:val="930774447"/>
      </w:pPr>
      <w:r w:rsidRPr="00DF0680">
        <w:t xml:space="preserve">Blier, P., Griffith, A., Craft, J. &amp; Hardin, J., 1993. Binding of Ku protein to DNA. Measurement of affinity for ends and demonstration of binding to nicks. </w:t>
      </w:r>
      <w:r w:rsidRPr="00DF0680">
        <w:rPr>
          <w:i/>
          <w:iCs/>
        </w:rPr>
        <w:t>Journal of Biological Chemistry</w:t>
      </w:r>
      <w:r w:rsidRPr="00DF0680">
        <w:t>, 268(10), pp.7594–7601.</w:t>
      </w:r>
    </w:p>
    <w:p w:rsidR="00341643" w:rsidRPr="00DF0680" w:rsidRDefault="00341643">
      <w:pPr>
        <w:pStyle w:val="NormalWeb"/>
        <w:ind w:left="480" w:hanging="480"/>
        <w:divId w:val="930774447"/>
      </w:pPr>
      <w:r w:rsidRPr="00DF0680">
        <w:t xml:space="preserve">Bloom, D., 1954. Congenital telangiectatic erythema resembling lupus erythematosus in dwarfs; probably a syndrome entity. </w:t>
      </w:r>
      <w:r w:rsidRPr="00DF0680">
        <w:rPr>
          <w:i/>
          <w:iCs/>
        </w:rPr>
        <w:t>AMA American Journal of Diseases of Children</w:t>
      </w:r>
      <w:r w:rsidRPr="00DF0680">
        <w:t>, 88(6), pp.754–758.</w:t>
      </w:r>
    </w:p>
    <w:p w:rsidR="00341643" w:rsidRPr="00DF0680" w:rsidRDefault="00341643">
      <w:pPr>
        <w:pStyle w:val="NormalWeb"/>
        <w:ind w:left="480" w:hanging="480"/>
        <w:divId w:val="930774447"/>
      </w:pPr>
      <w:r w:rsidRPr="00DF0680">
        <w:t xml:space="preserve">Blundred, R., Myers, K., Helleday, T., Goldman, A.S.H. &amp; Bryant, H.E., 2010. Human RECQL5 overcomes thymidine-induced replication stress. </w:t>
      </w:r>
      <w:r w:rsidRPr="00DF0680">
        <w:rPr>
          <w:i/>
          <w:iCs/>
        </w:rPr>
        <w:t>DNA Repair</w:t>
      </w:r>
      <w:r w:rsidRPr="00DF0680">
        <w:t>, 9(9), pp.964–75.</w:t>
      </w:r>
    </w:p>
    <w:p w:rsidR="00341643" w:rsidRPr="00DF0680" w:rsidRDefault="00341643">
      <w:pPr>
        <w:pStyle w:val="NormalWeb"/>
        <w:ind w:left="480" w:hanging="480"/>
        <w:divId w:val="930774447"/>
      </w:pPr>
      <w:r w:rsidRPr="00DF0680">
        <w:t xml:space="preserve">Boboila, C. &amp; Jankovic, M., 2010. Alternative end-joining catalyzes robust IgH locus deletions and translocations in the combined absence of ligase 4 and Ku70. </w:t>
      </w:r>
      <w:r w:rsidRPr="00DF0680">
        <w:rPr>
          <w:i/>
          <w:iCs/>
        </w:rPr>
        <w:t>Proceedings of the National Academy of Sciences</w:t>
      </w:r>
      <w:r w:rsidRPr="00DF0680">
        <w:t>, 110(14), pp.5731–5731.</w:t>
      </w:r>
    </w:p>
    <w:p w:rsidR="00341643" w:rsidRPr="00DF0680" w:rsidRDefault="00341643">
      <w:pPr>
        <w:pStyle w:val="NormalWeb"/>
        <w:ind w:left="480" w:hanging="480"/>
        <w:divId w:val="930774447"/>
      </w:pPr>
      <w:r w:rsidRPr="00DF0680">
        <w:t xml:space="preserve">Boboila, C. &amp; Oksenych, V., 2012. Robust chromosomal DNA repair via alternative end-joining in the absence of X-ray repair cross-complementing protein 1 (XRCC1). </w:t>
      </w:r>
      <w:r w:rsidRPr="00DF0680">
        <w:rPr>
          <w:i/>
          <w:iCs/>
        </w:rPr>
        <w:t>Proceedings of the National Academy of Sciences</w:t>
      </w:r>
      <w:r w:rsidRPr="00DF0680">
        <w:t>, 110(14), pp.5731–5731.</w:t>
      </w:r>
    </w:p>
    <w:p w:rsidR="00341643" w:rsidRPr="00DF0680" w:rsidRDefault="00341643">
      <w:pPr>
        <w:pStyle w:val="NormalWeb"/>
        <w:ind w:left="480" w:hanging="480"/>
        <w:divId w:val="930774447"/>
      </w:pPr>
      <w:r w:rsidRPr="00DF0680">
        <w:t xml:space="preserve">Boerkoel, C.F., Takashima, H., John, J., Yan, J., Stankiewicz, P., Rosenbarker, L., André, J.-L., Bogdanovic, R., Burguet, A., Cockfield, S., Cordeiro, I., Fründ, S., Illies, F., Joseph, M., Kaitila, I., Lama, G., Loirat, C., McLeod, D.R., Milford, D. V, Petty, E.M., Rodrigo, F., Saraiva, J.M., Schmidt, B., Smith, G.C., Spranger, J., Stein, A., Thiele, H., Tizard, J., Weksberg, R., Lupski, J.R. &amp; Stockton, D.W., 2002. Mutant chromatin remodeling protein SMARCAL1 causes Schimke immuno-osseous dysplasia. </w:t>
      </w:r>
      <w:r w:rsidRPr="00DF0680">
        <w:rPr>
          <w:i/>
          <w:iCs/>
        </w:rPr>
        <w:t>Nature Genetics</w:t>
      </w:r>
      <w:r w:rsidRPr="00DF0680">
        <w:t>, 30(2), pp.215–20.</w:t>
      </w:r>
    </w:p>
    <w:p w:rsidR="00341643" w:rsidRPr="00DF0680" w:rsidRDefault="00341643">
      <w:pPr>
        <w:pStyle w:val="NormalWeb"/>
        <w:ind w:left="480" w:hanging="480"/>
        <w:divId w:val="930774447"/>
      </w:pPr>
      <w:r w:rsidRPr="00DF0680">
        <w:t xml:space="preserve">Bolderson, E., Scorah, J., Helleday, T., Smythe, C. &amp; Meuth, M., 2004. ATM is required for the cellular response to thymidine induced replication fork stress. </w:t>
      </w:r>
      <w:r w:rsidRPr="00DF0680">
        <w:rPr>
          <w:i/>
          <w:iCs/>
        </w:rPr>
        <w:t>Human Molecular Genetics</w:t>
      </w:r>
      <w:r w:rsidRPr="00DF0680">
        <w:t>, 13(23), pp.2937–45.</w:t>
      </w:r>
    </w:p>
    <w:p w:rsidR="00341643" w:rsidRPr="00DF0680" w:rsidRDefault="00341643">
      <w:pPr>
        <w:pStyle w:val="NormalWeb"/>
        <w:ind w:left="480" w:hanging="480"/>
        <w:divId w:val="930774447"/>
      </w:pPr>
      <w:r w:rsidRPr="00DF0680">
        <w:t xml:space="preserve">Breimer, L.H. &amp; Lindahl, T., 1985. Thymine lesions produced by ionizing radiation in double-stranded DNA. </w:t>
      </w:r>
      <w:r w:rsidRPr="00DF0680">
        <w:rPr>
          <w:i/>
          <w:iCs/>
        </w:rPr>
        <w:t>Biochemistry</w:t>
      </w:r>
      <w:r w:rsidRPr="00DF0680">
        <w:t>, 24(15), pp.4018–22.</w:t>
      </w:r>
    </w:p>
    <w:p w:rsidR="00341643" w:rsidRPr="00DF0680" w:rsidRDefault="00341643">
      <w:pPr>
        <w:pStyle w:val="NormalWeb"/>
        <w:ind w:left="480" w:hanging="480"/>
        <w:divId w:val="930774447"/>
      </w:pPr>
      <w:r w:rsidRPr="00DF0680">
        <w:lastRenderedPageBreak/>
        <w:t xml:space="preserve">Broderick, R., Rainey, M.D., Santocanale, C. &amp; Nasheuer, H.P., 2013. Cell cycle-dependent formation of Cdc45-Claspin complexes in human cells is compromized by UV-mediated DNA damage. </w:t>
      </w:r>
      <w:r w:rsidRPr="00DF0680">
        <w:rPr>
          <w:i/>
          <w:iCs/>
        </w:rPr>
        <w:t>The FEBS Journal</w:t>
      </w:r>
      <w:r w:rsidRPr="00DF0680">
        <w:t>, 280(19), pp.4888–902.</w:t>
      </w:r>
    </w:p>
    <w:p w:rsidR="00341643" w:rsidRPr="00DF0680" w:rsidRDefault="00341643">
      <w:pPr>
        <w:pStyle w:val="NormalWeb"/>
        <w:ind w:left="480" w:hanging="480"/>
        <w:divId w:val="930774447"/>
      </w:pPr>
      <w:r w:rsidRPr="00DF0680">
        <w:t xml:space="preserve">Brosh, R.M., Kobbe, C. Von, Sommers, J.A., Karmakar, P., Opresko, P.L., Piotrowski, J., Dianova, I., Dianov, G.L. &amp; Bohr, V.A., 2001. Werner syndrome protein interacts with human flap endonuclease 1 and stimulates its cleavage activity. </w:t>
      </w:r>
      <w:r w:rsidRPr="00DF0680">
        <w:rPr>
          <w:i/>
          <w:iCs/>
        </w:rPr>
        <w:t>The EMBO Journal</w:t>
      </w:r>
      <w:r w:rsidRPr="00DF0680">
        <w:t>, 20(20), pp.5791–5801.</w:t>
      </w:r>
    </w:p>
    <w:p w:rsidR="00341643" w:rsidRPr="00DF0680" w:rsidRDefault="00341643">
      <w:pPr>
        <w:pStyle w:val="NormalWeb"/>
        <w:ind w:left="480" w:hanging="480"/>
        <w:divId w:val="930774447"/>
      </w:pPr>
      <w:r w:rsidRPr="00DF0680">
        <w:t xml:space="preserve">Brosh, R.M., Li, J.L., Kenny, M.K., Karow, J.K., Cooper, M.P., Kureekattil, R.P., Hickson, I.D. &amp; Bohr, V. a, 2000. Replication protein A physically interacts with the Bloom’s syndrome protein and stimulates its helicase activity. </w:t>
      </w:r>
      <w:r w:rsidRPr="00DF0680">
        <w:rPr>
          <w:i/>
          <w:iCs/>
        </w:rPr>
        <w:t>The Journal of Biological Chemistry</w:t>
      </w:r>
      <w:r w:rsidRPr="00DF0680">
        <w:t>, 275(31), pp.23500–8.</w:t>
      </w:r>
    </w:p>
    <w:p w:rsidR="00341643" w:rsidRPr="00DF0680" w:rsidRDefault="00341643">
      <w:pPr>
        <w:pStyle w:val="NormalWeb"/>
        <w:ind w:left="480" w:hanging="480"/>
        <w:divId w:val="930774447"/>
      </w:pPr>
      <w:r w:rsidRPr="00DF0680">
        <w:t xml:space="preserve">Brosh, R.M., Orren, D.K., Nehlin, J.O., Ravn, P.H., Kenny, M.K., Machwe, a. &amp; Bohr, V. a., 1999. Functional and Physical Interaction between WRN Helicase and Human Replication Protein A. </w:t>
      </w:r>
      <w:r w:rsidRPr="00DF0680">
        <w:rPr>
          <w:i/>
          <w:iCs/>
        </w:rPr>
        <w:t>Journal of Biological Chemistry</w:t>
      </w:r>
      <w:r w:rsidRPr="00DF0680">
        <w:t>, 274(26), pp.18341–18350.</w:t>
      </w:r>
    </w:p>
    <w:p w:rsidR="00341643" w:rsidRPr="00DF0680" w:rsidRDefault="00341643">
      <w:pPr>
        <w:pStyle w:val="NormalWeb"/>
        <w:ind w:left="480" w:hanging="480"/>
        <w:divId w:val="930774447"/>
      </w:pPr>
      <w:r w:rsidRPr="00DF0680">
        <w:t xml:space="preserve">Brosh, R.M., Waheed, J. &amp; Sommers, J. a, 2002. Biochemical characterization of the DNA substrate specificity of Werner syndrome helicase. </w:t>
      </w:r>
      <w:r w:rsidRPr="00DF0680">
        <w:rPr>
          <w:i/>
          <w:iCs/>
        </w:rPr>
        <w:t>The Journal of Biological Chemistry</w:t>
      </w:r>
      <w:r w:rsidRPr="00DF0680">
        <w:t>, 277(26), pp.23236–45.</w:t>
      </w:r>
    </w:p>
    <w:p w:rsidR="00341643" w:rsidRPr="00DF0680" w:rsidRDefault="00341643">
      <w:pPr>
        <w:pStyle w:val="NormalWeb"/>
        <w:ind w:left="480" w:hanging="480"/>
        <w:divId w:val="930774447"/>
      </w:pPr>
      <w:r w:rsidRPr="00DF0680">
        <w:t xml:space="preserve">Brown, J., Wei, W. &amp; Sedivy, J., 1997. Bypass of senescence after disruption of p21CIP1/WAF1 gene in normal diploid human fibroblasts. </w:t>
      </w:r>
      <w:r w:rsidRPr="00DF0680">
        <w:rPr>
          <w:i/>
          <w:iCs/>
        </w:rPr>
        <w:t>Science</w:t>
      </w:r>
      <w:r w:rsidRPr="00DF0680">
        <w:t>, 277(5327), pp.831–4.</w:t>
      </w:r>
    </w:p>
    <w:p w:rsidR="00341643" w:rsidRPr="00DF0680" w:rsidRDefault="00341643">
      <w:pPr>
        <w:pStyle w:val="NormalWeb"/>
        <w:ind w:left="480" w:hanging="480"/>
        <w:divId w:val="930774447"/>
      </w:pPr>
      <w:r w:rsidRPr="00DF0680">
        <w:t xml:space="preserve">Bruck, I. &amp; Kaplan, D.L., 2013. Cdc45 protein-single-stranded DNA interaction is important for stalling the helicase during replication stress. </w:t>
      </w:r>
      <w:r w:rsidRPr="00DF0680">
        <w:rPr>
          <w:i/>
          <w:iCs/>
        </w:rPr>
        <w:t>The Journal of Biological Chemistry</w:t>
      </w:r>
      <w:r w:rsidRPr="00DF0680">
        <w:t>, 288(11), pp.7550–63.</w:t>
      </w:r>
    </w:p>
    <w:p w:rsidR="00341643" w:rsidRPr="00DF0680" w:rsidRDefault="00341643">
      <w:pPr>
        <w:pStyle w:val="NormalWeb"/>
        <w:ind w:left="480" w:hanging="480"/>
        <w:divId w:val="930774447"/>
      </w:pPr>
      <w:r w:rsidRPr="00DF0680">
        <w:t xml:space="preserve">Brush, M., Weiser, D. &amp; Shenolikar, S., 2003. Growth arrest and DNA damage-inducible protein GADD34 targets protein phosphatase 1 alpha to the endoplasmic reticulum and promotes dephosphorylation of the alpha subunit of eukaryotic translation initiation factor 2. </w:t>
      </w:r>
      <w:r w:rsidRPr="00DF0680">
        <w:rPr>
          <w:i/>
          <w:iCs/>
        </w:rPr>
        <w:t>Molecular and Cellular Biology</w:t>
      </w:r>
      <w:r w:rsidRPr="00DF0680">
        <w:t>, 23(4), pp.1292–303.</w:t>
      </w:r>
    </w:p>
    <w:p w:rsidR="00341643" w:rsidRPr="00DF0680" w:rsidRDefault="00341643">
      <w:pPr>
        <w:pStyle w:val="NormalWeb"/>
        <w:ind w:left="480" w:hanging="480"/>
        <w:divId w:val="930774447"/>
      </w:pPr>
      <w:r w:rsidRPr="00DF0680">
        <w:t xml:space="preserve">Bryant, H.E., Petermann, E., Schultz, N., Jemth, A.-S., Loseva, O., Issaeva, N., Johansson, F., Fernandez, S., McGlynn, P. &amp; Helleday, T., 2009. PARP is activated at stalled forks to mediate Mre11-dependent replication restart and recombination. </w:t>
      </w:r>
      <w:r w:rsidRPr="00DF0680">
        <w:rPr>
          <w:i/>
          <w:iCs/>
        </w:rPr>
        <w:t>The EMBO Journal</w:t>
      </w:r>
      <w:r w:rsidRPr="00DF0680">
        <w:t>, 28(17), pp.2601–15.</w:t>
      </w:r>
    </w:p>
    <w:p w:rsidR="00341643" w:rsidRPr="00DF0680" w:rsidRDefault="00341643">
      <w:pPr>
        <w:pStyle w:val="NormalWeb"/>
        <w:ind w:left="480" w:hanging="480"/>
        <w:divId w:val="930774447"/>
      </w:pPr>
      <w:r w:rsidRPr="00DF0680">
        <w:t xml:space="preserve">Bryant, H.E., Schultz, N., Thomas, H.D., Parker, K.M., Flower, D., Lopez, E., Kyle, S., Meuth, M., Curtin, N.J. &amp; Helleday, T., 2005. Specific killing of BRCA2-deficient tumours with inhibitors of poly(ADP-ribose) polymerase. </w:t>
      </w:r>
      <w:r w:rsidRPr="00DF0680">
        <w:rPr>
          <w:i/>
          <w:iCs/>
        </w:rPr>
        <w:t>Nature</w:t>
      </w:r>
      <w:r w:rsidRPr="00DF0680">
        <w:t>, 434(7035), pp.913–7.</w:t>
      </w:r>
    </w:p>
    <w:p w:rsidR="00341643" w:rsidRPr="00DF0680" w:rsidRDefault="00341643">
      <w:pPr>
        <w:pStyle w:val="NormalWeb"/>
        <w:ind w:left="480" w:hanging="480"/>
        <w:divId w:val="930774447"/>
      </w:pPr>
      <w:r w:rsidRPr="00DF0680">
        <w:t xml:space="preserve">Buchkovich, K., Duffy, L. a &amp; Harlow, E., 1989. The retinoblastoma protein is phosphorylated during specific phases of the cell cycle. </w:t>
      </w:r>
      <w:r w:rsidRPr="00DF0680">
        <w:rPr>
          <w:i/>
          <w:iCs/>
        </w:rPr>
        <w:t>Cell</w:t>
      </w:r>
      <w:r w:rsidRPr="00DF0680">
        <w:t>, 58(6), pp.1097–105.</w:t>
      </w:r>
    </w:p>
    <w:p w:rsidR="00341643" w:rsidRPr="00DF0680" w:rsidRDefault="00341643">
      <w:pPr>
        <w:pStyle w:val="NormalWeb"/>
        <w:ind w:left="480" w:hanging="480"/>
        <w:divId w:val="930774447"/>
      </w:pPr>
      <w:r w:rsidRPr="00DF0680">
        <w:lastRenderedPageBreak/>
        <w:t xml:space="preserve">Bugreev, D. V, Brosh, R.M. &amp; Mazin, A. V, 2008. RECQ1 possesses DNA branch migration activity. </w:t>
      </w:r>
      <w:r w:rsidRPr="00DF0680">
        <w:rPr>
          <w:i/>
          <w:iCs/>
        </w:rPr>
        <w:t>The Journal of Biological Chemistry</w:t>
      </w:r>
      <w:r w:rsidRPr="00DF0680">
        <w:t>, 283(29), pp.20231–42.</w:t>
      </w:r>
    </w:p>
    <w:p w:rsidR="00341643" w:rsidRPr="00DF0680" w:rsidRDefault="00341643">
      <w:pPr>
        <w:pStyle w:val="NormalWeb"/>
        <w:ind w:left="480" w:hanging="480"/>
        <w:divId w:val="930774447"/>
      </w:pPr>
      <w:r w:rsidRPr="00DF0680">
        <w:t xml:space="preserve">Bugreev, D. V, Yu, X., Egelman, E.H. &amp; Mazin, A. V, 2007. Novel pro- and anti-recombination activities of the Bloom’s syndrome helicase. </w:t>
      </w:r>
      <w:r w:rsidRPr="00DF0680">
        <w:rPr>
          <w:i/>
          <w:iCs/>
        </w:rPr>
        <w:t>Genes &amp; Development</w:t>
      </w:r>
      <w:r w:rsidRPr="00DF0680">
        <w:t>, 21(23), pp.3085–94.</w:t>
      </w:r>
    </w:p>
    <w:p w:rsidR="00341643" w:rsidRPr="00DF0680" w:rsidRDefault="00341643">
      <w:pPr>
        <w:pStyle w:val="NormalWeb"/>
        <w:ind w:left="480" w:hanging="480"/>
        <w:divId w:val="930774447"/>
      </w:pPr>
      <w:r w:rsidRPr="00DF0680">
        <w:t xml:space="preserve">Burkovics, P., Sebesta, M., Balogh, D., Haracska, L. &amp; Krejci, L., 2014. Strand invasion by HLTF as a mechanism for template switch in fork rescue. </w:t>
      </w:r>
      <w:r w:rsidRPr="00DF0680">
        <w:rPr>
          <w:i/>
          <w:iCs/>
        </w:rPr>
        <w:t>Nucleic Acids Research</w:t>
      </w:r>
      <w:r w:rsidRPr="00DF0680">
        <w:t>, 42(3), pp.1711–20.</w:t>
      </w:r>
    </w:p>
    <w:p w:rsidR="00341643" w:rsidRPr="00DF0680" w:rsidRDefault="00341643">
      <w:pPr>
        <w:pStyle w:val="NormalWeb"/>
        <w:ind w:left="480" w:hanging="480"/>
        <w:divId w:val="930774447"/>
      </w:pPr>
      <w:r w:rsidRPr="00DF0680">
        <w:t xml:space="preserve">Burma, S., Chen, B.P., Murphy, M., Kurimasa, a &amp; Chen, D.J., 2001. ATM phosphorylates histone H2AX in response to DNA double-strand breaks. </w:t>
      </w:r>
      <w:r w:rsidRPr="00DF0680">
        <w:rPr>
          <w:i/>
          <w:iCs/>
        </w:rPr>
        <w:t>The Journal of Biological Chemistry</w:t>
      </w:r>
      <w:r w:rsidRPr="00DF0680">
        <w:t>, 276(45), pp.42462–7.</w:t>
      </w:r>
    </w:p>
    <w:p w:rsidR="00341643" w:rsidRPr="00DF0680" w:rsidRDefault="00341643">
      <w:pPr>
        <w:pStyle w:val="NormalWeb"/>
        <w:ind w:left="480" w:hanging="480"/>
        <w:divId w:val="930774447"/>
      </w:pPr>
      <w:r w:rsidRPr="00DF0680">
        <w:t xml:space="preserve">Byun, T.S., Pacek, M., Yee, M., Walter, J.C. &amp; Cimprich, K. a, 2005. Functional uncoupling of MCM helicase and DNA polymerase activities activates the ATR-dependent checkpoint. </w:t>
      </w:r>
      <w:r w:rsidRPr="00DF0680">
        <w:rPr>
          <w:i/>
          <w:iCs/>
        </w:rPr>
        <w:t>Genes &amp; Development</w:t>
      </w:r>
      <w:r w:rsidRPr="00DF0680">
        <w:t>, 19(9), pp.1040–52.</w:t>
      </w:r>
    </w:p>
    <w:p w:rsidR="00341643" w:rsidRPr="00DF0680" w:rsidRDefault="00341643">
      <w:pPr>
        <w:pStyle w:val="NormalWeb"/>
        <w:ind w:left="480" w:hanging="480"/>
        <w:divId w:val="930774447"/>
      </w:pPr>
      <w:r w:rsidRPr="00DF0680">
        <w:t xml:space="preserve">Cancer Research UK, 2014. </w:t>
      </w:r>
      <w:r w:rsidRPr="00DF0680">
        <w:rPr>
          <w:i/>
          <w:iCs/>
        </w:rPr>
        <w:t>Bladder Cancer - Cancer Statistics Key Stats</w:t>
      </w:r>
      <w:r w:rsidRPr="00DF0680">
        <w:t>,</w:t>
      </w:r>
    </w:p>
    <w:p w:rsidR="00341643" w:rsidRPr="00DF0680" w:rsidRDefault="00341643">
      <w:pPr>
        <w:pStyle w:val="NormalWeb"/>
        <w:ind w:left="480" w:hanging="480"/>
        <w:divId w:val="930774447"/>
      </w:pPr>
      <w:r w:rsidRPr="00DF0680">
        <w:t xml:space="preserve">Canman, C.E., Lim, D., Cimprich, K.A., Taya, Y., Tamai, K., Sakaguchi, K., Appella, E., Kastan, M.B. &amp; Siliciano, J.D., 1998. Activation of the ATM Kinase by Ionizing Radiation and Phosphorylation of p53. </w:t>
      </w:r>
      <w:r w:rsidRPr="00DF0680">
        <w:rPr>
          <w:i/>
          <w:iCs/>
        </w:rPr>
        <w:t>Science</w:t>
      </w:r>
      <w:r w:rsidRPr="00DF0680">
        <w:t>, 281(5383), pp.1677–1679.</w:t>
      </w:r>
    </w:p>
    <w:p w:rsidR="00341643" w:rsidRPr="00DF0680" w:rsidRDefault="00341643">
      <w:pPr>
        <w:pStyle w:val="NormalWeb"/>
        <w:ind w:left="480" w:hanging="480"/>
        <w:divId w:val="930774447"/>
      </w:pPr>
      <w:r w:rsidRPr="00DF0680">
        <w:t xml:space="preserve">Capp, J.-P., Boudsocq, F., Bertrand, P., Laroche-Clary, A., Pourquier, P., Lopez, B.S., Cazaux, C., Hoffmann, J.-S. &amp; Canitrot, Y., 2006. The DNA polymerase lambda is required for the repair of non-compatible DNA double strand breaks by NHEJ in mammalian cells. </w:t>
      </w:r>
      <w:r w:rsidRPr="00DF0680">
        <w:rPr>
          <w:i/>
          <w:iCs/>
        </w:rPr>
        <w:t>Nucleic Acids Research</w:t>
      </w:r>
      <w:r w:rsidRPr="00DF0680">
        <w:t>, 34(10), pp.2998–3007.</w:t>
      </w:r>
    </w:p>
    <w:p w:rsidR="00341643" w:rsidRPr="00DF0680" w:rsidRDefault="00341643">
      <w:pPr>
        <w:pStyle w:val="NormalWeb"/>
        <w:ind w:left="480" w:hanging="480"/>
        <w:divId w:val="930774447"/>
      </w:pPr>
      <w:r w:rsidRPr="00DF0680">
        <w:t xml:space="preserve">Cardis, E., Vrijheid, M., Blettner, M., Gilbert, E., Hakama, M., Hill, C., Howe, G., Kaldor, J., Muirhead, C.R., Schubauer-Berigan, M., Yoshimura, T., Bermann, F., Cowper, G., Fix, J., Hacker, C., Heinmiller, B., Marshall, M., Thierry-Chef, I., Utterback, D., Ahn, Y.-O., Amoros, E., Ashmore, P., Auvinen, A., Bae, J.-M., Solano, J.B., Biau, A., Combalot, E., Deboodt, P., Diez Sacristan, A., Eklof, M., Engels, H., Engholm, G., Gulis, G., Habib, R., Holan, K., Hyvonen, H., Kerekes, A., Kurtinaitis, J., Malker, H., Martuzzi, M., Mastauskas, A., Monnet, A., Moser, M., Pearce, M.S., Richardson, D.B., Rodriguez-Artalejo, F., Rogel, A., Tardy, H., Telle-Lamberton, M., Turai, I., Usel, M. &amp; Veress, K., 2005. Risk of cancer after low doses of ionising radiation: retrospective cohort study in 15 countries. </w:t>
      </w:r>
      <w:r w:rsidRPr="00DF0680">
        <w:rPr>
          <w:i/>
          <w:iCs/>
        </w:rPr>
        <w:t>British Medical Journal</w:t>
      </w:r>
      <w:r w:rsidRPr="00DF0680">
        <w:t>, 331(7508), p.77.</w:t>
      </w:r>
    </w:p>
    <w:p w:rsidR="00341643" w:rsidRPr="00DF0680" w:rsidRDefault="00341643">
      <w:pPr>
        <w:pStyle w:val="NormalWeb"/>
        <w:ind w:left="480" w:hanging="480"/>
        <w:divId w:val="930774447"/>
      </w:pPr>
      <w:r w:rsidRPr="00DF0680">
        <w:t xml:space="preserve">Carmichael, J., 1998. The role of gemcitabine in the treatment of other tumours. </w:t>
      </w:r>
      <w:r w:rsidRPr="00DF0680">
        <w:rPr>
          <w:i/>
          <w:iCs/>
        </w:rPr>
        <w:t>British Journal of Cancer</w:t>
      </w:r>
      <w:r w:rsidRPr="00DF0680">
        <w:t>, 78(Suppl 3), pp.21–5.</w:t>
      </w:r>
    </w:p>
    <w:p w:rsidR="00341643" w:rsidRPr="00DF0680" w:rsidRDefault="00341643">
      <w:pPr>
        <w:pStyle w:val="NormalWeb"/>
        <w:ind w:left="480" w:hanging="480"/>
        <w:divId w:val="930774447"/>
      </w:pPr>
      <w:r w:rsidRPr="00DF0680">
        <w:t xml:space="preserve">Carmichael, J., DeGraff, W. &amp; Gazdar, A., 1987. Evaluation of a tetrazolium-based semiautomated colorimetric assay: assessment of chemosensitivity testing. </w:t>
      </w:r>
      <w:r w:rsidRPr="00DF0680">
        <w:rPr>
          <w:i/>
          <w:iCs/>
        </w:rPr>
        <w:t>Cancer Research</w:t>
      </w:r>
      <w:r w:rsidRPr="00DF0680">
        <w:t>, 47(4), pp.936–942.</w:t>
      </w:r>
    </w:p>
    <w:p w:rsidR="00341643" w:rsidRPr="00DF0680" w:rsidRDefault="00341643">
      <w:pPr>
        <w:pStyle w:val="NormalWeb"/>
        <w:ind w:left="480" w:hanging="480"/>
        <w:divId w:val="930774447"/>
      </w:pPr>
      <w:r w:rsidRPr="00DF0680">
        <w:lastRenderedPageBreak/>
        <w:t xml:space="preserve">Carney, J., Maser, R. &amp; Olivares, H., 1998. The hMre11/hRad50 protein complex and Nijmegen breakage syndrome: linkage of double-strand break repair to the cellular DNA damage response. </w:t>
      </w:r>
      <w:r w:rsidRPr="00DF0680">
        <w:rPr>
          <w:i/>
          <w:iCs/>
        </w:rPr>
        <w:t>Cell</w:t>
      </w:r>
      <w:r w:rsidRPr="00DF0680">
        <w:t>, 93(3), pp.477–486.</w:t>
      </w:r>
    </w:p>
    <w:p w:rsidR="00341643" w:rsidRPr="00DF0680" w:rsidRDefault="00341643">
      <w:pPr>
        <w:pStyle w:val="NormalWeb"/>
        <w:ind w:left="480" w:hanging="480"/>
        <w:divId w:val="930774447"/>
      </w:pPr>
      <w:r w:rsidRPr="00DF0680">
        <w:t xml:space="preserve">Castel, S.E., Ren, J., Bhattacharjee, S., Chang, A.-Y., Sánchez, M., Valbuena, A., Antequera, F. &amp; Martienssen, R.A., 2014. Dicer Promotes Transcription Termination at Sites of Replication Stress to Maintain Genome Stability. </w:t>
      </w:r>
      <w:r w:rsidRPr="00DF0680">
        <w:rPr>
          <w:i/>
          <w:iCs/>
        </w:rPr>
        <w:t>Cell</w:t>
      </w:r>
      <w:r w:rsidRPr="00DF0680">
        <w:t>, 159(3), pp.572–83.</w:t>
      </w:r>
    </w:p>
    <w:p w:rsidR="00341643" w:rsidRPr="00DF0680" w:rsidRDefault="00341643">
      <w:pPr>
        <w:pStyle w:val="NormalWeb"/>
        <w:ind w:left="480" w:hanging="480"/>
        <w:divId w:val="930774447"/>
      </w:pPr>
      <w:r w:rsidRPr="00DF0680">
        <w:t xml:space="preserve">Catto, J., Meuth, M. &amp; Hamdy, F., 2004. Genetic instability and transitional cell carcinoma of the bladder. </w:t>
      </w:r>
      <w:r w:rsidRPr="00DF0680">
        <w:rPr>
          <w:i/>
          <w:iCs/>
        </w:rPr>
        <w:t>BJU International</w:t>
      </w:r>
      <w:r w:rsidRPr="00DF0680">
        <w:t>, 93(1), pp.19–24.</w:t>
      </w:r>
    </w:p>
    <w:p w:rsidR="00341643" w:rsidRPr="00DF0680" w:rsidRDefault="00341643">
      <w:pPr>
        <w:pStyle w:val="NormalWeb"/>
        <w:ind w:left="480" w:hanging="480"/>
        <w:divId w:val="930774447"/>
      </w:pPr>
      <w:r w:rsidRPr="00DF0680">
        <w:t xml:space="preserve">Cejka, P. &amp; Kowalczykowski, S.C., 2010. The full-length Saccharomyces cerevisiae Sgs1 protein is a vigorous DNA helicase that preferentially unwinds holliday junctions. </w:t>
      </w:r>
      <w:r w:rsidRPr="00DF0680">
        <w:rPr>
          <w:i/>
          <w:iCs/>
        </w:rPr>
        <w:t>The Journal of Biological Chemistry</w:t>
      </w:r>
      <w:r w:rsidRPr="00DF0680">
        <w:t>, 285(11), pp.8290–301.</w:t>
      </w:r>
    </w:p>
    <w:p w:rsidR="00341643" w:rsidRPr="00DF0680" w:rsidRDefault="00341643">
      <w:pPr>
        <w:pStyle w:val="NormalWeb"/>
        <w:ind w:left="480" w:hanging="480"/>
        <w:divId w:val="930774447"/>
      </w:pPr>
      <w:r w:rsidRPr="00DF0680">
        <w:t xml:space="preserve">Chaganti, R.S.K., Schonberg, S. &amp; German, J., 1974. A Manyfold Increase in Sister Chromatid Exchanges in Bloom’s Syndrome Lymphocytes. </w:t>
      </w:r>
      <w:r w:rsidRPr="00DF0680">
        <w:rPr>
          <w:i/>
          <w:iCs/>
        </w:rPr>
        <w:t>Proceedings of the National Academy of Sciences</w:t>
      </w:r>
      <w:r w:rsidRPr="00DF0680">
        <w:t>, 71(11), pp.4508–4512.</w:t>
      </w:r>
    </w:p>
    <w:p w:rsidR="00341643" w:rsidRPr="00DF0680" w:rsidRDefault="00341643">
      <w:pPr>
        <w:pStyle w:val="NormalWeb"/>
        <w:ind w:left="480" w:hanging="480"/>
        <w:divId w:val="930774447"/>
      </w:pPr>
      <w:r w:rsidRPr="00DF0680">
        <w:t xml:space="preserve">Chan, K.-L., North, P.S. &amp; Hickson, I.D., 2007. BLM is required for faithful chromosome segregation and its localization defines a class of ultrafine anaphase bridges. </w:t>
      </w:r>
      <w:r w:rsidRPr="00DF0680">
        <w:rPr>
          <w:i/>
          <w:iCs/>
        </w:rPr>
        <w:t>The EMBO Journal</w:t>
      </w:r>
      <w:r w:rsidRPr="00DF0680">
        <w:t>, 26(14), pp.3397–409.</w:t>
      </w:r>
    </w:p>
    <w:p w:rsidR="00341643" w:rsidRPr="00DF0680" w:rsidRDefault="00341643">
      <w:pPr>
        <w:pStyle w:val="NormalWeb"/>
        <w:ind w:left="480" w:hanging="480"/>
        <w:divId w:val="930774447"/>
      </w:pPr>
      <w:r w:rsidRPr="00DF0680">
        <w:t xml:space="preserve">Chan, K.L., Palmai-Pallag, T., Ying, S. &amp; Hickson, I.D., 2009. Replication stress induces sister-chromatid bridging at fragile site loci in mitosis. </w:t>
      </w:r>
      <w:r w:rsidRPr="00DF0680">
        <w:rPr>
          <w:i/>
          <w:iCs/>
        </w:rPr>
        <w:t>Nature Cell Biology</w:t>
      </w:r>
      <w:r w:rsidRPr="00DF0680">
        <w:t>, 11(6), pp.753–60.</w:t>
      </w:r>
    </w:p>
    <w:p w:rsidR="00341643" w:rsidRPr="00DF0680" w:rsidRDefault="00341643">
      <w:pPr>
        <w:pStyle w:val="NormalWeb"/>
        <w:ind w:left="480" w:hanging="480"/>
        <w:divId w:val="930774447"/>
      </w:pPr>
      <w:r w:rsidRPr="00DF0680">
        <w:t xml:space="preserve">Chapman, E.J., Hurst, C.D., Pitt, E., Chambers, P., Aveyard, J.S. &amp; Knowles, M. a, 2006. Expression of hTERT immortalises normal human urothelial cells without inactivation of the p16/Rb pathway. </w:t>
      </w:r>
      <w:r w:rsidRPr="00DF0680">
        <w:rPr>
          <w:i/>
          <w:iCs/>
        </w:rPr>
        <w:t>Oncogene</w:t>
      </w:r>
      <w:r w:rsidRPr="00DF0680">
        <w:t>, 25(36), pp.5037–45.</w:t>
      </w:r>
    </w:p>
    <w:p w:rsidR="00341643" w:rsidRPr="00DF0680" w:rsidRDefault="00341643">
      <w:pPr>
        <w:pStyle w:val="NormalWeb"/>
        <w:ind w:left="480" w:hanging="480"/>
        <w:divId w:val="930774447"/>
      </w:pPr>
      <w:r w:rsidRPr="00DF0680">
        <w:t xml:space="preserve">Chaudhuri, A. &amp; Hashimoto, Y., 2012. Topoisomerase I poisoning results in PARP-mediated replication fork reversal. </w:t>
      </w:r>
      <w:r w:rsidRPr="00DF0680">
        <w:rPr>
          <w:i/>
          <w:iCs/>
        </w:rPr>
        <w:t>Nature Structural &amp; Molecular Biology</w:t>
      </w:r>
      <w:r w:rsidRPr="00DF0680">
        <w:t>, 19(4), pp.417–423.</w:t>
      </w:r>
    </w:p>
    <w:p w:rsidR="00341643" w:rsidRPr="00DF0680" w:rsidRDefault="00341643">
      <w:pPr>
        <w:pStyle w:val="NormalWeb"/>
        <w:ind w:left="480" w:hanging="480"/>
        <w:divId w:val="930774447"/>
      </w:pPr>
      <w:r w:rsidRPr="00DF0680">
        <w:t xml:space="preserve">Chaudhury, I., Sareen, A., Raghunandan, M. &amp; Sobeck, A., 2013. FANCD2 regulates BLM complex functions independently of FANCI to promote replication fork recovery. </w:t>
      </w:r>
      <w:r w:rsidRPr="00DF0680">
        <w:rPr>
          <w:i/>
          <w:iCs/>
        </w:rPr>
        <w:t>Nucleic Acids Research</w:t>
      </w:r>
      <w:r w:rsidRPr="00DF0680">
        <w:t>, 41(13), pp.6444–59.</w:t>
      </w:r>
    </w:p>
    <w:p w:rsidR="00341643" w:rsidRPr="00DF0680" w:rsidRDefault="00341643">
      <w:pPr>
        <w:pStyle w:val="NormalWeb"/>
        <w:ind w:left="480" w:hanging="480"/>
        <w:divId w:val="930774447"/>
      </w:pPr>
      <w:r w:rsidRPr="00DF0680">
        <w:t xml:space="preserve">Chayot, R., Montagne, B. &amp; Ricchetti, M., 2012. DNA polymerase μ is a global player in the repair of non-homologous end-joining substrates. </w:t>
      </w:r>
      <w:r w:rsidRPr="00DF0680">
        <w:rPr>
          <w:i/>
          <w:iCs/>
        </w:rPr>
        <w:t>DNA Repair</w:t>
      </w:r>
      <w:r w:rsidRPr="00DF0680">
        <w:t>, 11(1), pp.22–34.</w:t>
      </w:r>
    </w:p>
    <w:p w:rsidR="00341643" w:rsidRPr="00DF0680" w:rsidRDefault="00341643">
      <w:pPr>
        <w:pStyle w:val="NormalWeb"/>
        <w:ind w:left="480" w:hanging="480"/>
        <w:divId w:val="930774447"/>
      </w:pPr>
      <w:r w:rsidRPr="00DF0680">
        <w:t xml:space="preserve">Chellappan, S., Hiebert, S. &amp; Mudryj, M., 1991. The E2F transcription factor is a cellular target for the RB protein. </w:t>
      </w:r>
      <w:r w:rsidRPr="00DF0680">
        <w:rPr>
          <w:i/>
          <w:iCs/>
        </w:rPr>
        <w:t>Cell</w:t>
      </w:r>
      <w:r w:rsidRPr="00DF0680">
        <w:t>, 65(6), pp.1053–1061.</w:t>
      </w:r>
    </w:p>
    <w:p w:rsidR="00341643" w:rsidRPr="00DF0680" w:rsidRDefault="00341643">
      <w:pPr>
        <w:pStyle w:val="NormalWeb"/>
        <w:ind w:left="480" w:hanging="480"/>
        <w:divId w:val="930774447"/>
      </w:pPr>
      <w:r w:rsidRPr="00DF0680">
        <w:t xml:space="preserve">Chen, M., 2003. Chk1 kinase negatively regulates mitotic function of Cdc25A phosphatase through 14-3-3 binding. </w:t>
      </w:r>
      <w:r w:rsidRPr="00DF0680">
        <w:rPr>
          <w:i/>
          <w:iCs/>
        </w:rPr>
        <w:t>Molecular and Cellular Biology</w:t>
      </w:r>
      <w:r w:rsidRPr="00DF0680">
        <w:t>, 23(21), pp.7488–97.</w:t>
      </w:r>
    </w:p>
    <w:p w:rsidR="00341643" w:rsidRPr="00DF0680" w:rsidRDefault="00341643">
      <w:pPr>
        <w:pStyle w:val="NormalWeb"/>
        <w:ind w:left="480" w:hanging="480"/>
        <w:divId w:val="930774447"/>
      </w:pPr>
      <w:r w:rsidRPr="00DF0680">
        <w:lastRenderedPageBreak/>
        <w:t xml:space="preserve">Cheng, W., Muftic, D., Muftuoglu, M., Dawut, L., Morris, C., Helleday, T., Shiloh, Y. &amp; Bohr, V.A., 2008. WRN Is Required for ATM Activation and the S-Phase Checkpoint in Response to Interstrand Cross-Link–Induced DNA Double-Strand Breaks. </w:t>
      </w:r>
      <w:r w:rsidRPr="00DF0680">
        <w:rPr>
          <w:i/>
          <w:iCs/>
        </w:rPr>
        <w:t>Molecular Biology of the Cell</w:t>
      </w:r>
      <w:r w:rsidRPr="00DF0680">
        <w:t>, 19(9), pp.3923–3933.</w:t>
      </w:r>
    </w:p>
    <w:p w:rsidR="00341643" w:rsidRPr="00DF0680" w:rsidRDefault="00341643">
      <w:pPr>
        <w:pStyle w:val="NormalWeb"/>
        <w:ind w:left="480" w:hanging="480"/>
        <w:divId w:val="930774447"/>
      </w:pPr>
      <w:r w:rsidRPr="00DF0680">
        <w:t xml:space="preserve">Cheng, W.-H., von Kobbe, C., Opresko, P.L., Arthur, L.M., Komatsu, K., Seidman, M.M., Carney, J.P. &amp; Bohr, V. a, 2004. Linkage between Werner syndrome protein and the Mre11 complex via Nbs1. </w:t>
      </w:r>
      <w:r w:rsidRPr="00DF0680">
        <w:rPr>
          <w:i/>
          <w:iCs/>
        </w:rPr>
        <w:t>The Journal of Biological Chemistry</w:t>
      </w:r>
      <w:r w:rsidRPr="00DF0680">
        <w:t>, 279(20), pp.21169–76.</w:t>
      </w:r>
    </w:p>
    <w:p w:rsidR="00341643" w:rsidRPr="00DF0680" w:rsidRDefault="00341643">
      <w:pPr>
        <w:pStyle w:val="NormalWeb"/>
        <w:ind w:left="480" w:hanging="480"/>
        <w:divId w:val="930774447"/>
      </w:pPr>
      <w:r w:rsidRPr="00DF0680">
        <w:t xml:space="preserve">Cheok, C.F., Wu, L., Garcia, P.L., Janscak, P. &amp; Hickson, I.D., 2005. The Bloom’s syndrome helicase promotes the annealing of complementary single-stranded DNA. </w:t>
      </w:r>
      <w:r w:rsidRPr="00DF0680">
        <w:rPr>
          <w:i/>
          <w:iCs/>
        </w:rPr>
        <w:t>Nucleic Acids Research</w:t>
      </w:r>
      <w:r w:rsidRPr="00DF0680">
        <w:t>, 33(12), pp.3932–41.</w:t>
      </w:r>
    </w:p>
    <w:p w:rsidR="00341643" w:rsidRPr="00DF0680" w:rsidRDefault="00341643">
      <w:pPr>
        <w:pStyle w:val="NormalWeb"/>
        <w:ind w:left="480" w:hanging="480"/>
        <w:divId w:val="930774447"/>
      </w:pPr>
      <w:r w:rsidRPr="00DF0680">
        <w:t xml:space="preserve">Chini, C.C.S. &amp; Chen, J., 2003. Human claspin is required for replication checkpoint control. </w:t>
      </w:r>
      <w:r w:rsidRPr="00DF0680">
        <w:rPr>
          <w:i/>
          <w:iCs/>
        </w:rPr>
        <w:t>The Journal of Biological Chemistry</w:t>
      </w:r>
      <w:r w:rsidRPr="00DF0680">
        <w:t>, 278(32), pp.30057–62.</w:t>
      </w:r>
    </w:p>
    <w:p w:rsidR="00341643" w:rsidRPr="00DF0680" w:rsidRDefault="00341643">
      <w:pPr>
        <w:pStyle w:val="NormalWeb"/>
        <w:ind w:left="480" w:hanging="480"/>
        <w:divId w:val="930774447"/>
      </w:pPr>
      <w:r w:rsidRPr="00DF0680">
        <w:t xml:space="preserve">Chipuk, J.E., Moldoveanu, T., Llambi, F., Parsons, M.J. &amp; Green, D.R., 2010. The BCL-2 family reunion. </w:t>
      </w:r>
      <w:r w:rsidRPr="00DF0680">
        <w:rPr>
          <w:i/>
          <w:iCs/>
        </w:rPr>
        <w:t>Molecular Cell</w:t>
      </w:r>
      <w:r w:rsidRPr="00DF0680">
        <w:t>, 37(3), pp.299–310.</w:t>
      </w:r>
    </w:p>
    <w:p w:rsidR="00341643" w:rsidRPr="00DF0680" w:rsidRDefault="00341643">
      <w:pPr>
        <w:pStyle w:val="NormalWeb"/>
        <w:ind w:left="480" w:hanging="480"/>
        <w:divId w:val="930774447"/>
      </w:pPr>
      <w:r w:rsidRPr="00DF0680">
        <w:t xml:space="preserve">Chu, W.K., Hanada, K., Kanaar, R. &amp; Hickson, I.D., 2010. BLM has early and late functions in homologous recombination repair in mouse embryonic stem cells. </w:t>
      </w:r>
      <w:r w:rsidRPr="00DF0680">
        <w:rPr>
          <w:i/>
          <w:iCs/>
        </w:rPr>
        <w:t>Oncogene</w:t>
      </w:r>
      <w:r w:rsidRPr="00DF0680">
        <w:t>, 29(33), pp.4705–14.</w:t>
      </w:r>
    </w:p>
    <w:p w:rsidR="00341643" w:rsidRPr="00DF0680" w:rsidRDefault="00341643">
      <w:pPr>
        <w:pStyle w:val="NormalWeb"/>
        <w:ind w:left="480" w:hanging="480"/>
        <w:divId w:val="930774447"/>
      </w:pPr>
      <w:r w:rsidRPr="00DF0680">
        <w:t xml:space="preserve">Ciccia, A., Constantinou, A. &amp; West, S.C., 2003. Identification and characterization of the human mus81-eme1 endonuclease. </w:t>
      </w:r>
      <w:r w:rsidRPr="00DF0680">
        <w:rPr>
          <w:i/>
          <w:iCs/>
        </w:rPr>
        <w:t>The Journal of Biological Chemistry</w:t>
      </w:r>
      <w:r w:rsidRPr="00DF0680">
        <w:t>, 278(27), pp.25172–8.</w:t>
      </w:r>
    </w:p>
    <w:p w:rsidR="00341643" w:rsidRPr="00DF0680" w:rsidRDefault="00341643">
      <w:pPr>
        <w:pStyle w:val="NormalWeb"/>
        <w:ind w:left="480" w:hanging="480"/>
        <w:divId w:val="930774447"/>
      </w:pPr>
      <w:r w:rsidRPr="00DF0680">
        <w:t xml:space="preserve">Ciccia, A., Ling, C., Coulthard, R., Yan, Z., Xue, Y., Meetei, A.R., Laghmani, E.H., Joenje, H., McDonald, N., de Winter, J.P., Wang, W. &amp; West, S.C., 2007. Identification of FAAP24, a Fanconi anemia core complex protein that interacts with FANCM. </w:t>
      </w:r>
      <w:r w:rsidRPr="00DF0680">
        <w:rPr>
          <w:i/>
          <w:iCs/>
        </w:rPr>
        <w:t>Molecular Cell</w:t>
      </w:r>
      <w:r w:rsidRPr="00DF0680">
        <w:t>, 25(3), pp.331–43.</w:t>
      </w:r>
    </w:p>
    <w:p w:rsidR="00341643" w:rsidRPr="00DF0680" w:rsidRDefault="00341643">
      <w:pPr>
        <w:pStyle w:val="NormalWeb"/>
        <w:ind w:left="480" w:hanging="480"/>
        <w:divId w:val="930774447"/>
      </w:pPr>
      <w:r w:rsidRPr="00DF0680">
        <w:t xml:space="preserve">Cleaver, J.E., 1969. Xeroderma pigmentosum: a human disease in which an initial stage of DNA repair is defective. </w:t>
      </w:r>
      <w:r w:rsidRPr="00DF0680">
        <w:rPr>
          <w:i/>
          <w:iCs/>
        </w:rPr>
        <w:t>Proceedings of the National Academy of Sciences</w:t>
      </w:r>
      <w:r w:rsidRPr="00DF0680">
        <w:t>, 63(2), pp.428–35.</w:t>
      </w:r>
    </w:p>
    <w:p w:rsidR="00341643" w:rsidRPr="00DF0680" w:rsidRDefault="00341643">
      <w:pPr>
        <w:pStyle w:val="NormalWeb"/>
        <w:ind w:left="480" w:hanging="480"/>
        <w:divId w:val="930774447"/>
      </w:pPr>
      <w:r w:rsidRPr="00DF0680">
        <w:t xml:space="preserve">Cobb, J. a, Schleker, T., Rojas, V., Bjergbaek, L., Tercero, J.A. &amp; Gasser, S.M., 2005. Replisome instability, fork collapse, and gross chromosomal rearrangements arise synergistically from Mec1 kinase and RecQ helicase mutations. </w:t>
      </w:r>
      <w:r w:rsidRPr="00DF0680">
        <w:rPr>
          <w:i/>
          <w:iCs/>
        </w:rPr>
        <w:t>Genes &amp; Development</w:t>
      </w:r>
      <w:r w:rsidRPr="00DF0680">
        <w:t>, 19(24), pp.3055–69.</w:t>
      </w:r>
    </w:p>
    <w:p w:rsidR="00341643" w:rsidRPr="00DF0680" w:rsidRDefault="00341643">
      <w:pPr>
        <w:pStyle w:val="NormalWeb"/>
        <w:ind w:left="480" w:hanging="480"/>
        <w:divId w:val="930774447"/>
      </w:pPr>
      <w:r w:rsidRPr="00DF0680">
        <w:t xml:space="preserve">Cohen, H. &amp; Sinclair, D. a, 2001. Recombination-mediated lengthening of terminal telomeric repeats requires the Sgs1 DNA helicase. </w:t>
      </w:r>
      <w:r w:rsidRPr="00DF0680">
        <w:rPr>
          <w:i/>
          <w:iCs/>
        </w:rPr>
        <w:t>Proceedings of the National Academy of Sciences</w:t>
      </w:r>
      <w:r w:rsidRPr="00DF0680">
        <w:t>, 98(6), pp.3174–9.</w:t>
      </w:r>
    </w:p>
    <w:p w:rsidR="00341643" w:rsidRPr="00DF0680" w:rsidRDefault="00341643">
      <w:pPr>
        <w:pStyle w:val="NormalWeb"/>
        <w:ind w:left="480" w:hanging="480"/>
        <w:divId w:val="930774447"/>
      </w:pPr>
      <w:r w:rsidRPr="00DF0680">
        <w:t xml:space="preserve">Collado, M., Blasco, M. a &amp; Serrano, M., 2007. Cellular senescence in cancer and aging. </w:t>
      </w:r>
      <w:r w:rsidRPr="00DF0680">
        <w:rPr>
          <w:i/>
          <w:iCs/>
        </w:rPr>
        <w:t>Cell</w:t>
      </w:r>
      <w:r w:rsidRPr="00DF0680">
        <w:t>, 130(2), pp.223–33.</w:t>
      </w:r>
    </w:p>
    <w:p w:rsidR="00341643" w:rsidRPr="00DF0680" w:rsidRDefault="00341643">
      <w:pPr>
        <w:pStyle w:val="NormalWeb"/>
        <w:ind w:left="480" w:hanging="480"/>
        <w:divId w:val="930774447"/>
      </w:pPr>
      <w:r w:rsidRPr="00DF0680">
        <w:lastRenderedPageBreak/>
        <w:t xml:space="preserve">Connor, F., Bertwistle, D., Mee, P. &amp; Ross, G., 1997. Tumorigenesis and a DNA repair defect in mice with a truncating Brca2 mutation. </w:t>
      </w:r>
      <w:r w:rsidRPr="00DF0680">
        <w:rPr>
          <w:i/>
          <w:iCs/>
        </w:rPr>
        <w:t>Nature Genetics</w:t>
      </w:r>
      <w:r w:rsidRPr="00DF0680">
        <w:t>, 17(4), pp.423–30.</w:t>
      </w:r>
    </w:p>
    <w:p w:rsidR="00341643" w:rsidRPr="00DF0680" w:rsidRDefault="00341643">
      <w:pPr>
        <w:pStyle w:val="NormalWeb"/>
        <w:ind w:left="480" w:hanging="480"/>
        <w:divId w:val="930774447"/>
      </w:pPr>
      <w:r w:rsidRPr="00DF0680">
        <w:t xml:space="preserve">Constantinou, A., Chen, X., McGowan, C. &amp; West, S., 2002. Holliday junction resolution in human cells: two junction endonucleases with distinct substrate specificities. </w:t>
      </w:r>
      <w:r w:rsidRPr="00DF0680">
        <w:rPr>
          <w:i/>
          <w:iCs/>
        </w:rPr>
        <w:t>The EMBO Journal</w:t>
      </w:r>
      <w:r w:rsidRPr="00DF0680">
        <w:t>, 21(20).</w:t>
      </w:r>
    </w:p>
    <w:p w:rsidR="00341643" w:rsidRPr="00DF0680" w:rsidRDefault="00341643">
      <w:pPr>
        <w:pStyle w:val="NormalWeb"/>
        <w:ind w:left="480" w:hanging="480"/>
        <w:divId w:val="930774447"/>
      </w:pPr>
      <w:r w:rsidRPr="00DF0680">
        <w:t xml:space="preserve">Constantinou, A., Tarsounas, M., Karow, J.K., Brosh, R.M., Bohr, V. a., Hickson, I.D. &amp; West, S.C., 2000. Werner’s syndrome protein (WRN) </w:t>
      </w:r>
      <w:proofErr w:type="gramStart"/>
      <w:r w:rsidRPr="00DF0680">
        <w:t>migrates</w:t>
      </w:r>
      <w:proofErr w:type="gramEnd"/>
      <w:r w:rsidRPr="00DF0680">
        <w:t xml:space="preserve"> Holliday junctions and co-localizes with RPA upon replication arrest. </w:t>
      </w:r>
      <w:r w:rsidRPr="00DF0680">
        <w:rPr>
          <w:i/>
          <w:iCs/>
        </w:rPr>
        <w:t>EMBO Reports</w:t>
      </w:r>
      <w:r w:rsidRPr="00DF0680">
        <w:t>, 1(1), pp.80–84.</w:t>
      </w:r>
    </w:p>
    <w:p w:rsidR="00341643" w:rsidRPr="00DF0680" w:rsidRDefault="00341643">
      <w:pPr>
        <w:pStyle w:val="NormalWeb"/>
        <w:ind w:left="480" w:hanging="480"/>
        <w:divId w:val="930774447"/>
      </w:pPr>
      <w:r w:rsidRPr="00DF0680">
        <w:t xml:space="preserve">Cooper, M. &amp; Machwe, A., 2000. Ku complex interacts with and stimulates the Werner protein. </w:t>
      </w:r>
      <w:r w:rsidRPr="00DF0680">
        <w:rPr>
          <w:i/>
          <w:iCs/>
        </w:rPr>
        <w:t>Genes &amp; Development</w:t>
      </w:r>
      <w:r w:rsidRPr="00DF0680">
        <w:t>, 14(8), pp.907–912.</w:t>
      </w:r>
    </w:p>
    <w:p w:rsidR="00341643" w:rsidRPr="00DF0680" w:rsidRDefault="00341643">
      <w:pPr>
        <w:pStyle w:val="NormalWeb"/>
        <w:ind w:left="480" w:hanging="480"/>
        <w:divId w:val="930774447"/>
      </w:pPr>
      <w:r w:rsidRPr="00DF0680">
        <w:t xml:space="preserve">Cortez, D., Glick, G. &amp; Elledge, S.J., 2004. Minichromosome maintenance proteins are direct targets of the ATM and ATR checkpoint kinases. </w:t>
      </w:r>
      <w:r w:rsidRPr="00DF0680">
        <w:rPr>
          <w:i/>
          <w:iCs/>
        </w:rPr>
        <w:t>Proceedings of the National Academy of Sciences</w:t>
      </w:r>
      <w:r w:rsidRPr="00DF0680">
        <w:t>, 101(27), pp.10078–83.</w:t>
      </w:r>
    </w:p>
    <w:p w:rsidR="00341643" w:rsidRPr="00DF0680" w:rsidRDefault="00341643">
      <w:pPr>
        <w:pStyle w:val="NormalWeb"/>
        <w:ind w:left="480" w:hanging="480"/>
        <w:divId w:val="930774447"/>
      </w:pPr>
      <w:r w:rsidRPr="00DF0680">
        <w:t xml:space="preserve">Cortez, D., Guntuku, S., Qin, J. &amp; Elledge, S.J., 2001. ATR and ATRIP: partners in checkpoint signaling. </w:t>
      </w:r>
      <w:r w:rsidRPr="00DF0680">
        <w:rPr>
          <w:i/>
          <w:iCs/>
        </w:rPr>
        <w:t>Science</w:t>
      </w:r>
      <w:r w:rsidRPr="00DF0680">
        <w:t>, 294(5547), pp.1713–6.</w:t>
      </w:r>
    </w:p>
    <w:p w:rsidR="00341643" w:rsidRPr="00DF0680" w:rsidRDefault="00341643">
      <w:pPr>
        <w:pStyle w:val="NormalWeb"/>
        <w:ind w:left="480" w:hanging="480"/>
        <w:divId w:val="930774447"/>
      </w:pPr>
      <w:r w:rsidRPr="00DF0680">
        <w:t xml:space="preserve">Costanzo, V., Robertson, K., Ying, C.Y., Kim, E., Avvedimento, E., Gottesman, M., Grieco, D. &amp; Gautier, J., 2000. Reconstitution of an ATM-dependent checkpoint that inhibits chromosomal DNA replication following DNA damage. </w:t>
      </w:r>
      <w:r w:rsidRPr="00DF0680">
        <w:rPr>
          <w:i/>
          <w:iCs/>
        </w:rPr>
        <w:t>Molecular Cell</w:t>
      </w:r>
      <w:r w:rsidRPr="00DF0680">
        <w:t>, 6(3), pp.649–59.</w:t>
      </w:r>
    </w:p>
    <w:p w:rsidR="00341643" w:rsidRPr="00DF0680" w:rsidRDefault="00341643">
      <w:pPr>
        <w:pStyle w:val="NormalWeb"/>
        <w:ind w:left="480" w:hanging="480"/>
        <w:divId w:val="930774447"/>
      </w:pPr>
      <w:r w:rsidRPr="00DF0680">
        <w:t xml:space="preserve">Cotton, R.T., Li, D., Scherer, S.E., Muzny, D.M., Hodges, S.E., Catania, R.L., Witkiewicz, A.K., Brody, J.R., Kennedy, E.P., Yeo, C.J., Brunicardi, F.C., Gibbs, R. a, Gingras, M.-C. &amp; Fisher, W.E., 2009. Single nucleotide polymorphism in RECQL and survival in resectable pancreatic adenocarcinoma. </w:t>
      </w:r>
      <w:r w:rsidRPr="00DF0680">
        <w:rPr>
          <w:i/>
          <w:iCs/>
        </w:rPr>
        <w:t>Hepato-Pancreato-Biliary Journal</w:t>
      </w:r>
      <w:r w:rsidRPr="00DF0680">
        <w:t>, 11(5), pp.435–44.</w:t>
      </w:r>
    </w:p>
    <w:p w:rsidR="00341643" w:rsidRPr="00DF0680" w:rsidRDefault="00341643">
      <w:pPr>
        <w:pStyle w:val="NormalWeb"/>
        <w:ind w:left="480" w:hanging="480"/>
        <w:divId w:val="930774447"/>
      </w:pPr>
      <w:r w:rsidRPr="00DF0680">
        <w:t xml:space="preserve">Couch, F.B., Bansbach, C.E., Driscoll, R., Luzwick, J.W., Glick, G.G., Bétous, R., Carroll, C.M., Jung, S.Y., Qin, J., Cimprich, K. a &amp; Cortez, D., 2013. ATR phosphorylates SMARCAL1 to prevent replication fork collapse. </w:t>
      </w:r>
      <w:r w:rsidRPr="00DF0680">
        <w:rPr>
          <w:i/>
          <w:iCs/>
        </w:rPr>
        <w:t>Genes &amp; Development</w:t>
      </w:r>
      <w:r w:rsidRPr="00DF0680">
        <w:t>, 27(14), pp.1610–23.</w:t>
      </w:r>
    </w:p>
    <w:p w:rsidR="00341643" w:rsidRPr="00DF0680" w:rsidRDefault="00341643">
      <w:pPr>
        <w:pStyle w:val="NormalWeb"/>
        <w:ind w:left="480" w:hanging="480"/>
        <w:divId w:val="930774447"/>
      </w:pPr>
      <w:r w:rsidRPr="00DF0680">
        <w:t xml:space="preserve">Courcelle, J. &amp; Hanawalt, P.C., 1999. RecQ and RecJ process blocked replication forks prior to the resumption of replication in UV-irradiated Escherichia coli. </w:t>
      </w:r>
      <w:r w:rsidRPr="00DF0680">
        <w:rPr>
          <w:i/>
          <w:iCs/>
        </w:rPr>
        <w:t>Molecular and General Genetics</w:t>
      </w:r>
      <w:r w:rsidRPr="00DF0680">
        <w:t>, 262(3), pp.543–551.</w:t>
      </w:r>
    </w:p>
    <w:p w:rsidR="00341643" w:rsidRPr="00DF0680" w:rsidRDefault="00341643">
      <w:pPr>
        <w:pStyle w:val="NormalWeb"/>
        <w:ind w:left="480" w:hanging="480"/>
        <w:divId w:val="930774447"/>
      </w:pPr>
      <w:r w:rsidRPr="00DF0680">
        <w:t xml:space="preserve">Crabbe, L., Verdun, R.E., Haggblom, C.I. &amp; Karlseder, J., 2004. Defective telomere lagging strand synthesis in cells lacking WRN helicase activity. </w:t>
      </w:r>
      <w:r w:rsidRPr="00DF0680">
        <w:rPr>
          <w:i/>
          <w:iCs/>
        </w:rPr>
        <w:t>Science</w:t>
      </w:r>
      <w:r w:rsidRPr="00DF0680">
        <w:t>, 306(5703), pp.1951–3.</w:t>
      </w:r>
    </w:p>
    <w:p w:rsidR="00341643" w:rsidRPr="00DF0680" w:rsidRDefault="00341643">
      <w:pPr>
        <w:pStyle w:val="NormalWeb"/>
        <w:ind w:left="480" w:hanging="480"/>
        <w:divId w:val="930774447"/>
      </w:pPr>
      <w:r w:rsidRPr="00DF0680">
        <w:t xml:space="preserve">Craig, A., Scott, M., Burch, L., Smith, G., Ball, K. &amp; Hupp, T., 2003. Allosteric effects mediate CHK2 phosphorylation of the p53 transactivation domain. </w:t>
      </w:r>
      <w:r w:rsidRPr="00DF0680">
        <w:rPr>
          <w:i/>
          <w:iCs/>
        </w:rPr>
        <w:t>EMBO Reports</w:t>
      </w:r>
      <w:r w:rsidRPr="00DF0680">
        <w:t>, 4(8), pp.787–92.</w:t>
      </w:r>
    </w:p>
    <w:p w:rsidR="00341643" w:rsidRPr="00DF0680" w:rsidRDefault="00341643">
      <w:pPr>
        <w:pStyle w:val="NormalWeb"/>
        <w:ind w:left="480" w:hanging="480"/>
        <w:divId w:val="930774447"/>
      </w:pPr>
      <w:r w:rsidRPr="00DF0680">
        <w:lastRenderedPageBreak/>
        <w:t xml:space="preserve">Croteau, D.L., Popuri, V., Opresko, P.L. &amp; Bohr, V. a, 2014. Human RecQ Helicases in DNA Repair, Recombination, and Replication. </w:t>
      </w:r>
      <w:r w:rsidRPr="00DF0680">
        <w:rPr>
          <w:i/>
          <w:iCs/>
        </w:rPr>
        <w:t>Annual Review of Biochemistry</w:t>
      </w:r>
      <w:r w:rsidRPr="00DF0680">
        <w:t>, 83, pp.519–52.</w:t>
      </w:r>
    </w:p>
    <w:p w:rsidR="00341643" w:rsidRPr="00DF0680" w:rsidRDefault="00341643">
      <w:pPr>
        <w:pStyle w:val="NormalWeb"/>
        <w:ind w:left="480" w:hanging="480"/>
        <w:divId w:val="930774447"/>
      </w:pPr>
      <w:r w:rsidRPr="00DF0680">
        <w:t xml:space="preserve">Croteau, D.L., Rossi, M.L., Canugovi, C., Tian, J., Sykora, P., Ramamoorthy, M., Wang, Z.M., Singh, D.K., Akbari, M., Kasiviswanathan, R., Copeland, W.C. &amp; Bohr, V. a, 2012. RECQL4 localizes to mitochondria and preserves mitochondrial DNA integrity. </w:t>
      </w:r>
      <w:r w:rsidRPr="00DF0680">
        <w:rPr>
          <w:i/>
          <w:iCs/>
        </w:rPr>
        <w:t>Aging Cell</w:t>
      </w:r>
      <w:r w:rsidRPr="00DF0680">
        <w:t>, 11(3), pp.456–66.</w:t>
      </w:r>
    </w:p>
    <w:p w:rsidR="00341643" w:rsidRPr="00DF0680" w:rsidRDefault="00341643">
      <w:pPr>
        <w:pStyle w:val="NormalWeb"/>
        <w:ind w:left="480" w:hanging="480"/>
        <w:divId w:val="930774447"/>
      </w:pPr>
      <w:r w:rsidRPr="00DF0680">
        <w:t xml:space="preserve">Cseresnyes, Z., Schwarz, U. &amp; Green, C.M., 2009. Analysis of replication factories in human cells by super-resolution light microscopy. </w:t>
      </w:r>
      <w:r w:rsidRPr="00DF0680">
        <w:rPr>
          <w:i/>
          <w:iCs/>
        </w:rPr>
        <w:t>BMC Cell Biology</w:t>
      </w:r>
      <w:r w:rsidRPr="00DF0680">
        <w:t>, 10, p.88.</w:t>
      </w:r>
    </w:p>
    <w:p w:rsidR="00341643" w:rsidRPr="00DF0680" w:rsidRDefault="00341643">
      <w:pPr>
        <w:pStyle w:val="NormalWeb"/>
        <w:ind w:left="480" w:hanging="480"/>
        <w:divId w:val="930774447"/>
      </w:pPr>
      <w:r w:rsidRPr="00DF0680">
        <w:t xml:space="preserve">Cui, S., Klima, R., Ochem, A., Arosio, D., Falaschi, A. &amp; Vindigni, A., 2003. Characterization of the DNA-unwinding activity of human RECQ1, a helicase specifically stimulated by human replication protein A. </w:t>
      </w:r>
      <w:r w:rsidRPr="00DF0680">
        <w:rPr>
          <w:i/>
          <w:iCs/>
        </w:rPr>
        <w:t>The Journal of Biological Chemistry</w:t>
      </w:r>
      <w:r w:rsidRPr="00DF0680">
        <w:t>, 278(3), pp.1424–32.</w:t>
      </w:r>
    </w:p>
    <w:p w:rsidR="00341643" w:rsidRPr="00DF0680" w:rsidRDefault="00341643">
      <w:pPr>
        <w:pStyle w:val="NormalWeb"/>
        <w:ind w:left="480" w:hanging="480"/>
        <w:divId w:val="930774447"/>
      </w:pPr>
      <w:r w:rsidRPr="00DF0680">
        <w:t xml:space="preserve">Davies, S., North, P. &amp; Dart, A., 2004. Phosphorylation of the Bloom’s syndrome helicase and its role in recovery from S-phase arrest. </w:t>
      </w:r>
      <w:r w:rsidRPr="00DF0680">
        <w:rPr>
          <w:i/>
          <w:iCs/>
        </w:rPr>
        <w:t>Molecular and Cellular Biology</w:t>
      </w:r>
      <w:r w:rsidRPr="00DF0680">
        <w:t>, 24(3), pp.1279–91.</w:t>
      </w:r>
    </w:p>
    <w:p w:rsidR="00341643" w:rsidRPr="00DF0680" w:rsidRDefault="00341643">
      <w:pPr>
        <w:pStyle w:val="NormalWeb"/>
        <w:ind w:left="480" w:hanging="480"/>
        <w:divId w:val="930774447"/>
      </w:pPr>
      <w:r w:rsidRPr="00DF0680">
        <w:t xml:space="preserve">Davies, S.L., North, P.S. &amp; Hickson, I.D., 2007. Role for BLM in replication-fork restart and suppression of origin firing after replicative stress. </w:t>
      </w:r>
      <w:r w:rsidRPr="00DF0680">
        <w:rPr>
          <w:i/>
          <w:iCs/>
        </w:rPr>
        <w:t>Nature Structural &amp; Molecular Biology</w:t>
      </w:r>
      <w:r w:rsidRPr="00DF0680">
        <w:t>, 14(7), pp.677–9.</w:t>
      </w:r>
    </w:p>
    <w:p w:rsidR="00341643" w:rsidRPr="00DF0680" w:rsidRDefault="00341643">
      <w:pPr>
        <w:pStyle w:val="NormalWeb"/>
        <w:ind w:left="480" w:hanging="480"/>
        <w:divId w:val="930774447"/>
      </w:pPr>
      <w:r w:rsidRPr="00DF0680">
        <w:t xml:space="preserve">De, S., Kumari, J., Mudgal, R., Modi, P., Gupta, S., Futami, K., Goto, H., Lindor, N.M., Furuichi, Y., Mohanty, D. &amp; Sengupta, S., 2012. RECQL4 is essential for the transport of p53 to mitochondria in normal human cells in the absence of exogenous stress. </w:t>
      </w:r>
      <w:r w:rsidRPr="00DF0680">
        <w:rPr>
          <w:i/>
          <w:iCs/>
        </w:rPr>
        <w:t>Journal of Cell Science</w:t>
      </w:r>
      <w:r w:rsidRPr="00DF0680">
        <w:t>, 125(Pt 10), pp.2509–22.</w:t>
      </w:r>
    </w:p>
    <w:p w:rsidR="00341643" w:rsidRPr="00DF0680" w:rsidRDefault="00341643">
      <w:pPr>
        <w:pStyle w:val="NormalWeb"/>
        <w:ind w:left="480" w:hanging="480"/>
        <w:divId w:val="930774447"/>
      </w:pPr>
      <w:r w:rsidRPr="00DF0680">
        <w:t xml:space="preserve">Deans, A.J. &amp; West, S.C., 2011. DNA interstrand crosslink repair and cancer. </w:t>
      </w:r>
      <w:r w:rsidRPr="00DF0680">
        <w:rPr>
          <w:i/>
          <w:iCs/>
        </w:rPr>
        <w:t>Nature Reviews. Cancer</w:t>
      </w:r>
      <w:r w:rsidRPr="00DF0680">
        <w:t>, 11(7), pp.467–80.</w:t>
      </w:r>
    </w:p>
    <w:p w:rsidR="00341643" w:rsidRPr="00DF0680" w:rsidRDefault="00341643">
      <w:pPr>
        <w:pStyle w:val="NormalWeb"/>
        <w:ind w:left="480" w:hanging="480"/>
        <w:divId w:val="930774447"/>
      </w:pPr>
      <w:r w:rsidRPr="00DF0680">
        <w:t xml:space="preserve">Deans, A.J. &amp; West, S.C., 2009. FANCM connects the genome instability disorders Bloom’s Syndrome and Fanconi Anemia. </w:t>
      </w:r>
      <w:r w:rsidRPr="00DF0680">
        <w:rPr>
          <w:i/>
          <w:iCs/>
        </w:rPr>
        <w:t>Molecular Cell</w:t>
      </w:r>
      <w:r w:rsidRPr="00DF0680">
        <w:t>, 36(6), pp.943–53.</w:t>
      </w:r>
    </w:p>
    <w:p w:rsidR="00341643" w:rsidRPr="00DF0680" w:rsidRDefault="00341643">
      <w:pPr>
        <w:pStyle w:val="NormalWeb"/>
        <w:ind w:left="480" w:hanging="480"/>
        <w:divId w:val="930774447"/>
      </w:pPr>
      <w:r w:rsidRPr="00DF0680">
        <w:t xml:space="preserve">Delacroix, S., Wagner, J.M., Kobayashi, M., Yamamoto, K. &amp; Karnitz, L.M., 2007. The Rad9-Hus1-Rad1 (9-1-1) clamp activates checkpoint signaling via TopBP1. </w:t>
      </w:r>
      <w:r w:rsidRPr="00DF0680">
        <w:rPr>
          <w:i/>
          <w:iCs/>
        </w:rPr>
        <w:t>Genes &amp; Development</w:t>
      </w:r>
      <w:r w:rsidRPr="00DF0680">
        <w:t>, 21(12), pp.1472–7.</w:t>
      </w:r>
    </w:p>
    <w:p w:rsidR="00341643" w:rsidRPr="00DF0680" w:rsidRDefault="00341643">
      <w:pPr>
        <w:pStyle w:val="NormalWeb"/>
        <w:ind w:left="480" w:hanging="480"/>
        <w:divId w:val="930774447"/>
      </w:pPr>
      <w:r w:rsidRPr="00DF0680">
        <w:t xml:space="preserve">Della-Maria, J., Zhou, Y., Tsai, M.-S., Kuhnlein, J., Carney, J.P., Paull, T.T. &amp; Tomkinson, A.E., 2011. Human Mre11/human Rad50/Nbs1 and DNA ligase IIIalpha/XRCC1 protein complexes act together in an alternative nonhomologous end joining pathway. </w:t>
      </w:r>
      <w:r w:rsidRPr="00DF0680">
        <w:rPr>
          <w:i/>
          <w:iCs/>
        </w:rPr>
        <w:t>The Journal of Biological Chemistry</w:t>
      </w:r>
      <w:r w:rsidRPr="00DF0680">
        <w:t>, 286(39), pp.33845–53.</w:t>
      </w:r>
    </w:p>
    <w:p w:rsidR="00341643" w:rsidRPr="00DF0680" w:rsidRDefault="00341643">
      <w:pPr>
        <w:pStyle w:val="NormalWeb"/>
        <w:ind w:left="480" w:hanging="480"/>
        <w:divId w:val="930774447"/>
      </w:pPr>
      <w:r w:rsidRPr="00DF0680">
        <w:t xml:space="preserve">Deshpande, a M. &amp; Newlon, C.S., 1996. DNA replication fork pause sites dependent on transcription. </w:t>
      </w:r>
      <w:r w:rsidRPr="00DF0680">
        <w:rPr>
          <w:i/>
          <w:iCs/>
        </w:rPr>
        <w:t>Science</w:t>
      </w:r>
      <w:r w:rsidRPr="00DF0680">
        <w:t>, 272(5264), pp.1030–3.</w:t>
      </w:r>
    </w:p>
    <w:p w:rsidR="00341643" w:rsidRPr="00DF0680" w:rsidRDefault="00341643">
      <w:pPr>
        <w:pStyle w:val="NormalWeb"/>
        <w:ind w:left="480" w:hanging="480"/>
        <w:divId w:val="930774447"/>
      </w:pPr>
      <w:r w:rsidRPr="00DF0680">
        <w:t xml:space="preserve">Dinner, A.R., Blackburn, G.M. &amp; Karplus, M., 2001. Uracil-DNA glycosylase acts by substrate autocatalysis. </w:t>
      </w:r>
      <w:r w:rsidRPr="00DF0680">
        <w:rPr>
          <w:i/>
          <w:iCs/>
        </w:rPr>
        <w:t>Nature</w:t>
      </w:r>
      <w:r w:rsidRPr="00DF0680">
        <w:t>, 413(6857), pp.752–755.</w:t>
      </w:r>
    </w:p>
    <w:p w:rsidR="00341643" w:rsidRPr="00DF0680" w:rsidRDefault="00341643">
      <w:pPr>
        <w:pStyle w:val="NormalWeb"/>
        <w:ind w:left="480" w:hanging="480"/>
        <w:divId w:val="930774447"/>
      </w:pPr>
      <w:r w:rsidRPr="00DF0680">
        <w:lastRenderedPageBreak/>
        <w:t xml:space="preserve">Doe, C.L., Ahn, J.S., Dixon, J. &amp; Whitby, M.C., 2002. Mus81-Eme1 and Rqh1 involvement in processing stalled and collapsed replication forks. </w:t>
      </w:r>
      <w:r w:rsidRPr="00DF0680">
        <w:rPr>
          <w:i/>
          <w:iCs/>
        </w:rPr>
        <w:t>The Journal of Biological Chemistry</w:t>
      </w:r>
      <w:r w:rsidRPr="00DF0680">
        <w:t>, 277(36), pp.32753–9.</w:t>
      </w:r>
    </w:p>
    <w:p w:rsidR="00341643" w:rsidRPr="00DF0680" w:rsidRDefault="00341643">
      <w:pPr>
        <w:pStyle w:val="NormalWeb"/>
        <w:ind w:left="480" w:hanging="480"/>
        <w:divId w:val="930774447"/>
      </w:pPr>
      <w:r w:rsidRPr="00DF0680">
        <w:t xml:space="preserve">Dolganov, G. &amp; Maser, R., 1996. Human Rad50 is physically associated with human Mre11: identification of a conserved multiprotein complex implicated in recombinational DNA repair. </w:t>
      </w:r>
      <w:r w:rsidRPr="00DF0680">
        <w:rPr>
          <w:i/>
          <w:iCs/>
        </w:rPr>
        <w:t>Molecular and Cellular Biology</w:t>
      </w:r>
      <w:r w:rsidRPr="00DF0680">
        <w:t>, 16(9), pp.4832–41.</w:t>
      </w:r>
    </w:p>
    <w:p w:rsidR="00341643" w:rsidRPr="00DF0680" w:rsidRDefault="00341643">
      <w:pPr>
        <w:pStyle w:val="NormalWeb"/>
        <w:ind w:left="480" w:hanging="480"/>
        <w:divId w:val="930774447"/>
      </w:pPr>
      <w:r w:rsidRPr="00DF0680">
        <w:t xml:space="preserve">Duncan, B.K. &amp; Miller, J.H., 1980. Mutagenic deamination of cytosine residues in DNA. </w:t>
      </w:r>
      <w:r w:rsidRPr="00DF0680">
        <w:rPr>
          <w:i/>
          <w:iCs/>
        </w:rPr>
        <w:t>Nature</w:t>
      </w:r>
      <w:r w:rsidRPr="00DF0680">
        <w:t>, 287(5782), pp.560–561.</w:t>
      </w:r>
    </w:p>
    <w:p w:rsidR="00341643" w:rsidRPr="00DF0680" w:rsidRDefault="00341643">
      <w:pPr>
        <w:pStyle w:val="NormalWeb"/>
        <w:ind w:left="480" w:hanging="480"/>
        <w:divId w:val="930774447"/>
      </w:pPr>
      <w:r w:rsidRPr="00DF0680">
        <w:t xml:space="preserve">Dyck, E. Van, Stasiak, A., Stasiak, A. &amp; West, S., 1999. Binding of double-strand breaks in DNA by human Rad52 protein. </w:t>
      </w:r>
      <w:r w:rsidRPr="00DF0680">
        <w:rPr>
          <w:i/>
          <w:iCs/>
        </w:rPr>
        <w:t>Nature</w:t>
      </w:r>
      <w:r w:rsidRPr="00DF0680">
        <w:t>, 398(6729), pp.728–31.</w:t>
      </w:r>
    </w:p>
    <w:p w:rsidR="00341643" w:rsidRPr="00DF0680" w:rsidRDefault="00341643">
      <w:pPr>
        <w:pStyle w:val="NormalWeb"/>
        <w:ind w:left="480" w:hanging="480"/>
        <w:divId w:val="930774447"/>
      </w:pPr>
      <w:r w:rsidRPr="00DF0680">
        <w:t xml:space="preserve">Eastman, A., 1987. The formation, isolation and characterization of DNA adducts produced by anticancer platinum complexes. </w:t>
      </w:r>
      <w:r w:rsidRPr="00DF0680">
        <w:rPr>
          <w:i/>
          <w:iCs/>
        </w:rPr>
        <w:t>Pharmacology &amp; Therapeutics</w:t>
      </w:r>
      <w:r w:rsidRPr="00DF0680">
        <w:t>, 34(2), pp.155–166.</w:t>
      </w:r>
    </w:p>
    <w:p w:rsidR="00341643" w:rsidRPr="00DF0680" w:rsidRDefault="00341643">
      <w:pPr>
        <w:pStyle w:val="NormalWeb"/>
        <w:ind w:left="480" w:hanging="480"/>
        <w:divId w:val="930774447"/>
      </w:pPr>
      <w:r w:rsidRPr="00DF0680">
        <w:t xml:space="preserve">Edelmann, W., Yang, K., Umar, A., Heyer, J., Lau, K., Fan, K., Liedtke, W., Cohen, P.E., Kane, M.F., Lipford, J.R., Yu, N., Crouse, G.F., Pollard, J.W., Kunkel, T., Lipkin, M., Kolodner, R. &amp; Kucherlapati, R., 1997. Mutation in the Mismatch Repair Gene Msh6 Causes Cancer Susceptibility. </w:t>
      </w:r>
      <w:r w:rsidRPr="00DF0680">
        <w:rPr>
          <w:i/>
          <w:iCs/>
        </w:rPr>
        <w:t>Cell</w:t>
      </w:r>
      <w:r w:rsidRPr="00DF0680">
        <w:t>, 91(4), pp.467–477.</w:t>
      </w:r>
    </w:p>
    <w:p w:rsidR="00341643" w:rsidRPr="00DF0680" w:rsidRDefault="00341643">
      <w:pPr>
        <w:pStyle w:val="NormalWeb"/>
        <w:ind w:left="480" w:hanging="480"/>
        <w:divId w:val="930774447"/>
      </w:pPr>
      <w:r w:rsidRPr="00DF0680">
        <w:t xml:space="preserve">Elbashir, S., Harborth, J. &amp; Lendeckel, W., 2001. Duplexes of 21-nucleotide RNAs mediate RNA interference in cultured mammalian cells. </w:t>
      </w:r>
      <w:r w:rsidRPr="00DF0680">
        <w:rPr>
          <w:i/>
          <w:iCs/>
        </w:rPr>
        <w:t>Nature</w:t>
      </w:r>
      <w:r w:rsidRPr="00DF0680">
        <w:t>, 411(6836), pp.494–8.</w:t>
      </w:r>
    </w:p>
    <w:p w:rsidR="00341643" w:rsidRPr="00DF0680" w:rsidRDefault="00341643">
      <w:pPr>
        <w:pStyle w:val="NormalWeb"/>
        <w:ind w:left="480" w:hanging="480"/>
        <w:divId w:val="930774447"/>
      </w:pPr>
      <w:r w:rsidRPr="00DF0680">
        <w:t xml:space="preserve">el-Deiry, W.S., Tokino, T., Velculescu, V.E., Levy, D.B., Parsons, R., Trent, J.M., Lin, D., Mercer, W.E., Kinzler, K.W. &amp; Vogelstein, B., 1993. WAF1, a potential mediator of p53 tumor suppression. </w:t>
      </w:r>
      <w:r w:rsidRPr="00DF0680">
        <w:rPr>
          <w:i/>
          <w:iCs/>
        </w:rPr>
        <w:t>Cell</w:t>
      </w:r>
      <w:r w:rsidRPr="00DF0680">
        <w:t>, 75(4), pp.817–25.</w:t>
      </w:r>
    </w:p>
    <w:p w:rsidR="00341643" w:rsidRPr="00DF0680" w:rsidRDefault="00341643">
      <w:pPr>
        <w:pStyle w:val="NormalWeb"/>
        <w:ind w:left="480" w:hanging="480"/>
        <w:divId w:val="930774447"/>
      </w:pPr>
      <w:r w:rsidRPr="00DF0680">
        <w:t xml:space="preserve">El-Khamisy, S.F., 2003. A requirement for PARP-1 for the assembly or stability of XRCC1 nuclear foci at sites of oxidative DNA damage. </w:t>
      </w:r>
      <w:r w:rsidRPr="00DF0680">
        <w:rPr>
          <w:i/>
          <w:iCs/>
        </w:rPr>
        <w:t>Nucleic Acids Research</w:t>
      </w:r>
      <w:r w:rsidRPr="00DF0680">
        <w:t>, 31(19), pp.5526–5533.</w:t>
      </w:r>
    </w:p>
    <w:p w:rsidR="00341643" w:rsidRPr="00DF0680" w:rsidRDefault="00341643">
      <w:pPr>
        <w:pStyle w:val="NormalWeb"/>
        <w:ind w:left="480" w:hanging="480"/>
        <w:divId w:val="930774447"/>
      </w:pPr>
      <w:r w:rsidRPr="00DF0680">
        <w:t xml:space="preserve">Ellis, N. a., Groden, J., Ye, T.-Z., Straughen, J., Lennon, D.J., Ciocci, S., Proytcheva, M. &amp; German, J., 1995. The Bloom’s syndrome gene product is homologous to RecQ helicases. </w:t>
      </w:r>
      <w:r w:rsidRPr="00DF0680">
        <w:rPr>
          <w:i/>
          <w:iCs/>
        </w:rPr>
        <w:t>Cell</w:t>
      </w:r>
      <w:r w:rsidRPr="00DF0680">
        <w:t>, 83(4), pp.655–666.</w:t>
      </w:r>
    </w:p>
    <w:p w:rsidR="00341643" w:rsidRPr="00DF0680" w:rsidRDefault="00341643">
      <w:pPr>
        <w:pStyle w:val="NormalWeb"/>
        <w:ind w:left="480" w:hanging="480"/>
        <w:divId w:val="930774447"/>
      </w:pPr>
      <w:r w:rsidRPr="00DF0680">
        <w:t xml:space="preserve">Elvers, I., Johansson, F., Groth, P., Erixon, K. &amp; Helleday, T., 2011. UV stalled replication forks restart by re-priming in human fibroblasts. </w:t>
      </w:r>
      <w:r w:rsidRPr="00DF0680">
        <w:rPr>
          <w:i/>
          <w:iCs/>
        </w:rPr>
        <w:t>Nucleic Acids Research</w:t>
      </w:r>
      <w:r w:rsidRPr="00DF0680">
        <w:t>, 39(16), pp.7049–57.</w:t>
      </w:r>
    </w:p>
    <w:p w:rsidR="00341643" w:rsidRPr="00DF0680" w:rsidRDefault="00341643">
      <w:pPr>
        <w:pStyle w:val="NormalWeb"/>
        <w:ind w:left="480" w:hanging="480"/>
        <w:divId w:val="930774447"/>
      </w:pPr>
      <w:r w:rsidRPr="00DF0680">
        <w:t xml:space="preserve">Evans, E., Moggs, J.G., Hwang, J.R., Egly, J.M. &amp; Wood, R.D., 1997. Mechanism of open complex and dual incision formation by human nucleotide excision repair factors. </w:t>
      </w:r>
      <w:r w:rsidRPr="00DF0680">
        <w:rPr>
          <w:i/>
          <w:iCs/>
        </w:rPr>
        <w:t>The EMBO Journal</w:t>
      </w:r>
      <w:r w:rsidRPr="00DF0680">
        <w:t>, 16(21), pp.6559–73.</w:t>
      </w:r>
    </w:p>
    <w:p w:rsidR="00341643" w:rsidRPr="00DF0680" w:rsidRDefault="00341643">
      <w:pPr>
        <w:pStyle w:val="NormalWeb"/>
        <w:ind w:left="480" w:hanging="480"/>
        <w:divId w:val="930774447"/>
      </w:pPr>
      <w:r w:rsidRPr="00DF0680">
        <w:t xml:space="preserve">Falck, J., Mailand, N., Syljuåsen, R.G., Bartek, J. &amp; Lukas, J., 2001. The ATM-Chk2-Cdc25A checkpoint pathway guards against radioresistant DNA synthesis. </w:t>
      </w:r>
      <w:r w:rsidRPr="00DF0680">
        <w:rPr>
          <w:i/>
          <w:iCs/>
        </w:rPr>
        <w:t>Nature</w:t>
      </w:r>
      <w:r w:rsidRPr="00DF0680">
        <w:t>, 410(6830), pp.842–7.</w:t>
      </w:r>
    </w:p>
    <w:p w:rsidR="00341643" w:rsidRPr="00DF0680" w:rsidRDefault="00341643">
      <w:pPr>
        <w:pStyle w:val="NormalWeb"/>
        <w:ind w:left="480" w:hanging="480"/>
        <w:divId w:val="930774447"/>
      </w:pPr>
      <w:r w:rsidRPr="00DF0680">
        <w:lastRenderedPageBreak/>
        <w:t xml:space="preserve">Falck, J., Petrini, J.H.J., Williams, B.R., Lukas, J. &amp; Bartek, J., 2002. The DNA damage-dependent intra-S phase checkpoint is regulated by parallel pathways. </w:t>
      </w:r>
      <w:r w:rsidRPr="00DF0680">
        <w:rPr>
          <w:i/>
          <w:iCs/>
        </w:rPr>
        <w:t>Nature Genetics</w:t>
      </w:r>
      <w:r w:rsidRPr="00DF0680">
        <w:t>, 30(3), pp.290–4.</w:t>
      </w:r>
    </w:p>
    <w:p w:rsidR="00341643" w:rsidRPr="00DF0680" w:rsidRDefault="00341643">
      <w:pPr>
        <w:pStyle w:val="NormalWeb"/>
        <w:ind w:left="480" w:hanging="480"/>
        <w:divId w:val="930774447"/>
      </w:pPr>
      <w:r w:rsidRPr="00DF0680">
        <w:t>Fan, J., Wilson, P. &amp; Wong, H., 2007. XRCC1 down</w:t>
      </w:r>
      <w:r w:rsidRPr="00DF0680">
        <w:rPr>
          <w:rFonts w:ascii="Cambria Math" w:hAnsi="Cambria Math" w:cs="Cambria Math"/>
        </w:rPr>
        <w:t>‐</w:t>
      </w:r>
      <w:r w:rsidRPr="00DF0680">
        <w:t>regulation in human cells leads to DNA</w:t>
      </w:r>
      <w:r w:rsidRPr="00DF0680">
        <w:rPr>
          <w:rFonts w:ascii="Cambria Math" w:hAnsi="Cambria Math" w:cs="Cambria Math"/>
        </w:rPr>
        <w:t>‐</w:t>
      </w:r>
      <w:r w:rsidRPr="00DF0680">
        <w:t xml:space="preserve">damaging agent hypersensitivity, elevated sister chromatid exchange, and reduced survival of BRCA2 mutant. </w:t>
      </w:r>
      <w:r w:rsidRPr="00DF0680">
        <w:rPr>
          <w:i/>
          <w:iCs/>
        </w:rPr>
        <w:t>Environmental and Molecular Mutagenesis</w:t>
      </w:r>
      <w:r w:rsidRPr="00DF0680">
        <w:t>, 48(6), pp.491–500.</w:t>
      </w:r>
    </w:p>
    <w:p w:rsidR="00341643" w:rsidRPr="00DF0680" w:rsidRDefault="00341643">
      <w:pPr>
        <w:pStyle w:val="NormalWeb"/>
        <w:ind w:left="480" w:hanging="480"/>
        <w:divId w:val="930774447"/>
      </w:pPr>
      <w:r w:rsidRPr="00DF0680">
        <w:t xml:space="preserve">Farmer, H., McCabe, N., Lord, C. &amp; Tutt, A., 2005. Targeting the DNA repair defect in BRCA mutant cells as a therapeutic strategy. </w:t>
      </w:r>
      <w:r w:rsidRPr="00DF0680">
        <w:rPr>
          <w:i/>
          <w:iCs/>
        </w:rPr>
        <w:t>Nature</w:t>
      </w:r>
      <w:r w:rsidRPr="00DF0680">
        <w:t>, 239(1991), pp.236–239.</w:t>
      </w:r>
    </w:p>
    <w:p w:rsidR="00341643" w:rsidRPr="00DF0680" w:rsidRDefault="00341643">
      <w:pPr>
        <w:pStyle w:val="NormalWeb"/>
        <w:ind w:left="480" w:hanging="480"/>
        <w:divId w:val="930774447"/>
      </w:pPr>
      <w:r w:rsidRPr="00DF0680">
        <w:t xml:space="preserve">Ferrarelli, L.K., Popuri, V., Ghosh, A.K., Tadokoro, T., Canugovi, C., Hsu, J.K., Croteau, D.L. &amp; Bohr, V. a, 2013. The RECQL4 protein, deficient in Rothmund-Thomson syndrome is active on telomeric D-loops containing DNA metabolism blocking lesions. </w:t>
      </w:r>
      <w:r w:rsidRPr="00DF0680">
        <w:rPr>
          <w:i/>
          <w:iCs/>
        </w:rPr>
        <w:t>DNA Repair</w:t>
      </w:r>
      <w:r w:rsidRPr="00DF0680">
        <w:t>, 12(7), pp.518–28.</w:t>
      </w:r>
    </w:p>
    <w:p w:rsidR="00341643" w:rsidRPr="00DF0680" w:rsidRDefault="00341643">
      <w:pPr>
        <w:pStyle w:val="NormalWeb"/>
        <w:ind w:left="480" w:hanging="480"/>
        <w:divId w:val="930774447"/>
      </w:pPr>
      <w:r w:rsidRPr="00DF0680">
        <w:t xml:space="preserve">Forbes, S. a, Beare, D., Gunasekaran, P., Leung, K., Bindal, N., Boutselakis, H., Ding, M., Bamford, S., Cole, C., Ward, S., Kok, C.Y., Jia, M., De, T., Teague, J.W., Stratton, M.R., McDermott, U. &amp; Campbell, P.J., 2014. COSMIC: exploring the world’s knowledge of somatic mutations in human cancer. </w:t>
      </w:r>
      <w:r w:rsidRPr="00DF0680">
        <w:rPr>
          <w:i/>
          <w:iCs/>
        </w:rPr>
        <w:t>Nucleic Acids Research</w:t>
      </w:r>
      <w:r w:rsidRPr="00DF0680">
        <w:t>, 43, pp.D805–11.</w:t>
      </w:r>
    </w:p>
    <w:p w:rsidR="00341643" w:rsidRPr="00DF0680" w:rsidRDefault="00341643">
      <w:pPr>
        <w:pStyle w:val="NormalWeb"/>
        <w:ind w:left="480" w:hanging="480"/>
        <w:divId w:val="930774447"/>
      </w:pPr>
      <w:r w:rsidRPr="00DF0680">
        <w:t xml:space="preserve">Franchitto, A. &amp; Pichierri, P., 2002. Bloom’s syndrome protein is required for correct relocalization of RAD50/MRE11/NBS1 complex after replication fork arrest. </w:t>
      </w:r>
      <w:r w:rsidRPr="00DF0680">
        <w:rPr>
          <w:i/>
          <w:iCs/>
        </w:rPr>
        <w:t>The Journal of Cell Biology</w:t>
      </w:r>
      <w:r w:rsidRPr="00DF0680">
        <w:t>, 157(1), pp.19–30.</w:t>
      </w:r>
    </w:p>
    <w:p w:rsidR="00341643" w:rsidRPr="00DF0680" w:rsidRDefault="00341643">
      <w:pPr>
        <w:pStyle w:val="NormalWeb"/>
        <w:ind w:left="480" w:hanging="480"/>
        <w:divId w:val="930774447"/>
      </w:pPr>
      <w:r w:rsidRPr="00DF0680">
        <w:t xml:space="preserve">Franchitto, A., Pirzio, L.M., Prosperi, E., Sapora, O., Bignami, M. &amp; Pichierri, P., 2008. Replication fork stalling in WRN-deficient cells is overcome by prompt activation of a MUS81-dependent pathway. </w:t>
      </w:r>
      <w:r w:rsidRPr="00DF0680">
        <w:rPr>
          <w:i/>
          <w:iCs/>
        </w:rPr>
        <w:t>The Journal of Cell Biology</w:t>
      </w:r>
      <w:r w:rsidRPr="00DF0680">
        <w:t>, 183(2), pp.241–52.</w:t>
      </w:r>
    </w:p>
    <w:p w:rsidR="00341643" w:rsidRPr="00DF0680" w:rsidRDefault="00341643">
      <w:pPr>
        <w:pStyle w:val="NormalWeb"/>
        <w:ind w:left="480" w:hanging="480"/>
        <w:divId w:val="930774447"/>
      </w:pPr>
      <w:r w:rsidRPr="00DF0680">
        <w:t xml:space="preserve">Frosina, G., Fortini, P., Rossi, O., Carrozzino, F., Raspaglio, G., Cox, L.S., Lane, D.P., Abbondandolo, a &amp; Dogliotti, E., 1996. Two pathways for base excision repair in mammalian cells. </w:t>
      </w:r>
      <w:r w:rsidRPr="00DF0680">
        <w:rPr>
          <w:i/>
          <w:iCs/>
        </w:rPr>
        <w:t>The Journal of Biological Chemistry</w:t>
      </w:r>
      <w:r w:rsidRPr="00DF0680">
        <w:t>, 271(16), pp.9573–8.</w:t>
      </w:r>
    </w:p>
    <w:p w:rsidR="00341643" w:rsidRPr="00DF0680" w:rsidRDefault="00341643">
      <w:pPr>
        <w:pStyle w:val="NormalWeb"/>
        <w:ind w:left="480" w:hanging="480"/>
        <w:divId w:val="930774447"/>
      </w:pPr>
      <w:r w:rsidRPr="00DF0680">
        <w:t xml:space="preserve">Fry, M. &amp; Loeb, L. a., 1999. Human Werner Syndrome DNA Helicase Unwinds Tetrahelical Structures of the Fragile X Syndrome Repeat Sequence d(CGG) n. </w:t>
      </w:r>
      <w:r w:rsidRPr="00DF0680">
        <w:rPr>
          <w:i/>
          <w:iCs/>
        </w:rPr>
        <w:t>Journal of Biological Chemistry</w:t>
      </w:r>
      <w:r w:rsidRPr="00DF0680">
        <w:t>, 274(18), pp.12797–12802.</w:t>
      </w:r>
    </w:p>
    <w:p w:rsidR="00341643" w:rsidRPr="00DF0680" w:rsidRDefault="00341643">
      <w:pPr>
        <w:pStyle w:val="NormalWeb"/>
        <w:ind w:left="480" w:hanging="480"/>
        <w:divId w:val="930774447"/>
      </w:pPr>
      <w:r w:rsidRPr="00DF0680">
        <w:t xml:space="preserve">Furuya, K., Miyabe, I., Tsutsui, Y., Paderi, F., Kakusho, N., Masai, H., Niki, H. &amp; Carr, A.M., 2010. DDK phosphorylates checkpoint clamp component Rad9 and promotes its release from damaged chromatin. </w:t>
      </w:r>
      <w:r w:rsidRPr="00DF0680">
        <w:rPr>
          <w:i/>
          <w:iCs/>
        </w:rPr>
        <w:t>Molecular Cell</w:t>
      </w:r>
      <w:r w:rsidRPr="00DF0680">
        <w:t>, 40(4), pp.606–18.</w:t>
      </w:r>
    </w:p>
    <w:p w:rsidR="00341643" w:rsidRPr="00DF0680" w:rsidRDefault="00341643">
      <w:pPr>
        <w:pStyle w:val="NormalWeb"/>
        <w:ind w:left="480" w:hanging="480"/>
        <w:divId w:val="930774447"/>
      </w:pPr>
      <w:r w:rsidRPr="00DF0680">
        <w:t xml:space="preserve">Futami, K., Kumagai, E., Makino, H., Goto, H., Takagi, M., Shimamoto, A. &amp; Furuichi, Y., 2008. Induction of mitotic cell death in cancer cells by small interference RNA suppressing the expression of RecQL1 helicase. </w:t>
      </w:r>
      <w:r w:rsidRPr="00DF0680">
        <w:rPr>
          <w:i/>
          <w:iCs/>
        </w:rPr>
        <w:t>Cancer Science</w:t>
      </w:r>
      <w:r w:rsidRPr="00DF0680">
        <w:t>, 99(1), pp.71–80.</w:t>
      </w:r>
    </w:p>
    <w:p w:rsidR="00341643" w:rsidRPr="00DF0680" w:rsidRDefault="00341643">
      <w:pPr>
        <w:pStyle w:val="NormalWeb"/>
        <w:ind w:left="480" w:hanging="480"/>
        <w:divId w:val="930774447"/>
      </w:pPr>
      <w:r w:rsidRPr="00DF0680">
        <w:t xml:space="preserve">Gagné, J.P., Isabelle, M., Lo, K.S., Bourassa, S., Hendzel, M.J., Dawson, V.L., Dawson, T.M. &amp; Poirier, G.G., 2008. Proteome-wide identification of poly(ADP-ribose) </w:t>
      </w:r>
      <w:r w:rsidRPr="00DF0680">
        <w:lastRenderedPageBreak/>
        <w:t xml:space="preserve">binding proteins and poly(ADP-ribose)-associated protein complexes. </w:t>
      </w:r>
      <w:r w:rsidRPr="00DF0680">
        <w:rPr>
          <w:i/>
          <w:iCs/>
        </w:rPr>
        <w:t>Nucleic Acids Research</w:t>
      </w:r>
      <w:r w:rsidRPr="00DF0680">
        <w:t>, 36(22), pp.6959–6976.</w:t>
      </w:r>
    </w:p>
    <w:p w:rsidR="00341643" w:rsidRPr="00DF0680" w:rsidRDefault="00341643">
      <w:pPr>
        <w:pStyle w:val="NormalWeb"/>
        <w:ind w:left="480" w:hanging="480"/>
        <w:divId w:val="930774447"/>
      </w:pPr>
      <w:r w:rsidRPr="00DF0680">
        <w:t xml:space="preserve">Gaillard, P., Noguchi, E., Shanahan, P. &amp; Russell, P., 2003. The endogenous Mus81-Eme1 complex resolves Holliday junctions by a nick and counternick mechanism. </w:t>
      </w:r>
      <w:r w:rsidRPr="00DF0680">
        <w:rPr>
          <w:i/>
          <w:iCs/>
        </w:rPr>
        <w:t>Molecular Cell</w:t>
      </w:r>
      <w:r w:rsidRPr="00DF0680">
        <w:t>, 12(3), pp.747–759.</w:t>
      </w:r>
    </w:p>
    <w:p w:rsidR="00341643" w:rsidRPr="00DF0680" w:rsidRDefault="00341643">
      <w:pPr>
        <w:pStyle w:val="NormalWeb"/>
        <w:ind w:left="480" w:hanging="480"/>
        <w:divId w:val="930774447"/>
      </w:pPr>
      <w:r w:rsidRPr="00DF0680">
        <w:t xml:space="preserve">Gan, W., Guan, Z., Liu, J., Gui, T., Shen, K., Manley, J.L. &amp; Li, X., 2011. R-loop-mediated genomic instability is caused by impairment of replication fork progression. </w:t>
      </w:r>
      <w:r w:rsidRPr="00DF0680">
        <w:rPr>
          <w:i/>
          <w:iCs/>
        </w:rPr>
        <w:t>Genes &amp; Development</w:t>
      </w:r>
      <w:r w:rsidRPr="00DF0680">
        <w:t>, 25(19), pp.2041–56.</w:t>
      </w:r>
    </w:p>
    <w:p w:rsidR="00341643" w:rsidRPr="00DF0680" w:rsidRDefault="00341643">
      <w:pPr>
        <w:pStyle w:val="NormalWeb"/>
        <w:ind w:left="480" w:hanging="480"/>
        <w:divId w:val="930774447"/>
      </w:pPr>
      <w:r w:rsidRPr="00DF0680">
        <w:t xml:space="preserve">Gangloff, S. &amp; McDonald, J., 1994. The yeast type I topoisomerase Top3 interacts with Sgs1, a DNA helicase homolog: a potential eukaryotic reverse gyrase. </w:t>
      </w:r>
      <w:r w:rsidRPr="00DF0680">
        <w:rPr>
          <w:i/>
          <w:iCs/>
        </w:rPr>
        <w:t>Molecular and Cellular Biology</w:t>
      </w:r>
      <w:r w:rsidRPr="00DF0680">
        <w:t>, 14(12).</w:t>
      </w:r>
    </w:p>
    <w:p w:rsidR="00341643" w:rsidRPr="00DF0680" w:rsidRDefault="00341643">
      <w:pPr>
        <w:pStyle w:val="NormalWeb"/>
        <w:ind w:left="480" w:hanging="480"/>
        <w:divId w:val="930774447"/>
      </w:pPr>
      <w:r w:rsidRPr="00DF0680">
        <w:t xml:space="preserve">Gangloff, S., Soustelle, C. &amp; Fabre, F., 2000. Homologous recombination is responsible for cell death in the absence of the Sgs1 and Srs2 helicases. </w:t>
      </w:r>
      <w:r w:rsidRPr="00DF0680">
        <w:rPr>
          <w:i/>
          <w:iCs/>
        </w:rPr>
        <w:t>Nature Genetics</w:t>
      </w:r>
      <w:r w:rsidRPr="00DF0680">
        <w:t>, 25(2), pp.192–4.</w:t>
      </w:r>
    </w:p>
    <w:p w:rsidR="00341643" w:rsidRPr="00DF0680" w:rsidRDefault="00341643">
      <w:pPr>
        <w:pStyle w:val="NormalWeb"/>
        <w:ind w:left="480" w:hanging="480"/>
        <w:divId w:val="930774447"/>
      </w:pPr>
      <w:r w:rsidRPr="00DF0680">
        <w:t xml:space="preserve">Garcia, P.L., Liu, Y., Jiricny, J., West, S.C. &amp; Janscak, P., 2004. Human RECQ5beta, a protein with DNA helicase and strand-annealing activities in a single polypeptide. </w:t>
      </w:r>
      <w:r w:rsidRPr="00DF0680">
        <w:rPr>
          <w:i/>
          <w:iCs/>
        </w:rPr>
        <w:t>The EMBO Journal</w:t>
      </w:r>
      <w:r w:rsidRPr="00DF0680">
        <w:t>, 23(14), pp.2882–91.</w:t>
      </w:r>
    </w:p>
    <w:p w:rsidR="00341643" w:rsidRPr="00DF0680" w:rsidRDefault="00341643">
      <w:pPr>
        <w:pStyle w:val="NormalWeb"/>
        <w:ind w:left="480" w:hanging="480"/>
        <w:divId w:val="930774447"/>
      </w:pPr>
      <w:r w:rsidRPr="00DF0680">
        <w:t xml:space="preserve">Garcia-Higuera, I., Taniguchi, T., Ganesan, S., Meyn, M.S., Timmers, C., Hejna, J., Grompe, M. &amp; D’Andrea, a D., 2001. Interaction of the Fanconi anemia proteins and BRCA1 in a common pathway. </w:t>
      </w:r>
      <w:r w:rsidRPr="00DF0680">
        <w:rPr>
          <w:i/>
          <w:iCs/>
        </w:rPr>
        <w:t>Molecular Cell</w:t>
      </w:r>
      <w:r w:rsidRPr="00DF0680">
        <w:t>, 7(2), pp.249–62.</w:t>
      </w:r>
    </w:p>
    <w:p w:rsidR="00341643" w:rsidRPr="00DF0680" w:rsidRDefault="00341643">
      <w:pPr>
        <w:pStyle w:val="NormalWeb"/>
        <w:ind w:left="480" w:hanging="480"/>
        <w:divId w:val="930774447"/>
      </w:pPr>
      <w:r w:rsidRPr="00DF0680">
        <w:t xml:space="preserve">Gardiner-Garden, M. &amp; Frommer, M., 1987. CpG islands in vertebrate genomes. </w:t>
      </w:r>
      <w:r w:rsidRPr="00DF0680">
        <w:rPr>
          <w:i/>
          <w:iCs/>
        </w:rPr>
        <w:t>Journal of Molecular Biology</w:t>
      </w:r>
      <w:r w:rsidRPr="00DF0680">
        <w:t>, 196(2), pp.261–282.</w:t>
      </w:r>
    </w:p>
    <w:p w:rsidR="00341643" w:rsidRPr="00DF0680" w:rsidRDefault="00341643">
      <w:pPr>
        <w:pStyle w:val="NormalWeb"/>
        <w:ind w:left="480" w:hanging="480"/>
        <w:divId w:val="930774447"/>
      </w:pPr>
      <w:r w:rsidRPr="00DF0680">
        <w:t xml:space="preserve">Garg, P. &amp; Burgers, P.M., 2005. Ubiquitinated proliferating cell nuclear antigen activates translesion DNA polymerases eta and REV1. </w:t>
      </w:r>
      <w:r w:rsidRPr="00DF0680">
        <w:rPr>
          <w:i/>
          <w:iCs/>
        </w:rPr>
        <w:t>Proceedings of the National Academy of Sciences</w:t>
      </w:r>
      <w:r w:rsidRPr="00DF0680">
        <w:t>, 102(51), pp.18361–6.</w:t>
      </w:r>
    </w:p>
    <w:p w:rsidR="00341643" w:rsidRPr="00DF0680" w:rsidRDefault="00341643">
      <w:pPr>
        <w:pStyle w:val="NormalWeb"/>
        <w:ind w:left="480" w:hanging="480"/>
        <w:divId w:val="930774447"/>
      </w:pPr>
      <w:r w:rsidRPr="00DF0680">
        <w:t xml:space="preserve">Gari, K., Décaillet, C. &amp; Delannoy, M., 2008a. Remodeling of DNA replication structures by the branch point translocase FANCM. </w:t>
      </w:r>
      <w:r w:rsidRPr="00DF0680">
        <w:rPr>
          <w:i/>
          <w:iCs/>
        </w:rPr>
        <w:t>Proceedings of the National Academy of Sciences</w:t>
      </w:r>
      <w:r w:rsidRPr="00DF0680">
        <w:t>, 105(42), pp.16107–12.</w:t>
      </w:r>
    </w:p>
    <w:p w:rsidR="00341643" w:rsidRPr="00DF0680" w:rsidRDefault="00341643">
      <w:pPr>
        <w:pStyle w:val="NormalWeb"/>
        <w:ind w:left="480" w:hanging="480"/>
        <w:divId w:val="930774447"/>
      </w:pPr>
      <w:r w:rsidRPr="00DF0680">
        <w:t xml:space="preserve">Gari, K., Décaillet, C., Stasiak, A.Z., Stasiak, A. &amp; Constantinou, A., 2008b. The Fanconi anemia protein FANCM can promote branch migration of Holliday junctions and replication forks. </w:t>
      </w:r>
      <w:r w:rsidRPr="00DF0680">
        <w:rPr>
          <w:i/>
          <w:iCs/>
        </w:rPr>
        <w:t>Molecular Cell</w:t>
      </w:r>
      <w:r w:rsidRPr="00DF0680">
        <w:t>, 29(1), pp.141–8.</w:t>
      </w:r>
    </w:p>
    <w:p w:rsidR="00341643" w:rsidRPr="00DF0680" w:rsidRDefault="00341643">
      <w:pPr>
        <w:pStyle w:val="NormalWeb"/>
        <w:ind w:left="480" w:hanging="480"/>
        <w:divId w:val="930774447"/>
      </w:pPr>
      <w:r w:rsidRPr="00DF0680">
        <w:t xml:space="preserve">Gatei, M., Zhou, B.B., Hobson, K., Scott, S., Young, D. &amp; Khanna, K.K., 2001. Ataxia telangiectasia mutated (ATM) kinase and ATM and Rad3 related kinase mediate phosphorylation of Brca1 at distinct and overlapping sites. In vivo assessment using phospho-specific antibodies. </w:t>
      </w:r>
      <w:r w:rsidRPr="00DF0680">
        <w:rPr>
          <w:i/>
          <w:iCs/>
        </w:rPr>
        <w:t>The Journal of Biological Chemistry</w:t>
      </w:r>
      <w:r w:rsidRPr="00DF0680">
        <w:t>, 276(20), pp.17276–80.</w:t>
      </w:r>
    </w:p>
    <w:p w:rsidR="00341643" w:rsidRPr="00DF0680" w:rsidRDefault="00341643">
      <w:pPr>
        <w:pStyle w:val="NormalWeb"/>
        <w:ind w:left="480" w:hanging="480"/>
        <w:divId w:val="930774447"/>
      </w:pPr>
      <w:r w:rsidRPr="00DF0680">
        <w:lastRenderedPageBreak/>
        <w:t xml:space="preserve">Ge, X.Q., Jackson, D. a &amp; Blow, J.J., 2007. Dormant origins licensed by excess Mcm2-7 are required for human cells to survive replicative stress. </w:t>
      </w:r>
      <w:r w:rsidRPr="00DF0680">
        <w:rPr>
          <w:i/>
          <w:iCs/>
        </w:rPr>
        <w:t>Genes &amp; Development</w:t>
      </w:r>
      <w:r w:rsidRPr="00DF0680">
        <w:t>, 21(24), pp.3331–41.</w:t>
      </w:r>
    </w:p>
    <w:p w:rsidR="00341643" w:rsidRPr="00DF0680" w:rsidRDefault="00341643">
      <w:pPr>
        <w:pStyle w:val="NormalWeb"/>
        <w:ind w:left="480" w:hanging="480"/>
        <w:divId w:val="930774447"/>
      </w:pPr>
      <w:r w:rsidRPr="00DF0680">
        <w:t xml:space="preserve">Gebauer, F. &amp; Hentze, M.W., 2004. Molecular mechanisms of translational control. </w:t>
      </w:r>
      <w:r w:rsidRPr="00DF0680">
        <w:rPr>
          <w:i/>
          <w:iCs/>
        </w:rPr>
        <w:t>Nature Reviews. Molecular Cell Biology</w:t>
      </w:r>
      <w:r w:rsidRPr="00DF0680">
        <w:t>, 5(10), pp.827–35.</w:t>
      </w:r>
    </w:p>
    <w:p w:rsidR="00341643" w:rsidRPr="00DF0680" w:rsidRDefault="00341643">
      <w:pPr>
        <w:pStyle w:val="NormalWeb"/>
        <w:ind w:left="480" w:hanging="480"/>
        <w:divId w:val="930774447"/>
      </w:pPr>
      <w:r w:rsidRPr="00DF0680">
        <w:t xml:space="preserve">Genschel, J., Bazemore, L.R. &amp; Modrich, P., 2002. Human exonuclease I </w:t>
      </w:r>
      <w:proofErr w:type="gramStart"/>
      <w:r w:rsidRPr="00DF0680">
        <w:t>is</w:t>
      </w:r>
      <w:proofErr w:type="gramEnd"/>
      <w:r w:rsidRPr="00DF0680">
        <w:t xml:space="preserve"> required for 5’ and 3' mismatch repair. </w:t>
      </w:r>
      <w:r w:rsidRPr="00DF0680">
        <w:rPr>
          <w:i/>
          <w:iCs/>
        </w:rPr>
        <w:t>The Journal of Biological Chemistry</w:t>
      </w:r>
      <w:r w:rsidRPr="00DF0680">
        <w:t>, 277(15), pp.13302–11.</w:t>
      </w:r>
    </w:p>
    <w:p w:rsidR="00341643" w:rsidRPr="00DF0680" w:rsidRDefault="00341643">
      <w:pPr>
        <w:pStyle w:val="NormalWeb"/>
        <w:ind w:left="480" w:hanging="480"/>
        <w:divId w:val="930774447"/>
      </w:pPr>
      <w:r w:rsidRPr="00DF0680">
        <w:t xml:space="preserve">Gerhardt, J., Jafar, S., Spindler, M.-P., Ott, E. &amp; Schepers, A., 2006. Identification of new human origins of DNA replication by an origin-trapping assay. </w:t>
      </w:r>
      <w:r w:rsidRPr="00DF0680">
        <w:rPr>
          <w:i/>
          <w:iCs/>
        </w:rPr>
        <w:t>Molecular and Cellular Biology</w:t>
      </w:r>
      <w:r w:rsidRPr="00DF0680">
        <w:t>, 26(20), pp.7731–46.</w:t>
      </w:r>
    </w:p>
    <w:p w:rsidR="00341643" w:rsidRPr="00DF0680" w:rsidRDefault="00341643">
      <w:pPr>
        <w:pStyle w:val="NormalWeb"/>
        <w:ind w:left="480" w:hanging="480"/>
        <w:divId w:val="930774447"/>
      </w:pPr>
      <w:r w:rsidRPr="00DF0680">
        <w:t xml:space="preserve">German, J., 1969. Bloom’s syndrome. I. Genetical and clinical observations in the first twenty-seven patients. </w:t>
      </w:r>
      <w:r w:rsidRPr="00DF0680">
        <w:rPr>
          <w:i/>
          <w:iCs/>
        </w:rPr>
        <w:t>American Journal of Human Genetics</w:t>
      </w:r>
      <w:r w:rsidRPr="00DF0680">
        <w:t>, 21(2), pp.196–227.</w:t>
      </w:r>
    </w:p>
    <w:p w:rsidR="00341643" w:rsidRPr="00DF0680" w:rsidRDefault="00341643">
      <w:pPr>
        <w:pStyle w:val="NormalWeb"/>
        <w:ind w:left="480" w:hanging="480"/>
        <w:divId w:val="930774447"/>
      </w:pPr>
      <w:r w:rsidRPr="00DF0680">
        <w:t xml:space="preserve">Ghosh, A.K., Rossi, M.L., Singh, D.K., Dunn, C., Ramamoorthy, M., Croteau, D.L., Liu, Y. &amp; Bohr, V. a, 2012. RECQL4, the protein mutated in Rothmund-Thomson syndrome, functions in telomere maintenance. </w:t>
      </w:r>
      <w:r w:rsidRPr="00DF0680">
        <w:rPr>
          <w:i/>
          <w:iCs/>
        </w:rPr>
        <w:t>The Journal of Biological Chemistry</w:t>
      </w:r>
      <w:r w:rsidRPr="00DF0680">
        <w:t>, 287(1), pp.196–209.</w:t>
      </w:r>
    </w:p>
    <w:p w:rsidR="00341643" w:rsidRPr="00DF0680" w:rsidRDefault="00341643">
      <w:pPr>
        <w:pStyle w:val="NormalWeb"/>
        <w:ind w:left="480" w:hanging="480"/>
        <w:divId w:val="930774447"/>
      </w:pPr>
      <w:r w:rsidRPr="00DF0680">
        <w:t xml:space="preserve">Giannelli, F., Pawsey, S. a &amp; Avery, J. a, 1982. Differences in patterns of complementation of the more common groups of xeroderma pigmentosum: possible implications. </w:t>
      </w:r>
      <w:r w:rsidRPr="00DF0680">
        <w:rPr>
          <w:i/>
          <w:iCs/>
        </w:rPr>
        <w:t>Cell</w:t>
      </w:r>
      <w:r w:rsidRPr="00DF0680">
        <w:t>, 29(2), pp.451–8.</w:t>
      </w:r>
    </w:p>
    <w:p w:rsidR="00341643" w:rsidRPr="00DF0680" w:rsidRDefault="00341643">
      <w:pPr>
        <w:pStyle w:val="NormalWeb"/>
        <w:ind w:left="480" w:hanging="480"/>
        <w:divId w:val="930774447"/>
      </w:pPr>
      <w:r w:rsidRPr="00DF0680">
        <w:t xml:space="preserve">Goff, L. a, Davila, J., Swerdel, M.R., Moore, J.C., Cohen, R.I., Wu, H., Sun, Y.E. &amp; Hart, R.P., 2009. Ago2 immunoprecipitation identifies predicted microRNAs in human embryonic stem cells and neural precursors. </w:t>
      </w:r>
      <w:r w:rsidRPr="00DF0680">
        <w:rPr>
          <w:i/>
          <w:iCs/>
        </w:rPr>
        <w:t>PloS One</w:t>
      </w:r>
      <w:r w:rsidRPr="00DF0680">
        <w:t>, 4(9), p.e7192.</w:t>
      </w:r>
    </w:p>
    <w:p w:rsidR="00341643" w:rsidRPr="00DF0680" w:rsidRDefault="00341643">
      <w:pPr>
        <w:pStyle w:val="NormalWeb"/>
        <w:ind w:left="480" w:hanging="480"/>
        <w:divId w:val="930774447"/>
      </w:pPr>
      <w:r w:rsidRPr="00DF0680">
        <w:t xml:space="preserve">Gomez-Lazaro, M., Galindo, M.F., Concannon, C.G., Segura, M.F., Fernandez-Gomez, F.J., Llecha, N., Comella, J.X., Prehn, J.H.M. &amp; Jordan, J., 2008. 6-Hydroxydopamine activates the mitochondrial apoptosis pathway through p38 MAPK-mediated, p53-independent activation of Bax and PUMA. </w:t>
      </w:r>
      <w:r w:rsidRPr="00DF0680">
        <w:rPr>
          <w:i/>
          <w:iCs/>
        </w:rPr>
        <w:t>Journal of Neurochemistry</w:t>
      </w:r>
      <w:r w:rsidRPr="00DF0680">
        <w:t>, 104(6), pp.1599–612.</w:t>
      </w:r>
    </w:p>
    <w:p w:rsidR="00341643" w:rsidRPr="00DF0680" w:rsidRDefault="00341643">
      <w:pPr>
        <w:pStyle w:val="NormalWeb"/>
        <w:ind w:left="480" w:hanging="480"/>
        <w:divId w:val="930774447"/>
      </w:pPr>
      <w:r w:rsidRPr="00DF0680">
        <w:t xml:space="preserve">Gonzalez-Zulueta, M., Ruppert, J. &amp; Tokino, K., 1993. Microsatellite instability in bladder cancer. </w:t>
      </w:r>
      <w:r w:rsidRPr="00DF0680">
        <w:rPr>
          <w:i/>
          <w:iCs/>
        </w:rPr>
        <w:t>Cancer Research</w:t>
      </w:r>
      <w:r w:rsidRPr="00DF0680">
        <w:t>, 53(23), pp.5620–5623.</w:t>
      </w:r>
    </w:p>
    <w:p w:rsidR="00341643" w:rsidRPr="00DF0680" w:rsidRDefault="00341643">
      <w:pPr>
        <w:pStyle w:val="NormalWeb"/>
        <w:ind w:left="480" w:hanging="480"/>
        <w:divId w:val="930774447"/>
      </w:pPr>
      <w:r w:rsidRPr="00DF0680">
        <w:t xml:space="preserve">Goto, M., Miller, R., Ishikawa, Y. &amp; Sugano, H., 1996. Excess of rare cancers in Werner syndrome (adult progeria). </w:t>
      </w:r>
      <w:r w:rsidRPr="00DF0680">
        <w:rPr>
          <w:i/>
          <w:iCs/>
        </w:rPr>
        <w:t>Cancer Epidemiology, Biomarkers &amp; Prevention</w:t>
      </w:r>
      <w:r w:rsidRPr="00DF0680">
        <w:t>, 5(4), pp.239–246.</w:t>
      </w:r>
    </w:p>
    <w:p w:rsidR="00341643" w:rsidRPr="00DF0680" w:rsidRDefault="00341643">
      <w:pPr>
        <w:pStyle w:val="NormalWeb"/>
        <w:ind w:left="480" w:hanging="480"/>
        <w:divId w:val="930774447"/>
      </w:pPr>
      <w:r w:rsidRPr="00DF0680">
        <w:t xml:space="preserve">Gottipati, P., Cassel, T.N., Savolainen, L. &amp; Helleday, T., 2008. Transcription-associated recombination is dependent on replication in Mammalian cells. </w:t>
      </w:r>
      <w:r w:rsidRPr="00DF0680">
        <w:rPr>
          <w:i/>
          <w:iCs/>
        </w:rPr>
        <w:t>Molecular and Cellular Biology</w:t>
      </w:r>
      <w:r w:rsidRPr="00DF0680">
        <w:t>, 28(1), pp.154–64.</w:t>
      </w:r>
    </w:p>
    <w:p w:rsidR="00341643" w:rsidRPr="00DF0680" w:rsidRDefault="00341643">
      <w:pPr>
        <w:pStyle w:val="NormalWeb"/>
        <w:ind w:left="480" w:hanging="480"/>
        <w:divId w:val="930774447"/>
      </w:pPr>
      <w:r w:rsidRPr="00DF0680">
        <w:t xml:space="preserve">Gottlieb, T. &amp; Jackson, S., 1993. The DNA-dependent protein kinase: requirement for DNA ends and association with Ku antigen. </w:t>
      </w:r>
      <w:r w:rsidRPr="00DF0680">
        <w:rPr>
          <w:i/>
          <w:iCs/>
        </w:rPr>
        <w:t>Cell</w:t>
      </w:r>
      <w:r w:rsidRPr="00DF0680">
        <w:t>, 72(1), pp.131–142.</w:t>
      </w:r>
    </w:p>
    <w:p w:rsidR="00341643" w:rsidRPr="00DF0680" w:rsidRDefault="00341643">
      <w:pPr>
        <w:pStyle w:val="NormalWeb"/>
        <w:ind w:left="480" w:hanging="480"/>
        <w:divId w:val="930774447"/>
      </w:pPr>
      <w:r w:rsidRPr="00DF0680">
        <w:lastRenderedPageBreak/>
        <w:t xml:space="preserve">Gravel, S. &amp; Chapman, J., 2008. DNA helicases Sgs1 and BLM promote DNA double-strand break resection. </w:t>
      </w:r>
      <w:r w:rsidRPr="00DF0680">
        <w:rPr>
          <w:i/>
          <w:iCs/>
        </w:rPr>
        <w:t>Genes &amp; Development</w:t>
      </w:r>
      <w:r w:rsidRPr="00DF0680">
        <w:t>, 22(20), pp.2767–2772.</w:t>
      </w:r>
    </w:p>
    <w:p w:rsidR="00341643" w:rsidRPr="00DF0680" w:rsidRDefault="00341643">
      <w:pPr>
        <w:pStyle w:val="NormalWeb"/>
        <w:ind w:left="480" w:hanging="480"/>
        <w:divId w:val="930774447"/>
      </w:pPr>
      <w:r w:rsidRPr="00DF0680">
        <w:t xml:space="preserve">Gravells, P., Hoh, L., Solovieva, S., Patil, a, Dudziec, E., Rennie, I.G., Sisley, K. &amp; Bryant, H.E., 2013. Reduced FANCD2 influences spontaneous SCE and RAD51 foci formation in uveal melanoma and Fanconi anaemia. </w:t>
      </w:r>
      <w:r w:rsidRPr="00DF0680">
        <w:rPr>
          <w:i/>
          <w:iCs/>
        </w:rPr>
        <w:t>Oncogene</w:t>
      </w:r>
      <w:r w:rsidRPr="00DF0680">
        <w:t>, 32(46), pp.5338–46.</w:t>
      </w:r>
    </w:p>
    <w:p w:rsidR="00341643" w:rsidRPr="00DF0680" w:rsidRDefault="00341643">
      <w:pPr>
        <w:pStyle w:val="NormalWeb"/>
        <w:ind w:left="480" w:hanging="480"/>
        <w:divId w:val="930774447"/>
      </w:pPr>
      <w:r w:rsidRPr="00DF0680">
        <w:t xml:space="preserve">Grawunder, U., Wilm, M., Wu, X. &amp; Kulesza, P., 1997. Activity of DNA ligase IV stimulated by complex formation with XRCC4 protein in mammalian cells. </w:t>
      </w:r>
      <w:r w:rsidRPr="00DF0680">
        <w:rPr>
          <w:i/>
          <w:iCs/>
        </w:rPr>
        <w:t>Nature</w:t>
      </w:r>
      <w:r w:rsidRPr="00DF0680">
        <w:t>, 388(6641), pp.492–5.</w:t>
      </w:r>
    </w:p>
    <w:p w:rsidR="00341643" w:rsidRPr="00DF0680" w:rsidRDefault="00341643">
      <w:pPr>
        <w:pStyle w:val="NormalWeb"/>
        <w:ind w:left="480" w:hanging="480"/>
        <w:divId w:val="930774447"/>
      </w:pPr>
      <w:r w:rsidRPr="00DF0680">
        <w:t xml:space="preserve">Grawunder, U., Zimmer, D. &amp; Fugmann, S., 1998. DNA ligase IV is essential for V (D) J recombination and DNA double-strand break repair in human precursor lymphocytes. </w:t>
      </w:r>
      <w:r w:rsidRPr="00DF0680">
        <w:rPr>
          <w:i/>
          <w:iCs/>
        </w:rPr>
        <w:t>Molecular Cell</w:t>
      </w:r>
      <w:r w:rsidRPr="00DF0680">
        <w:t>, 2(4), pp.477–484.</w:t>
      </w:r>
    </w:p>
    <w:p w:rsidR="00341643" w:rsidRPr="00DF0680" w:rsidRDefault="00341643">
      <w:pPr>
        <w:pStyle w:val="NormalWeb"/>
        <w:ind w:left="480" w:hanging="480"/>
        <w:divId w:val="930774447"/>
      </w:pPr>
      <w:r w:rsidRPr="00DF0680">
        <w:t xml:space="preserve">Gschwend, M., Levran, O., Kruglyak, L., Ranade, K., Verlander, P.C., Shen, S., Faure, S., Weissenbach, J., Altay, C., Lander, E.S., Auerbach, A.D. &amp; Botstein, D., 1996. A Locus for Fanconi Anemia Mapping 16q Determined by Homozygosity. </w:t>
      </w:r>
      <w:r w:rsidRPr="00DF0680">
        <w:rPr>
          <w:i/>
          <w:iCs/>
        </w:rPr>
        <w:t>American Journal of Human Genetics</w:t>
      </w:r>
      <w:r w:rsidRPr="00DF0680">
        <w:t>, 59(2), pp.377–384.</w:t>
      </w:r>
    </w:p>
    <w:p w:rsidR="00341643" w:rsidRPr="00DF0680" w:rsidRDefault="00341643">
      <w:pPr>
        <w:pStyle w:val="NormalWeb"/>
        <w:ind w:left="480" w:hanging="480"/>
        <w:divId w:val="930774447"/>
      </w:pPr>
      <w:r w:rsidRPr="00DF0680">
        <w:t xml:space="preserve">Gu, L., Hong, Y., McCulloch, S., Watanabe, H. &amp; Li, G.M., 1998. ATP-dependent interaction of human mismatch repair proteins and dual role of PCNA in mismatch repair. </w:t>
      </w:r>
      <w:r w:rsidRPr="00DF0680">
        <w:rPr>
          <w:i/>
          <w:iCs/>
        </w:rPr>
        <w:t>Nucleic Acids Research</w:t>
      </w:r>
      <w:r w:rsidRPr="00DF0680">
        <w:t>, 26(5), pp.1173–8.</w:t>
      </w:r>
    </w:p>
    <w:p w:rsidR="00341643" w:rsidRPr="00DF0680" w:rsidRDefault="00341643">
      <w:pPr>
        <w:pStyle w:val="NormalWeb"/>
        <w:ind w:left="480" w:hanging="480"/>
        <w:divId w:val="930774447"/>
      </w:pPr>
      <w:r w:rsidRPr="00DF0680">
        <w:t xml:space="preserve">Guo, Z., 2000. Requirement for Atr in phosphorylation of Chk1 and cell cycle regulation in response to DNA replication blocks and UV-damaged DNA in Xenopus egg extracts. </w:t>
      </w:r>
      <w:r w:rsidRPr="00DF0680">
        <w:rPr>
          <w:i/>
          <w:iCs/>
        </w:rPr>
        <w:t>Genes &amp; Development</w:t>
      </w:r>
      <w:r w:rsidRPr="00DF0680">
        <w:t>, 14(21), pp.2745–2756.</w:t>
      </w:r>
    </w:p>
    <w:p w:rsidR="00341643" w:rsidRPr="00DF0680" w:rsidRDefault="00341643">
      <w:pPr>
        <w:pStyle w:val="NormalWeb"/>
        <w:ind w:left="480" w:hanging="480"/>
        <w:divId w:val="930774447"/>
      </w:pPr>
      <w:r w:rsidRPr="00DF0680">
        <w:t xml:space="preserve">Gupta, S., De, S., Srivastava, V., Hussain, M., Kumari, J., Muniyappa, K. &amp; Sengupta, S., 2014. RECQL4 and p53 potentiate the activity of polymerase γ and maintain the integrity of the human mitochondrial genome. </w:t>
      </w:r>
      <w:r w:rsidRPr="00DF0680">
        <w:rPr>
          <w:i/>
          <w:iCs/>
        </w:rPr>
        <w:t>Carcinogenesis</w:t>
      </w:r>
      <w:r w:rsidRPr="00DF0680">
        <w:t>, 35(1), pp.34–45.</w:t>
      </w:r>
    </w:p>
    <w:p w:rsidR="00341643" w:rsidRPr="00DF0680" w:rsidRDefault="00341643">
      <w:pPr>
        <w:pStyle w:val="NormalWeb"/>
        <w:ind w:left="480" w:hanging="480"/>
        <w:divId w:val="930774447"/>
      </w:pPr>
      <w:r w:rsidRPr="00DF0680">
        <w:t xml:space="preserve">Gyimesi, M., Sarlós, K. &amp; Kovács, M., 2010. Processive translocation mechanism of the human Bloom’s syndrome helicase along single-stranded DNA. </w:t>
      </w:r>
      <w:r w:rsidRPr="00DF0680">
        <w:rPr>
          <w:i/>
          <w:iCs/>
        </w:rPr>
        <w:t>Nucleic Acids Research</w:t>
      </w:r>
      <w:r w:rsidRPr="00DF0680">
        <w:t>, 38(13), pp.4404–14.</w:t>
      </w:r>
    </w:p>
    <w:p w:rsidR="00341643" w:rsidRPr="00DF0680" w:rsidRDefault="00341643">
      <w:pPr>
        <w:pStyle w:val="NormalWeb"/>
        <w:ind w:left="480" w:hanging="480"/>
        <w:divId w:val="930774447"/>
      </w:pPr>
      <w:r w:rsidRPr="00DF0680">
        <w:t xml:space="preserve">Haince, J.-F., Kozlov, S., Dawson, V.L., Dawson, T.M., Hendzel, M.J., Lavin, M.F. &amp; Poirier, G.G., 2007. Ataxia telangiectasia mutated (ATM) signaling network is modulated by a novel poly(ADP-ribose)-dependent pathway in the early response to DNA-damaging agents. </w:t>
      </w:r>
      <w:r w:rsidRPr="00DF0680">
        <w:rPr>
          <w:i/>
          <w:iCs/>
        </w:rPr>
        <w:t>The Journal of Biological Chemistry</w:t>
      </w:r>
      <w:r w:rsidRPr="00DF0680">
        <w:t>, 282(22), pp.16441–53.</w:t>
      </w:r>
    </w:p>
    <w:p w:rsidR="00341643" w:rsidRPr="00DF0680" w:rsidRDefault="00341643">
      <w:pPr>
        <w:pStyle w:val="NormalWeb"/>
        <w:ind w:left="480" w:hanging="480"/>
        <w:divId w:val="930774447"/>
      </w:pPr>
      <w:r w:rsidRPr="00DF0680">
        <w:t xml:space="preserve">Haince, J.-F., McDonald, D., Rodrigue, A., Déry, U., Masson, J.-Y., Hendzel, M.J. &amp; Poirier, G.G., 2008. PARP1-dependent kinetics of recruitment of MRE11 and NBS1 proteins to multiple DNA damage sites. </w:t>
      </w:r>
      <w:r w:rsidRPr="00DF0680">
        <w:rPr>
          <w:i/>
          <w:iCs/>
        </w:rPr>
        <w:t>The Journal of Biological Chemistry</w:t>
      </w:r>
      <w:r w:rsidRPr="00DF0680">
        <w:t>, 283(2), pp.1197–208.</w:t>
      </w:r>
    </w:p>
    <w:p w:rsidR="00341643" w:rsidRPr="00DF0680" w:rsidRDefault="00341643">
      <w:pPr>
        <w:pStyle w:val="NormalWeb"/>
        <w:ind w:left="480" w:hanging="480"/>
        <w:divId w:val="930774447"/>
      </w:pPr>
      <w:r w:rsidRPr="00DF0680">
        <w:lastRenderedPageBreak/>
        <w:t xml:space="preserve">Hall-Jackson, C., Cross, D., Morrice, N. &amp; Smythe, C., 1999. ATR is a caffeine-sensitive, DNA-activated protein kinase with a substrate specificity distinct from DNA-PK. </w:t>
      </w:r>
      <w:r w:rsidRPr="00DF0680">
        <w:rPr>
          <w:i/>
          <w:iCs/>
        </w:rPr>
        <w:t>Oncogene</w:t>
      </w:r>
      <w:r w:rsidRPr="00DF0680">
        <w:t>, 18(48), pp.6706–13.</w:t>
      </w:r>
    </w:p>
    <w:p w:rsidR="00341643" w:rsidRPr="00DF0680" w:rsidRDefault="00341643">
      <w:pPr>
        <w:pStyle w:val="NormalWeb"/>
        <w:ind w:left="480" w:hanging="480"/>
        <w:divId w:val="930774447"/>
      </w:pPr>
      <w:r w:rsidRPr="00DF0680">
        <w:t xml:space="preserve">Hanada, K., Budzowska, M., Davies, S.L., van Drunen, E., Onizawa, H., Beverloo, H.B., Maas, A., Essers, J., Hickson, I.D. &amp; Kanaar, R., 2007. The structure-specific endonuclease Mus81 contributes to replication restart by generating double-strand DNA breaks. </w:t>
      </w:r>
      <w:r w:rsidRPr="00DF0680">
        <w:rPr>
          <w:i/>
          <w:iCs/>
        </w:rPr>
        <w:t>Nature Structural &amp; Molecular Biology</w:t>
      </w:r>
      <w:r w:rsidRPr="00DF0680">
        <w:t>, 14(11), pp.1096–104.</w:t>
      </w:r>
    </w:p>
    <w:p w:rsidR="00341643" w:rsidRPr="00DF0680" w:rsidRDefault="00341643">
      <w:pPr>
        <w:pStyle w:val="NormalWeb"/>
        <w:ind w:left="480" w:hanging="480"/>
        <w:divId w:val="930774447"/>
      </w:pPr>
      <w:r w:rsidRPr="00DF0680">
        <w:t xml:space="preserve">Hanada, K., Ukita, T. &amp; Kohno, Y., 1997. RecQ DNA helicase is a suppressor of illegitimate recombination in Escherichia coli. </w:t>
      </w:r>
      <w:r w:rsidRPr="00DF0680">
        <w:rPr>
          <w:i/>
          <w:iCs/>
        </w:rPr>
        <w:t>Proceedings of the National Academy of Sciences</w:t>
      </w:r>
      <w:r w:rsidRPr="00DF0680">
        <w:t>, 94(8), pp.3860–3865.</w:t>
      </w:r>
    </w:p>
    <w:p w:rsidR="00341643" w:rsidRPr="00DF0680" w:rsidRDefault="00341643">
      <w:pPr>
        <w:pStyle w:val="NormalWeb"/>
        <w:ind w:left="480" w:hanging="480"/>
        <w:divId w:val="930774447"/>
      </w:pPr>
      <w:r w:rsidRPr="00DF0680">
        <w:t xml:space="preserve">Hanahan, D. &amp; Weinberg, R., 2000. The hallmarks of cancer. </w:t>
      </w:r>
      <w:r w:rsidRPr="00DF0680">
        <w:rPr>
          <w:i/>
          <w:iCs/>
        </w:rPr>
        <w:t>Cell</w:t>
      </w:r>
      <w:r w:rsidRPr="00DF0680">
        <w:t>, 100(1), pp.57–70.</w:t>
      </w:r>
    </w:p>
    <w:p w:rsidR="00341643" w:rsidRPr="00DF0680" w:rsidRDefault="00341643">
      <w:pPr>
        <w:pStyle w:val="NormalWeb"/>
        <w:ind w:left="480" w:hanging="480"/>
        <w:divId w:val="930774447"/>
      </w:pPr>
      <w:r w:rsidRPr="00DF0680">
        <w:t xml:space="preserve">Hanahan, D. &amp; Weinberg, R.A., 2011. Hallmarks of cancer: the next generation. </w:t>
      </w:r>
      <w:r w:rsidRPr="00DF0680">
        <w:rPr>
          <w:i/>
          <w:iCs/>
        </w:rPr>
        <w:t>Cell</w:t>
      </w:r>
      <w:r w:rsidRPr="00DF0680">
        <w:t>, 144(5), pp.646–674.</w:t>
      </w:r>
    </w:p>
    <w:p w:rsidR="00341643" w:rsidRPr="00DF0680" w:rsidRDefault="00341643">
      <w:pPr>
        <w:pStyle w:val="NormalWeb"/>
        <w:ind w:left="480" w:hanging="480"/>
        <w:divId w:val="930774447"/>
      </w:pPr>
      <w:r w:rsidRPr="00DF0680">
        <w:t xml:space="preserve">Hand, R. &amp; German, J., 1975. A retarded rate of DNA chain growth in Bloom’s syndrome. </w:t>
      </w:r>
      <w:r w:rsidRPr="00DF0680">
        <w:rPr>
          <w:i/>
          <w:iCs/>
        </w:rPr>
        <w:t>Proceedings of the National Academy of Sciences</w:t>
      </w:r>
      <w:r w:rsidRPr="00DF0680">
        <w:t>, 72(2), pp.758–762.</w:t>
      </w:r>
    </w:p>
    <w:p w:rsidR="00341643" w:rsidRPr="00DF0680" w:rsidRDefault="00341643">
      <w:pPr>
        <w:pStyle w:val="NormalWeb"/>
        <w:ind w:left="480" w:hanging="480"/>
        <w:divId w:val="930774447"/>
      </w:pPr>
      <w:r w:rsidRPr="00DF0680">
        <w:t xml:space="preserve">Von Hansemann, D., 1890. On the asymmetrical division of cells in epithelial carcinomata and their biological importance. </w:t>
      </w:r>
      <w:r w:rsidRPr="00DF0680">
        <w:rPr>
          <w:i/>
          <w:iCs/>
        </w:rPr>
        <w:t>Virchow’s Arch</w:t>
      </w:r>
      <w:r w:rsidRPr="00DF0680">
        <w:t>, (119), pp.299–326.</w:t>
      </w:r>
    </w:p>
    <w:p w:rsidR="00341643" w:rsidRPr="00DF0680" w:rsidRDefault="00341643">
      <w:pPr>
        <w:pStyle w:val="NormalWeb"/>
        <w:ind w:left="480" w:hanging="480"/>
        <w:divId w:val="930774447"/>
      </w:pPr>
      <w:r w:rsidRPr="00DF0680">
        <w:t xml:space="preserve">Hansen, M. &amp; Koufos, A., 1985. Osteosarcoma and retinoblastoma: a shared chromosomal mechanism revealing recessive predisposition. </w:t>
      </w:r>
      <w:r w:rsidRPr="00DF0680">
        <w:rPr>
          <w:i/>
          <w:iCs/>
        </w:rPr>
        <w:t>Proceedings of the National Academy of Sciences</w:t>
      </w:r>
      <w:r w:rsidRPr="00DF0680">
        <w:t>, 82(18), pp.6216–6220.</w:t>
      </w:r>
    </w:p>
    <w:p w:rsidR="00341643" w:rsidRPr="00DF0680" w:rsidRDefault="00341643">
      <w:pPr>
        <w:pStyle w:val="NormalWeb"/>
        <w:ind w:left="480" w:hanging="480"/>
        <w:divId w:val="930774447"/>
      </w:pPr>
      <w:r w:rsidRPr="00DF0680">
        <w:t xml:space="preserve">Harmon, F. &amp; Kowalczykowski, S., 1998. RecQ helicase, in concert with RecA and SSB proteins, initiates and disrupts DNA recombination. </w:t>
      </w:r>
      <w:r w:rsidRPr="00DF0680">
        <w:rPr>
          <w:i/>
          <w:iCs/>
        </w:rPr>
        <w:t>Genes &amp; Development</w:t>
      </w:r>
      <w:r w:rsidRPr="00DF0680">
        <w:t>, 12(8), pp.1134–1144.</w:t>
      </w:r>
    </w:p>
    <w:p w:rsidR="00341643" w:rsidRPr="00DF0680" w:rsidRDefault="00341643">
      <w:pPr>
        <w:pStyle w:val="NormalWeb"/>
        <w:ind w:left="480" w:hanging="480"/>
        <w:divId w:val="930774447"/>
      </w:pPr>
      <w:r w:rsidRPr="00DF0680">
        <w:t xml:space="preserve">Harmon, F.G., Brockman, J.P. &amp; Kowalczykowski, S.C., 2003. RecQ helicase stimulates both DNA catenation and changes in DNA topology by topoisomerase III. </w:t>
      </w:r>
      <w:r w:rsidRPr="00DF0680">
        <w:rPr>
          <w:i/>
          <w:iCs/>
        </w:rPr>
        <w:t>The Journal of Biological Chemistry</w:t>
      </w:r>
      <w:r w:rsidRPr="00DF0680">
        <w:t>, 278(43), pp.42668–78.</w:t>
      </w:r>
    </w:p>
    <w:p w:rsidR="00341643" w:rsidRPr="00DF0680" w:rsidRDefault="00341643">
      <w:pPr>
        <w:pStyle w:val="NormalWeb"/>
        <w:ind w:left="480" w:hanging="480"/>
        <w:divId w:val="930774447"/>
      </w:pPr>
      <w:r w:rsidRPr="00DF0680">
        <w:t xml:space="preserve">Harmon, F.G., DiGate, R.J. &amp; Kowalczykowski, S.C., 1999. RecQ helicase and topoisomerase III comprise a novel DNA strand passage function: a conserved mechanism for control of DNA recombination. </w:t>
      </w:r>
      <w:r w:rsidRPr="00DF0680">
        <w:rPr>
          <w:i/>
          <w:iCs/>
        </w:rPr>
        <w:t>Molecular Cell</w:t>
      </w:r>
      <w:r w:rsidRPr="00DF0680">
        <w:t>, 3(5), pp.611–20.</w:t>
      </w:r>
    </w:p>
    <w:p w:rsidR="00341643" w:rsidRPr="00DF0680" w:rsidRDefault="00341643">
      <w:pPr>
        <w:pStyle w:val="NormalWeb"/>
        <w:ind w:left="480" w:hanging="480"/>
        <w:divId w:val="930774447"/>
      </w:pPr>
      <w:r w:rsidRPr="00DF0680">
        <w:t xml:space="preserve">Harper, J. &amp; Elledge, S., 1995. Inhibition of cyclin-dependent kinases by p21. </w:t>
      </w:r>
      <w:r w:rsidRPr="00DF0680">
        <w:rPr>
          <w:i/>
          <w:iCs/>
        </w:rPr>
        <w:t>Molecular Biology of the Cell</w:t>
      </w:r>
      <w:r w:rsidRPr="00DF0680">
        <w:t>, 6(4), pp.387–400.</w:t>
      </w:r>
    </w:p>
    <w:p w:rsidR="00341643" w:rsidRPr="00DF0680" w:rsidRDefault="00341643">
      <w:pPr>
        <w:pStyle w:val="NormalWeb"/>
        <w:ind w:left="480" w:hanging="480"/>
        <w:divId w:val="930774447"/>
      </w:pPr>
      <w:r w:rsidRPr="00DF0680">
        <w:t xml:space="preserve">Harper, J.W. &amp; Elledge, S.J., 2007. The DNA damage response: ten years after. </w:t>
      </w:r>
      <w:r w:rsidRPr="00DF0680">
        <w:rPr>
          <w:i/>
          <w:iCs/>
        </w:rPr>
        <w:t>Molecular Cell</w:t>
      </w:r>
      <w:r w:rsidRPr="00DF0680">
        <w:t>, 28(5), pp.739–45.</w:t>
      </w:r>
    </w:p>
    <w:p w:rsidR="00341643" w:rsidRPr="00DF0680" w:rsidRDefault="00341643">
      <w:pPr>
        <w:pStyle w:val="NormalWeb"/>
        <w:ind w:left="480" w:hanging="480"/>
        <w:divId w:val="930774447"/>
      </w:pPr>
      <w:r w:rsidRPr="00DF0680">
        <w:t xml:space="preserve">Hartley, K.O., Gell, D., Smith, G.C., Zhang, H., Divecha, N., Connelly, M. a, Admon, a, Lees-Miller, S.P., Anderson, C.W. &amp; Jackson, S.P., 1995. DNA-dependent </w:t>
      </w:r>
      <w:r w:rsidRPr="00DF0680">
        <w:lastRenderedPageBreak/>
        <w:t xml:space="preserve">protein kinase catalytic subunit: a relative of phosphatidylinositol 3-kinase and the ataxia telangiectasia gene product. </w:t>
      </w:r>
      <w:r w:rsidRPr="00DF0680">
        <w:rPr>
          <w:i/>
          <w:iCs/>
        </w:rPr>
        <w:t>Cell</w:t>
      </w:r>
      <w:r w:rsidRPr="00DF0680">
        <w:t>, 82(5), pp.849–56.</w:t>
      </w:r>
    </w:p>
    <w:p w:rsidR="00341643" w:rsidRPr="00DF0680" w:rsidRDefault="00341643">
      <w:pPr>
        <w:pStyle w:val="NormalWeb"/>
        <w:ind w:left="480" w:hanging="480"/>
        <w:divId w:val="930774447"/>
      </w:pPr>
      <w:r w:rsidRPr="00DF0680">
        <w:t xml:space="preserve">Hayaishi, O., 1977. Poly ADP-ribose and ADP-ribosylation of proteins. </w:t>
      </w:r>
      <w:r w:rsidRPr="00DF0680">
        <w:rPr>
          <w:i/>
          <w:iCs/>
        </w:rPr>
        <w:t>Annual Review of Biochemistry</w:t>
      </w:r>
      <w:r w:rsidRPr="00DF0680">
        <w:t>, 46, pp.95–116.</w:t>
      </w:r>
    </w:p>
    <w:p w:rsidR="00341643" w:rsidRPr="00DF0680" w:rsidRDefault="00341643">
      <w:pPr>
        <w:pStyle w:val="NormalWeb"/>
        <w:ind w:left="480" w:hanging="480"/>
        <w:divId w:val="930774447"/>
      </w:pPr>
      <w:r w:rsidRPr="00DF0680">
        <w:t xml:space="preserve">Heald, R., McLoughlin, M. &amp; McKeon, F., 1993. Human wee1 maintains mitotic timing by protecting the nucleus from cytoplasmically activated Cdc2 kinase. </w:t>
      </w:r>
      <w:r w:rsidRPr="00DF0680">
        <w:rPr>
          <w:i/>
          <w:iCs/>
        </w:rPr>
        <w:t>Cell</w:t>
      </w:r>
      <w:r w:rsidRPr="00DF0680">
        <w:t>, 74(3), pp.463–474.</w:t>
      </w:r>
    </w:p>
    <w:p w:rsidR="00341643" w:rsidRPr="00DF0680" w:rsidRDefault="00341643">
      <w:pPr>
        <w:pStyle w:val="NormalWeb"/>
        <w:ind w:left="480" w:hanging="480"/>
        <w:divId w:val="930774447"/>
      </w:pPr>
      <w:r w:rsidRPr="00DF0680">
        <w:t xml:space="preserve">Hengartner, M.O., 2000. The biochemistry of apoptosis. </w:t>
      </w:r>
      <w:r w:rsidRPr="00DF0680">
        <w:rPr>
          <w:i/>
          <w:iCs/>
        </w:rPr>
        <w:t>Nature</w:t>
      </w:r>
      <w:r w:rsidRPr="00DF0680">
        <w:t>, 407(6805), pp.770–6.</w:t>
      </w:r>
    </w:p>
    <w:p w:rsidR="00341643" w:rsidRPr="00DF0680" w:rsidRDefault="00341643">
      <w:pPr>
        <w:pStyle w:val="NormalWeb"/>
        <w:ind w:left="480" w:hanging="480"/>
        <w:divId w:val="930774447"/>
      </w:pPr>
      <w:r w:rsidRPr="00DF0680">
        <w:t xml:space="preserve">Hinz, J.M., Nham, P.B., Urbin, S.S., Jones, I.M. &amp; Thompson, L.H., 2007. Disparate contributions of the Fanconi anemia pathway and homologous recombination in preventing spontaneous mutagenesis. </w:t>
      </w:r>
      <w:r w:rsidRPr="00DF0680">
        <w:rPr>
          <w:i/>
          <w:iCs/>
        </w:rPr>
        <w:t>Nucleic Acids Research</w:t>
      </w:r>
      <w:r w:rsidRPr="00DF0680">
        <w:t>, 35(11), pp.3733–40.</w:t>
      </w:r>
    </w:p>
    <w:p w:rsidR="00341643" w:rsidRPr="00DF0680" w:rsidRDefault="00341643">
      <w:pPr>
        <w:pStyle w:val="NormalWeb"/>
        <w:ind w:left="480" w:hanging="480"/>
        <w:divId w:val="930774447"/>
      </w:pPr>
      <w:r w:rsidRPr="00DF0680">
        <w:t xml:space="preserve">Hoffman, W.H., Biade, S., Zilfou, J.T., Chen, J. &amp; Murphy, M., 2002. Transcriptional repression of the anti-apoptotic survivin gene by wild type p53. </w:t>
      </w:r>
      <w:r w:rsidRPr="00DF0680">
        <w:rPr>
          <w:i/>
          <w:iCs/>
        </w:rPr>
        <w:t>The Journal of Biological Chemistry</w:t>
      </w:r>
      <w:r w:rsidRPr="00DF0680">
        <w:t>, 277(5), pp.3247–57.</w:t>
      </w:r>
    </w:p>
    <w:p w:rsidR="00341643" w:rsidRPr="00DF0680" w:rsidRDefault="00341643">
      <w:pPr>
        <w:pStyle w:val="NormalWeb"/>
        <w:ind w:left="480" w:hanging="480"/>
        <w:divId w:val="930774447"/>
      </w:pPr>
      <w:r w:rsidRPr="00DF0680">
        <w:t xml:space="preserve">Hoki, Y., Araki, R., Fujimori, A., Ohhata, T., Koseki, H., Fukumura, R., Nakamura, M., Takahashi, H., Noda, Y., Kito, S. &amp; Abe, M., 2003. Growth retardation and skin abnormalities of the Recql4-deficient mouse. </w:t>
      </w:r>
      <w:r w:rsidRPr="00DF0680">
        <w:rPr>
          <w:i/>
          <w:iCs/>
        </w:rPr>
        <w:t>Human Molecular Genetics</w:t>
      </w:r>
      <w:r w:rsidRPr="00DF0680">
        <w:t>, 12(18), pp.2293–9.</w:t>
      </w:r>
    </w:p>
    <w:p w:rsidR="00341643" w:rsidRPr="00DF0680" w:rsidRDefault="00341643">
      <w:pPr>
        <w:pStyle w:val="NormalWeb"/>
        <w:ind w:left="480" w:hanging="480"/>
        <w:divId w:val="930774447"/>
      </w:pPr>
      <w:r w:rsidRPr="00DF0680">
        <w:t xml:space="preserve">Holloway, J.K., Morelli, M. a, Borst, P.L. &amp; Cohen, P.E., 2010. Mammalian BLM helicase is critical for integrating multiple pathways of meiotic recombination. </w:t>
      </w:r>
      <w:r w:rsidRPr="00DF0680">
        <w:rPr>
          <w:i/>
          <w:iCs/>
        </w:rPr>
        <w:t>The Journal of Cell Biology</w:t>
      </w:r>
      <w:r w:rsidRPr="00DF0680">
        <w:t>, 188(6), pp.779–89.</w:t>
      </w:r>
    </w:p>
    <w:p w:rsidR="00341643" w:rsidRPr="00DF0680" w:rsidRDefault="00341643">
      <w:pPr>
        <w:pStyle w:val="NormalWeb"/>
        <w:ind w:left="480" w:hanging="480"/>
        <w:divId w:val="930774447"/>
      </w:pPr>
      <w:r w:rsidRPr="00DF0680">
        <w:t xml:space="preserve">Hosono, Y., Abe, T., Ishiai, M., Islam, M.N., Arakawa, H., Wang, W., Takeda, S., Ishii, Y., Takata, M., Seki, M. &amp; Enomoto, T., 2014. Tumor suppressor RecQL5 controls recombination induced by DNA crosslinking agents. </w:t>
      </w:r>
      <w:r w:rsidRPr="00DF0680">
        <w:rPr>
          <w:i/>
          <w:iCs/>
        </w:rPr>
        <w:t>Biochimica ee Biophysica Acta</w:t>
      </w:r>
      <w:r w:rsidRPr="00DF0680">
        <w:t>, 1843(5), pp.1002–12.</w:t>
      </w:r>
    </w:p>
    <w:p w:rsidR="00341643" w:rsidRPr="00DF0680" w:rsidRDefault="00341643">
      <w:pPr>
        <w:pStyle w:val="NormalWeb"/>
        <w:ind w:left="480" w:hanging="480"/>
        <w:divId w:val="930774447"/>
      </w:pPr>
      <w:r w:rsidRPr="00DF0680">
        <w:t xml:space="preserve">Howlett, N.G., Taniguchi, T., Durkin, S.G., D’Andrea, A.D. &amp; Glover, T.W., 2005. The Fanconi anemia pathway is required for the DNA replication stress response and for the regulation of common fragile site stability. </w:t>
      </w:r>
      <w:r w:rsidRPr="00DF0680">
        <w:rPr>
          <w:i/>
          <w:iCs/>
        </w:rPr>
        <w:t>Human Molecular Genetics</w:t>
      </w:r>
      <w:r w:rsidRPr="00DF0680">
        <w:t>, 14(5), pp.693–701.</w:t>
      </w:r>
    </w:p>
    <w:p w:rsidR="00341643" w:rsidRPr="00DF0680" w:rsidRDefault="00341643">
      <w:pPr>
        <w:pStyle w:val="NormalWeb"/>
        <w:ind w:left="480" w:hanging="480"/>
        <w:divId w:val="930774447"/>
      </w:pPr>
      <w:r w:rsidRPr="00DF0680">
        <w:t xml:space="preserve">Hsiang, Y. &amp; Liu, L., 1988. Identification of mammalian DNA topoisomerase I as an intracellular target of the anticancer drug camptothecin. </w:t>
      </w:r>
      <w:r w:rsidRPr="00DF0680">
        <w:rPr>
          <w:i/>
          <w:iCs/>
        </w:rPr>
        <w:t>Cancer Research</w:t>
      </w:r>
      <w:r w:rsidRPr="00DF0680">
        <w:t>, 48(7), pp.1722–1726.</w:t>
      </w:r>
    </w:p>
    <w:p w:rsidR="00341643" w:rsidRPr="00DF0680" w:rsidRDefault="00341643">
      <w:pPr>
        <w:pStyle w:val="NormalWeb"/>
        <w:ind w:left="480" w:hanging="480"/>
        <w:divId w:val="930774447"/>
      </w:pPr>
      <w:r w:rsidRPr="00DF0680">
        <w:t xml:space="preserve">Hsiang, Y.H., Hertzberg, R., Hecht, S. &amp; Liu, L.F., 1985. Camptothecin induces protein-linked DNA breaks via mammalian DNA topoisomerase I. </w:t>
      </w:r>
      <w:r w:rsidRPr="00DF0680">
        <w:rPr>
          <w:i/>
          <w:iCs/>
        </w:rPr>
        <w:t>The Journal of Biological Chemistry</w:t>
      </w:r>
      <w:r w:rsidRPr="00DF0680">
        <w:t>, 260(27), pp.14873–8.</w:t>
      </w:r>
    </w:p>
    <w:p w:rsidR="00341643" w:rsidRPr="00DF0680" w:rsidRDefault="00341643">
      <w:pPr>
        <w:pStyle w:val="NormalWeb"/>
        <w:ind w:left="480" w:hanging="480"/>
        <w:divId w:val="930774447"/>
      </w:pPr>
      <w:r w:rsidRPr="00DF0680">
        <w:t xml:space="preserve">Hsieh, C., Arlett, C. &amp; Lieber, M., 1993. V (D) J recombination in ataxia telangiectasia, Bloom’s syndrome, and a DNA ligase I-associated immunodeficiency disorder. </w:t>
      </w:r>
      <w:r w:rsidRPr="00DF0680">
        <w:rPr>
          <w:i/>
          <w:iCs/>
        </w:rPr>
        <w:t>Journal of Biological Chemistry</w:t>
      </w:r>
      <w:r w:rsidRPr="00DF0680">
        <w:t>, 268(21), pp.20105–20109.</w:t>
      </w:r>
    </w:p>
    <w:p w:rsidR="00341643" w:rsidRPr="00DF0680" w:rsidRDefault="00341643">
      <w:pPr>
        <w:pStyle w:val="NormalWeb"/>
        <w:ind w:left="480" w:hanging="480"/>
        <w:divId w:val="930774447"/>
      </w:pPr>
      <w:r w:rsidRPr="00DF0680">
        <w:lastRenderedPageBreak/>
        <w:t xml:space="preserve">Hu, Y., Lu, X., Barnes, E. &amp; Yan, M., 2005. Recql5 and Blm RecQ DNA helicases have nonredundant roles in suppressing crossovers. </w:t>
      </w:r>
      <w:r w:rsidRPr="00DF0680">
        <w:rPr>
          <w:i/>
          <w:iCs/>
        </w:rPr>
        <w:t>Molecular and Cellular Biology</w:t>
      </w:r>
      <w:r w:rsidRPr="00DF0680">
        <w:t>, 25(9), pp.3431–42.</w:t>
      </w:r>
    </w:p>
    <w:p w:rsidR="00341643" w:rsidRPr="00DF0680" w:rsidRDefault="00341643">
      <w:pPr>
        <w:pStyle w:val="NormalWeb"/>
        <w:ind w:left="480" w:hanging="480"/>
        <w:divId w:val="930774447"/>
      </w:pPr>
      <w:r w:rsidRPr="00DF0680">
        <w:t xml:space="preserve">Hu, Y., Lu, X., Zhou, G., Barnes, E.L. &amp; Luo, G., 2009. Recql5 plays an important role in DNA replication and cell survival after camptothecin treatment. </w:t>
      </w:r>
      <w:r w:rsidRPr="00DF0680">
        <w:rPr>
          <w:i/>
          <w:iCs/>
        </w:rPr>
        <w:t>Molecular Biology of the Cell</w:t>
      </w:r>
      <w:r w:rsidRPr="00DF0680">
        <w:t>, 20(1), pp.114–23.</w:t>
      </w:r>
    </w:p>
    <w:p w:rsidR="00341643" w:rsidRPr="00DF0680" w:rsidRDefault="00341643">
      <w:pPr>
        <w:pStyle w:val="NormalWeb"/>
        <w:ind w:left="480" w:hanging="480"/>
        <w:divId w:val="930774447"/>
      </w:pPr>
      <w:r w:rsidRPr="00DF0680">
        <w:t xml:space="preserve">Hu, Y., Raynard, S., Sehorn, M.G., Lu, X., Bussen, W., Zheng, L., Stark, J.M., Barnes, E.L., Chi, P., Janscak, P., Jasin, M., Vogel, H., Sung, P. &amp; Luo, G., 2007. RECQL5/Recql5 helicase regulates homologous recombination and suppresses tumor formation via disruption of Rad51 presynaptic filaments. </w:t>
      </w:r>
      <w:r w:rsidRPr="00DF0680">
        <w:rPr>
          <w:i/>
          <w:iCs/>
        </w:rPr>
        <w:t>Genes &amp; Development</w:t>
      </w:r>
      <w:r w:rsidRPr="00DF0680">
        <w:t>, 21(23), pp.3073–84.</w:t>
      </w:r>
    </w:p>
    <w:p w:rsidR="00341643" w:rsidRPr="00DF0680" w:rsidRDefault="00341643">
      <w:pPr>
        <w:pStyle w:val="NormalWeb"/>
        <w:ind w:left="480" w:hanging="480"/>
        <w:divId w:val="930774447"/>
      </w:pPr>
      <w:r w:rsidRPr="00DF0680">
        <w:t xml:space="preserve">Huang, P., Chubb, S., Hertel, L., Grindey, G. &amp; Plunkett, W., 1991. Action of 2′, 2′-difluorodeoxycytidine on DNA synthesis. </w:t>
      </w:r>
      <w:r w:rsidRPr="00DF0680">
        <w:rPr>
          <w:i/>
          <w:iCs/>
        </w:rPr>
        <w:t>Cancer Research</w:t>
      </w:r>
      <w:r w:rsidRPr="00DF0680">
        <w:t>, pp.6110–6117.</w:t>
      </w:r>
    </w:p>
    <w:p w:rsidR="00341643" w:rsidRPr="00DF0680" w:rsidRDefault="00341643">
      <w:pPr>
        <w:pStyle w:val="NormalWeb"/>
        <w:ind w:left="480" w:hanging="480"/>
        <w:divId w:val="930774447"/>
      </w:pPr>
      <w:r w:rsidRPr="00DF0680">
        <w:t xml:space="preserve">Huang, P., Pryde, F.E., Lester, D., Maddison, R.L., Borts, R.H., Hickson, I.D. &amp; Louis, E.J., 2001. SGS1 is required for telomere elongation in the absence of telomerase. </w:t>
      </w:r>
      <w:r w:rsidRPr="00DF0680">
        <w:rPr>
          <w:i/>
          <w:iCs/>
        </w:rPr>
        <w:t>Current Biology</w:t>
      </w:r>
      <w:r w:rsidRPr="00DF0680">
        <w:t>, 11(2), pp.125–9.</w:t>
      </w:r>
    </w:p>
    <w:p w:rsidR="00341643" w:rsidRPr="00DF0680" w:rsidRDefault="00341643">
      <w:pPr>
        <w:pStyle w:val="NormalWeb"/>
        <w:ind w:left="480" w:hanging="480"/>
        <w:divId w:val="930774447"/>
      </w:pPr>
      <w:r w:rsidRPr="00DF0680">
        <w:t xml:space="preserve">Huang, S., Beresten, S., Li, B., Oshima, J., Ellis, N.A. &amp; Campisi, J., 2000. Characterization of the human and mouse WRN 3′→5′ exonuclease. </w:t>
      </w:r>
      <w:r w:rsidRPr="00DF0680">
        <w:rPr>
          <w:i/>
          <w:iCs/>
        </w:rPr>
        <w:t>Nucleic Acids Research</w:t>
      </w:r>
      <w:r w:rsidRPr="00DF0680">
        <w:t>, 28(12), pp.2396–2405.</w:t>
      </w:r>
    </w:p>
    <w:p w:rsidR="00341643" w:rsidRPr="00DF0680" w:rsidRDefault="00341643">
      <w:pPr>
        <w:pStyle w:val="NormalWeb"/>
        <w:ind w:left="480" w:hanging="480"/>
        <w:divId w:val="930774447"/>
      </w:pPr>
      <w:r w:rsidRPr="00DF0680">
        <w:t xml:space="preserve">Huang, T.T., Nijman, S.M.B., Mirchandani, K.D., Galardy, P.J., Cohn, M. a, Haas, W., Gygi, S.P., Ploegh, H.L., Bernards, R. &amp; D’Andrea, A.D., 2006. Regulation of monoubiquitinated PCNA by DUB autocleavage. </w:t>
      </w:r>
      <w:r w:rsidRPr="00DF0680">
        <w:rPr>
          <w:i/>
          <w:iCs/>
        </w:rPr>
        <w:t>Nature Cell Biology</w:t>
      </w:r>
      <w:r w:rsidRPr="00DF0680">
        <w:t>, 8(4), pp.339–47.</w:t>
      </w:r>
    </w:p>
    <w:p w:rsidR="00341643" w:rsidRPr="00DF0680" w:rsidRDefault="00341643">
      <w:pPr>
        <w:pStyle w:val="NormalWeb"/>
        <w:ind w:left="480" w:hanging="480"/>
        <w:divId w:val="930774447"/>
      </w:pPr>
      <w:r w:rsidRPr="00DF0680">
        <w:t xml:space="preserve">Huertas, P. &amp; Aguilera, A., 2003. Cotranscriptionally formed DNA:RNA hybrids mediate transcription elongation impairment and transcription-associated recombination. </w:t>
      </w:r>
      <w:r w:rsidRPr="00DF0680">
        <w:rPr>
          <w:i/>
          <w:iCs/>
        </w:rPr>
        <w:t>Molecular Cell</w:t>
      </w:r>
      <w:r w:rsidRPr="00DF0680">
        <w:t>, 12(3), pp.711–21.</w:t>
      </w:r>
    </w:p>
    <w:p w:rsidR="00341643" w:rsidRPr="00DF0680" w:rsidRDefault="00341643">
      <w:pPr>
        <w:pStyle w:val="NormalWeb"/>
        <w:ind w:left="480" w:hanging="480"/>
        <w:divId w:val="930774447"/>
      </w:pPr>
      <w:r w:rsidRPr="00DF0680">
        <w:t xml:space="preserve">Huletsky, a, Niedergang, C., Fréchette, a, Aubin, R., Gaudreau, a &amp; Poirier, G.G., 1985. Sequential ADP-ribosylation pattern of nucleosomal histones. ADP-ribosylation of nucleosomal histones. </w:t>
      </w:r>
      <w:r w:rsidRPr="00DF0680">
        <w:rPr>
          <w:i/>
          <w:iCs/>
        </w:rPr>
        <w:t>European Journal of Biochemistry</w:t>
      </w:r>
      <w:r w:rsidRPr="00DF0680">
        <w:t>, 146(2), pp.277–85.</w:t>
      </w:r>
    </w:p>
    <w:p w:rsidR="00341643" w:rsidRPr="00DF0680" w:rsidRDefault="00341643">
      <w:pPr>
        <w:pStyle w:val="NormalWeb"/>
        <w:ind w:left="480" w:hanging="480"/>
        <w:divId w:val="930774447"/>
      </w:pPr>
      <w:r w:rsidRPr="00DF0680">
        <w:t xml:space="preserve">Hütteroth, T., Litwin, S. &amp; German, J., 1975. Abnormal immune responses of Bloom’s syndrome lymphocytes in vitro. </w:t>
      </w:r>
      <w:r w:rsidRPr="00DF0680">
        <w:rPr>
          <w:i/>
          <w:iCs/>
        </w:rPr>
        <w:t>Journal of Clinical Investigation</w:t>
      </w:r>
      <w:r w:rsidRPr="00DF0680">
        <w:t>, 56(1), pp.1–7.</w:t>
      </w:r>
    </w:p>
    <w:p w:rsidR="00341643" w:rsidRPr="00DF0680" w:rsidRDefault="00341643">
      <w:pPr>
        <w:pStyle w:val="NormalWeb"/>
        <w:ind w:left="480" w:hanging="480"/>
        <w:divId w:val="930774447"/>
      </w:pPr>
      <w:r w:rsidRPr="00DF0680">
        <w:t xml:space="preserve">Hyrien, O., 2000. Mechanisms and consequences of replication fork arrest. </w:t>
      </w:r>
      <w:r w:rsidRPr="00DF0680">
        <w:rPr>
          <w:i/>
          <w:iCs/>
        </w:rPr>
        <w:t>Biochimie</w:t>
      </w:r>
      <w:r w:rsidRPr="00DF0680">
        <w:t>, 82(1), pp.5–17.</w:t>
      </w:r>
    </w:p>
    <w:p w:rsidR="00341643" w:rsidRPr="00DF0680" w:rsidRDefault="00341643">
      <w:pPr>
        <w:pStyle w:val="NormalWeb"/>
        <w:ind w:left="480" w:hanging="480"/>
        <w:divId w:val="930774447"/>
      </w:pPr>
      <w:r w:rsidRPr="00DF0680">
        <w:t xml:space="preserve">Ibarra, A., Schwob, E. &amp; Méndez, J., 2008. Excess MCM proteins protect human cells from replicative stress by licensing backup origins of replication. </w:t>
      </w:r>
      <w:r w:rsidRPr="00DF0680">
        <w:rPr>
          <w:i/>
          <w:iCs/>
        </w:rPr>
        <w:t>Proceedings of the National Academy of Sciences</w:t>
      </w:r>
      <w:r w:rsidRPr="00DF0680">
        <w:t>, 105(26), pp.8956–61.</w:t>
      </w:r>
    </w:p>
    <w:p w:rsidR="00341643" w:rsidRPr="00DF0680" w:rsidRDefault="00341643">
      <w:pPr>
        <w:pStyle w:val="NormalWeb"/>
        <w:ind w:left="480" w:hanging="480"/>
        <w:divId w:val="930774447"/>
      </w:pPr>
      <w:r w:rsidRPr="00DF0680">
        <w:t xml:space="preserve">Im, J.-S., Ki, S.-H., Farina, A., Jung, D.-S., Hurwitz, J. &amp; Lee, J.-K., 2009. Assembly of the Cdc45-Mcm2-7-GINS complex in human cells requires the Ctf4/And-1, </w:t>
      </w:r>
      <w:r w:rsidRPr="00DF0680">
        <w:lastRenderedPageBreak/>
        <w:t xml:space="preserve">RecQL4, and Mcm10 proteins. </w:t>
      </w:r>
      <w:r w:rsidRPr="00DF0680">
        <w:rPr>
          <w:i/>
          <w:iCs/>
        </w:rPr>
        <w:t>Proceedings of the National Academy of Sciences</w:t>
      </w:r>
      <w:r w:rsidRPr="00DF0680">
        <w:t>, 106(37), pp.15628–32.</w:t>
      </w:r>
    </w:p>
    <w:p w:rsidR="00341643" w:rsidRPr="00DF0680" w:rsidRDefault="00341643">
      <w:pPr>
        <w:pStyle w:val="NormalWeb"/>
        <w:ind w:left="480" w:hanging="480"/>
        <w:divId w:val="930774447"/>
      </w:pPr>
      <w:r w:rsidRPr="00DF0680">
        <w:t xml:space="preserve">Ira, G., Malkova, A., Liberi, G., Foiani, M. &amp; Haber, J.E., 2003. Srs2 and Sgs1–Top3 Suppress Crossovers during Double-Strand Break Repair in Yeast. </w:t>
      </w:r>
      <w:r w:rsidRPr="00DF0680">
        <w:rPr>
          <w:i/>
          <w:iCs/>
        </w:rPr>
        <w:t>Cell</w:t>
      </w:r>
      <w:r w:rsidRPr="00DF0680">
        <w:t>, 115(4), pp.401–411.</w:t>
      </w:r>
    </w:p>
    <w:p w:rsidR="00341643" w:rsidRPr="00DF0680" w:rsidRDefault="00341643">
      <w:pPr>
        <w:pStyle w:val="NormalWeb"/>
        <w:ind w:left="480" w:hanging="480"/>
        <w:divId w:val="930774447"/>
      </w:pPr>
      <w:r w:rsidRPr="00DF0680">
        <w:t xml:space="preserve">Irino, N., Nakayama, K. &amp; Nakayama, H., 1986. The recQ gene of Escherichia coli K12: primary structure and evidence for SOS regulation. </w:t>
      </w:r>
      <w:r w:rsidRPr="00DF0680">
        <w:rPr>
          <w:i/>
          <w:iCs/>
        </w:rPr>
        <w:t>Molecular &amp; General Genetics</w:t>
      </w:r>
      <w:r w:rsidRPr="00DF0680">
        <w:t>, 205(2), pp.298–304.</w:t>
      </w:r>
    </w:p>
    <w:p w:rsidR="00341643" w:rsidRPr="00DF0680" w:rsidRDefault="00341643">
      <w:pPr>
        <w:pStyle w:val="NormalWeb"/>
        <w:ind w:left="480" w:hanging="480"/>
        <w:divId w:val="930774447"/>
      </w:pPr>
      <w:r w:rsidRPr="00DF0680">
        <w:t xml:space="preserve">Ishimi, Y., 1997. A DNA Helicase Activity Is Associated with an MCM4, -6, and -7 Protein Complex. </w:t>
      </w:r>
      <w:r w:rsidRPr="00DF0680">
        <w:rPr>
          <w:i/>
          <w:iCs/>
        </w:rPr>
        <w:t>Journal of Biological Chemistry</w:t>
      </w:r>
      <w:r w:rsidRPr="00DF0680">
        <w:t>, 272(39), pp.24508–24513.</w:t>
      </w:r>
    </w:p>
    <w:p w:rsidR="00341643" w:rsidRPr="00DF0680" w:rsidRDefault="00341643">
      <w:pPr>
        <w:pStyle w:val="NormalWeb"/>
        <w:ind w:left="480" w:hanging="480"/>
        <w:divId w:val="930774447"/>
      </w:pPr>
      <w:r w:rsidRPr="00DF0680">
        <w:t xml:space="preserve">Islam, M.N., Fox, D., Guo, R., Enomoto, T. &amp; Wang, W., 2010. RecQL5 promotes genome stabilization through two parallel mechanisms--interacting with RNA polymerase II and acting as a helicase. </w:t>
      </w:r>
      <w:r w:rsidRPr="00DF0680">
        <w:rPr>
          <w:i/>
          <w:iCs/>
        </w:rPr>
        <w:t>Molecular and Cellular Biology</w:t>
      </w:r>
      <w:r w:rsidRPr="00DF0680">
        <w:t>, 30(10), pp.2460–72.</w:t>
      </w:r>
    </w:p>
    <w:p w:rsidR="00341643" w:rsidRPr="00DF0680" w:rsidRDefault="00341643">
      <w:pPr>
        <w:pStyle w:val="NormalWeb"/>
        <w:ind w:left="480" w:hanging="480"/>
        <w:divId w:val="930774447"/>
      </w:pPr>
      <w:r w:rsidRPr="00DF0680">
        <w:t xml:space="preserve">Islam, M.N., Paquet, N., Fox, D., Dray, E., Zheng, X.-F., Klein, H., Sung, P. &amp; Wang, W., 2012. A variant of the breast cancer type 2 susceptibility protein (BRC) repeat is essential for the RECQL5 helicase to interact with RAD51 recombinase for genome stabilization. </w:t>
      </w:r>
      <w:r w:rsidRPr="00DF0680">
        <w:rPr>
          <w:i/>
          <w:iCs/>
        </w:rPr>
        <w:t>The Journal of Biological Chemistry</w:t>
      </w:r>
      <w:r w:rsidRPr="00DF0680">
        <w:t>, 287(28), pp.23808–18.</w:t>
      </w:r>
    </w:p>
    <w:p w:rsidR="00341643" w:rsidRPr="00DF0680" w:rsidRDefault="00341643">
      <w:pPr>
        <w:pStyle w:val="NormalWeb"/>
        <w:ind w:left="480" w:hanging="480"/>
        <w:divId w:val="930774447"/>
      </w:pPr>
      <w:r w:rsidRPr="00DF0680">
        <w:t xml:space="preserve">Jackson, D. a. &amp; Pombo, A., 1998. Replicon clusters are stable units of chromosome structure: Evidence that nuclear organization contributes to the efficient activation and propagation of S phase in human cells. </w:t>
      </w:r>
      <w:r w:rsidRPr="00DF0680">
        <w:rPr>
          <w:i/>
          <w:iCs/>
        </w:rPr>
        <w:t>Journal of Cell Biology</w:t>
      </w:r>
      <w:r w:rsidRPr="00DF0680">
        <w:t>, 140(6), pp.1285–1295.</w:t>
      </w:r>
    </w:p>
    <w:p w:rsidR="00341643" w:rsidRPr="00DF0680" w:rsidRDefault="00341643">
      <w:pPr>
        <w:pStyle w:val="NormalWeb"/>
        <w:ind w:left="480" w:hanging="480"/>
        <w:divId w:val="930774447"/>
      </w:pPr>
      <w:r w:rsidRPr="00DF0680">
        <w:t xml:space="preserve">Jacobs, J., Kieboom, K. &amp; Marino, S., 1999. The oncogene and Polycomb-group gene bmi-1 regulates cell proliferation and senescence through the ink4a locus. </w:t>
      </w:r>
      <w:r w:rsidRPr="00DF0680">
        <w:rPr>
          <w:i/>
          <w:iCs/>
        </w:rPr>
        <w:t>Nature</w:t>
      </w:r>
      <w:r w:rsidRPr="00DF0680">
        <w:t>, 397(6715), pp.164–168.</w:t>
      </w:r>
    </w:p>
    <w:p w:rsidR="00341643" w:rsidRPr="00DF0680" w:rsidRDefault="00341643">
      <w:pPr>
        <w:pStyle w:val="NormalWeb"/>
        <w:ind w:left="480" w:hanging="480"/>
        <w:divId w:val="930774447"/>
      </w:pPr>
      <w:r w:rsidRPr="00DF0680">
        <w:t xml:space="preserve">De Jager, M., van Noort, J., van Gent, D.C., Dekker, C., Kanaar, R. &amp; Wyman, C., 2001. Human Rad50/Mre11 Is a Flexible Complex that Can Tether DNA Ends. </w:t>
      </w:r>
      <w:r w:rsidRPr="00DF0680">
        <w:rPr>
          <w:i/>
          <w:iCs/>
        </w:rPr>
        <w:t>Molecular Cell</w:t>
      </w:r>
      <w:r w:rsidRPr="00DF0680">
        <w:t>, 8(5), pp.1129–1135.</w:t>
      </w:r>
    </w:p>
    <w:p w:rsidR="00341643" w:rsidRPr="00DF0680" w:rsidRDefault="00341643">
      <w:pPr>
        <w:pStyle w:val="NormalWeb"/>
        <w:ind w:left="480" w:hanging="480"/>
        <w:divId w:val="930774447"/>
      </w:pPr>
      <w:r w:rsidRPr="00DF0680">
        <w:t xml:space="preserve">Jensen, R.R.B., Carreira, A. &amp; Kowalczykowski, S.C.S., 2010. Purified human BRCA2 stimulates RAD51-mediated recombination. </w:t>
      </w:r>
      <w:r w:rsidRPr="00DF0680">
        <w:rPr>
          <w:i/>
          <w:iCs/>
        </w:rPr>
        <w:t>Nature</w:t>
      </w:r>
      <w:r w:rsidRPr="00DF0680">
        <w:t>, 467(7316), pp.678–683.</w:t>
      </w:r>
    </w:p>
    <w:p w:rsidR="00341643" w:rsidRPr="00DF0680" w:rsidRDefault="00341643">
      <w:pPr>
        <w:pStyle w:val="NormalWeb"/>
        <w:ind w:left="480" w:hanging="480"/>
        <w:divId w:val="930774447"/>
      </w:pPr>
      <w:r w:rsidRPr="00DF0680">
        <w:t xml:space="preserve">Jiang, W., McDonald, D., Hope, T. &amp; Hunter, T., 1999. Mammalian Cdc7–Dbf4 protein kinase complex is essential for initiation of DNA replication. </w:t>
      </w:r>
      <w:r w:rsidRPr="00DF0680">
        <w:rPr>
          <w:i/>
          <w:iCs/>
        </w:rPr>
        <w:t>The EMBO Journal</w:t>
      </w:r>
      <w:r w:rsidRPr="00DF0680">
        <w:t>, 18(20), pp.5703–5713.</w:t>
      </w:r>
    </w:p>
    <w:p w:rsidR="00341643" w:rsidRPr="00DF0680" w:rsidRDefault="00341643">
      <w:pPr>
        <w:pStyle w:val="NormalWeb"/>
        <w:ind w:left="480" w:hanging="480"/>
        <w:divId w:val="930774447"/>
      </w:pPr>
      <w:r w:rsidRPr="00DF0680">
        <w:t xml:space="preserve">Jin, W., Liu, H., Zhang, Y., Otta, S., Plon, S. &amp; Wang, L., 2008. Sensitivity of RECQL4-deficient fibroblasts from Rothmund–Thomson syndrome patients to genotoxic agents. </w:t>
      </w:r>
      <w:r w:rsidRPr="00DF0680">
        <w:rPr>
          <w:i/>
          <w:iCs/>
        </w:rPr>
        <w:t>Human Genetics</w:t>
      </w:r>
      <w:r w:rsidRPr="00DF0680">
        <w:t>, 123(6), pp.643–653.</w:t>
      </w:r>
    </w:p>
    <w:p w:rsidR="00341643" w:rsidRPr="00DF0680" w:rsidRDefault="00341643">
      <w:pPr>
        <w:pStyle w:val="NormalWeb"/>
        <w:ind w:left="480" w:hanging="480"/>
        <w:divId w:val="930774447"/>
      </w:pPr>
      <w:r w:rsidRPr="00DF0680">
        <w:t xml:space="preserve">Jinno, S., Suto, K. &amp; Nagata, A., 1994. Cdc25A is a novel phosphatase functioning early in the cell cycle. </w:t>
      </w:r>
      <w:r w:rsidRPr="00DF0680">
        <w:rPr>
          <w:i/>
          <w:iCs/>
        </w:rPr>
        <w:t>The EMBO Journal</w:t>
      </w:r>
      <w:r w:rsidRPr="00DF0680">
        <w:t>, 13(7), pp.1549–1556.</w:t>
      </w:r>
    </w:p>
    <w:p w:rsidR="00341643" w:rsidRPr="00DF0680" w:rsidRDefault="00341643">
      <w:pPr>
        <w:pStyle w:val="NormalWeb"/>
        <w:ind w:left="480" w:hanging="480"/>
        <w:divId w:val="930774447"/>
      </w:pPr>
      <w:r w:rsidRPr="00DF0680">
        <w:lastRenderedPageBreak/>
        <w:t xml:space="preserve">Joenje, H. &amp; Patel, K., 2001. The emerging genetic and molecular basis of Fanconi anaemia. </w:t>
      </w:r>
      <w:r w:rsidRPr="00DF0680">
        <w:rPr>
          <w:i/>
          <w:iCs/>
        </w:rPr>
        <w:t>Nature Reviews. Genetics</w:t>
      </w:r>
      <w:r w:rsidRPr="00DF0680">
        <w:t>, 2(6), pp.446–457.</w:t>
      </w:r>
    </w:p>
    <w:p w:rsidR="00341643" w:rsidRPr="00DF0680" w:rsidRDefault="00341643">
      <w:pPr>
        <w:pStyle w:val="NormalWeb"/>
        <w:ind w:left="480" w:hanging="480"/>
        <w:divId w:val="930774447"/>
      </w:pPr>
      <w:r w:rsidRPr="00DF0680">
        <w:t xml:space="preserve">Johnson, F., Lombard, D. &amp; Neff, N., 2000. Association of the Bloom syndrome protein with topoisomerase IIIα in somatic and meiotic cells. </w:t>
      </w:r>
      <w:r w:rsidRPr="00DF0680">
        <w:rPr>
          <w:i/>
          <w:iCs/>
        </w:rPr>
        <w:t>Cancer Research</w:t>
      </w:r>
      <w:r w:rsidRPr="00DF0680">
        <w:t>, 60(5), pp.1162–1167.</w:t>
      </w:r>
    </w:p>
    <w:p w:rsidR="00341643" w:rsidRPr="00DF0680" w:rsidRDefault="00341643">
      <w:pPr>
        <w:pStyle w:val="NormalWeb"/>
        <w:ind w:left="480" w:hanging="480"/>
        <w:divId w:val="930774447"/>
      </w:pPr>
      <w:r w:rsidRPr="00DF0680">
        <w:t xml:space="preserve">Johnson, F.B., Marciniak, R. a, McVey, M., Stewart, S. a, Hahn, W.C. &amp; Guarente, L., 2001. The Saccharomyces cerevisiae WRN homolog Sgs1p participates in telomere maintenance in cells lacking telomerase. </w:t>
      </w:r>
      <w:r w:rsidRPr="00DF0680">
        <w:rPr>
          <w:i/>
          <w:iCs/>
        </w:rPr>
        <w:t>The EMBO Journal</w:t>
      </w:r>
      <w:r w:rsidRPr="00DF0680">
        <w:t>, 20(4), pp.905–13.</w:t>
      </w:r>
    </w:p>
    <w:p w:rsidR="00341643" w:rsidRPr="00DF0680" w:rsidRDefault="00341643">
      <w:pPr>
        <w:pStyle w:val="NormalWeb"/>
        <w:ind w:left="480" w:hanging="480"/>
        <w:divId w:val="930774447"/>
      </w:pPr>
      <w:r w:rsidRPr="00DF0680">
        <w:t xml:space="preserve">Johnson, R.E., Prakash, S. &amp; Prakash, L., 1999. Efficient Bypass of a Thymine-Thymine Dimer by Yeast DNA Polymerase, Pol eta. </w:t>
      </w:r>
      <w:r w:rsidRPr="00DF0680">
        <w:rPr>
          <w:i/>
          <w:iCs/>
        </w:rPr>
        <w:t>Science</w:t>
      </w:r>
      <w:r w:rsidRPr="00DF0680">
        <w:t>, 283(5404), pp.1001–1004.</w:t>
      </w:r>
    </w:p>
    <w:p w:rsidR="00341643" w:rsidRPr="00DF0680" w:rsidRDefault="00341643">
      <w:pPr>
        <w:pStyle w:val="NormalWeb"/>
        <w:ind w:left="480" w:hanging="480"/>
        <w:divId w:val="930774447"/>
      </w:pPr>
      <w:r w:rsidRPr="00DF0680">
        <w:t xml:space="preserve">Jones, R.M., Mortusewicz, O., Afzal, I., Lorvellec, M., García, P., Helleday, T. &amp; Petermann, E., 2013. Increased replication initiation and conflicts with transcription underlie Cyclin E-induced replication stress. </w:t>
      </w:r>
      <w:r w:rsidRPr="00DF0680">
        <w:rPr>
          <w:i/>
          <w:iCs/>
        </w:rPr>
        <w:t>Oncogene</w:t>
      </w:r>
      <w:r w:rsidRPr="00DF0680">
        <w:t>, 32(32), pp.3744–53.</w:t>
      </w:r>
    </w:p>
    <w:p w:rsidR="00341643" w:rsidRPr="00DF0680" w:rsidRDefault="00341643">
      <w:pPr>
        <w:pStyle w:val="NormalWeb"/>
        <w:ind w:left="480" w:hanging="480"/>
        <w:divId w:val="930774447"/>
      </w:pPr>
      <w:r w:rsidRPr="00DF0680">
        <w:t xml:space="preserve">Jopling, C.L., Yi, M., Lancaster, A.M., Lemon, S.M. &amp; Sarnow, P., 2005. Modulation of hepatitis C virus RNA abundance by a liver-specific MicroRNA. </w:t>
      </w:r>
      <w:r w:rsidRPr="00DF0680">
        <w:rPr>
          <w:i/>
          <w:iCs/>
        </w:rPr>
        <w:t>Science</w:t>
      </w:r>
      <w:r w:rsidRPr="00DF0680">
        <w:t>, 309(5740), pp.1577–81.</w:t>
      </w:r>
    </w:p>
    <w:p w:rsidR="00341643" w:rsidRPr="00DF0680" w:rsidRDefault="00341643">
      <w:pPr>
        <w:pStyle w:val="NormalWeb"/>
        <w:ind w:left="480" w:hanging="480"/>
        <w:divId w:val="930774447"/>
      </w:pPr>
      <w:r w:rsidRPr="00DF0680">
        <w:t xml:space="preserve">Kaliraman, V., Mullen, J.R., Fricke, W.M., Bastin-Shanower, S. a &amp; Brill, S.J., 2001. Functional overlap between Sgs1-Top3 and the Mms4-Mus81 endonuclease. </w:t>
      </w:r>
      <w:r w:rsidRPr="00DF0680">
        <w:rPr>
          <w:i/>
          <w:iCs/>
        </w:rPr>
        <w:t>Genes &amp; Development</w:t>
      </w:r>
      <w:r w:rsidRPr="00DF0680">
        <w:t>, 15(20), pp.2730–40.</w:t>
      </w:r>
    </w:p>
    <w:p w:rsidR="00341643" w:rsidRPr="00DF0680" w:rsidRDefault="00341643">
      <w:pPr>
        <w:pStyle w:val="NormalWeb"/>
        <w:ind w:left="480" w:hanging="480"/>
        <w:divId w:val="930774447"/>
      </w:pPr>
      <w:r w:rsidRPr="00DF0680">
        <w:t xml:space="preserve">Kamath-Loeb, a S., Loeb, L. a, Johansson, E., Burgers, P.M. &amp; Fry, M., 2001. Interactions between the Werner syndrome helicase and DNA polymerase delta specifically facilitate copying of tetraplex and hairpin structures of the d(CGG)n trinucleotide repeat sequence. </w:t>
      </w:r>
      <w:r w:rsidRPr="00DF0680">
        <w:rPr>
          <w:i/>
          <w:iCs/>
        </w:rPr>
        <w:t>The Journal of Biological Chemistry</w:t>
      </w:r>
      <w:r w:rsidRPr="00DF0680">
        <w:t>, 276(19), pp.16439–46.</w:t>
      </w:r>
    </w:p>
    <w:p w:rsidR="00341643" w:rsidRPr="00DF0680" w:rsidRDefault="00341643">
      <w:pPr>
        <w:pStyle w:val="NormalWeb"/>
        <w:ind w:left="480" w:hanging="480"/>
        <w:divId w:val="930774447"/>
      </w:pPr>
      <w:r w:rsidRPr="00DF0680">
        <w:t xml:space="preserve">Kamath-Loeb, a. S., 1998. Werner Syndrome Protein. II. CHARACTERIZATION OF THE INTEGRAL 3’ -&gt; 5' DNA EXONUCLEASE. </w:t>
      </w:r>
      <w:r w:rsidRPr="00DF0680">
        <w:rPr>
          <w:i/>
          <w:iCs/>
        </w:rPr>
        <w:t>Journal of Biological Chemistry</w:t>
      </w:r>
      <w:r w:rsidRPr="00DF0680">
        <w:t>, 273(51), pp.34145–34150.</w:t>
      </w:r>
    </w:p>
    <w:p w:rsidR="00341643" w:rsidRPr="00DF0680" w:rsidRDefault="00341643">
      <w:pPr>
        <w:pStyle w:val="NormalWeb"/>
        <w:ind w:left="480" w:hanging="480"/>
        <w:divId w:val="930774447"/>
      </w:pPr>
      <w:r w:rsidRPr="00DF0680">
        <w:t xml:space="preserve">Kamath-Loeb, a. S., Johansson, E., Burgers, P.M.J. &amp; Loeb, L. a., 2000. Functional interaction between the Werner Syndrome protein and DNA polymerase delta. </w:t>
      </w:r>
      <w:r w:rsidRPr="00DF0680">
        <w:rPr>
          <w:i/>
          <w:iCs/>
        </w:rPr>
        <w:t>Proceedings of the National Academy of Sciences</w:t>
      </w:r>
      <w:r w:rsidRPr="00DF0680">
        <w:t>, 97(9), pp.4603–4608.</w:t>
      </w:r>
    </w:p>
    <w:p w:rsidR="00341643" w:rsidRPr="00DF0680" w:rsidRDefault="00341643">
      <w:pPr>
        <w:pStyle w:val="NormalWeb"/>
        <w:ind w:left="480" w:hanging="480"/>
        <w:divId w:val="930774447"/>
      </w:pPr>
      <w:r w:rsidRPr="00DF0680">
        <w:t xml:space="preserve">Kamath-Loeb, A.S., Shen, J.-C., Schmitt, M.W. &amp; Loeb, L. a, 2012. The Werner syndrome exonuclease facilitates DNA degradation and high fidelity DNA polymerization by human DNA polymerase δ. </w:t>
      </w:r>
      <w:r w:rsidRPr="00DF0680">
        <w:rPr>
          <w:i/>
          <w:iCs/>
        </w:rPr>
        <w:t>The Journal of Biological Chemistry</w:t>
      </w:r>
      <w:r w:rsidRPr="00DF0680">
        <w:t>, 287(15), pp.12480–90.</w:t>
      </w:r>
    </w:p>
    <w:p w:rsidR="00341643" w:rsidRPr="00DF0680" w:rsidRDefault="00341643">
      <w:pPr>
        <w:pStyle w:val="NormalWeb"/>
        <w:ind w:left="480" w:hanging="480"/>
        <w:divId w:val="930774447"/>
      </w:pPr>
      <w:r w:rsidRPr="00DF0680">
        <w:t xml:space="preserve">Kameshita, I. &amp; Matsuda, Z., 1984. Poly(ADP-Ribose) synthetase. Separation and identification of three proteolytic fragments as the substrate-binding domain, the </w:t>
      </w:r>
      <w:r w:rsidRPr="00DF0680">
        <w:lastRenderedPageBreak/>
        <w:t xml:space="preserve">DNA-binding domain, and the automodification domain. </w:t>
      </w:r>
      <w:r w:rsidRPr="00DF0680">
        <w:rPr>
          <w:i/>
          <w:iCs/>
        </w:rPr>
        <w:t>Journal of Biological Chemistry</w:t>
      </w:r>
      <w:r w:rsidRPr="00DF0680">
        <w:t>, 259(8), pp.4770–6.</w:t>
      </w:r>
    </w:p>
    <w:p w:rsidR="00341643" w:rsidRPr="00DF0680" w:rsidRDefault="00341643">
      <w:pPr>
        <w:pStyle w:val="NormalWeb"/>
        <w:ind w:left="480" w:hanging="480"/>
        <w:divId w:val="930774447"/>
      </w:pPr>
      <w:r w:rsidRPr="00DF0680">
        <w:t xml:space="preserve">Kanagaraj, R., Huehn, D., MacKellar, A., Menigatti, M., Zheng, L., Urban, V., Shevelev, I., Greenleaf, A.L. &amp; Janscak, P., 2010. RECQ5 helicase associates with the C-terminal repeat domain of RNA polymerase II during productive elongation phase of transcription. </w:t>
      </w:r>
      <w:r w:rsidRPr="00DF0680">
        <w:rPr>
          <w:i/>
          <w:iCs/>
        </w:rPr>
        <w:t>Nucleic Acids Research</w:t>
      </w:r>
      <w:r w:rsidRPr="00DF0680">
        <w:t>, 38(22), pp.8131–40.</w:t>
      </w:r>
    </w:p>
    <w:p w:rsidR="00341643" w:rsidRPr="00DF0680" w:rsidRDefault="00341643">
      <w:pPr>
        <w:pStyle w:val="NormalWeb"/>
        <w:ind w:left="480" w:hanging="480"/>
        <w:divId w:val="930774447"/>
      </w:pPr>
      <w:r w:rsidRPr="00DF0680">
        <w:t xml:space="preserve">Kanagaraj, R., Saydam, N., Garcia, P.L., Zheng, L. &amp; Janscak, P., 2006. Human RECQ5beta helicase promotes strand exchange on synthetic DNA structures resembling a stalled replication fork. </w:t>
      </w:r>
      <w:r w:rsidRPr="00DF0680">
        <w:rPr>
          <w:i/>
          <w:iCs/>
        </w:rPr>
        <w:t>Nucleic Acids Research</w:t>
      </w:r>
      <w:r w:rsidRPr="00DF0680">
        <w:t>, 34(18), pp.5217–31.</w:t>
      </w:r>
    </w:p>
    <w:p w:rsidR="00341643" w:rsidRPr="00DF0680" w:rsidRDefault="00341643">
      <w:pPr>
        <w:pStyle w:val="NormalWeb"/>
        <w:ind w:left="480" w:hanging="480"/>
        <w:divId w:val="930774447"/>
      </w:pPr>
      <w:r w:rsidRPr="00DF0680">
        <w:t xml:space="preserve">Kang, M.H. &amp; Reynolds, C.P., 2009. Bcl-2 inhibitors: targeting mitochondrial apoptotic pathways in cancer therapy. </w:t>
      </w:r>
      <w:r w:rsidRPr="00DF0680">
        <w:rPr>
          <w:i/>
          <w:iCs/>
        </w:rPr>
        <w:t>Clinical Cancer Research</w:t>
      </w:r>
      <w:r w:rsidRPr="00DF0680">
        <w:t>, 15(4), pp.1126–32.</w:t>
      </w:r>
    </w:p>
    <w:p w:rsidR="00341643" w:rsidRPr="00DF0680" w:rsidRDefault="00341643">
      <w:pPr>
        <w:pStyle w:val="NormalWeb"/>
        <w:ind w:left="480" w:hanging="480"/>
        <w:divId w:val="930774447"/>
      </w:pPr>
      <w:r w:rsidRPr="00DF0680">
        <w:t xml:space="preserve">Kang, S., Jaworski, A., Ohshima, K. &amp; Wells, R., 1995. Expansion and deletion of CTG repeats from human disease genes are determined by the direction of replication in E. coli. </w:t>
      </w:r>
      <w:r w:rsidRPr="00DF0680">
        <w:rPr>
          <w:i/>
          <w:iCs/>
        </w:rPr>
        <w:t>Nature Genetics</w:t>
      </w:r>
      <w:r w:rsidRPr="00DF0680">
        <w:t>, 10(2), pp.213–8.</w:t>
      </w:r>
    </w:p>
    <w:p w:rsidR="00341643" w:rsidRPr="00DF0680" w:rsidRDefault="00341643">
      <w:pPr>
        <w:pStyle w:val="NormalWeb"/>
        <w:ind w:left="480" w:hanging="480"/>
        <w:divId w:val="930774447"/>
      </w:pPr>
      <w:r w:rsidRPr="00DF0680">
        <w:t xml:space="preserve">Kang, S., Ohshima, K., Jaworski, A. &amp; Wells, R., 1996. CTG Triplet Repeats from the Myotonic Dystrophy Gene are Expanded in Escherichia coli Distal to the Replication Origin as a Single Large Event. </w:t>
      </w:r>
      <w:r w:rsidRPr="00DF0680">
        <w:rPr>
          <w:i/>
          <w:iCs/>
        </w:rPr>
        <w:t>Journal of Molecular Biology</w:t>
      </w:r>
      <w:r w:rsidRPr="00DF0680">
        <w:t>, 258(4), pp.543–547.</w:t>
      </w:r>
    </w:p>
    <w:p w:rsidR="00341643" w:rsidRPr="00DF0680" w:rsidRDefault="00341643">
      <w:pPr>
        <w:pStyle w:val="NormalWeb"/>
        <w:ind w:left="480" w:hanging="480"/>
        <w:divId w:val="930774447"/>
      </w:pPr>
      <w:r w:rsidRPr="00DF0680">
        <w:t xml:space="preserve">Kannouche, P., Wing, J. &amp; Lehmann, A., 2004. Interaction of human DNA polymerase η with monoubiquitinated PCNA: a possible mechanism for the polymerase switch in response to DNA damage. </w:t>
      </w:r>
      <w:r w:rsidRPr="00DF0680">
        <w:rPr>
          <w:i/>
          <w:iCs/>
        </w:rPr>
        <w:t>Molecular Cell</w:t>
      </w:r>
      <w:r w:rsidRPr="00DF0680">
        <w:t>, 14(4), pp.491–500.</w:t>
      </w:r>
    </w:p>
    <w:p w:rsidR="00341643" w:rsidRPr="00DF0680" w:rsidRDefault="00341643">
      <w:pPr>
        <w:pStyle w:val="NormalWeb"/>
        <w:ind w:left="480" w:hanging="480"/>
        <w:divId w:val="930774447"/>
      </w:pPr>
      <w:r w:rsidRPr="00DF0680">
        <w:t xml:space="preserve">Karmakar, P., Piotrowski, J., Brosh, R.M., Sommers, J. a, Miller, S.P.L., Cheng, W.-H., Snowden, C.M., Ramsden, D. a &amp; Bohr, V. a, 2002. Werner protein is a target of DNA-dependent protein kinase in vivo and in vitro, and its catalytic activities are regulated by phosphorylation. </w:t>
      </w:r>
      <w:r w:rsidRPr="00DF0680">
        <w:rPr>
          <w:i/>
          <w:iCs/>
        </w:rPr>
        <w:t>The Journal of Biological Chemistry</w:t>
      </w:r>
      <w:r w:rsidRPr="00DF0680">
        <w:t>, 277(21), pp.18291–302.</w:t>
      </w:r>
    </w:p>
    <w:p w:rsidR="00341643" w:rsidRPr="00DF0680" w:rsidRDefault="00341643">
      <w:pPr>
        <w:pStyle w:val="NormalWeb"/>
        <w:ind w:left="480" w:hanging="480"/>
        <w:divId w:val="930774447"/>
      </w:pPr>
      <w:r w:rsidRPr="00DF0680">
        <w:t xml:space="preserve">Karolchik, D., Barber, G.P., Casper, J., Clawson, H., Cline, M.S., Diekhans, M., Dreszer, T.R., Fujita, P. a, Guruvadoo, L., Haeussler, M., Harte, R. a, Heitner, S., Hinrichs, A.S., Learned, K., Lee, B.T., Li, C.H., Raney, B.J., Rhead, B., Rosenbloom, K.R., Sloan, C. a, Speir, M.L., Zweig, A.S., Haussler, D., Kuhn, R.M. &amp; Kent, W.J., 2014. The UCSC Genome Browser database: 2014 update. </w:t>
      </w:r>
      <w:r w:rsidRPr="00DF0680">
        <w:rPr>
          <w:i/>
          <w:iCs/>
        </w:rPr>
        <w:t>Nucleic Acids Research</w:t>
      </w:r>
      <w:r w:rsidRPr="00DF0680">
        <w:t>, 42, pp.D764–70.</w:t>
      </w:r>
    </w:p>
    <w:p w:rsidR="00341643" w:rsidRPr="00DF0680" w:rsidRDefault="00341643">
      <w:pPr>
        <w:pStyle w:val="NormalWeb"/>
        <w:ind w:left="480" w:hanging="480"/>
        <w:divId w:val="930774447"/>
      </w:pPr>
      <w:r w:rsidRPr="00DF0680">
        <w:t xml:space="preserve">Karow, J.K., Constantinou, a, Li, J.L., West, S.C. &amp; Hickson, I.D., 2000. The Bloom’s syndrome gene product promotes branch migration of holliday junctions. </w:t>
      </w:r>
      <w:r w:rsidRPr="00DF0680">
        <w:rPr>
          <w:i/>
          <w:iCs/>
        </w:rPr>
        <w:t>Proceedings of the National Academy of Sciences</w:t>
      </w:r>
      <w:r w:rsidRPr="00DF0680">
        <w:t>, 97(12), pp.6504–8.</w:t>
      </w:r>
    </w:p>
    <w:p w:rsidR="00341643" w:rsidRPr="00DF0680" w:rsidRDefault="00341643">
      <w:pPr>
        <w:pStyle w:val="NormalWeb"/>
        <w:ind w:left="480" w:hanging="480"/>
        <w:divId w:val="930774447"/>
      </w:pPr>
      <w:r w:rsidRPr="00DF0680">
        <w:t xml:space="preserve">Kassube, S. a, Jinek, M., Fang, J., Tsutakawa, S. &amp; Nogales, E., 2013. Structural mimicry in transcription regulation of human RNA polymerase II by the DNA helicase RECQL5. </w:t>
      </w:r>
      <w:r w:rsidRPr="00DF0680">
        <w:rPr>
          <w:i/>
          <w:iCs/>
        </w:rPr>
        <w:t>Nature Structural &amp; Molecular Biology</w:t>
      </w:r>
      <w:r w:rsidRPr="00DF0680">
        <w:t>, 20(7), pp.892–9.</w:t>
      </w:r>
    </w:p>
    <w:p w:rsidR="00341643" w:rsidRPr="00DF0680" w:rsidRDefault="00341643">
      <w:pPr>
        <w:pStyle w:val="NormalWeb"/>
        <w:ind w:left="480" w:hanging="480"/>
        <w:divId w:val="930774447"/>
      </w:pPr>
      <w:r w:rsidRPr="00DF0680">
        <w:lastRenderedPageBreak/>
        <w:t xml:space="preserve">Kaufman, R. &amp; Davies, M., 1989. The phosphorylation state of eucaryotic initiation factor 2 alters translational efficiency of specific mRNAs. </w:t>
      </w:r>
      <w:r w:rsidRPr="00DF0680">
        <w:rPr>
          <w:i/>
          <w:iCs/>
        </w:rPr>
        <w:t>Molecular and Cellular Biology</w:t>
      </w:r>
      <w:r w:rsidRPr="00DF0680">
        <w:t>, 9(3), pp.946–58.</w:t>
      </w:r>
    </w:p>
    <w:p w:rsidR="00341643" w:rsidRPr="00DF0680" w:rsidRDefault="00341643">
      <w:pPr>
        <w:pStyle w:val="NormalWeb"/>
        <w:ind w:left="480" w:hanging="480"/>
        <w:divId w:val="930774447"/>
      </w:pPr>
      <w:r w:rsidRPr="00DF0680">
        <w:t xml:space="preserve">Kawabe, T., Tsuyama, N., Kitao, S., Nishikawa, K., Shimamoto, a, Shiratori, M., Matsumoto, T., Anno, K., Sato, T., Mitsui, Y., Seki, M., Enomoto, T., Goto, M., Ellis, N. a, Ide, T., Furuichi, Y. &amp; Sugimoto, M., 2000. Differential regulation of human RecQ family helicases in cell transformation and cell cycle. </w:t>
      </w:r>
      <w:r w:rsidRPr="00DF0680">
        <w:rPr>
          <w:i/>
          <w:iCs/>
        </w:rPr>
        <w:t>Oncogene</w:t>
      </w:r>
      <w:r w:rsidRPr="00DF0680">
        <w:t>, 19(41), pp.4764–72.</w:t>
      </w:r>
    </w:p>
    <w:p w:rsidR="00341643" w:rsidRPr="00DF0680" w:rsidRDefault="00341643">
      <w:pPr>
        <w:pStyle w:val="NormalWeb"/>
        <w:ind w:left="480" w:hanging="480"/>
        <w:divId w:val="930774447"/>
      </w:pPr>
      <w:r w:rsidRPr="00DF0680">
        <w:t xml:space="preserve">Kawamura, K., Moriyama, M., Shiba, N., Ozaki, M., Tanaka, T., Nojima, T., Fujikawa-Yamamoto, K., Ikeda, R. &amp; Suzuki, K., 2003. Centrosome Hyperamplification and Chromosomal Instability in Bladder Cancer. </w:t>
      </w:r>
      <w:r w:rsidRPr="00DF0680">
        <w:rPr>
          <w:i/>
          <w:iCs/>
        </w:rPr>
        <w:t>European Urology</w:t>
      </w:r>
      <w:r w:rsidRPr="00DF0680">
        <w:t>, 43(5), pp.505–515.</w:t>
      </w:r>
    </w:p>
    <w:p w:rsidR="00341643" w:rsidRPr="00DF0680" w:rsidRDefault="00341643">
      <w:pPr>
        <w:pStyle w:val="NormalWeb"/>
        <w:ind w:left="480" w:hanging="480"/>
        <w:divId w:val="930774447"/>
      </w:pPr>
      <w:r w:rsidRPr="00DF0680">
        <w:t xml:space="preserve">Kee, Y. &amp; D’Andrea, A., 2010. Expanded roles of the Fanconi anemia pathway in preserving genomic stability. </w:t>
      </w:r>
      <w:r w:rsidRPr="00DF0680">
        <w:rPr>
          <w:i/>
          <w:iCs/>
        </w:rPr>
        <w:t>Genes &amp; Development</w:t>
      </w:r>
      <w:r w:rsidRPr="00DF0680">
        <w:t>, 24(16), pp.1680–1694.</w:t>
      </w:r>
    </w:p>
    <w:p w:rsidR="00341643" w:rsidRPr="00DF0680" w:rsidRDefault="00341643">
      <w:pPr>
        <w:pStyle w:val="NormalWeb"/>
        <w:ind w:left="480" w:hanging="480"/>
        <w:divId w:val="930774447"/>
      </w:pPr>
      <w:r w:rsidRPr="00DF0680">
        <w:t xml:space="preserve">Kent, W.J., Sugnet, C.W., Furey, T.S., Roskin, K.M., Pringle, T.H., Zahler, a. M. &amp; Haussler, a. D., 2002. The Human Genome Browser at UCSC. </w:t>
      </w:r>
      <w:r w:rsidRPr="00DF0680">
        <w:rPr>
          <w:i/>
          <w:iCs/>
        </w:rPr>
        <w:t>Genome Research</w:t>
      </w:r>
      <w:r w:rsidRPr="00DF0680">
        <w:t>, 12(6), pp.996–1006.</w:t>
      </w:r>
    </w:p>
    <w:p w:rsidR="00341643" w:rsidRPr="00DF0680" w:rsidRDefault="00341643">
      <w:pPr>
        <w:pStyle w:val="NormalWeb"/>
        <w:ind w:left="480" w:hanging="480"/>
        <w:divId w:val="930774447"/>
      </w:pPr>
      <w:r w:rsidRPr="00DF0680">
        <w:t xml:space="preserve">Kim, T.M., Son, M.Y., Dodds, S., Hu, L., Luo, G. &amp; Hasty, P., 2014. RECQL5 and BLM exhibit divergent functions in cells defective for the Fanconi anemia pathway. </w:t>
      </w:r>
      <w:r w:rsidRPr="00DF0680">
        <w:rPr>
          <w:i/>
          <w:iCs/>
        </w:rPr>
        <w:t>Nucleic Acids Research</w:t>
      </w:r>
      <w:r w:rsidRPr="00DF0680">
        <w:t>, 43(2), pp.893–903.</w:t>
      </w:r>
    </w:p>
    <w:p w:rsidR="00341643" w:rsidRPr="00DF0680" w:rsidRDefault="00341643">
      <w:pPr>
        <w:pStyle w:val="NormalWeb"/>
        <w:ind w:left="480" w:hanging="480"/>
        <w:divId w:val="930774447"/>
      </w:pPr>
      <w:r w:rsidRPr="00DF0680">
        <w:t xml:space="preserve">Kitao, S., Ohsugi, I., Ichikawa, K., Goto, M., Furuichi, Y. &amp; Shimamoto, a, 1998. Cloning of two new human helicase genes of the RecQ family: biological significance of multiple species in higher eukaryotes. </w:t>
      </w:r>
      <w:r w:rsidRPr="00DF0680">
        <w:rPr>
          <w:i/>
          <w:iCs/>
        </w:rPr>
        <w:t>Genomics</w:t>
      </w:r>
      <w:r w:rsidRPr="00DF0680">
        <w:t>, 54(3), pp.443–52.</w:t>
      </w:r>
    </w:p>
    <w:p w:rsidR="00341643" w:rsidRPr="00DF0680" w:rsidRDefault="00341643">
      <w:pPr>
        <w:pStyle w:val="NormalWeb"/>
        <w:ind w:left="480" w:hanging="480"/>
        <w:divId w:val="930774447"/>
      </w:pPr>
      <w:r w:rsidRPr="00DF0680">
        <w:t xml:space="preserve">Kitao, S., Shimamoto, a, Goto, M., Miller, R.W., Smithson, W. a, Lindor, N.M. &amp; Furuichi, Y., 1999. Mutations in RECQL4 cause a subset of cases of Rothmund-Thomson syndrome. </w:t>
      </w:r>
      <w:r w:rsidRPr="00DF0680">
        <w:rPr>
          <w:i/>
          <w:iCs/>
        </w:rPr>
        <w:t>Nature Genetics</w:t>
      </w:r>
      <w:r w:rsidRPr="00DF0680">
        <w:t>, 22(1), pp.82–4.</w:t>
      </w:r>
    </w:p>
    <w:p w:rsidR="00341643" w:rsidRPr="00DF0680" w:rsidRDefault="00341643">
      <w:pPr>
        <w:pStyle w:val="NormalWeb"/>
        <w:ind w:left="480" w:hanging="480"/>
        <w:divId w:val="930774447"/>
      </w:pPr>
      <w:r w:rsidRPr="00DF0680">
        <w:t xml:space="preserve">Kiyono, T., Foster, S. &amp; Koop, J., 1998. Both Rb/p16INK4a inactivation and telomerase activity are required to immortalize human epithelial cells. </w:t>
      </w:r>
      <w:r w:rsidRPr="00DF0680">
        <w:rPr>
          <w:i/>
          <w:iCs/>
        </w:rPr>
        <w:t>Nature</w:t>
      </w:r>
      <w:r w:rsidRPr="00DF0680">
        <w:t>, 396(6706), pp.84–8.</w:t>
      </w:r>
    </w:p>
    <w:p w:rsidR="00341643" w:rsidRPr="00DF0680" w:rsidRDefault="00341643">
      <w:pPr>
        <w:pStyle w:val="NormalWeb"/>
        <w:ind w:left="480" w:hanging="480"/>
        <w:divId w:val="930774447"/>
      </w:pPr>
      <w:r w:rsidRPr="00DF0680">
        <w:t xml:space="preserve">Klungland, a &amp; Lindahl, T., 1997. Second pathway for completion of human DNA base excision-repair: reconstitution with purified proteins and requirement for DNase IV (FEN1). </w:t>
      </w:r>
      <w:r w:rsidRPr="00DF0680">
        <w:rPr>
          <w:i/>
          <w:iCs/>
        </w:rPr>
        <w:t>The EMBO Journal</w:t>
      </w:r>
      <w:r w:rsidRPr="00DF0680">
        <w:t>, 16(11), pp.3341–8.</w:t>
      </w:r>
    </w:p>
    <w:p w:rsidR="00341643" w:rsidRPr="00DF0680" w:rsidRDefault="00341643">
      <w:pPr>
        <w:pStyle w:val="NormalWeb"/>
        <w:ind w:left="480" w:hanging="480"/>
        <w:divId w:val="930774447"/>
      </w:pPr>
      <w:r w:rsidRPr="00DF0680">
        <w:t xml:space="preserve">Von Kobbe, C., Harrigan, J. a, Schreiber, V., Stiegler, P., Piotrowski, J., Dawut, L. &amp; Bohr, V. a, 2004. Poly(ADP-ribose) polymerase 1 regulates both the exonuclease and helicase activities of the Werner syndrome protein. </w:t>
      </w:r>
      <w:r w:rsidRPr="00DF0680">
        <w:rPr>
          <w:i/>
          <w:iCs/>
        </w:rPr>
        <w:t>Nucleic Acids Research</w:t>
      </w:r>
      <w:r w:rsidRPr="00DF0680">
        <w:t>, 32(13), pp.4003–14.</w:t>
      </w:r>
    </w:p>
    <w:p w:rsidR="00341643" w:rsidRPr="00DF0680" w:rsidRDefault="00341643">
      <w:pPr>
        <w:pStyle w:val="NormalWeb"/>
        <w:ind w:left="480" w:hanging="480"/>
        <w:divId w:val="930774447"/>
      </w:pPr>
      <w:r w:rsidRPr="00DF0680">
        <w:t xml:space="preserve">Von Kobbe, C., Harrigan, J.A., May, A., Opresko, P.L., Dawut, L., Cheng, </w:t>
      </w:r>
      <w:proofErr w:type="gramStart"/>
      <w:r w:rsidRPr="00DF0680">
        <w:t>W</w:t>
      </w:r>
      <w:proofErr w:type="gramEnd"/>
      <w:r w:rsidRPr="00DF0680">
        <w:t>.-H. &amp; Bohr, V.A., 2003. Central Role for the Werner Syndrome Protein/Poly(ADP-</w:t>
      </w:r>
      <w:r w:rsidRPr="00DF0680">
        <w:lastRenderedPageBreak/>
        <w:t xml:space="preserve">Ribose) Polymerase 1 Complex in the Poly(ADP-Ribosyl)ation Pathway after DNA Damage. </w:t>
      </w:r>
      <w:r w:rsidRPr="00DF0680">
        <w:rPr>
          <w:i/>
          <w:iCs/>
        </w:rPr>
        <w:t>Molecular and Cellular Biology</w:t>
      </w:r>
      <w:r w:rsidRPr="00DF0680">
        <w:t>, 23(23), pp.8601–8613.</w:t>
      </w:r>
    </w:p>
    <w:p w:rsidR="00341643" w:rsidRPr="00DF0680" w:rsidRDefault="00341643">
      <w:pPr>
        <w:pStyle w:val="NormalWeb"/>
        <w:ind w:left="480" w:hanging="480"/>
        <w:divId w:val="930774447"/>
      </w:pPr>
      <w:r w:rsidRPr="00DF0680">
        <w:t xml:space="preserve">Kohzaki, M., Chiourea, M., Versini, G., Adachi, N., Takeda, S., Gagos, S. &amp; Halazonetis, T.D., 2012. The helicase domain and C-terminus of human RecQL4 facilitate replication elongation on DNA templates damaged by ionizing radiation. </w:t>
      </w:r>
      <w:r w:rsidRPr="00DF0680">
        <w:rPr>
          <w:i/>
          <w:iCs/>
        </w:rPr>
        <w:t>Carcinogenesis</w:t>
      </w:r>
      <w:r w:rsidRPr="00DF0680">
        <w:t>, 33(6), pp.1203–10.</w:t>
      </w:r>
    </w:p>
    <w:p w:rsidR="00341643" w:rsidRPr="00DF0680" w:rsidRDefault="00341643">
      <w:pPr>
        <w:pStyle w:val="NormalWeb"/>
        <w:ind w:left="480" w:hanging="480"/>
        <w:divId w:val="930774447"/>
      </w:pPr>
      <w:r w:rsidRPr="00DF0680">
        <w:t xml:space="preserve">Korona, D.A., Lecompte, K.G. &amp; Pursell, Z.F., 2011. The high fidelity and unique error signature of human DNA polymerase epsilon. </w:t>
      </w:r>
      <w:r w:rsidRPr="00DF0680">
        <w:rPr>
          <w:i/>
          <w:iCs/>
        </w:rPr>
        <w:t>Nucleic Acids Research</w:t>
      </w:r>
      <w:r w:rsidRPr="00DF0680">
        <w:t>, 39(5), pp.1763–1773.</w:t>
      </w:r>
    </w:p>
    <w:p w:rsidR="00341643" w:rsidRPr="00DF0680" w:rsidRDefault="00341643">
      <w:pPr>
        <w:pStyle w:val="NormalWeb"/>
        <w:ind w:left="480" w:hanging="480"/>
        <w:divId w:val="930774447"/>
      </w:pPr>
      <w:r w:rsidRPr="00DF0680">
        <w:t xml:space="preserve">Kottemann, M.C. &amp; Smogorzewska, A., 2013. Fanconi anaemia and the repair of Watson and Crick DNA crosslinks. </w:t>
      </w:r>
      <w:r w:rsidRPr="00DF0680">
        <w:rPr>
          <w:i/>
          <w:iCs/>
        </w:rPr>
        <w:t>Nature</w:t>
      </w:r>
      <w:r w:rsidRPr="00DF0680">
        <w:t>, 493(7432), pp.356–63.</w:t>
      </w:r>
    </w:p>
    <w:p w:rsidR="00341643" w:rsidRPr="00DF0680" w:rsidRDefault="00341643">
      <w:pPr>
        <w:pStyle w:val="NormalWeb"/>
        <w:ind w:left="480" w:hanging="480"/>
        <w:divId w:val="930774447"/>
      </w:pPr>
      <w:r w:rsidRPr="00DF0680">
        <w:t xml:space="preserve">Kowalczykowski, S., 1994. Biochemistry of homologous recombination in Escherichia coli. </w:t>
      </w:r>
      <w:r w:rsidRPr="00DF0680">
        <w:rPr>
          <w:i/>
          <w:iCs/>
        </w:rPr>
        <w:t>Microbiological Reviews</w:t>
      </w:r>
      <w:r w:rsidRPr="00DF0680">
        <w:t>, 58(3), pp.401–65.</w:t>
      </w:r>
    </w:p>
    <w:p w:rsidR="00341643" w:rsidRPr="00DF0680" w:rsidRDefault="00341643">
      <w:pPr>
        <w:pStyle w:val="NormalWeb"/>
        <w:ind w:left="480" w:hanging="480"/>
        <w:divId w:val="930774447"/>
      </w:pPr>
      <w:r w:rsidRPr="00DF0680">
        <w:t xml:space="preserve">Kraemer, K.H., Coon, H.G., Petinga, R. a, Barrett, S.F., Rahe, a E. &amp; Robbins, J.H., 1975. Genetic heterogeneity in xeroderma pigmentosum: complementation groups and their relationship to DNA repair rates. </w:t>
      </w:r>
      <w:r w:rsidRPr="00DF0680">
        <w:rPr>
          <w:i/>
          <w:iCs/>
        </w:rPr>
        <w:t>Proceedings of the National Academy of Sciences of the United States of America</w:t>
      </w:r>
      <w:r w:rsidRPr="00DF0680">
        <w:t>, 72(1), pp.59–63.</w:t>
      </w:r>
    </w:p>
    <w:p w:rsidR="00341643" w:rsidRPr="00DF0680" w:rsidRDefault="00341643">
      <w:pPr>
        <w:pStyle w:val="NormalWeb"/>
        <w:ind w:left="480" w:hanging="480"/>
        <w:divId w:val="930774447"/>
      </w:pPr>
      <w:r w:rsidRPr="00DF0680">
        <w:t xml:space="preserve">Krishnamoorthy, T., Pavitt, G.D., Zhang, F., Dever, T.E. &amp; Hinnebusch, a G., 2001. Tight binding of the phosphorylated alpha subunit of initiation factor 2 (eIF2alpha) to the regulatory subunits of guanine nucleotide exchange factor eIF2B is required for inhibition of translation initiation. </w:t>
      </w:r>
      <w:r w:rsidRPr="00DF0680">
        <w:rPr>
          <w:i/>
          <w:iCs/>
        </w:rPr>
        <w:t>Molecular and Cellular Biology</w:t>
      </w:r>
      <w:r w:rsidRPr="00DF0680">
        <w:t>, 21(15), pp.5018–30.</w:t>
      </w:r>
    </w:p>
    <w:p w:rsidR="00341643" w:rsidRPr="00DF0680" w:rsidRDefault="00341643">
      <w:pPr>
        <w:pStyle w:val="NormalWeb"/>
        <w:ind w:left="480" w:hanging="480"/>
        <w:divId w:val="930774447"/>
      </w:pPr>
      <w:r w:rsidRPr="00DF0680">
        <w:t xml:space="preserve">Kubota, Y., Nash, R. &amp; Klungland, A., 1996. Reconstitution of DNA base excision-repair with purified human proteins: interaction between DNA polymerase beta and the XRCC1 protein. </w:t>
      </w:r>
      <w:r w:rsidRPr="00DF0680">
        <w:rPr>
          <w:i/>
          <w:iCs/>
        </w:rPr>
        <w:t>The EMBO Journal</w:t>
      </w:r>
      <w:r w:rsidRPr="00DF0680">
        <w:t>, 15(23), pp.6662–6670.</w:t>
      </w:r>
    </w:p>
    <w:p w:rsidR="00341643" w:rsidRPr="00DF0680" w:rsidRDefault="00341643">
      <w:pPr>
        <w:pStyle w:val="NormalWeb"/>
        <w:ind w:left="480" w:hanging="480"/>
        <w:divId w:val="930774447"/>
      </w:pPr>
      <w:r w:rsidRPr="00DF0680">
        <w:t xml:space="preserve">Kugou, K., Sasanuma, H., Matsumoto, K., Shirahige, K. &amp; Ohta, K., 2007. Mre11 mediates gene regulation in yeast spore development. </w:t>
      </w:r>
      <w:r w:rsidRPr="00DF0680">
        <w:rPr>
          <w:i/>
          <w:iCs/>
        </w:rPr>
        <w:t>Genes &amp; Genetic Systems</w:t>
      </w:r>
      <w:r w:rsidRPr="00DF0680">
        <w:t>, 82(1), pp.21–33.</w:t>
      </w:r>
    </w:p>
    <w:p w:rsidR="00341643" w:rsidRPr="00DF0680" w:rsidRDefault="00341643">
      <w:pPr>
        <w:pStyle w:val="NormalWeb"/>
        <w:ind w:left="480" w:hanging="480"/>
        <w:divId w:val="930774447"/>
      </w:pPr>
      <w:r w:rsidRPr="00DF0680">
        <w:t xml:space="preserve">Kusumoto-Matsuo, R., Ghosh, D., Karmakar, P., May, A., Ramsden, D. &amp; Bohr, V. a, 2014. </w:t>
      </w:r>
      <w:proofErr w:type="gramStart"/>
      <w:r w:rsidRPr="00DF0680">
        <w:t>Serines 440 and 467 in the Werner syndrome protein are phosphorylated by DNA-PK and affects</w:t>
      </w:r>
      <w:proofErr w:type="gramEnd"/>
      <w:r w:rsidRPr="00DF0680">
        <w:t xml:space="preserve"> its dynamics in response to DNA double strand breaks. </w:t>
      </w:r>
      <w:r w:rsidRPr="00DF0680">
        <w:rPr>
          <w:i/>
          <w:iCs/>
        </w:rPr>
        <w:t>Aging</w:t>
      </w:r>
      <w:r w:rsidRPr="00DF0680">
        <w:t>, 6(1), pp.70–81.</w:t>
      </w:r>
    </w:p>
    <w:p w:rsidR="00341643" w:rsidRPr="00DF0680" w:rsidRDefault="00341643">
      <w:pPr>
        <w:pStyle w:val="NormalWeb"/>
        <w:ind w:left="480" w:hanging="480"/>
        <w:divId w:val="930774447"/>
      </w:pPr>
      <w:r w:rsidRPr="00DF0680">
        <w:t xml:space="preserve">Kuzminov, a, 2001. Single-strand interruptions in replicating chromosomes cause double-strand breaks. </w:t>
      </w:r>
      <w:r w:rsidRPr="00DF0680">
        <w:rPr>
          <w:i/>
          <w:iCs/>
        </w:rPr>
        <w:t>Proceedings of the National Academy of Sciences</w:t>
      </w:r>
      <w:r w:rsidRPr="00DF0680">
        <w:t>, 98(15), pp.8241–6.</w:t>
      </w:r>
    </w:p>
    <w:p w:rsidR="00341643" w:rsidRPr="00DF0680" w:rsidRDefault="00341643">
      <w:pPr>
        <w:pStyle w:val="NormalWeb"/>
        <w:ind w:left="480" w:hanging="480"/>
        <w:divId w:val="930774447"/>
      </w:pPr>
      <w:r w:rsidRPr="00DF0680">
        <w:t xml:space="preserve">Lambert, S., Mizuno, K., Blaisonneau, J., Martineau, S., Chanet, R., Fréon, K., Murray, J.M., Carr, A.M. &amp; Baldacci, G., 2010. Homologous recombination restarts blocked replication forks at the expense of genome rearrangements by template exchange. </w:t>
      </w:r>
      <w:r w:rsidRPr="00DF0680">
        <w:rPr>
          <w:i/>
          <w:iCs/>
        </w:rPr>
        <w:t>Molecular Cell</w:t>
      </w:r>
      <w:r w:rsidRPr="00DF0680">
        <w:t>, 39(3), pp.346–59.</w:t>
      </w:r>
    </w:p>
    <w:p w:rsidR="00341643" w:rsidRPr="00DF0680" w:rsidRDefault="00341643">
      <w:pPr>
        <w:pStyle w:val="NormalWeb"/>
        <w:ind w:left="480" w:hanging="480"/>
        <w:divId w:val="930774447"/>
      </w:pPr>
      <w:r w:rsidRPr="00DF0680">
        <w:lastRenderedPageBreak/>
        <w:t xml:space="preserve">Langland, G., Kordich, J., Creaney, J., Goss, K.H., Lillard-Wetherell, K., Bebenek, K., Kunkel, T. a &amp; Groden, J., 2001. The Bloom’s syndrome protein (BLM) interacts with MLH1 but is not required for DNA mismatch repair. </w:t>
      </w:r>
      <w:r w:rsidRPr="00DF0680">
        <w:rPr>
          <w:i/>
          <w:iCs/>
        </w:rPr>
        <w:t>The Journal of Biological Chemistry</w:t>
      </w:r>
      <w:r w:rsidRPr="00DF0680">
        <w:t>, 276(32), pp.30031–5.</w:t>
      </w:r>
    </w:p>
    <w:p w:rsidR="00341643" w:rsidRPr="00DF0680" w:rsidRDefault="00341643">
      <w:pPr>
        <w:pStyle w:val="NormalWeb"/>
        <w:ind w:left="480" w:hanging="480"/>
        <w:divId w:val="930774447"/>
      </w:pPr>
      <w:r w:rsidRPr="00DF0680">
        <w:t xml:space="preserve">Langlois, R., 1989. Evidence for increased in vivo mutation and somatic recombination in Bloom’s syndrome. </w:t>
      </w:r>
      <w:r w:rsidRPr="00DF0680">
        <w:rPr>
          <w:i/>
          <w:iCs/>
        </w:rPr>
        <w:t>Proceedings of the National Academy of Sciences</w:t>
      </w:r>
      <w:r w:rsidRPr="00DF0680">
        <w:t>, 86(January), pp.670–674.</w:t>
      </w:r>
    </w:p>
    <w:p w:rsidR="00341643" w:rsidRPr="00DF0680" w:rsidRDefault="00341643">
      <w:pPr>
        <w:pStyle w:val="NormalWeb"/>
        <w:ind w:left="480" w:hanging="480"/>
        <w:divId w:val="930774447"/>
      </w:pPr>
      <w:r w:rsidRPr="00DF0680">
        <w:t xml:space="preserve">Lao, V., 2013. Altered RecQ Helicase Expression in Sporadic Primary Colorectal Cancers. </w:t>
      </w:r>
      <w:r w:rsidRPr="00DF0680">
        <w:rPr>
          <w:i/>
          <w:iCs/>
        </w:rPr>
        <w:t>Translational Oncology</w:t>
      </w:r>
      <w:r w:rsidRPr="00DF0680">
        <w:t>, 6(4), pp.458–469.</w:t>
      </w:r>
    </w:p>
    <w:p w:rsidR="00341643" w:rsidRPr="00DF0680" w:rsidRDefault="00341643">
      <w:pPr>
        <w:pStyle w:val="NormalWeb"/>
        <w:ind w:left="480" w:hanging="480"/>
        <w:divId w:val="930774447"/>
      </w:pPr>
      <w:r w:rsidRPr="00DF0680">
        <w:t xml:space="preserve">Laud, P.R., Multani, A.S., Bailey, S.M., Wu, L., Ma, J., Kingsley, C., Lebel, M., Pathak, S., DePinho, R. a &amp; Chang, S., 2005. Elevated telomere-telomere recombination in WRN-deficient, telomere dysfunctional cells promotes escape from senescence and engagement of the ALT pathway. </w:t>
      </w:r>
      <w:r w:rsidRPr="00DF0680">
        <w:rPr>
          <w:i/>
          <w:iCs/>
        </w:rPr>
        <w:t>Genes &amp; Development</w:t>
      </w:r>
      <w:r w:rsidRPr="00DF0680">
        <w:t>, 19(21), pp.2560–70.</w:t>
      </w:r>
    </w:p>
    <w:p w:rsidR="00341643" w:rsidRPr="00DF0680" w:rsidRDefault="00341643">
      <w:pPr>
        <w:pStyle w:val="NormalWeb"/>
        <w:ind w:left="480" w:hanging="480"/>
        <w:divId w:val="930774447"/>
      </w:pPr>
      <w:r w:rsidRPr="00DF0680">
        <w:t xml:space="preserve">Lawley, P.D. &amp; Brookes, P., 1963. Further Studies on the Alkylation of Nucleic Acids and Their Constituent Nucleotides. </w:t>
      </w:r>
      <w:r w:rsidRPr="00DF0680">
        <w:rPr>
          <w:i/>
          <w:iCs/>
        </w:rPr>
        <w:t>The Biochemical Journal</w:t>
      </w:r>
      <w:r w:rsidRPr="00DF0680">
        <w:t>, 89, pp.127–38.</w:t>
      </w:r>
    </w:p>
    <w:p w:rsidR="00341643" w:rsidRPr="00DF0680" w:rsidRDefault="00341643">
      <w:pPr>
        <w:pStyle w:val="NormalWeb"/>
        <w:ind w:left="480" w:hanging="480"/>
        <w:divId w:val="930774447"/>
      </w:pPr>
      <w:r w:rsidRPr="00DF0680">
        <w:t xml:space="preserve">Lebel, M. &amp; Leder, P., 1998. A deletion within the murine Werner syndrome helicase induces sensitivity to inhibitors of topoisomerase and loss of cellular proliferative capacity. </w:t>
      </w:r>
      <w:r w:rsidRPr="00DF0680">
        <w:rPr>
          <w:i/>
          <w:iCs/>
        </w:rPr>
        <w:t>Proceedings of the National Academy of Sciences</w:t>
      </w:r>
      <w:r w:rsidRPr="00DF0680">
        <w:t>, 95(22), pp.13097–13102.</w:t>
      </w:r>
    </w:p>
    <w:p w:rsidR="00341643" w:rsidRPr="00DF0680" w:rsidRDefault="00341643">
      <w:pPr>
        <w:pStyle w:val="NormalWeb"/>
        <w:ind w:left="480" w:hanging="480"/>
        <w:divId w:val="930774447"/>
      </w:pPr>
      <w:r w:rsidRPr="00DF0680">
        <w:t xml:space="preserve">Lebel, M., Spillare, E. a., Harris, C.C. &amp; Leder, P., 1999. The Werner Syndrome Gene Product Co-purifies with the DNA Replication Complex and Interacts with PCNA and Topoisomerase I. </w:t>
      </w:r>
      <w:r w:rsidRPr="00DF0680">
        <w:rPr>
          <w:i/>
          <w:iCs/>
        </w:rPr>
        <w:t>Journal of Biological Chemistry</w:t>
      </w:r>
      <w:r w:rsidRPr="00DF0680">
        <w:t>, 274(53), pp.37795–37799.</w:t>
      </w:r>
    </w:p>
    <w:p w:rsidR="00341643" w:rsidRPr="00DF0680" w:rsidRDefault="00341643">
      <w:pPr>
        <w:pStyle w:val="NormalWeb"/>
        <w:ind w:left="480" w:hanging="480"/>
        <w:divId w:val="930774447"/>
      </w:pPr>
      <w:r w:rsidRPr="00DF0680">
        <w:t xml:space="preserve">Lee, A.Y.-L., Chiba, T., Truong, L.N., Cheng, A.N., Do, J., Cho, M.J., Chen, L. &amp; Wu, X., 2012. Dbf4 is direct downstream target of ataxia telangiectasia mutated (ATM) and ataxia telangiectasia and Rad3-related (ATR) protein to regulate intra-S-phase checkpoint. </w:t>
      </w:r>
      <w:r w:rsidRPr="00DF0680">
        <w:rPr>
          <w:i/>
          <w:iCs/>
        </w:rPr>
        <w:t>The Journal of Biological Chemistry</w:t>
      </w:r>
      <w:r w:rsidRPr="00DF0680">
        <w:t>, 287(4), pp.2531–43.</w:t>
      </w:r>
    </w:p>
    <w:p w:rsidR="00341643" w:rsidRPr="00DF0680" w:rsidRDefault="00341643">
      <w:pPr>
        <w:pStyle w:val="NormalWeb"/>
        <w:ind w:left="480" w:hanging="480"/>
        <w:divId w:val="930774447"/>
      </w:pPr>
      <w:r w:rsidRPr="00DF0680">
        <w:t xml:space="preserve">Lee, J. &amp; Dunphy, W.G., 2010. Rad17 plays a central role in establishment of the interaction between TopBP1 and the Rad9-Hus1-Rad1 complex at stalled replication forks. </w:t>
      </w:r>
      <w:r w:rsidRPr="00DF0680">
        <w:rPr>
          <w:i/>
          <w:iCs/>
        </w:rPr>
        <w:t>Molecular Biology of the Cell</w:t>
      </w:r>
      <w:r w:rsidRPr="00DF0680">
        <w:t>, 21(6), pp.926–35.</w:t>
      </w:r>
    </w:p>
    <w:p w:rsidR="00341643" w:rsidRPr="00DF0680" w:rsidRDefault="00341643">
      <w:pPr>
        <w:pStyle w:val="NormalWeb"/>
        <w:ind w:left="480" w:hanging="480"/>
        <w:divId w:val="930774447"/>
      </w:pPr>
      <w:r w:rsidRPr="00DF0680">
        <w:t xml:space="preserve">Lee, J., Kumagai, a &amp; Dunphy, W.G., 2001. Positive regulation of Wee1 by Chk1 and 14-3-3 proteins. </w:t>
      </w:r>
      <w:r w:rsidRPr="00DF0680">
        <w:rPr>
          <w:i/>
          <w:iCs/>
        </w:rPr>
        <w:t>Molecular biology of the cell</w:t>
      </w:r>
      <w:r w:rsidRPr="00DF0680">
        <w:t>, 12(3), pp.551–563.</w:t>
      </w:r>
    </w:p>
    <w:p w:rsidR="00341643" w:rsidRPr="00DF0680" w:rsidRDefault="00341643">
      <w:pPr>
        <w:pStyle w:val="NormalWeb"/>
        <w:ind w:left="480" w:hanging="480"/>
        <w:divId w:val="930774447"/>
      </w:pPr>
      <w:r w:rsidRPr="00DF0680">
        <w:t xml:space="preserve">Lee, J.-H. &amp; Paull, T.T., 2005. ATM activation by DNA double-strand breaks through the Mre11-Rad50-Nbs1 complex. </w:t>
      </w:r>
      <w:r w:rsidRPr="00DF0680">
        <w:rPr>
          <w:i/>
          <w:iCs/>
        </w:rPr>
        <w:t>Science</w:t>
      </w:r>
      <w:r w:rsidRPr="00DF0680">
        <w:t>, 308(5721), pp.551–4.</w:t>
      </w:r>
    </w:p>
    <w:p w:rsidR="00341643" w:rsidRPr="00DF0680" w:rsidRDefault="00341643">
      <w:pPr>
        <w:pStyle w:val="NormalWeb"/>
        <w:ind w:left="480" w:hanging="480"/>
        <w:divId w:val="930774447"/>
      </w:pPr>
      <w:r w:rsidRPr="00DF0680">
        <w:t xml:space="preserve">Lee, J.-H. &amp; Paull, T.T., 2004. Direct activation of the ATM protein kinase by the Mre11/Rad50/Nbs1 complex. </w:t>
      </w:r>
      <w:r w:rsidRPr="00DF0680">
        <w:rPr>
          <w:i/>
          <w:iCs/>
        </w:rPr>
        <w:t>Science</w:t>
      </w:r>
      <w:r w:rsidRPr="00DF0680">
        <w:t>, 304(5667), pp.93–6.</w:t>
      </w:r>
    </w:p>
    <w:p w:rsidR="00341643" w:rsidRPr="00DF0680" w:rsidRDefault="00341643">
      <w:pPr>
        <w:pStyle w:val="NormalWeb"/>
        <w:ind w:left="480" w:hanging="480"/>
        <w:divId w:val="930774447"/>
      </w:pPr>
      <w:r w:rsidRPr="00DF0680">
        <w:lastRenderedPageBreak/>
        <w:t xml:space="preserve">LeRoy, G., Carroll, R., Kyin, S., Seki, M. &amp; Cole, M.D., 2005. Identification of RecQL1 as a Holliday junction processing enzyme in human cell lines. </w:t>
      </w:r>
      <w:r w:rsidRPr="00DF0680">
        <w:rPr>
          <w:i/>
          <w:iCs/>
        </w:rPr>
        <w:t>Nucleic Acids Research</w:t>
      </w:r>
      <w:r w:rsidRPr="00DF0680">
        <w:t>, 33(19), pp.6251–7.</w:t>
      </w:r>
    </w:p>
    <w:p w:rsidR="00341643" w:rsidRPr="00DF0680" w:rsidRDefault="00341643">
      <w:pPr>
        <w:pStyle w:val="NormalWeb"/>
        <w:ind w:left="480" w:hanging="480"/>
        <w:divId w:val="930774447"/>
      </w:pPr>
      <w:r w:rsidRPr="00DF0680">
        <w:t xml:space="preserve">Letessier, A., Millot, G. a, Koundrioukoff, S., Lachagès, A.-M., Vogt, N., Hansen, R.S., Malfoy, B., Brison, O. &amp; Debatisse, M., 2011. Cell-type-specific replication initiation programs set fragility of the FRA3B fragile site. </w:t>
      </w:r>
      <w:r w:rsidRPr="00DF0680">
        <w:rPr>
          <w:i/>
          <w:iCs/>
        </w:rPr>
        <w:t>Nature</w:t>
      </w:r>
      <w:r w:rsidRPr="00DF0680">
        <w:t>, 470(7332), pp.120–3.</w:t>
      </w:r>
    </w:p>
    <w:p w:rsidR="00341643" w:rsidRPr="00DF0680" w:rsidRDefault="00341643">
      <w:pPr>
        <w:pStyle w:val="NormalWeb"/>
        <w:ind w:left="480" w:hanging="480"/>
        <w:divId w:val="930774447"/>
      </w:pPr>
      <w:r w:rsidRPr="00DF0680">
        <w:t xml:space="preserve">Lewis, B.P., Burge, C.B. &amp; Bartel, D.P., 2005. Conserved seed pairing, often flanked by adenosines, indicates that thousands of human genes are microRNA targets. </w:t>
      </w:r>
      <w:r w:rsidRPr="00DF0680">
        <w:rPr>
          <w:i/>
          <w:iCs/>
        </w:rPr>
        <w:t>Cell</w:t>
      </w:r>
      <w:r w:rsidRPr="00DF0680">
        <w:t>, 120(1), pp.15–20.</w:t>
      </w:r>
    </w:p>
    <w:p w:rsidR="00341643" w:rsidRPr="00DF0680" w:rsidRDefault="00341643">
      <w:pPr>
        <w:pStyle w:val="NormalWeb"/>
        <w:ind w:left="480" w:hanging="480"/>
        <w:divId w:val="930774447"/>
      </w:pPr>
      <w:r w:rsidRPr="00DF0680">
        <w:t xml:space="preserve">Li, B. &amp; Comai, L., 2000. Functional interaction between Ku and the werner syndrome protein in DNA end processing. </w:t>
      </w:r>
      <w:r w:rsidRPr="00DF0680">
        <w:rPr>
          <w:i/>
          <w:iCs/>
        </w:rPr>
        <w:t>The Journal of Biological Chemistry</w:t>
      </w:r>
      <w:r w:rsidRPr="00DF0680">
        <w:t>, 275(37), pp.28349–52.</w:t>
      </w:r>
    </w:p>
    <w:p w:rsidR="00341643" w:rsidRPr="00DF0680" w:rsidRDefault="00341643">
      <w:pPr>
        <w:pStyle w:val="NormalWeb"/>
        <w:ind w:left="480" w:hanging="480"/>
        <w:divId w:val="930774447"/>
      </w:pPr>
      <w:r w:rsidRPr="00DF0680">
        <w:t xml:space="preserve">Li, B. &amp; Comai, L., 2001. Requirements for the nucleolytic processing of DNA ends by the Werner syndrome protein-Ku70/80 complex. </w:t>
      </w:r>
      <w:r w:rsidRPr="00DF0680">
        <w:rPr>
          <w:i/>
          <w:iCs/>
        </w:rPr>
        <w:t>The Journal of Biological Chemistry</w:t>
      </w:r>
      <w:r w:rsidRPr="00DF0680">
        <w:t>, 276(13), pp.9896–902.</w:t>
      </w:r>
    </w:p>
    <w:p w:rsidR="00341643" w:rsidRPr="00DF0680" w:rsidRDefault="00341643">
      <w:pPr>
        <w:pStyle w:val="NormalWeb"/>
        <w:ind w:left="480" w:hanging="480"/>
        <w:divId w:val="930774447"/>
      </w:pPr>
      <w:r w:rsidRPr="00DF0680">
        <w:t xml:space="preserve">Li, B., Navarro, S., Kasahara, N. &amp; Comai, L., 2004. Identification and biochemical characterization of a Werner’s syndrome protein complex with Ku70/80 and poly(ADP-ribose) polymerase-1. </w:t>
      </w:r>
      <w:r w:rsidRPr="00DF0680">
        <w:rPr>
          <w:i/>
          <w:iCs/>
        </w:rPr>
        <w:t>The Journal of Biological Chemistry</w:t>
      </w:r>
      <w:r w:rsidRPr="00DF0680">
        <w:t>, 279(14), pp.13659–67.</w:t>
      </w:r>
    </w:p>
    <w:p w:rsidR="00341643" w:rsidRPr="00DF0680" w:rsidRDefault="00341643">
      <w:pPr>
        <w:pStyle w:val="NormalWeb"/>
        <w:ind w:left="480" w:hanging="480"/>
        <w:divId w:val="930774447"/>
      </w:pPr>
      <w:r w:rsidRPr="00DF0680">
        <w:t xml:space="preserve">Li, D., Frazier, M., Evans, D.B., Hess, K.R., Crane, C.H., Jiao, L. &amp; Abbruzzese, J.L., 2006. Single nucleotide polymorphisms of RecQ1, RAD54L, and ATM genes are associated with reduced survival of pancreatic cancer. </w:t>
      </w:r>
      <w:r w:rsidRPr="00DF0680">
        <w:rPr>
          <w:i/>
          <w:iCs/>
        </w:rPr>
        <w:t>Journal of Clinical Oncology</w:t>
      </w:r>
      <w:r w:rsidRPr="00DF0680">
        <w:t>, 24(11), pp.1720–8.</w:t>
      </w:r>
    </w:p>
    <w:p w:rsidR="00341643" w:rsidRPr="00DF0680" w:rsidRDefault="00341643">
      <w:pPr>
        <w:pStyle w:val="NormalWeb"/>
        <w:ind w:left="480" w:hanging="480"/>
        <w:divId w:val="930774447"/>
      </w:pPr>
      <w:r w:rsidRPr="00DF0680">
        <w:t xml:space="preserve">Li, F., Ambrosini, G., Chu, E. &amp; Plescia, J., 1998. Control of apoptosis and mitotic spindle checkpoint by survivin. </w:t>
      </w:r>
      <w:r w:rsidRPr="00DF0680">
        <w:rPr>
          <w:i/>
          <w:iCs/>
        </w:rPr>
        <w:t>Nature</w:t>
      </w:r>
      <w:r w:rsidRPr="00DF0680">
        <w:t>, 396(6711), pp.580–4.</w:t>
      </w:r>
    </w:p>
    <w:p w:rsidR="00341643" w:rsidRPr="00DF0680" w:rsidRDefault="00341643">
      <w:pPr>
        <w:pStyle w:val="NormalWeb"/>
        <w:ind w:left="480" w:hanging="480"/>
        <w:divId w:val="930774447"/>
      </w:pPr>
      <w:r w:rsidRPr="00DF0680">
        <w:t xml:space="preserve">Li, G.M. &amp; Modrich, P., 1995. Restoration of mismatch repair to nuclear extracts of H6 colorectal tumor cells by a heterodimer of human MutL homologs. </w:t>
      </w:r>
      <w:r w:rsidRPr="00DF0680">
        <w:rPr>
          <w:i/>
          <w:iCs/>
        </w:rPr>
        <w:t>Proceedings of the National Academy of Sciences</w:t>
      </w:r>
      <w:r w:rsidRPr="00DF0680">
        <w:t>, 92(6), pp.1950–4.</w:t>
      </w:r>
    </w:p>
    <w:p w:rsidR="00341643" w:rsidRPr="00DF0680" w:rsidRDefault="00341643">
      <w:pPr>
        <w:pStyle w:val="NormalWeb"/>
        <w:ind w:left="480" w:hanging="480"/>
        <w:divId w:val="930774447"/>
      </w:pPr>
      <w:r w:rsidRPr="00DF0680">
        <w:t xml:space="preserve">Li, M., Xu, X. &amp; Liu, Y., 2011. The SET2-RPB1 interaction domain of human RECQ5 is important for transcription-associated genome stability. </w:t>
      </w:r>
      <w:r w:rsidRPr="00DF0680">
        <w:rPr>
          <w:i/>
          <w:iCs/>
        </w:rPr>
        <w:t>Molecular and Cellular Biology</w:t>
      </w:r>
      <w:r w:rsidRPr="00DF0680">
        <w:t>, 31(10), pp.2090–9.</w:t>
      </w:r>
    </w:p>
    <w:p w:rsidR="00341643" w:rsidRPr="00DF0680" w:rsidRDefault="00341643">
      <w:pPr>
        <w:pStyle w:val="NormalWeb"/>
        <w:ind w:left="480" w:hanging="480"/>
        <w:divId w:val="930774447"/>
      </w:pPr>
      <w:r w:rsidRPr="00DF0680">
        <w:t xml:space="preserve">Li, X., Li, J., Harrington, J., Lieber, M.R. &amp; Burgers, P.M.J., 1995. Lagging Strand DNA Synthesis at the Eukaryotic Replication Fork Involves Binding and Stimulation of FEN-1 by Proliferating Cell Nuclear Antigen. </w:t>
      </w:r>
      <w:r w:rsidRPr="00DF0680">
        <w:rPr>
          <w:i/>
          <w:iCs/>
        </w:rPr>
        <w:t>Journal of Biological Chemistry</w:t>
      </w:r>
      <w:r w:rsidRPr="00DF0680">
        <w:t>, 270(38), pp.22109–22112.</w:t>
      </w:r>
    </w:p>
    <w:p w:rsidR="00341643" w:rsidRPr="00DF0680" w:rsidRDefault="00341643">
      <w:pPr>
        <w:pStyle w:val="NormalWeb"/>
        <w:ind w:left="480" w:hanging="480"/>
        <w:divId w:val="930774447"/>
      </w:pPr>
      <w:r w:rsidRPr="00DF0680">
        <w:t xml:space="preserve">Li, X. &amp; Manley, J.L., 2005. Inactivation of the SR protein splicing factor ASF/SF2 results in genomic instability. </w:t>
      </w:r>
      <w:r w:rsidRPr="00DF0680">
        <w:rPr>
          <w:i/>
          <w:iCs/>
        </w:rPr>
        <w:t>Cell</w:t>
      </w:r>
      <w:r w:rsidRPr="00DF0680">
        <w:t>, 122(3), pp.365–78.</w:t>
      </w:r>
    </w:p>
    <w:p w:rsidR="00341643" w:rsidRPr="00DF0680" w:rsidRDefault="00341643">
      <w:pPr>
        <w:pStyle w:val="NormalWeb"/>
        <w:ind w:left="480" w:hanging="480"/>
        <w:divId w:val="930774447"/>
      </w:pPr>
      <w:r w:rsidRPr="00DF0680">
        <w:lastRenderedPageBreak/>
        <w:t xml:space="preserve">Lieber, M.R., Ma, Y., Pannicke, U. &amp; Schwarz, K., 2003. Mechanism and regulation of human non-homologous DNA end-joining. </w:t>
      </w:r>
      <w:r w:rsidRPr="00DF0680">
        <w:rPr>
          <w:i/>
          <w:iCs/>
        </w:rPr>
        <w:t>Nature Reviews. Molecular Cell Biology</w:t>
      </w:r>
      <w:r w:rsidRPr="00DF0680">
        <w:t>, 4(9), pp.712–20.</w:t>
      </w:r>
    </w:p>
    <w:p w:rsidR="00341643" w:rsidRPr="00DF0680" w:rsidRDefault="00341643">
      <w:pPr>
        <w:pStyle w:val="NormalWeb"/>
        <w:ind w:left="480" w:hanging="480"/>
        <w:divId w:val="930774447"/>
      </w:pPr>
      <w:r w:rsidRPr="00DF0680">
        <w:t xml:space="preserve">Lim, D., Kim, S., Xu, B., Maser, R. &amp; Lin, J., 2000. ATM phosphorylates p95/nbs1 in an S-phase checkpoint pathway. </w:t>
      </w:r>
      <w:r w:rsidRPr="00DF0680">
        <w:rPr>
          <w:i/>
          <w:iCs/>
        </w:rPr>
        <w:t>Nature</w:t>
      </w:r>
      <w:r w:rsidRPr="00DF0680">
        <w:t>, 404(6778), pp.613–617.</w:t>
      </w:r>
    </w:p>
    <w:p w:rsidR="00341643" w:rsidRPr="00DF0680" w:rsidRDefault="00341643">
      <w:pPr>
        <w:pStyle w:val="NormalWeb"/>
        <w:ind w:left="480" w:hanging="480"/>
        <w:divId w:val="930774447"/>
      </w:pPr>
      <w:r w:rsidRPr="00DF0680">
        <w:t xml:space="preserve">Lindahl, T., 1993. Instability and decay of the primary structure of DNA. </w:t>
      </w:r>
      <w:r w:rsidRPr="00DF0680">
        <w:rPr>
          <w:i/>
          <w:iCs/>
        </w:rPr>
        <w:t>Nature</w:t>
      </w:r>
      <w:r w:rsidRPr="00DF0680">
        <w:t>, 362(6422), pp.709–715.</w:t>
      </w:r>
    </w:p>
    <w:p w:rsidR="00341643" w:rsidRPr="00DF0680" w:rsidRDefault="00341643">
      <w:pPr>
        <w:pStyle w:val="NormalWeb"/>
        <w:ind w:left="480" w:hanging="480"/>
        <w:divId w:val="930774447"/>
      </w:pPr>
      <w:r w:rsidRPr="00DF0680">
        <w:t xml:space="preserve">Lindahl, T., Satoh, M., Poirier, G. &amp; Klungland, A., 1995. Post-translational modification of poly (ADP-ribose) polymerase induced by DNA strand breaks. </w:t>
      </w:r>
      <w:r w:rsidRPr="00DF0680">
        <w:rPr>
          <w:i/>
          <w:iCs/>
        </w:rPr>
        <w:t>Trends in Biochemical Sciences</w:t>
      </w:r>
      <w:r w:rsidRPr="00DF0680">
        <w:t>, 20(10), pp.405–11.</w:t>
      </w:r>
    </w:p>
    <w:p w:rsidR="00341643" w:rsidRPr="00DF0680" w:rsidRDefault="00341643">
      <w:pPr>
        <w:pStyle w:val="NormalWeb"/>
        <w:ind w:left="480" w:hanging="480"/>
        <w:divId w:val="930774447"/>
      </w:pPr>
      <w:r w:rsidRPr="00DF0680">
        <w:t xml:space="preserve">Lindsey-Boltz, L. a, Bermudez, V.P., Hurwitz, J. &amp; Sancar, a, 2001. Purification and characterization of human DNA damage checkpoint Rad complexes. </w:t>
      </w:r>
      <w:r w:rsidRPr="00DF0680">
        <w:rPr>
          <w:i/>
          <w:iCs/>
        </w:rPr>
        <w:t>Proceedings of the National Academy of Sciences</w:t>
      </w:r>
      <w:r w:rsidRPr="00DF0680">
        <w:t>, 98(20), pp.11236–41.</w:t>
      </w:r>
    </w:p>
    <w:p w:rsidR="00341643" w:rsidRPr="00DF0680" w:rsidRDefault="00341643">
      <w:pPr>
        <w:pStyle w:val="NormalWeb"/>
        <w:ind w:left="480" w:hanging="480"/>
        <w:divId w:val="930774447"/>
      </w:pPr>
      <w:r w:rsidRPr="00DF0680">
        <w:t xml:space="preserve">Liu, B. &amp; Alberts, B., 1995. Head-on collision between a DNA replication apparatus and RNA polymerase transcription complex. </w:t>
      </w:r>
      <w:r w:rsidRPr="00DF0680">
        <w:rPr>
          <w:i/>
          <w:iCs/>
        </w:rPr>
        <w:t>Science</w:t>
      </w:r>
      <w:r w:rsidRPr="00DF0680">
        <w:t>, 267(5201), pp.1131–1137.</w:t>
      </w:r>
    </w:p>
    <w:p w:rsidR="00341643" w:rsidRPr="00DF0680" w:rsidRDefault="00341643">
      <w:pPr>
        <w:pStyle w:val="NormalWeb"/>
        <w:ind w:left="480" w:hanging="480"/>
        <w:divId w:val="930774447"/>
      </w:pPr>
      <w:r w:rsidRPr="00DF0680">
        <w:t xml:space="preserve">Liu, J.L., Rigolet, P., Dou, S.-X., Wang, P.-Y. &amp; Xi, X.G., 2004. The zinc finger motif of Escherichia coli RecQ is implicated in both DNA binding and protein folding. </w:t>
      </w:r>
      <w:r w:rsidRPr="00DF0680">
        <w:rPr>
          <w:i/>
          <w:iCs/>
        </w:rPr>
        <w:t>The Journal of Biological Chemistry</w:t>
      </w:r>
      <w:r w:rsidRPr="00DF0680">
        <w:t>, 279(41), pp.42794–802.</w:t>
      </w:r>
    </w:p>
    <w:p w:rsidR="00341643" w:rsidRPr="00DF0680" w:rsidRDefault="00341643">
      <w:pPr>
        <w:pStyle w:val="NormalWeb"/>
        <w:ind w:left="480" w:hanging="480"/>
        <w:divId w:val="930774447"/>
      </w:pPr>
      <w:r w:rsidRPr="00DF0680">
        <w:t xml:space="preserve">Liu, T., Ghosal, G., Yuan, J., Chen, J. &amp; Huang, J., 2010. FAN1 acts with FANCI-FANCD2 to promote DNA interstrand cross-link repair. </w:t>
      </w:r>
      <w:r w:rsidRPr="00DF0680">
        <w:rPr>
          <w:i/>
          <w:iCs/>
        </w:rPr>
        <w:t>Science</w:t>
      </w:r>
      <w:r w:rsidRPr="00DF0680">
        <w:t>, 329(5992), pp.693–6.</w:t>
      </w:r>
    </w:p>
    <w:p w:rsidR="00341643" w:rsidRPr="00DF0680" w:rsidRDefault="00341643">
      <w:pPr>
        <w:pStyle w:val="NormalWeb"/>
        <w:ind w:left="480" w:hanging="480"/>
        <w:divId w:val="930774447"/>
      </w:pPr>
      <w:r w:rsidRPr="00DF0680">
        <w:t xml:space="preserve">Liu, Y., Nielsen, C.F., Yao, Q. &amp; Hickson, I.D., 2014. The origins and processing of ultra fine anaphase DNA bridges. </w:t>
      </w:r>
      <w:r w:rsidRPr="00DF0680">
        <w:rPr>
          <w:i/>
          <w:iCs/>
        </w:rPr>
        <w:t>Current Opinion in Genetics &amp; Development</w:t>
      </w:r>
      <w:r w:rsidRPr="00DF0680">
        <w:t>, 26, pp.1–5.</w:t>
      </w:r>
    </w:p>
    <w:p w:rsidR="00341643" w:rsidRPr="00DF0680" w:rsidRDefault="00341643">
      <w:pPr>
        <w:pStyle w:val="NormalWeb"/>
        <w:ind w:left="480" w:hanging="480"/>
        <w:divId w:val="930774447"/>
      </w:pPr>
      <w:r w:rsidRPr="00DF0680">
        <w:t xml:space="preserve">Longley, M.J., Pierce, a J. &amp; Modrich, P., 1997. DNA polymerase delta is required for human mismatch repair in vitro. </w:t>
      </w:r>
      <w:r w:rsidRPr="00DF0680">
        <w:rPr>
          <w:i/>
          <w:iCs/>
        </w:rPr>
        <w:t>The Journal of Biological Chemistry</w:t>
      </w:r>
      <w:r w:rsidRPr="00DF0680">
        <w:t>, 272(16), pp.10917–21.</w:t>
      </w:r>
    </w:p>
    <w:p w:rsidR="00341643" w:rsidRPr="00DF0680" w:rsidRDefault="00341643">
      <w:pPr>
        <w:pStyle w:val="NormalWeb"/>
        <w:ind w:left="480" w:hanging="480"/>
        <w:divId w:val="930774447"/>
      </w:pPr>
      <w:r w:rsidRPr="00DF0680">
        <w:t xml:space="preserve">Lönn, U., Lönn, S., Nylen, U., Winblad, G. &amp; German, J., 1990. An abnormal profile of DNA replication intermediates in Bloom’s syndrome. </w:t>
      </w:r>
      <w:r w:rsidRPr="00DF0680">
        <w:rPr>
          <w:i/>
          <w:iCs/>
        </w:rPr>
        <w:t>Cancer Research</w:t>
      </w:r>
      <w:r w:rsidRPr="00DF0680">
        <w:t>, 50(11), pp.3141–3145.</w:t>
      </w:r>
    </w:p>
    <w:p w:rsidR="00341643" w:rsidRPr="00DF0680" w:rsidRDefault="00341643">
      <w:pPr>
        <w:pStyle w:val="NormalWeb"/>
        <w:ind w:left="480" w:hanging="480"/>
        <w:divId w:val="930774447"/>
      </w:pPr>
      <w:r w:rsidRPr="00DF0680">
        <w:t xml:space="preserve">Lopez, C.R., Yang, S., Deibler, R.W., Ray, S. a, Pennington, J.M., Digate, R.J., Hastings, P.J., Rosenberg, S.M. &amp; Zechiedrich, E.L., 2005. A role for topoisomerase III in a recombination pathway alternative to RuvABC. </w:t>
      </w:r>
      <w:r w:rsidRPr="00DF0680">
        <w:rPr>
          <w:i/>
          <w:iCs/>
        </w:rPr>
        <w:t>Molecular Microbiology</w:t>
      </w:r>
      <w:r w:rsidRPr="00DF0680">
        <w:t>, 58(1), pp.80–101.</w:t>
      </w:r>
    </w:p>
    <w:p w:rsidR="00341643" w:rsidRPr="00DF0680" w:rsidRDefault="00341643">
      <w:pPr>
        <w:pStyle w:val="NormalWeb"/>
        <w:ind w:left="480" w:hanging="480"/>
        <w:divId w:val="930774447"/>
      </w:pPr>
      <w:r w:rsidRPr="00DF0680">
        <w:t xml:space="preserve">Lu, C.-Y., Tsai, C.-H., Brill, S.J. &amp; Teng, S.-C., 2010. Sumoylation of the BLM ortholog, Sgs1, promotes telomere-telomere recombination in budding yeast. </w:t>
      </w:r>
      <w:r w:rsidRPr="00DF0680">
        <w:rPr>
          <w:i/>
          <w:iCs/>
        </w:rPr>
        <w:t>Nucleic Acids Research</w:t>
      </w:r>
      <w:r w:rsidRPr="00DF0680">
        <w:t>, 38(2), pp.488–98.</w:t>
      </w:r>
    </w:p>
    <w:p w:rsidR="00341643" w:rsidRPr="00DF0680" w:rsidRDefault="00341643">
      <w:pPr>
        <w:pStyle w:val="NormalWeb"/>
        <w:ind w:left="480" w:hanging="480"/>
        <w:divId w:val="930774447"/>
      </w:pPr>
      <w:r w:rsidRPr="00DF0680">
        <w:lastRenderedPageBreak/>
        <w:t xml:space="preserve">Lu, X., Parvathaneni, S., Hara, T., Lal, A. &amp; Sharma, S., 2013. Replication stress induces specific enrichment of RECQ1 at common fragile sites FRA3B and FRA16D. </w:t>
      </w:r>
      <w:r w:rsidRPr="00DF0680">
        <w:rPr>
          <w:i/>
          <w:iCs/>
        </w:rPr>
        <w:t>Molecular Cancer</w:t>
      </w:r>
      <w:r w:rsidRPr="00DF0680">
        <w:t>, 12(1), p.29.</w:t>
      </w:r>
    </w:p>
    <w:p w:rsidR="00341643" w:rsidRPr="00DF0680" w:rsidRDefault="00341643">
      <w:pPr>
        <w:pStyle w:val="NormalWeb"/>
        <w:ind w:left="480" w:hanging="480"/>
        <w:divId w:val="930774447"/>
      </w:pPr>
      <w:r w:rsidRPr="00DF0680">
        <w:t xml:space="preserve">Lundgren, K., Walworth, N. &amp; Booher, R., 1991. mik1 and wee1 cooperate in the inhibitory tyrosine phosphorylation of cdc2. </w:t>
      </w:r>
      <w:r w:rsidRPr="00DF0680">
        <w:rPr>
          <w:i/>
          <w:iCs/>
        </w:rPr>
        <w:t>Cell</w:t>
      </w:r>
      <w:r w:rsidRPr="00DF0680">
        <w:t>, 64(6), pp.1111–22.</w:t>
      </w:r>
    </w:p>
    <w:p w:rsidR="00341643" w:rsidRPr="00DF0680" w:rsidRDefault="00341643">
      <w:pPr>
        <w:pStyle w:val="NormalWeb"/>
        <w:ind w:left="480" w:hanging="480"/>
        <w:divId w:val="930774447"/>
      </w:pPr>
      <w:r w:rsidRPr="00DF0680">
        <w:t xml:space="preserve">Luo, G., Santoro, I.M., McDaniel, L.D., Nishijima, I., Mills, M., Youssoufian, H., Vogel, H., Schultz, R. a &amp; Bradley, a, 2000. Cancer predisposition caused by elevated mitotic recombination in Bloom mice. </w:t>
      </w:r>
      <w:r w:rsidRPr="00DF0680">
        <w:rPr>
          <w:i/>
          <w:iCs/>
        </w:rPr>
        <w:t>Nature Genetics</w:t>
      </w:r>
      <w:r w:rsidRPr="00DF0680">
        <w:t>, 26(4), pp.424–9.</w:t>
      </w:r>
    </w:p>
    <w:p w:rsidR="00341643" w:rsidRPr="00DF0680" w:rsidRDefault="00341643">
      <w:pPr>
        <w:pStyle w:val="NormalWeb"/>
        <w:ind w:left="480" w:hanging="480"/>
        <w:divId w:val="930774447"/>
      </w:pPr>
      <w:r w:rsidRPr="00DF0680">
        <w:t xml:space="preserve">Lutzmann, M. &amp; Méchali, M., 2008. MCM9 binds Cdt1 and is required for the assembly of prereplication complexes. </w:t>
      </w:r>
      <w:r w:rsidRPr="00DF0680">
        <w:rPr>
          <w:i/>
          <w:iCs/>
        </w:rPr>
        <w:t>Molecular Cell</w:t>
      </w:r>
      <w:r w:rsidRPr="00DF0680">
        <w:t>, 31(2), pp.190–200.</w:t>
      </w:r>
    </w:p>
    <w:p w:rsidR="00341643" w:rsidRPr="00DF0680" w:rsidRDefault="00341643">
      <w:pPr>
        <w:pStyle w:val="NormalWeb"/>
        <w:ind w:left="480" w:hanging="480"/>
        <w:divId w:val="930774447"/>
      </w:pPr>
      <w:r w:rsidRPr="00DF0680">
        <w:t xml:space="preserve">Ma, Y., Pannicke, U., Schwarz, K. &amp; Lieber, M.R., 2002. Hairpin opening and overhang processing by an Artemis/DNA-dependent protein kinase complex in nonhomologous end joining and V(D)J recombination. </w:t>
      </w:r>
      <w:r w:rsidRPr="00DF0680">
        <w:rPr>
          <w:i/>
          <w:iCs/>
        </w:rPr>
        <w:t>Cell</w:t>
      </w:r>
      <w:r w:rsidRPr="00DF0680">
        <w:t>, 108(6), pp.781–94.</w:t>
      </w:r>
    </w:p>
    <w:p w:rsidR="00341643" w:rsidRPr="00DF0680" w:rsidRDefault="00341643">
      <w:pPr>
        <w:pStyle w:val="NormalWeb"/>
        <w:ind w:left="480" w:hanging="480"/>
        <w:divId w:val="930774447"/>
      </w:pPr>
      <w:r w:rsidRPr="00DF0680">
        <w:t xml:space="preserve">Maase, H. von der &amp; Hansen, S., 2000. Gemcitabine and cisplatin versus methotrexate, vinblastine, doxorubicin, and cisplatin in advanced or metastatic bladder cancer: results of a large, randomized, multinational, multicenter, phase III Study. </w:t>
      </w:r>
      <w:r w:rsidRPr="00DF0680">
        <w:rPr>
          <w:i/>
          <w:iCs/>
        </w:rPr>
        <w:t>Journal of Clinical Oncology</w:t>
      </w:r>
      <w:r w:rsidRPr="00DF0680">
        <w:t>, 17(17), pp.3068–3077.</w:t>
      </w:r>
    </w:p>
    <w:p w:rsidR="00341643" w:rsidRPr="00DF0680" w:rsidRDefault="00341643">
      <w:pPr>
        <w:pStyle w:val="NormalWeb"/>
        <w:ind w:left="480" w:hanging="480"/>
        <w:divId w:val="930774447"/>
      </w:pPr>
      <w:r w:rsidRPr="00DF0680">
        <w:t xml:space="preserve">Machwe, A., Karale, R., Xu, X., Liu, Y. &amp; Orren, D.K., 2011. The Werner and Bloom syndrome proteins help resolve replication blockage by converting (regressed) holliday junctions to functional replication forks. </w:t>
      </w:r>
      <w:r w:rsidRPr="00DF0680">
        <w:rPr>
          <w:i/>
          <w:iCs/>
        </w:rPr>
        <w:t>Biochemistry</w:t>
      </w:r>
      <w:r w:rsidRPr="00DF0680">
        <w:t>, 50(32), pp.6774–88.</w:t>
      </w:r>
    </w:p>
    <w:p w:rsidR="00341643" w:rsidRPr="00DF0680" w:rsidRDefault="00341643">
      <w:pPr>
        <w:pStyle w:val="NormalWeb"/>
        <w:ind w:left="480" w:hanging="480"/>
        <w:divId w:val="930774447"/>
      </w:pPr>
      <w:r w:rsidRPr="00DF0680">
        <w:t xml:space="preserve">Machwe, A., Xiao, L., Groden, J. &amp; Orren, D., 2006. The Werner and Bloom syndrome proteins catalyze regression of a model replication fork. </w:t>
      </w:r>
      <w:r w:rsidRPr="00DF0680">
        <w:rPr>
          <w:i/>
          <w:iCs/>
        </w:rPr>
        <w:t>Biochemistry</w:t>
      </w:r>
      <w:r w:rsidRPr="00DF0680">
        <w:t>, 45(47), pp.13939–46.</w:t>
      </w:r>
    </w:p>
    <w:p w:rsidR="00341643" w:rsidRPr="00DF0680" w:rsidRDefault="00341643">
      <w:pPr>
        <w:pStyle w:val="NormalWeb"/>
        <w:ind w:left="480" w:hanging="480"/>
        <w:divId w:val="930774447"/>
      </w:pPr>
      <w:r w:rsidRPr="00DF0680">
        <w:t xml:space="preserve">Machwe, A., Xiao, L., Lloyd, R.G., Bolt, E. &amp; Orren, D.K., 2007. Replication fork regression in vitro by the Werner syndrome protein (WRN): holliday junction formation, the effect of leading arm structure and a potential role for WRN exonuclease activity. </w:t>
      </w:r>
      <w:r w:rsidRPr="00DF0680">
        <w:rPr>
          <w:i/>
          <w:iCs/>
        </w:rPr>
        <w:t>Nucleic Acids Research</w:t>
      </w:r>
      <w:r w:rsidRPr="00DF0680">
        <w:t>, 35(17), pp.5729–47.</w:t>
      </w:r>
    </w:p>
    <w:p w:rsidR="00341643" w:rsidRPr="00DF0680" w:rsidRDefault="00341643">
      <w:pPr>
        <w:pStyle w:val="NormalWeb"/>
        <w:ind w:left="480" w:hanging="480"/>
        <w:divId w:val="930774447"/>
      </w:pPr>
      <w:r w:rsidRPr="00DF0680">
        <w:t xml:space="preserve">Machwe, A., Xiao, L. &amp; Orren, D.K., 2004. TRF2 recruits the Werner syndrome (WRN) exonuclease for processing of telomeric DNA. </w:t>
      </w:r>
      <w:r w:rsidRPr="00DF0680">
        <w:rPr>
          <w:i/>
          <w:iCs/>
        </w:rPr>
        <w:t>Oncogene</w:t>
      </w:r>
      <w:r w:rsidRPr="00DF0680">
        <w:t>, 23(1), pp.149–56.</w:t>
      </w:r>
    </w:p>
    <w:p w:rsidR="00341643" w:rsidRPr="00DF0680" w:rsidRDefault="00341643">
      <w:pPr>
        <w:pStyle w:val="NormalWeb"/>
        <w:ind w:left="480" w:hanging="480"/>
        <w:divId w:val="930774447"/>
      </w:pPr>
      <w:r w:rsidRPr="00DF0680">
        <w:t xml:space="preserve">MacKay, C., Toth, R. &amp; Rouse, J., 2009. Biochemical characterisation of the SWI/SNF family member HLTF. </w:t>
      </w:r>
      <w:r w:rsidRPr="00DF0680">
        <w:rPr>
          <w:i/>
          <w:iCs/>
        </w:rPr>
        <w:t>Biochemical and Biophysical Research Communications</w:t>
      </w:r>
      <w:r w:rsidRPr="00DF0680">
        <w:t>, 390(2), pp.187–91.</w:t>
      </w:r>
    </w:p>
    <w:p w:rsidR="00341643" w:rsidRPr="00DF0680" w:rsidRDefault="00341643">
      <w:pPr>
        <w:pStyle w:val="NormalWeb"/>
        <w:ind w:left="480" w:hanging="480"/>
        <w:divId w:val="930774447"/>
      </w:pPr>
      <w:r w:rsidRPr="00DF0680">
        <w:t xml:space="preserve">Macris, M. a, Krejci, L., Bussen, W., Shimamoto, A. &amp; Sung, P., 2006. Biochemical characterization of the RECQ4 protein, mutated in Rothmund-Thomson syndrome. </w:t>
      </w:r>
      <w:r w:rsidRPr="00DF0680">
        <w:rPr>
          <w:i/>
          <w:iCs/>
        </w:rPr>
        <w:t>DNA Repair</w:t>
      </w:r>
      <w:r w:rsidRPr="00DF0680">
        <w:t>, 5(2), pp.172–80.</w:t>
      </w:r>
    </w:p>
    <w:p w:rsidR="00341643" w:rsidRPr="00DF0680" w:rsidRDefault="00341643">
      <w:pPr>
        <w:pStyle w:val="NormalWeb"/>
        <w:ind w:left="480" w:hanging="480"/>
        <w:divId w:val="930774447"/>
      </w:pPr>
      <w:r w:rsidRPr="00DF0680">
        <w:lastRenderedPageBreak/>
        <w:t xml:space="preserve">Magner, D.B., Blankschien, M.D., Lee, J. a, Pennington, J.M., Lupski, J.R. &amp; Rosenberg, S.M., 2007. RecQ promotes toxic recombination in cells lacking recombination intermediate-removal proteins. </w:t>
      </w:r>
      <w:r w:rsidRPr="00DF0680">
        <w:rPr>
          <w:i/>
          <w:iCs/>
        </w:rPr>
        <w:t>Molecular Cell</w:t>
      </w:r>
      <w:r w:rsidRPr="00DF0680">
        <w:t>, 26(2), pp.273–86.</w:t>
      </w:r>
    </w:p>
    <w:p w:rsidR="00341643" w:rsidRPr="00DF0680" w:rsidRDefault="00341643">
      <w:pPr>
        <w:pStyle w:val="NormalWeb"/>
        <w:ind w:left="480" w:hanging="480"/>
        <w:divId w:val="930774447"/>
      </w:pPr>
      <w:r w:rsidRPr="00DF0680">
        <w:t>Mailand, N. &amp; Podtelejnikov, A., 2002. Regulation of G2/M events by Cdc25A through phosphorylation</w:t>
      </w:r>
      <w:r w:rsidRPr="00DF0680">
        <w:rPr>
          <w:rFonts w:ascii="Cambria Math" w:hAnsi="Cambria Math" w:cs="Cambria Math"/>
        </w:rPr>
        <w:t>‐</w:t>
      </w:r>
      <w:r w:rsidRPr="00DF0680">
        <w:t xml:space="preserve">dependent modulation of its stability. </w:t>
      </w:r>
      <w:r w:rsidRPr="00DF0680">
        <w:rPr>
          <w:i/>
          <w:iCs/>
        </w:rPr>
        <w:t>The EMBO Journal</w:t>
      </w:r>
      <w:r w:rsidRPr="00DF0680">
        <w:t>, 21(21).</w:t>
      </w:r>
    </w:p>
    <w:p w:rsidR="00341643" w:rsidRPr="00DF0680" w:rsidRDefault="00341643">
      <w:pPr>
        <w:pStyle w:val="NormalWeb"/>
        <w:ind w:left="480" w:hanging="480"/>
        <w:divId w:val="930774447"/>
      </w:pPr>
      <w:r w:rsidRPr="00DF0680">
        <w:t xml:space="preserve">Van Maldergem, L., Siitonen, H. a, Jalkh, N., Chouery, E., De Roy, M., Delague, V., Muenke, M., Jabs, E.W., Cai, J., Wang, L.L., Plon, S.E., Fourneau, C., Kestilä, M., Gillerot, Y., Mégarbané, A. &amp; Verloes, A., 2006. Revisiting the craniosynostosis-radial ray hypoplasia association: Baller-Gerold syndrome caused by mutations in the RECQL4 gene. </w:t>
      </w:r>
      <w:r w:rsidRPr="00DF0680">
        <w:rPr>
          <w:i/>
          <w:iCs/>
        </w:rPr>
        <w:t>Journal of Medical Genetics</w:t>
      </w:r>
      <w:r w:rsidRPr="00DF0680">
        <w:t>, 43(2), pp.148–52.</w:t>
      </w:r>
    </w:p>
    <w:p w:rsidR="00341643" w:rsidRPr="00DF0680" w:rsidRDefault="00341643">
      <w:pPr>
        <w:pStyle w:val="NormalWeb"/>
        <w:ind w:left="480" w:hanging="480"/>
        <w:divId w:val="930774447"/>
      </w:pPr>
      <w:r w:rsidRPr="00DF0680">
        <w:t xml:space="preserve">Mankouri, H., 2011. Holliday junction-containing DNA structures persist in cells lacking Sgs1 or Top3 following exposure to DNA damage. </w:t>
      </w:r>
      <w:r w:rsidRPr="00DF0680">
        <w:rPr>
          <w:i/>
          <w:iCs/>
        </w:rPr>
        <w:t>Proceedings of the National Academy of Sciences</w:t>
      </w:r>
      <w:r w:rsidRPr="00DF0680">
        <w:t>, 108(12), pp.4944–9.</w:t>
      </w:r>
    </w:p>
    <w:p w:rsidR="00341643" w:rsidRPr="00DF0680" w:rsidRDefault="00341643">
      <w:pPr>
        <w:pStyle w:val="NormalWeb"/>
        <w:ind w:left="480" w:hanging="480"/>
        <w:divId w:val="930774447"/>
      </w:pPr>
      <w:r w:rsidRPr="00DF0680">
        <w:t xml:space="preserve">Mao, L., Schoenberg, M. &amp; Scicchitano, M., 1996. Molecular detection of primary bladder cancer by microsatellite analysis. </w:t>
      </w:r>
      <w:r w:rsidRPr="00DF0680">
        <w:rPr>
          <w:i/>
          <w:iCs/>
        </w:rPr>
        <w:t>Science</w:t>
      </w:r>
      <w:r w:rsidRPr="00DF0680">
        <w:t>, 271(5249), pp.659–662.</w:t>
      </w:r>
    </w:p>
    <w:p w:rsidR="00341643" w:rsidRPr="00DF0680" w:rsidRDefault="00341643">
      <w:pPr>
        <w:pStyle w:val="NormalWeb"/>
        <w:ind w:left="480" w:hanging="480"/>
        <w:divId w:val="930774447"/>
      </w:pPr>
      <w:r w:rsidRPr="00DF0680">
        <w:t xml:space="preserve">Martin, R., Kerr, M., Teo, M. &amp; Jevons, S., 2014. Post-transcriptional regulation of MRE11 expression in muscle-invasive bladder tumours. </w:t>
      </w:r>
      <w:r w:rsidRPr="00DF0680">
        <w:rPr>
          <w:i/>
          <w:iCs/>
        </w:rPr>
        <w:t>Oncotarget</w:t>
      </w:r>
      <w:r w:rsidRPr="00DF0680">
        <w:t>, 5(4), pp.993–1003.</w:t>
      </w:r>
    </w:p>
    <w:p w:rsidR="00341643" w:rsidRPr="00DF0680" w:rsidRDefault="00341643">
      <w:pPr>
        <w:pStyle w:val="NormalWeb"/>
        <w:ind w:left="480" w:hanging="480"/>
        <w:divId w:val="930774447"/>
      </w:pPr>
      <w:r w:rsidRPr="00DF0680">
        <w:t xml:space="preserve">Masai, H., Taniyama, C., Ogino, K., Matsui, E., Kakusho, N., Matsumoto, S., Kim, J.-M., Ishii, A., Tanaka, T., Kobayashi, T., Tamai, K., Ohtani, K. &amp; Arai, K.-I., 2006. Phosphorylation of MCM4 by Cdc7 kinase facilitates its interaction with Cdc45 on the chromatin. </w:t>
      </w:r>
      <w:r w:rsidRPr="00DF0680">
        <w:rPr>
          <w:i/>
          <w:iCs/>
        </w:rPr>
        <w:t>The Journal of Biological Chemistry</w:t>
      </w:r>
      <w:r w:rsidRPr="00DF0680">
        <w:t>, 281(51), pp.39249–61.</w:t>
      </w:r>
    </w:p>
    <w:p w:rsidR="00341643" w:rsidRPr="00DF0680" w:rsidRDefault="00341643">
      <w:pPr>
        <w:pStyle w:val="NormalWeb"/>
        <w:ind w:left="480" w:hanging="480"/>
        <w:divId w:val="930774447"/>
      </w:pPr>
      <w:r w:rsidRPr="00DF0680">
        <w:t xml:space="preserve">Masson, M. &amp; Niedergang, C., 1998. XRCC1 is specifically associated with poly (ADP-ribose) polymerase and negatively regulates its activity following DNA damage. </w:t>
      </w:r>
      <w:r w:rsidRPr="00DF0680">
        <w:rPr>
          <w:i/>
          <w:iCs/>
        </w:rPr>
        <w:t>Molecular and Cellular Biology</w:t>
      </w:r>
      <w:r w:rsidRPr="00DF0680">
        <w:t>, 18(6), pp.3563–71.</w:t>
      </w:r>
    </w:p>
    <w:p w:rsidR="00341643" w:rsidRPr="00DF0680" w:rsidRDefault="00341643">
      <w:pPr>
        <w:pStyle w:val="NormalWeb"/>
        <w:ind w:left="480" w:hanging="480"/>
        <w:divId w:val="930774447"/>
      </w:pPr>
      <w:r w:rsidRPr="00DF0680">
        <w:t xml:space="preserve">Masutani, C., Kusumoto, R. &amp; Yamada, A., 1999. The XPV (xeroderma pigmentosum variant) gene encodes human DNA polymerase η. </w:t>
      </w:r>
      <w:r w:rsidRPr="00DF0680">
        <w:rPr>
          <w:i/>
          <w:iCs/>
        </w:rPr>
        <w:t>Nature</w:t>
      </w:r>
      <w:r w:rsidRPr="00DF0680">
        <w:t>, 399(6737), pp.700–704.</w:t>
      </w:r>
    </w:p>
    <w:p w:rsidR="00341643" w:rsidRPr="00DF0680" w:rsidRDefault="00341643">
      <w:pPr>
        <w:pStyle w:val="NormalWeb"/>
        <w:ind w:left="480" w:hanging="480"/>
        <w:divId w:val="930774447"/>
      </w:pPr>
      <w:r w:rsidRPr="00DF0680">
        <w:t xml:space="preserve">Matsuoka, S., Huang, M. &amp; Elledge, S.J., 1998. Linkage of ATM to Cell Cycle Regulation by the Chk2 Protein Kinase. </w:t>
      </w:r>
      <w:r w:rsidRPr="00DF0680">
        <w:rPr>
          <w:i/>
          <w:iCs/>
        </w:rPr>
        <w:t>Science</w:t>
      </w:r>
      <w:r w:rsidRPr="00DF0680">
        <w:t>, 282(5395), pp.1893–1897.</w:t>
      </w:r>
    </w:p>
    <w:p w:rsidR="00341643" w:rsidRPr="00DF0680" w:rsidRDefault="00341643">
      <w:pPr>
        <w:pStyle w:val="NormalWeb"/>
        <w:ind w:left="480" w:hanging="480"/>
        <w:divId w:val="930774447"/>
      </w:pPr>
      <w:r w:rsidRPr="00DF0680">
        <w:t xml:space="preserve">Maya, R., Balass, M., Kim, S.T., Shkedy, D., Leal, J.F., Shifman, O., Moas, M., Buschmann, T., Ronai, Z., Shiloh, Y., Kastan, M.B., Katzir, E. &amp; Oren, M., 2001. ATM-dependent phosphorylation of Mdm2 on serine 395: role in p53 activation by DNA damage. </w:t>
      </w:r>
      <w:r w:rsidRPr="00DF0680">
        <w:rPr>
          <w:i/>
          <w:iCs/>
        </w:rPr>
        <w:t>Genes &amp; Development</w:t>
      </w:r>
      <w:r w:rsidRPr="00DF0680">
        <w:t>, 15(9), pp.1067–77.</w:t>
      </w:r>
    </w:p>
    <w:p w:rsidR="00341643" w:rsidRPr="00DF0680" w:rsidRDefault="00341643">
      <w:pPr>
        <w:pStyle w:val="NormalWeb"/>
        <w:ind w:left="480" w:hanging="480"/>
        <w:divId w:val="930774447"/>
      </w:pPr>
      <w:r w:rsidRPr="00DF0680">
        <w:t xml:space="preserve">Mayr, C. &amp; Bartel, D.P., 2009. Widespread shortening of 3’UTRs by alternative cleavage and polyadenylation activates oncogenes in cancer cells. </w:t>
      </w:r>
      <w:r w:rsidRPr="00DF0680">
        <w:rPr>
          <w:i/>
          <w:iCs/>
        </w:rPr>
        <w:t>Cell</w:t>
      </w:r>
      <w:r w:rsidRPr="00DF0680">
        <w:t>, 138(4), pp.673–84.</w:t>
      </w:r>
    </w:p>
    <w:p w:rsidR="00341643" w:rsidRPr="00DF0680" w:rsidRDefault="00341643">
      <w:pPr>
        <w:pStyle w:val="NormalWeb"/>
        <w:ind w:left="480" w:hanging="480"/>
        <w:divId w:val="930774447"/>
      </w:pPr>
      <w:r w:rsidRPr="00DF0680">
        <w:t xml:space="preserve">McIlwraith, M.J., Mcllwraith, M.J., Vaisman, A., Liu, Y., Fanning, E., Woodgate, R. &amp; West, S.C., 2005. Human DNA polymerase eta promotes DNA synthesis from </w:t>
      </w:r>
      <w:r w:rsidRPr="00DF0680">
        <w:lastRenderedPageBreak/>
        <w:t xml:space="preserve">strand invasion intermediates of homologous recombination. </w:t>
      </w:r>
      <w:r w:rsidRPr="00DF0680">
        <w:rPr>
          <w:i/>
          <w:iCs/>
        </w:rPr>
        <w:t>Molecular Cell</w:t>
      </w:r>
      <w:r w:rsidRPr="00DF0680">
        <w:t>, 20(5), pp.783–92.</w:t>
      </w:r>
    </w:p>
    <w:p w:rsidR="00341643" w:rsidRPr="00DF0680" w:rsidRDefault="00341643">
      <w:pPr>
        <w:pStyle w:val="NormalWeb"/>
        <w:ind w:left="480" w:hanging="480"/>
        <w:divId w:val="930774447"/>
      </w:pPr>
      <w:r w:rsidRPr="00DF0680">
        <w:t xml:space="preserve">McIlwraith, M.J. &amp; West, S.C., 2008. DNA repair synthesis facilitates RAD52-mediated second-end capture during DSB repair. </w:t>
      </w:r>
      <w:r w:rsidRPr="00DF0680">
        <w:rPr>
          <w:i/>
          <w:iCs/>
        </w:rPr>
        <w:t>Molecular Cell</w:t>
      </w:r>
      <w:r w:rsidRPr="00DF0680">
        <w:t>, 29(4), pp.510–6.</w:t>
      </w:r>
    </w:p>
    <w:p w:rsidR="00341643" w:rsidRPr="00DF0680" w:rsidRDefault="00341643">
      <w:pPr>
        <w:pStyle w:val="NormalWeb"/>
        <w:ind w:left="480" w:hanging="480"/>
        <w:divId w:val="930774447"/>
      </w:pPr>
      <w:r w:rsidRPr="00DF0680">
        <w:t xml:space="preserve">Meetei, A.R., de Winter, J.P., Medhurst, A.L., Wallisch, M., Waisfisz, Q., van de Vrugt, H.J., Oostra, A.B., Yan, Z., Ling, C., Bishop, C.E., Hoatlin, M.E., Joenje, H. &amp; Wang, W., 2003. A novel ubiquitin ligase is deficient in Fanconi anemia. </w:t>
      </w:r>
      <w:r w:rsidRPr="00DF0680">
        <w:rPr>
          <w:i/>
          <w:iCs/>
        </w:rPr>
        <w:t>Nature Genetics</w:t>
      </w:r>
      <w:r w:rsidRPr="00DF0680">
        <w:t>, 35(2), pp.165–70.</w:t>
      </w:r>
    </w:p>
    <w:p w:rsidR="00341643" w:rsidRPr="00DF0680" w:rsidRDefault="00341643">
      <w:pPr>
        <w:pStyle w:val="NormalWeb"/>
        <w:ind w:left="480" w:hanging="480"/>
        <w:divId w:val="930774447"/>
      </w:pPr>
      <w:r w:rsidRPr="00DF0680">
        <w:t xml:space="preserve">Mendoza-Maldonado, R., Faoro, V., Bajpai, S., Berti, M., Odreman, F., Vindigni, M., Ius, T., Ghasemian, A., Bonin, S., Skrap, M., Stanta, G. &amp; Vindigni, A., 2011. The human RECQ1 helicase is highly expressed in glioblastoma and plays an important role in tumor cell proliferation. </w:t>
      </w:r>
      <w:r w:rsidRPr="00DF0680">
        <w:rPr>
          <w:i/>
          <w:iCs/>
        </w:rPr>
        <w:t>Molecular Cancer</w:t>
      </w:r>
      <w:r w:rsidRPr="00DF0680">
        <w:t>, 10(1), p.83.</w:t>
      </w:r>
    </w:p>
    <w:p w:rsidR="00341643" w:rsidRPr="00DF0680" w:rsidRDefault="00341643">
      <w:pPr>
        <w:pStyle w:val="NormalWeb"/>
        <w:ind w:left="480" w:hanging="480"/>
        <w:divId w:val="930774447"/>
      </w:pPr>
      <w:r w:rsidRPr="00DF0680">
        <w:t xml:space="preserve">Ménissier-de Murcia, J., Molinete, M., Gradwohl, G., Simonin, F. &amp; de Murcia, G., 1989. Zinc-binding domain of poly(ADP-ribose)polymerase participates in the recognition of single strand breaks on DNA. </w:t>
      </w:r>
      <w:r w:rsidRPr="00DF0680">
        <w:rPr>
          <w:i/>
          <w:iCs/>
        </w:rPr>
        <w:t>Journal of Molecular Biology</w:t>
      </w:r>
      <w:r w:rsidRPr="00DF0680">
        <w:t>, 210(1), pp.229–33.</w:t>
      </w:r>
    </w:p>
    <w:p w:rsidR="00341643" w:rsidRPr="00DF0680" w:rsidRDefault="00341643">
      <w:pPr>
        <w:pStyle w:val="NormalWeb"/>
        <w:ind w:left="480" w:hanging="480"/>
        <w:divId w:val="930774447"/>
      </w:pPr>
      <w:r w:rsidRPr="00DF0680">
        <w:t xml:space="preserve">Merrick, C.J., Jackson, D. &amp; Diffley, J.F.X., 2004. Visualization of altered replication dynamics after DNA damage in human cells. </w:t>
      </w:r>
      <w:r w:rsidRPr="00DF0680">
        <w:rPr>
          <w:i/>
          <w:iCs/>
        </w:rPr>
        <w:t>The Journal of Biological Chemistry</w:t>
      </w:r>
      <w:r w:rsidRPr="00DF0680">
        <w:t>, 279(19), pp.20067–75.</w:t>
      </w:r>
    </w:p>
    <w:p w:rsidR="00341643" w:rsidRPr="00DF0680" w:rsidRDefault="00341643">
      <w:pPr>
        <w:pStyle w:val="NormalWeb"/>
        <w:ind w:left="480" w:hanging="480"/>
        <w:divId w:val="930774447"/>
      </w:pPr>
      <w:r w:rsidRPr="00DF0680">
        <w:t xml:space="preserve">Michaloglou, C., Vredeveld, L.C.W., Soengas, M.S., Denoyelle, C., Kuilman, T., van der Horst, C.M. a M., Majoor, D.M., Shay, J.W., Mooi, W.J. &amp; Peeper, D.S., 2005. BRAFE600-associated senescence-like cell cycle arrest of human naevi. </w:t>
      </w:r>
      <w:r w:rsidRPr="00DF0680">
        <w:rPr>
          <w:i/>
          <w:iCs/>
        </w:rPr>
        <w:t>Nature</w:t>
      </w:r>
      <w:r w:rsidRPr="00DF0680">
        <w:t>, 436(7051), pp.720–4.</w:t>
      </w:r>
    </w:p>
    <w:p w:rsidR="00341643" w:rsidRPr="00DF0680" w:rsidRDefault="00341643">
      <w:pPr>
        <w:pStyle w:val="NormalWeb"/>
        <w:ind w:left="480" w:hanging="480"/>
        <w:divId w:val="930774447"/>
      </w:pPr>
      <w:r w:rsidRPr="00DF0680">
        <w:t xml:space="preserve">Michieli, P., Chedid, M., Lin, D. &amp; Pierce, J., 1994. Induction of WAF1/CIP1 by a p53-independent pathway. </w:t>
      </w:r>
      <w:r w:rsidRPr="00DF0680">
        <w:rPr>
          <w:i/>
          <w:iCs/>
        </w:rPr>
        <w:t>Cancer Research</w:t>
      </w:r>
      <w:r w:rsidRPr="00DF0680">
        <w:t>, 54(13), pp.3391–3395.</w:t>
      </w:r>
    </w:p>
    <w:p w:rsidR="00341643" w:rsidRPr="00DF0680" w:rsidRDefault="00341643">
      <w:pPr>
        <w:pStyle w:val="NormalWeb"/>
        <w:ind w:left="480" w:hanging="480"/>
        <w:divId w:val="930774447"/>
      </w:pPr>
      <w:r w:rsidRPr="00DF0680">
        <w:t xml:space="preserve">Mimitou, E.P. &amp; Symington, L.S., 2008. Sae2, Exo1 and Sgs1 collaborate in DNA double-strand break processing. </w:t>
      </w:r>
      <w:r w:rsidRPr="00DF0680">
        <w:rPr>
          <w:i/>
          <w:iCs/>
        </w:rPr>
        <w:t>Nature</w:t>
      </w:r>
      <w:r w:rsidRPr="00DF0680">
        <w:t>, 455(7214), pp.770–4.</w:t>
      </w:r>
    </w:p>
    <w:p w:rsidR="00341643" w:rsidRPr="00DF0680" w:rsidRDefault="00341643">
      <w:pPr>
        <w:pStyle w:val="NormalWeb"/>
        <w:ind w:left="480" w:hanging="480"/>
        <w:divId w:val="930774447"/>
      </w:pPr>
      <w:r w:rsidRPr="00DF0680">
        <w:t xml:space="preserve">Mirchandani, K.D., McCaffrey, R.M. &amp; D’Andrea, A.D., 2008. The Fanconi anemia core complex is required for efficient point mutagenesis and Rev1 foci assembly. </w:t>
      </w:r>
      <w:r w:rsidRPr="00DF0680">
        <w:rPr>
          <w:i/>
          <w:iCs/>
        </w:rPr>
        <w:t>DNA Repair</w:t>
      </w:r>
      <w:r w:rsidRPr="00DF0680">
        <w:t>, 7(6), pp.902–11.</w:t>
      </w:r>
    </w:p>
    <w:p w:rsidR="00341643" w:rsidRPr="00DF0680" w:rsidRDefault="00341643">
      <w:pPr>
        <w:pStyle w:val="NormalWeb"/>
        <w:ind w:left="480" w:hanging="480"/>
        <w:divId w:val="930774447"/>
      </w:pPr>
      <w:r w:rsidRPr="00DF0680">
        <w:t xml:space="preserve">Mirkin, E. V &amp; Mirkin, S.M., 2007. Replication fork stalling at natural impediments. </w:t>
      </w:r>
      <w:r w:rsidRPr="00DF0680">
        <w:rPr>
          <w:i/>
          <w:iCs/>
        </w:rPr>
        <w:t>Microbiology and Molecular Biology Reviews</w:t>
      </w:r>
      <w:r w:rsidRPr="00DF0680">
        <w:t>, 71(1), pp.13–35.</w:t>
      </w:r>
    </w:p>
    <w:p w:rsidR="00341643" w:rsidRPr="00DF0680" w:rsidRDefault="00341643">
      <w:pPr>
        <w:pStyle w:val="NormalWeb"/>
        <w:ind w:left="480" w:hanging="480"/>
        <w:divId w:val="930774447"/>
      </w:pPr>
      <w:r w:rsidRPr="00DF0680">
        <w:t xml:space="preserve">Miyake, N., Chikumi, H., Takata, M., Nakamoto, M., Igishi, T. &amp; Shimizu, E., 2012. Rapamycin induces p53-independent apoptosis through the mitochondrial pathway in non-small cell lung cancer cells. </w:t>
      </w:r>
      <w:r w:rsidRPr="00DF0680">
        <w:rPr>
          <w:i/>
          <w:iCs/>
        </w:rPr>
        <w:t>Oncology Reports</w:t>
      </w:r>
      <w:r w:rsidRPr="00DF0680">
        <w:t>, 28(3), pp.848–54.</w:t>
      </w:r>
    </w:p>
    <w:p w:rsidR="00341643" w:rsidRPr="00DF0680" w:rsidRDefault="00341643">
      <w:pPr>
        <w:pStyle w:val="NormalWeb"/>
        <w:ind w:left="480" w:hanging="480"/>
        <w:divId w:val="930774447"/>
      </w:pPr>
      <w:r w:rsidRPr="00DF0680">
        <w:t xml:space="preserve">Miyashita, T. &amp; Reed, J.C., 1995. Tumor suppressor p53 is a direct transcriptional activator of the human bax gene. </w:t>
      </w:r>
      <w:r w:rsidRPr="00DF0680">
        <w:rPr>
          <w:i/>
          <w:iCs/>
        </w:rPr>
        <w:t>Cell</w:t>
      </w:r>
      <w:r w:rsidRPr="00DF0680">
        <w:t>, 80(2), pp.293–9.</w:t>
      </w:r>
    </w:p>
    <w:p w:rsidR="00341643" w:rsidRPr="00DF0680" w:rsidRDefault="00341643">
      <w:pPr>
        <w:pStyle w:val="NormalWeb"/>
        <w:ind w:left="480" w:hanging="480"/>
        <w:divId w:val="930774447"/>
      </w:pPr>
      <w:r w:rsidRPr="00DF0680">
        <w:lastRenderedPageBreak/>
        <w:t xml:space="preserve">Moens, P. &amp; Freire, R., 2000. Expression and nuclear localization of BLM, a chromosome stability protein mutated in Bloom’s syndrome, suggest a role in recombination during meiotic prophase. </w:t>
      </w:r>
      <w:r w:rsidRPr="00DF0680">
        <w:rPr>
          <w:i/>
          <w:iCs/>
        </w:rPr>
        <w:t>Journal of Cell Science</w:t>
      </w:r>
      <w:r w:rsidRPr="00DF0680">
        <w:t>, 113(Pt 4), pp.663–672.</w:t>
      </w:r>
    </w:p>
    <w:p w:rsidR="00341643" w:rsidRPr="00DF0680" w:rsidRDefault="00341643">
      <w:pPr>
        <w:pStyle w:val="NormalWeb"/>
        <w:ind w:left="480" w:hanging="480"/>
        <w:divId w:val="930774447"/>
      </w:pPr>
      <w:r w:rsidRPr="00DF0680">
        <w:t xml:space="preserve">Mohaghegh, P. &amp; Karow, J., 2001. The Bloom’s and Werner's syndrome proteins are DNA structure-specific helicases. </w:t>
      </w:r>
      <w:r w:rsidRPr="00DF0680">
        <w:rPr>
          <w:i/>
          <w:iCs/>
        </w:rPr>
        <w:t>Nucleic Acids Research</w:t>
      </w:r>
      <w:r w:rsidRPr="00DF0680">
        <w:t>, 29(13), pp.2843–2849.</w:t>
      </w:r>
    </w:p>
    <w:p w:rsidR="00341643" w:rsidRPr="00DF0680" w:rsidRDefault="00341643">
      <w:pPr>
        <w:pStyle w:val="NormalWeb"/>
        <w:ind w:left="480" w:hanging="480"/>
        <w:divId w:val="930774447"/>
      </w:pPr>
      <w:r w:rsidRPr="00DF0680">
        <w:t xml:space="preserve">Moldovan, G.-L., Madhavan, M. V, Mirchandani, K.D., McCaffrey, R.M., Vinciguerra, P. &amp; D’Andrea, A.D., 2010. DNA polymerase POLN participates in cross-link repair and homologous recombination. </w:t>
      </w:r>
      <w:r w:rsidRPr="00DF0680">
        <w:rPr>
          <w:i/>
          <w:iCs/>
        </w:rPr>
        <w:t>Molecular and Cellular Biology</w:t>
      </w:r>
      <w:r w:rsidRPr="00DF0680">
        <w:t>, 30(4), pp.1088–96.</w:t>
      </w:r>
    </w:p>
    <w:p w:rsidR="00341643" w:rsidRPr="00DF0680" w:rsidRDefault="00341643">
      <w:pPr>
        <w:pStyle w:val="NormalWeb"/>
        <w:ind w:left="480" w:hanging="480"/>
        <w:divId w:val="930774447"/>
      </w:pPr>
      <w:r w:rsidRPr="00DF0680">
        <w:t xml:space="preserve">Montagnoli, A., Valsasina, B., Brotherton, D., Troiani, S., Rainoldi, S., Tenca, P., Molinari, A. &amp; Santocanale, C., 2006. Identification of Mcm2 phosphorylation sites by S-phase-regulating kinases. </w:t>
      </w:r>
      <w:r w:rsidRPr="00DF0680">
        <w:rPr>
          <w:i/>
          <w:iCs/>
        </w:rPr>
        <w:t>The Journal of Biological Chemistry</w:t>
      </w:r>
      <w:r w:rsidRPr="00DF0680">
        <w:t>, 281(15), pp.10281–90.</w:t>
      </w:r>
    </w:p>
    <w:p w:rsidR="00341643" w:rsidRPr="00DF0680" w:rsidRDefault="00341643">
      <w:pPr>
        <w:pStyle w:val="NormalWeb"/>
        <w:ind w:left="480" w:hanging="480"/>
        <w:divId w:val="930774447"/>
      </w:pPr>
      <w:r w:rsidRPr="00DF0680">
        <w:t xml:space="preserve">Montironi, R., 2005. The 2004 WHO Classification of Bladder Tumors: A Summary and Commentary. </w:t>
      </w:r>
      <w:r w:rsidRPr="00DF0680">
        <w:rPr>
          <w:i/>
          <w:iCs/>
        </w:rPr>
        <w:t>International Journal of Surgical Pathology</w:t>
      </w:r>
      <w:r w:rsidRPr="00DF0680">
        <w:t>, 13(2), pp.143–153.</w:t>
      </w:r>
    </w:p>
    <w:p w:rsidR="00341643" w:rsidRPr="00DF0680" w:rsidRDefault="00341643">
      <w:pPr>
        <w:pStyle w:val="NormalWeb"/>
        <w:ind w:left="480" w:hanging="480"/>
        <w:divId w:val="930774447"/>
      </w:pPr>
      <w:r w:rsidRPr="00DF0680">
        <w:t xml:space="preserve">Motegi, a., Liaw, H.-J., Lee, K.-Y., Roest, H.P., Maas, a., Wu, X., Moinova, H., Markowitz, S.D., Ding, H., Hoeijmakers, J.H.J. &amp; Myung, K., 2008. Polyubiquitination of proliferating cell nuclear antigen by HLTF and SHPRH prevents genomic instability from stalled replication forks. </w:t>
      </w:r>
      <w:r w:rsidRPr="00DF0680">
        <w:rPr>
          <w:i/>
          <w:iCs/>
        </w:rPr>
        <w:t>Proceedings of the National Academy of Sciences</w:t>
      </w:r>
      <w:r w:rsidRPr="00DF0680">
        <w:t>, 105(34), pp.12411–12416.</w:t>
      </w:r>
    </w:p>
    <w:p w:rsidR="00341643" w:rsidRPr="00DF0680" w:rsidRDefault="00341643">
      <w:pPr>
        <w:pStyle w:val="NormalWeb"/>
        <w:ind w:left="480" w:hanging="480"/>
        <w:divId w:val="930774447"/>
      </w:pPr>
      <w:r w:rsidRPr="00DF0680">
        <w:t xml:space="preserve">Müer, A., Overkamp, T., Gillissen, B., Richter, A., Pretzsch, T., Milojkovic, A., Dörken, B., Daniel, P.T. &amp; Hemmati, P., 2012. p14(ARF)-induced apoptosis in p53 protein-deficient cells is mediated by BH3-only protein-independent derepression of Bak protein through down-regulation of Mcl-1 and Bcl-xL proteins. </w:t>
      </w:r>
      <w:r w:rsidRPr="00DF0680">
        <w:rPr>
          <w:i/>
          <w:iCs/>
        </w:rPr>
        <w:t>The Journal of Biological Chemistry</w:t>
      </w:r>
      <w:r w:rsidRPr="00DF0680">
        <w:t>, 287(21), pp.17343–52.</w:t>
      </w:r>
    </w:p>
    <w:p w:rsidR="00341643" w:rsidRPr="00DF0680" w:rsidRDefault="00341643">
      <w:pPr>
        <w:pStyle w:val="NormalWeb"/>
        <w:ind w:left="480" w:hanging="480"/>
        <w:divId w:val="930774447"/>
      </w:pPr>
      <w:r w:rsidRPr="00DF0680">
        <w:t xml:space="preserve">Mullen, J.R., Kaliraman, V., Ibrahim, S.S. &amp; Brill, S.J., 2001. Requirement for three novel protein complexes in the absence of the Sgs1 DNA helicase in Saccharomyces cerevisiae. </w:t>
      </w:r>
      <w:r w:rsidRPr="00DF0680">
        <w:rPr>
          <w:i/>
          <w:iCs/>
        </w:rPr>
        <w:t>Genetics</w:t>
      </w:r>
      <w:r w:rsidRPr="00DF0680">
        <w:t>, 157(1), pp.103–18.</w:t>
      </w:r>
    </w:p>
    <w:p w:rsidR="00341643" w:rsidRPr="00DF0680" w:rsidRDefault="00341643">
      <w:pPr>
        <w:pStyle w:val="NormalWeb"/>
        <w:ind w:left="480" w:hanging="480"/>
        <w:divId w:val="930774447"/>
      </w:pPr>
      <w:r w:rsidRPr="00DF0680">
        <w:t xml:space="preserve">Murtha-Riel, P., Davies, M. &amp; Scherer, B., 1993. Expression of a phosphorylation-resistant eukaryotic initiation factor 2 alpha-subunit mitigates heat shock inhibition of protein synthesis. </w:t>
      </w:r>
      <w:r w:rsidRPr="00DF0680">
        <w:rPr>
          <w:i/>
          <w:iCs/>
        </w:rPr>
        <w:t>Journal of Biological Chemistry</w:t>
      </w:r>
      <w:r w:rsidRPr="00DF0680">
        <w:t>, 268(17), pp.12946–12951.</w:t>
      </w:r>
    </w:p>
    <w:p w:rsidR="00341643" w:rsidRPr="00DF0680" w:rsidRDefault="00341643">
      <w:pPr>
        <w:pStyle w:val="NormalWeb"/>
        <w:ind w:left="480" w:hanging="480"/>
        <w:divId w:val="930774447"/>
      </w:pPr>
      <w:r w:rsidRPr="00DF0680">
        <w:t xml:space="preserve">Nakano, K. &amp; Vousden, K., 2001. PUMA, a Novel Proapoptotic Gene, Is Induced by p53. </w:t>
      </w:r>
      <w:r w:rsidRPr="00DF0680">
        <w:rPr>
          <w:i/>
          <w:iCs/>
        </w:rPr>
        <w:t>Molecular Cell</w:t>
      </w:r>
      <w:r w:rsidRPr="00DF0680">
        <w:t>, 7(3), pp.683–694.</w:t>
      </w:r>
    </w:p>
    <w:p w:rsidR="00341643" w:rsidRPr="00DF0680" w:rsidRDefault="00341643">
      <w:pPr>
        <w:pStyle w:val="NormalWeb"/>
        <w:ind w:left="480" w:hanging="480"/>
        <w:divId w:val="930774447"/>
      </w:pPr>
      <w:r w:rsidRPr="00DF0680">
        <w:t xml:space="preserve">Nakayama, H. &amp; Nakayama, K., 1984. Isolation and genetic characterization of a thymineless death-resistant mutant of Escherichia coli K12: identification of a new mutation (recQ1) that blocks the RecF recombination pathway. </w:t>
      </w:r>
      <w:r w:rsidRPr="00DF0680">
        <w:rPr>
          <w:i/>
          <w:iCs/>
        </w:rPr>
        <w:t>Molecular and General Genetics</w:t>
      </w:r>
      <w:r w:rsidRPr="00DF0680">
        <w:t>, 195(3), pp.474–480.</w:t>
      </w:r>
    </w:p>
    <w:p w:rsidR="00341643" w:rsidRPr="00DF0680" w:rsidRDefault="00341643">
      <w:pPr>
        <w:pStyle w:val="NormalWeb"/>
        <w:ind w:left="480" w:hanging="480"/>
        <w:divId w:val="930774447"/>
      </w:pPr>
      <w:r w:rsidRPr="00DF0680">
        <w:lastRenderedPageBreak/>
        <w:t xml:space="preserve">Nakayama, K., Irino, N. &amp; Nakayama, H., 1985. The recQ gene of Escherichia coli K12: molecular cloning and isolation of insertion mutants. </w:t>
      </w:r>
      <w:r w:rsidRPr="00DF0680">
        <w:rPr>
          <w:i/>
          <w:iCs/>
        </w:rPr>
        <w:t>Molecular and General Genetics</w:t>
      </w:r>
      <w:r w:rsidRPr="00DF0680">
        <w:t>, 200(2), pp.266–271.</w:t>
      </w:r>
    </w:p>
    <w:p w:rsidR="00341643" w:rsidRPr="00DF0680" w:rsidRDefault="00341643">
      <w:pPr>
        <w:pStyle w:val="NormalWeb"/>
        <w:ind w:left="480" w:hanging="480"/>
        <w:divId w:val="930774447"/>
      </w:pPr>
      <w:r w:rsidRPr="00DF0680">
        <w:t xml:space="preserve">Nassif, N., Penney, J. &amp; Pal, S., 1994. Efficient copying of nonhomologous sequences from ectopic sites via P-element-induced gap repair. </w:t>
      </w:r>
      <w:r w:rsidRPr="00DF0680">
        <w:rPr>
          <w:i/>
          <w:iCs/>
        </w:rPr>
        <w:t>Molecular and Cellular Biology</w:t>
      </w:r>
      <w:r w:rsidRPr="00DF0680">
        <w:t>, 14(3), pp.1613–1625.</w:t>
      </w:r>
    </w:p>
    <w:p w:rsidR="00341643" w:rsidRPr="00DF0680" w:rsidRDefault="00341643">
      <w:pPr>
        <w:pStyle w:val="NormalWeb"/>
        <w:ind w:left="480" w:hanging="480"/>
        <w:divId w:val="930774447"/>
      </w:pPr>
      <w:r w:rsidRPr="00DF0680">
        <w:t xml:space="preserve">Neff, N., Ellis, N. &amp; Ye, T., 1999. The DNA helicase activity of BLM is necessary for the correction of the genomic instability of bloom syndrome cells. </w:t>
      </w:r>
      <w:r w:rsidRPr="00DF0680">
        <w:rPr>
          <w:i/>
          <w:iCs/>
        </w:rPr>
        <w:t>Molecular Biology of the Cell</w:t>
      </w:r>
      <w:r w:rsidRPr="00DF0680">
        <w:t>, 10(3), pp.665–676.</w:t>
      </w:r>
    </w:p>
    <w:p w:rsidR="00341643" w:rsidRPr="00DF0680" w:rsidRDefault="00341643">
      <w:pPr>
        <w:pStyle w:val="NormalWeb"/>
        <w:ind w:left="480" w:hanging="480"/>
        <w:divId w:val="930774447"/>
      </w:pPr>
      <w:r w:rsidRPr="00DF0680">
        <w:t xml:space="preserve">New, J., Sugiyama, T., Zaitseva, E. &amp; Kowalczykowski, S., 1998. Rad52 protein stimulates DNA strand exchange by Rad51 and replication protein A. </w:t>
      </w:r>
      <w:r w:rsidRPr="00DF0680">
        <w:rPr>
          <w:i/>
          <w:iCs/>
        </w:rPr>
        <w:t>Nature</w:t>
      </w:r>
      <w:r w:rsidRPr="00DF0680">
        <w:t>, 391(6665), pp.407–410.</w:t>
      </w:r>
    </w:p>
    <w:p w:rsidR="00341643" w:rsidRPr="00DF0680" w:rsidRDefault="00341643">
      <w:pPr>
        <w:pStyle w:val="NormalWeb"/>
        <w:ind w:left="480" w:hanging="480"/>
        <w:divId w:val="930774447"/>
      </w:pPr>
      <w:r w:rsidRPr="00DF0680">
        <w:t xml:space="preserve">Ng, S., Liu, Y. &amp; Hasselblatt, K., 1999. A new human topoisomerase III that interacts with SGS1 protein. </w:t>
      </w:r>
      <w:r w:rsidRPr="00DF0680">
        <w:rPr>
          <w:i/>
          <w:iCs/>
        </w:rPr>
        <w:t>Nucleic Acids Research</w:t>
      </w:r>
      <w:r w:rsidRPr="00DF0680">
        <w:t>, 27(4), pp.993–1000.</w:t>
      </w:r>
    </w:p>
    <w:p w:rsidR="00341643" w:rsidRPr="00DF0680" w:rsidRDefault="00341643">
      <w:pPr>
        <w:pStyle w:val="NormalWeb"/>
        <w:ind w:left="480" w:hanging="480"/>
        <w:divId w:val="930774447"/>
      </w:pPr>
      <w:r w:rsidRPr="00DF0680">
        <w:t xml:space="preserve">Nguyen, G.H., Dexheimer, T.S., Rosenthal, A.S., Chu, W.K., Singh, D.K., Mosedale, G., Bachrati, C.Z., Schultz, L., Sakurai, M., Savitsky, P., Abu, M., McHugh, P.J., Bohr, V. a, Harris, C.C., Jadhav, A., Gileadi, O., Maloney, D.J., Simeonov, A. &amp; Hickson, I.D., 2013. A small molecule inhibitor of the BLM helicase modulates chromosome stability in human cells. </w:t>
      </w:r>
      <w:r w:rsidRPr="00DF0680">
        <w:rPr>
          <w:i/>
          <w:iCs/>
        </w:rPr>
        <w:t>Chemistry &amp; Biology</w:t>
      </w:r>
      <w:r w:rsidRPr="00DF0680">
        <w:t>, 20(1), pp.55–62.</w:t>
      </w:r>
    </w:p>
    <w:p w:rsidR="00341643" w:rsidRPr="00DF0680" w:rsidRDefault="00341643">
      <w:pPr>
        <w:pStyle w:val="NormalWeb"/>
        <w:ind w:left="480" w:hanging="480"/>
        <w:divId w:val="930774447"/>
      </w:pPr>
      <w:r w:rsidRPr="00DF0680">
        <w:t xml:space="preserve">Nicolás, a L., Munz, P.L. &amp; Young, C.S., 1995. A modified single-strand annealing model best explains the joining of DNA double-strand breaks mammalian cells and cell extracts. </w:t>
      </w:r>
      <w:r w:rsidRPr="00DF0680">
        <w:rPr>
          <w:i/>
          <w:iCs/>
        </w:rPr>
        <w:t>Nucleic Acids Research</w:t>
      </w:r>
      <w:r w:rsidRPr="00DF0680">
        <w:t>, 23(6), pp.1036–43.</w:t>
      </w:r>
    </w:p>
    <w:p w:rsidR="00341643" w:rsidRPr="00DF0680" w:rsidRDefault="00341643">
      <w:pPr>
        <w:pStyle w:val="NormalWeb"/>
        <w:ind w:left="480" w:hanging="480"/>
        <w:divId w:val="930774447"/>
      </w:pPr>
      <w:r w:rsidRPr="00DF0680">
        <w:t xml:space="preserve">Nimonkar, A. V, Genschel, J., Kinoshita, E., Polaczek, P., Campbell, J.L., Wyman, C., Modrich, P. &amp; Kowalczykowski, S.C., 2011. BLM-DNA2-RPA-MRN and EXO1-BLM-RPA-MRN constitute two DNA end resection machineries for human DNA break repair. </w:t>
      </w:r>
      <w:r w:rsidRPr="00DF0680">
        <w:rPr>
          <w:i/>
          <w:iCs/>
        </w:rPr>
        <w:t>Genes &amp; Development</w:t>
      </w:r>
      <w:r w:rsidRPr="00DF0680">
        <w:t>, 25(4), pp.350–62.</w:t>
      </w:r>
    </w:p>
    <w:p w:rsidR="00341643" w:rsidRPr="00DF0680" w:rsidRDefault="00341643">
      <w:pPr>
        <w:pStyle w:val="NormalWeb"/>
        <w:ind w:left="480" w:hanging="480"/>
        <w:divId w:val="930774447"/>
      </w:pPr>
      <w:r w:rsidRPr="00DF0680">
        <w:t xml:space="preserve">Office for National Statistics, 2014. </w:t>
      </w:r>
      <w:r w:rsidRPr="00DF0680">
        <w:rPr>
          <w:i/>
          <w:iCs/>
        </w:rPr>
        <w:t>Cancer Registration Statistics, England, 2012</w:t>
      </w:r>
      <w:r w:rsidRPr="00DF0680">
        <w:t>,</w:t>
      </w:r>
    </w:p>
    <w:p w:rsidR="00341643" w:rsidRPr="00DF0680" w:rsidRDefault="00341643">
      <w:pPr>
        <w:pStyle w:val="NormalWeb"/>
        <w:ind w:left="480" w:hanging="480"/>
        <w:divId w:val="930774447"/>
      </w:pPr>
      <w:r w:rsidRPr="00DF0680">
        <w:t xml:space="preserve">Ogata, N., Ueda, K., Kawaichi, M. &amp; Hayaishi, O., 1981. Poly (ADP-ribose) synthetase, a main acceptor of poly (ADP-ribose) in isolated nuclei. </w:t>
      </w:r>
      <w:r w:rsidRPr="00DF0680">
        <w:rPr>
          <w:i/>
          <w:iCs/>
        </w:rPr>
        <w:t>Journal of Biological Chemistry</w:t>
      </w:r>
      <w:r w:rsidRPr="00DF0680">
        <w:t>, 256(9), pp.4135–7.</w:t>
      </w:r>
    </w:p>
    <w:p w:rsidR="00341643" w:rsidRPr="00DF0680" w:rsidRDefault="00341643">
      <w:pPr>
        <w:pStyle w:val="NormalWeb"/>
        <w:ind w:left="480" w:hanging="480"/>
        <w:divId w:val="930774447"/>
      </w:pPr>
      <w:r w:rsidRPr="00DF0680">
        <w:t xml:space="preserve">Ohtsubo, M. &amp; Theodoras, A., 1995. Human cyclin E, a nuclear protein essential for the G1-to-S phase transition. </w:t>
      </w:r>
      <w:r w:rsidRPr="00DF0680">
        <w:rPr>
          <w:i/>
          <w:iCs/>
        </w:rPr>
        <w:t>Molecular and Cellular Biology</w:t>
      </w:r>
      <w:r w:rsidRPr="00DF0680">
        <w:t>, 15(5), pp.2612–24.</w:t>
      </w:r>
    </w:p>
    <w:p w:rsidR="00341643" w:rsidRPr="00DF0680" w:rsidRDefault="00341643">
      <w:pPr>
        <w:pStyle w:val="NormalWeb"/>
        <w:ind w:left="480" w:hanging="480"/>
        <w:divId w:val="930774447"/>
      </w:pPr>
      <w:r w:rsidRPr="00DF0680">
        <w:t xml:space="preserve">Olie, R., Simões-Wüst, A. &amp; Baumann, B., 2000. A novel antisense oligonucleotide targeting survivin expression induces apoptosis and sensitizes lung cancer cells to chemotherapy. </w:t>
      </w:r>
      <w:r w:rsidRPr="00DF0680">
        <w:rPr>
          <w:i/>
          <w:iCs/>
        </w:rPr>
        <w:t>Cancer Research</w:t>
      </w:r>
      <w:r w:rsidRPr="00DF0680">
        <w:t>, 60(11), pp.2805–2809.</w:t>
      </w:r>
    </w:p>
    <w:p w:rsidR="00341643" w:rsidRPr="00DF0680" w:rsidRDefault="00341643">
      <w:pPr>
        <w:pStyle w:val="NormalWeb"/>
        <w:ind w:left="480" w:hanging="480"/>
        <w:divId w:val="930774447"/>
      </w:pPr>
      <w:r w:rsidRPr="00DF0680">
        <w:t xml:space="preserve">Olson, E., Nievera, C.J., Lee, A.Y.-L., Chen, L. &amp; Wu, X., 2007. The Mre11-Rad50-Nbs1 complex acts both upstream and downstream of ataxia telangiectasia mutated </w:t>
      </w:r>
      <w:r w:rsidRPr="00DF0680">
        <w:lastRenderedPageBreak/>
        <w:t xml:space="preserve">and Rad3-related protein (ATR) to regulate the S-phase checkpoint following UV treatment. </w:t>
      </w:r>
      <w:r w:rsidRPr="00DF0680">
        <w:rPr>
          <w:i/>
          <w:iCs/>
        </w:rPr>
        <w:t>The Journal of Biological Chemistry</w:t>
      </w:r>
      <w:r w:rsidRPr="00DF0680">
        <w:t>, 282(31), pp.22939–52.</w:t>
      </w:r>
    </w:p>
    <w:p w:rsidR="00341643" w:rsidRPr="00DF0680" w:rsidRDefault="00341643">
      <w:pPr>
        <w:pStyle w:val="NormalWeb"/>
        <w:ind w:left="480" w:hanging="480"/>
        <w:divId w:val="930774447"/>
      </w:pPr>
      <w:r w:rsidRPr="00DF0680">
        <w:t xml:space="preserve">Oosterlinck, W., Lobel, B. &amp; Jakse, G., 2002. Guidelines on bladder cancer. </w:t>
      </w:r>
      <w:r w:rsidRPr="00DF0680">
        <w:rPr>
          <w:i/>
          <w:iCs/>
        </w:rPr>
        <w:t>European Urology</w:t>
      </w:r>
      <w:r w:rsidRPr="00DF0680">
        <w:t>, 41(2), pp.105–12.</w:t>
      </w:r>
    </w:p>
    <w:p w:rsidR="00341643" w:rsidRPr="00DF0680" w:rsidRDefault="00341643">
      <w:pPr>
        <w:pStyle w:val="NormalWeb"/>
        <w:ind w:left="480" w:hanging="480"/>
        <w:divId w:val="930774447"/>
      </w:pPr>
      <w:r w:rsidRPr="00DF0680">
        <w:t xml:space="preserve">Opresko, P.L., von Kobbe, C., Laine, J.-P., Harrigan, J., Hickson, I.D. &amp; Bohr, V. a, 2002. Telomere-binding protein TRF2 binds to and stimulates the Werner and Bloom syndrome helicases. </w:t>
      </w:r>
      <w:r w:rsidRPr="00DF0680">
        <w:rPr>
          <w:i/>
          <w:iCs/>
        </w:rPr>
        <w:t>The Journal of Biological Chemistry</w:t>
      </w:r>
      <w:r w:rsidRPr="00DF0680">
        <w:t>, 277(43), pp.41110–9.</w:t>
      </w:r>
    </w:p>
    <w:p w:rsidR="00341643" w:rsidRPr="00DF0680" w:rsidRDefault="00341643">
      <w:pPr>
        <w:pStyle w:val="NormalWeb"/>
        <w:ind w:left="480" w:hanging="480"/>
        <w:divId w:val="930774447"/>
      </w:pPr>
      <w:r w:rsidRPr="00DF0680">
        <w:t xml:space="preserve">Opresko, P.L., Mason, P. a, Podell, E.R., Lei, M., Hickson, I.D., Cech, T.R. &amp; Bohr, V. a, 2005. POT1 stimulates RecQ helicases WRN and BLM to unwind telomeric DNA substrates. </w:t>
      </w:r>
      <w:r w:rsidRPr="00DF0680">
        <w:rPr>
          <w:i/>
          <w:iCs/>
        </w:rPr>
        <w:t>The Journal of Biological Chemistry</w:t>
      </w:r>
      <w:r w:rsidRPr="00DF0680">
        <w:t>, 280(37), pp.32069–80.</w:t>
      </w:r>
    </w:p>
    <w:p w:rsidR="00341643" w:rsidRPr="00DF0680" w:rsidRDefault="00341643">
      <w:pPr>
        <w:pStyle w:val="NormalWeb"/>
        <w:ind w:left="480" w:hanging="480"/>
        <w:divId w:val="930774447"/>
      </w:pPr>
      <w:r w:rsidRPr="00DF0680">
        <w:t xml:space="preserve">Opresko, P.L., Otterlei, M., Graakjaer, J., Bruheim, P., Dawut, L., Kølvraa, S., May, A., Seidman, M.M. &amp; Bohr, V. a, 2004. The Werner syndrome helicase and exonuclease cooperate to resolve telomeric D loops in a manner regulated by TRF1 and TRF2. </w:t>
      </w:r>
      <w:r w:rsidRPr="00DF0680">
        <w:rPr>
          <w:i/>
          <w:iCs/>
        </w:rPr>
        <w:t>Molecular Cell</w:t>
      </w:r>
      <w:r w:rsidRPr="00DF0680">
        <w:t>, 14(6), pp.763–74.</w:t>
      </w:r>
    </w:p>
    <w:p w:rsidR="00341643" w:rsidRPr="00DF0680" w:rsidRDefault="00341643">
      <w:pPr>
        <w:pStyle w:val="NormalWeb"/>
        <w:ind w:left="480" w:hanging="480"/>
        <w:divId w:val="930774447"/>
      </w:pPr>
      <w:r w:rsidRPr="00DF0680">
        <w:t xml:space="preserve">Ørom, U.A., Nielsen, F.C. &amp; Lund, A.H., 2008. MicroRNA-10a binds the 5’UTR of ribosomal protein mRNAs and enhances their translation. </w:t>
      </w:r>
      <w:r w:rsidRPr="00DF0680">
        <w:rPr>
          <w:i/>
          <w:iCs/>
        </w:rPr>
        <w:t>Molecular Cell</w:t>
      </w:r>
      <w:r w:rsidRPr="00DF0680">
        <w:t>, 30(4), pp.460–71.</w:t>
      </w:r>
    </w:p>
    <w:p w:rsidR="00341643" w:rsidRPr="00DF0680" w:rsidRDefault="00341643">
      <w:pPr>
        <w:pStyle w:val="NormalWeb"/>
        <w:ind w:left="480" w:hanging="480"/>
        <w:divId w:val="930774447"/>
      </w:pPr>
      <w:r w:rsidRPr="00DF0680">
        <w:t xml:space="preserve">Orren, D.K., Machwe, A., Karmakar, P., Piotrowski, J., Cooper, M.P. &amp; Bohr, V.A., 2001. A functional interaction of Ku with Werner exonuclease facilitates digestion of damaged DNA. </w:t>
      </w:r>
      <w:r w:rsidRPr="00DF0680">
        <w:rPr>
          <w:i/>
          <w:iCs/>
        </w:rPr>
        <w:t>Nucleic Acids Research</w:t>
      </w:r>
      <w:r w:rsidRPr="00DF0680">
        <w:t>, 29(9), pp.1926–1934.</w:t>
      </w:r>
    </w:p>
    <w:p w:rsidR="00341643" w:rsidRPr="00DF0680" w:rsidRDefault="00341643">
      <w:pPr>
        <w:pStyle w:val="NormalWeb"/>
        <w:ind w:left="480" w:hanging="480"/>
        <w:divId w:val="930774447"/>
      </w:pPr>
      <w:r w:rsidRPr="00DF0680">
        <w:t xml:space="preserve">Oshima, J., Huang, S., Pae, C., Campisi, J. &amp; Schiestl, R.H., 2002. Lack of WRN Results in Extensive Deletion at Nonhomologous Joining Ends. </w:t>
      </w:r>
      <w:r w:rsidRPr="00DF0680">
        <w:rPr>
          <w:i/>
          <w:iCs/>
        </w:rPr>
        <w:t>Cancer Research</w:t>
      </w:r>
      <w:r w:rsidRPr="00DF0680">
        <w:t>, 62(2), pp.547–551.</w:t>
      </w:r>
    </w:p>
    <w:p w:rsidR="00341643" w:rsidRPr="00DF0680" w:rsidRDefault="00341643">
      <w:pPr>
        <w:pStyle w:val="NormalWeb"/>
        <w:ind w:left="480" w:hanging="480"/>
        <w:divId w:val="930774447"/>
      </w:pPr>
      <w:r w:rsidRPr="00DF0680">
        <w:t xml:space="preserve">Ouyang, K.J., Woo, L.L., Zhu, J., Huo, D., Matunis, M.J. &amp; Ellis, </w:t>
      </w:r>
      <w:proofErr w:type="gramStart"/>
      <w:r w:rsidRPr="00DF0680">
        <w:t>N</w:t>
      </w:r>
      <w:proofErr w:type="gramEnd"/>
      <w:r w:rsidRPr="00DF0680">
        <w:t xml:space="preserve">. a, 2009. SUMO modification regulates BLM and RAD51 interaction at damaged replication forks. </w:t>
      </w:r>
      <w:r w:rsidRPr="00DF0680">
        <w:rPr>
          <w:i/>
          <w:iCs/>
        </w:rPr>
        <w:t>PLoS Biology</w:t>
      </w:r>
      <w:r w:rsidRPr="00DF0680">
        <w:t>, 7(12), p.e1000252.</w:t>
      </w:r>
    </w:p>
    <w:p w:rsidR="00341643" w:rsidRPr="00DF0680" w:rsidRDefault="00341643">
      <w:pPr>
        <w:pStyle w:val="NormalWeb"/>
        <w:ind w:left="480" w:hanging="480"/>
        <w:divId w:val="930774447"/>
      </w:pPr>
      <w:r w:rsidRPr="00DF0680">
        <w:t xml:space="preserve">Ozsoy, A.Z., Ragonese, H.M. &amp; Matson, S.W., 2003. Analysis of helicase activity and substrate specificity of Drosophila RECQ5. </w:t>
      </w:r>
      <w:r w:rsidRPr="00DF0680">
        <w:rPr>
          <w:i/>
          <w:iCs/>
        </w:rPr>
        <w:t>Nucleic Acids Research</w:t>
      </w:r>
      <w:r w:rsidRPr="00DF0680">
        <w:t>, 31(5), pp.1554–1564.</w:t>
      </w:r>
    </w:p>
    <w:p w:rsidR="00341643" w:rsidRPr="00DF0680" w:rsidRDefault="00341643">
      <w:pPr>
        <w:pStyle w:val="NormalWeb"/>
        <w:ind w:left="480" w:hanging="480"/>
        <w:divId w:val="930774447"/>
      </w:pPr>
      <w:r w:rsidRPr="00DF0680">
        <w:t xml:space="preserve">Pacek, M. &amp; Walter, J.C., 2004. A requirement for MCM7 and Cdc45 in chromosome unwinding during eukaryotic DNA replication. </w:t>
      </w:r>
      <w:r w:rsidRPr="00DF0680">
        <w:rPr>
          <w:i/>
          <w:iCs/>
        </w:rPr>
        <w:t>The EMBO Journal</w:t>
      </w:r>
      <w:r w:rsidRPr="00DF0680">
        <w:t>, 23(18), pp.3667–76.</w:t>
      </w:r>
    </w:p>
    <w:p w:rsidR="00341643" w:rsidRPr="00DF0680" w:rsidRDefault="00341643">
      <w:pPr>
        <w:pStyle w:val="NormalWeb"/>
        <w:ind w:left="480" w:hanging="480"/>
        <w:divId w:val="930774447"/>
      </w:pPr>
      <w:r w:rsidRPr="00DF0680">
        <w:t xml:space="preserve">Paliwal, S., Kanagaraj, R., Sturzenegger, A., Burdova, K. &amp; Janscak, P., 2013. Human RECQ5 helicase promotes repair of DNA double-strand breaks by synthesis-dependent strand annealing. </w:t>
      </w:r>
      <w:r w:rsidRPr="00DF0680">
        <w:rPr>
          <w:i/>
          <w:iCs/>
        </w:rPr>
        <w:t>Nucleic Acids Research</w:t>
      </w:r>
      <w:r w:rsidRPr="00DF0680">
        <w:t>, 42(4), pp.2380–90.</w:t>
      </w:r>
    </w:p>
    <w:p w:rsidR="00341643" w:rsidRPr="00DF0680" w:rsidRDefault="00341643">
      <w:pPr>
        <w:pStyle w:val="NormalWeb"/>
        <w:ind w:left="480" w:hanging="480"/>
        <w:divId w:val="930774447"/>
      </w:pPr>
      <w:r w:rsidRPr="00DF0680">
        <w:lastRenderedPageBreak/>
        <w:t xml:space="preserve">Palombo, F., Iaccarino, I., Nakajima, E., Ikejima, M., Shimada, T. &amp; Jiricny, J., 1996. hMutSbeta, a heterodimer of hMSH2 and hMSH3, binds to insertion/deletion loops in DNA. </w:t>
      </w:r>
      <w:r w:rsidRPr="00DF0680">
        <w:rPr>
          <w:i/>
          <w:iCs/>
        </w:rPr>
        <w:t>Current Biology</w:t>
      </w:r>
      <w:r w:rsidRPr="00DF0680">
        <w:t>, 6(9), pp.1181–4.</w:t>
      </w:r>
    </w:p>
    <w:p w:rsidR="00341643" w:rsidRPr="00DF0680" w:rsidRDefault="00341643">
      <w:pPr>
        <w:pStyle w:val="NormalWeb"/>
        <w:ind w:left="480" w:hanging="480"/>
        <w:divId w:val="930774447"/>
      </w:pPr>
      <w:r w:rsidRPr="00DF0680">
        <w:t xml:space="preserve">Park, S., Lam, W. &amp; Cheng, Y., 2002. X-ray repair cross-complementing gene I protein plays an important role in camptothecin resistance. </w:t>
      </w:r>
      <w:r w:rsidRPr="00DF0680">
        <w:rPr>
          <w:i/>
          <w:iCs/>
        </w:rPr>
        <w:t>Cancer Research</w:t>
      </w:r>
      <w:r w:rsidRPr="00DF0680">
        <w:t>, 62(2), pp.459–465.</w:t>
      </w:r>
    </w:p>
    <w:p w:rsidR="00341643" w:rsidRPr="00DF0680" w:rsidRDefault="00341643">
      <w:pPr>
        <w:pStyle w:val="NormalWeb"/>
        <w:ind w:left="480" w:hanging="480"/>
        <w:divId w:val="930774447"/>
      </w:pPr>
      <w:r w:rsidRPr="00DF0680">
        <w:t xml:space="preserve">Parker, L. &amp; Piwnica-Worms, H., 1992. Inactivation of the p34cdc2-cyclin B complex by the human WEE1 tyrosine kinase. </w:t>
      </w:r>
      <w:r w:rsidRPr="00DF0680">
        <w:rPr>
          <w:i/>
          <w:iCs/>
        </w:rPr>
        <w:t>Science</w:t>
      </w:r>
      <w:r w:rsidRPr="00DF0680">
        <w:t>, 257(5078), pp.1955–1957.</w:t>
      </w:r>
    </w:p>
    <w:p w:rsidR="00341643" w:rsidRPr="00DF0680" w:rsidRDefault="00341643">
      <w:pPr>
        <w:pStyle w:val="NormalWeb"/>
        <w:ind w:left="480" w:hanging="480"/>
        <w:divId w:val="930774447"/>
      </w:pPr>
      <w:r w:rsidRPr="00DF0680">
        <w:t xml:space="preserve">Parkin, D.M., 2011. 2. Tobacco-attributable cancer burden in the UK in 2010. </w:t>
      </w:r>
      <w:r w:rsidRPr="00DF0680">
        <w:rPr>
          <w:i/>
          <w:iCs/>
        </w:rPr>
        <w:t>British Journal of Cancer</w:t>
      </w:r>
      <w:r w:rsidRPr="00DF0680">
        <w:t>, 105(S2), pp.S6–S13.</w:t>
      </w:r>
    </w:p>
    <w:p w:rsidR="00341643" w:rsidRPr="00DF0680" w:rsidRDefault="00341643">
      <w:pPr>
        <w:pStyle w:val="NormalWeb"/>
        <w:ind w:left="480" w:hanging="480"/>
        <w:divId w:val="930774447"/>
      </w:pPr>
      <w:r w:rsidRPr="00DF0680">
        <w:t xml:space="preserve">Parvathaneni, S., Stortchevoi, A., Sommers, J. a, Brosh, R.M. &amp; Sharma, S., 2013. Human RECQ1 Interacts with Ku70/80 and Modulates DNA End-Joining of Double-Strand Breaks. </w:t>
      </w:r>
      <w:r w:rsidRPr="00DF0680">
        <w:rPr>
          <w:i/>
          <w:iCs/>
        </w:rPr>
        <w:t>PloS One</w:t>
      </w:r>
      <w:r w:rsidRPr="00DF0680">
        <w:t>, 8(5), p.e62481.</w:t>
      </w:r>
    </w:p>
    <w:p w:rsidR="00341643" w:rsidRPr="00DF0680" w:rsidRDefault="00341643">
      <w:pPr>
        <w:pStyle w:val="NormalWeb"/>
        <w:ind w:left="480" w:hanging="480"/>
        <w:divId w:val="930774447"/>
      </w:pPr>
      <w:r w:rsidRPr="00DF0680">
        <w:t xml:space="preserve">Paull, T.T. &amp; Gellert, M., 1998. The 3’ to 5' exonuclease activity of Mre11 facilitates repair of DNA double-strand breaks. </w:t>
      </w:r>
      <w:r w:rsidRPr="00DF0680">
        <w:rPr>
          <w:i/>
          <w:iCs/>
        </w:rPr>
        <w:t>Molecular Cell</w:t>
      </w:r>
      <w:r w:rsidRPr="00DF0680">
        <w:t>, 1(7), pp.969–79.</w:t>
      </w:r>
    </w:p>
    <w:p w:rsidR="00341643" w:rsidRPr="00DF0680" w:rsidRDefault="00341643">
      <w:pPr>
        <w:pStyle w:val="NormalWeb"/>
        <w:ind w:left="480" w:hanging="480"/>
        <w:divId w:val="930774447"/>
      </w:pPr>
      <w:r w:rsidRPr="00DF0680">
        <w:t xml:space="preserve">Paulsen, R.D. &amp; Cimprich, K. a, 2007. The ATR pathway: fine-tuning the fork. </w:t>
      </w:r>
      <w:r w:rsidRPr="00DF0680">
        <w:rPr>
          <w:i/>
          <w:iCs/>
        </w:rPr>
        <w:t>DNA Repair</w:t>
      </w:r>
      <w:r w:rsidRPr="00DF0680">
        <w:t>, 6(7), pp.953–66.</w:t>
      </w:r>
    </w:p>
    <w:p w:rsidR="00341643" w:rsidRPr="00DF0680" w:rsidRDefault="00341643">
      <w:pPr>
        <w:pStyle w:val="NormalWeb"/>
        <w:ind w:left="480" w:hanging="480"/>
        <w:divId w:val="930774447"/>
      </w:pPr>
      <w:r w:rsidRPr="00DF0680">
        <w:t xml:space="preserve">Pepe, A. &amp; West, S.C., 2014. MUS81-EME2 Promotes Replication Fork Restart. </w:t>
      </w:r>
      <w:r w:rsidRPr="00DF0680">
        <w:rPr>
          <w:i/>
          <w:iCs/>
        </w:rPr>
        <w:t>Cell Reports</w:t>
      </w:r>
      <w:r w:rsidRPr="00DF0680">
        <w:t>, 7(4), pp.1048–55.</w:t>
      </w:r>
    </w:p>
    <w:p w:rsidR="00341643" w:rsidRPr="00DF0680" w:rsidRDefault="00341643">
      <w:pPr>
        <w:pStyle w:val="NormalWeb"/>
        <w:ind w:left="480" w:hanging="480"/>
        <w:divId w:val="930774447"/>
      </w:pPr>
      <w:r w:rsidRPr="00DF0680">
        <w:t xml:space="preserve">Pérez-Galán, P., Roué, G., Villamor, N., Montserrat, E., Campo, E. &amp; Colomer, D., 2006. The proteasome inhibitor bortezomib induces apoptosis in mantle-cell lymphoma through generation of ROS and Noxa activation independent of p53 status. </w:t>
      </w:r>
      <w:r w:rsidRPr="00DF0680">
        <w:rPr>
          <w:i/>
          <w:iCs/>
        </w:rPr>
        <w:t>Blood</w:t>
      </w:r>
      <w:r w:rsidRPr="00DF0680">
        <w:t>, 107(1), pp.257–64.</w:t>
      </w:r>
    </w:p>
    <w:p w:rsidR="00341643" w:rsidRPr="00DF0680" w:rsidRDefault="00341643">
      <w:pPr>
        <w:pStyle w:val="NormalWeb"/>
        <w:ind w:left="480" w:hanging="480"/>
        <w:divId w:val="930774447"/>
      </w:pPr>
      <w:r w:rsidRPr="00DF0680">
        <w:t xml:space="preserve">Perkins, D.J. &amp; Barber, G.N., 2004. Defects in Translational Regulation Mediated by the   Subunit of Eukaryotic Initiation Factor 2 Inhibit Antiviral Activity and Facilitate the Malignant Transformation of Human Fibroblasts. </w:t>
      </w:r>
      <w:r w:rsidRPr="00DF0680">
        <w:rPr>
          <w:i/>
          <w:iCs/>
        </w:rPr>
        <w:t>Molecular and Cellular Biology</w:t>
      </w:r>
      <w:r w:rsidRPr="00DF0680">
        <w:t>, 24(5), pp.2025–2040.</w:t>
      </w:r>
    </w:p>
    <w:p w:rsidR="00341643" w:rsidRPr="00DF0680" w:rsidRDefault="00341643">
      <w:pPr>
        <w:pStyle w:val="NormalWeb"/>
        <w:ind w:left="480" w:hanging="480"/>
        <w:divId w:val="930774447"/>
      </w:pPr>
      <w:r w:rsidRPr="00DF0680">
        <w:t xml:space="preserve">Persson, H., Kvist, A., Rego, N., Staaf, J., Vallon-Christersson, J., Luts, L., Loman, N., Jonsson, G., Naya, H., Hoglund, M., Borg, A. &amp; Rovira, C., 2011. Identification of new microRNAs in paired normal and tumor breast tissue suggests a dual role for the ERBB2/Her2 gene. </w:t>
      </w:r>
      <w:r w:rsidRPr="00DF0680">
        <w:rPr>
          <w:i/>
          <w:iCs/>
        </w:rPr>
        <w:t>Cancer Research</w:t>
      </w:r>
      <w:r w:rsidRPr="00DF0680">
        <w:t>, 71(1), pp.78–86.</w:t>
      </w:r>
    </w:p>
    <w:p w:rsidR="00341643" w:rsidRPr="00DF0680" w:rsidRDefault="00341643">
      <w:pPr>
        <w:pStyle w:val="NormalWeb"/>
        <w:ind w:left="480" w:hanging="480"/>
        <w:divId w:val="930774447"/>
      </w:pPr>
      <w:r w:rsidRPr="00DF0680">
        <w:t xml:space="preserve">Petermann, E., 2008. Claspin promotes normal replication fork rates in human cells. </w:t>
      </w:r>
      <w:r w:rsidRPr="00DF0680">
        <w:rPr>
          <w:i/>
          <w:iCs/>
        </w:rPr>
        <w:t>Molecular Biology of the Cell</w:t>
      </w:r>
      <w:r w:rsidRPr="00DF0680">
        <w:t>, 19(6), pp.2373–2378.</w:t>
      </w:r>
    </w:p>
    <w:p w:rsidR="00341643" w:rsidRPr="00DF0680" w:rsidRDefault="00341643">
      <w:pPr>
        <w:pStyle w:val="NormalWeb"/>
        <w:ind w:left="480" w:hanging="480"/>
        <w:divId w:val="930774447"/>
      </w:pPr>
      <w:r w:rsidRPr="00DF0680">
        <w:t xml:space="preserve">Petermann, E., Orta, M.L., Issaeva, N., Schultz, N. &amp; Helleday, T., 2010. Hydroxyurea-stalled replication forks become progressively inactivated and require two different RAD51-mediated pathways for restart and repair. </w:t>
      </w:r>
      <w:r w:rsidRPr="00DF0680">
        <w:rPr>
          <w:i/>
          <w:iCs/>
        </w:rPr>
        <w:t>Molecular Cell</w:t>
      </w:r>
      <w:r w:rsidRPr="00DF0680">
        <w:t>, 37(4), pp.492–502.</w:t>
      </w:r>
    </w:p>
    <w:p w:rsidR="00341643" w:rsidRPr="00DF0680" w:rsidRDefault="00341643">
      <w:pPr>
        <w:pStyle w:val="NormalWeb"/>
        <w:ind w:left="480" w:hanging="480"/>
        <w:divId w:val="930774447"/>
      </w:pPr>
      <w:r w:rsidRPr="00DF0680">
        <w:lastRenderedPageBreak/>
        <w:t xml:space="preserve">De Piccoli, G., Katou, Y., Itoh, T., Nakato, R., Shirahige, K. &amp; Labib, K., 2012. Replisome stability at defective DNA replication forks is independent of S phase checkpoint kinases. </w:t>
      </w:r>
      <w:r w:rsidRPr="00DF0680">
        <w:rPr>
          <w:i/>
          <w:iCs/>
        </w:rPr>
        <w:t>Molecular Cell</w:t>
      </w:r>
      <w:r w:rsidRPr="00DF0680">
        <w:t>, 45(5), pp.696–704.</w:t>
      </w:r>
    </w:p>
    <w:p w:rsidR="00341643" w:rsidRPr="00DF0680" w:rsidRDefault="00341643">
      <w:pPr>
        <w:pStyle w:val="NormalWeb"/>
        <w:ind w:left="480" w:hanging="480"/>
        <w:divId w:val="930774447"/>
      </w:pPr>
      <w:r w:rsidRPr="00DF0680">
        <w:t xml:space="preserve">Pichierri, P., Nicolai, S., Cignolo, L., Bignami, M. &amp; Franchitto, a, 2012. The RAD9-RAD1-HUS1 (9.1.1) complex interacts with WRN and is crucial to regulate its response to replication fork stalling. </w:t>
      </w:r>
      <w:r w:rsidRPr="00DF0680">
        <w:rPr>
          <w:i/>
          <w:iCs/>
        </w:rPr>
        <w:t>Oncogene</w:t>
      </w:r>
      <w:r w:rsidRPr="00DF0680">
        <w:t>, 31(23), pp.2809–23.</w:t>
      </w:r>
    </w:p>
    <w:p w:rsidR="00341643" w:rsidRPr="00DF0680" w:rsidRDefault="00341643">
      <w:pPr>
        <w:pStyle w:val="NormalWeb"/>
        <w:ind w:left="480" w:hanging="480"/>
        <w:divId w:val="930774447"/>
      </w:pPr>
      <w:r w:rsidRPr="00DF0680">
        <w:t xml:space="preserve">Pierce, A., Hu, P. &amp; Han, M., 2001. Ku DNA end-binding protein modulates homologous repair of double-strand breaks in mammalian cells. </w:t>
      </w:r>
      <w:r w:rsidRPr="00DF0680">
        <w:rPr>
          <w:i/>
          <w:iCs/>
        </w:rPr>
        <w:t>Genes &amp; Development</w:t>
      </w:r>
      <w:r w:rsidRPr="00DF0680">
        <w:t>, 15(24), pp.3237–3242.</w:t>
      </w:r>
    </w:p>
    <w:p w:rsidR="00341643" w:rsidRPr="00DF0680" w:rsidRDefault="00341643">
      <w:pPr>
        <w:pStyle w:val="NormalWeb"/>
        <w:ind w:left="480" w:hanging="480"/>
        <w:divId w:val="930774447"/>
      </w:pPr>
      <w:r w:rsidRPr="00DF0680">
        <w:t xml:space="preserve">Plank, J., Wu, J. &amp; Hsieh, T., 2006. Topoisomerase IIIα and Bloom’s helicase can resolve a mobile double Holliday junction substrate through convergent branch migration. </w:t>
      </w:r>
      <w:r w:rsidRPr="00DF0680">
        <w:rPr>
          <w:i/>
          <w:iCs/>
        </w:rPr>
        <w:t>Proceedings of the National Academy of Sciences</w:t>
      </w:r>
      <w:r w:rsidRPr="00DF0680">
        <w:t>, 103(30), pp.11118–23.</w:t>
      </w:r>
    </w:p>
    <w:p w:rsidR="00341643" w:rsidRPr="00DF0680" w:rsidRDefault="00341643">
      <w:pPr>
        <w:pStyle w:val="NormalWeb"/>
        <w:ind w:left="480" w:hanging="480"/>
        <w:divId w:val="930774447"/>
      </w:pPr>
      <w:r w:rsidRPr="00DF0680">
        <w:t xml:space="preserve">Pleschke, J.M., Kleczkowska, H.E., Strohm, M. &amp; Althaus, F.R., 2000. Poly(ADP-ribose) binds to specific domains in DNA damage checkpoint proteins. </w:t>
      </w:r>
      <w:r w:rsidRPr="00DF0680">
        <w:rPr>
          <w:i/>
          <w:iCs/>
        </w:rPr>
        <w:t>The Journal of Biological Chemistry</w:t>
      </w:r>
      <w:r w:rsidRPr="00DF0680">
        <w:t>, 275(52), pp.40974–80.</w:t>
      </w:r>
    </w:p>
    <w:p w:rsidR="00341643" w:rsidRPr="00DF0680" w:rsidRDefault="00341643">
      <w:pPr>
        <w:pStyle w:val="NormalWeb"/>
        <w:ind w:left="480" w:hanging="480"/>
        <w:divId w:val="930774447"/>
      </w:pPr>
      <w:r w:rsidRPr="00DF0680">
        <w:t xml:space="preserve">Poot, M., Yom, J.S., Whang, S.H., Kato, J.T., Gollahon, K.A. &amp; Rabinovitch, P.S., 2001. Werner syndrome cells are sensitive to DNA cross-linking drugs. </w:t>
      </w:r>
      <w:r w:rsidRPr="00DF0680">
        <w:rPr>
          <w:i/>
          <w:iCs/>
        </w:rPr>
        <w:t>FASEB</w:t>
      </w:r>
      <w:r w:rsidRPr="00DF0680">
        <w:t>, 15(7), pp.1224–6.</w:t>
      </w:r>
    </w:p>
    <w:p w:rsidR="00341643" w:rsidRPr="00DF0680" w:rsidRDefault="00341643">
      <w:pPr>
        <w:pStyle w:val="NormalWeb"/>
        <w:ind w:left="480" w:hanging="480"/>
        <w:divId w:val="930774447"/>
      </w:pPr>
      <w:r w:rsidRPr="00DF0680">
        <w:t xml:space="preserve">Popuri, V., Bachrati, C.Z., Muzzolini, L., Mosedale, G., Costantini, S., Giacomini, E., Hickson, I.D. &amp; Vindigni, A., 2008. The Human RecQ helicases, BLM and RECQ1, display distinct DNA substrate specificities. </w:t>
      </w:r>
      <w:r w:rsidRPr="00DF0680">
        <w:rPr>
          <w:i/>
          <w:iCs/>
        </w:rPr>
        <w:t>The Journal of Biological Chemistry</w:t>
      </w:r>
      <w:r w:rsidRPr="00DF0680">
        <w:t>, 283(26), pp.17766–76.</w:t>
      </w:r>
    </w:p>
    <w:p w:rsidR="00341643" w:rsidRPr="00DF0680" w:rsidRDefault="00341643">
      <w:pPr>
        <w:pStyle w:val="NormalWeb"/>
        <w:ind w:left="480" w:hanging="480"/>
        <w:divId w:val="930774447"/>
      </w:pPr>
      <w:r w:rsidRPr="00DF0680">
        <w:t xml:space="preserve">Popuri, V., Croteau, D.L., Brosh, R.M. &amp; Bohr, V. a, 2012a. RECQ1 is required for cellular resistance to replication stress and catalyzes strand exchange on stalled replication fork structures. </w:t>
      </w:r>
      <w:r w:rsidRPr="00DF0680">
        <w:rPr>
          <w:i/>
          <w:iCs/>
        </w:rPr>
        <w:t>Cell Cycle</w:t>
      </w:r>
      <w:r w:rsidRPr="00DF0680">
        <w:t>, 11(22), pp.4252–65.</w:t>
      </w:r>
    </w:p>
    <w:p w:rsidR="00341643" w:rsidRPr="00DF0680" w:rsidRDefault="00341643">
      <w:pPr>
        <w:pStyle w:val="NormalWeb"/>
        <w:ind w:left="480" w:hanging="480"/>
        <w:divId w:val="930774447"/>
      </w:pPr>
      <w:r w:rsidRPr="00DF0680">
        <w:t xml:space="preserve">Popuri, V., Hsu, J., Khadka, P., Horvath, K., Liu, Y., Croteau, D.L. &amp; Bohr, V. a, 2014. Human RECQL1 participates in telomere maintenance. </w:t>
      </w:r>
      <w:r w:rsidRPr="00DF0680">
        <w:rPr>
          <w:i/>
          <w:iCs/>
        </w:rPr>
        <w:t>Nucleic Acids Research</w:t>
      </w:r>
      <w:r w:rsidRPr="00DF0680">
        <w:t>, 42(9), pp.5671–88.</w:t>
      </w:r>
    </w:p>
    <w:p w:rsidR="00341643" w:rsidRPr="00DF0680" w:rsidRDefault="00341643">
      <w:pPr>
        <w:pStyle w:val="NormalWeb"/>
        <w:ind w:left="480" w:hanging="480"/>
        <w:divId w:val="930774447"/>
      </w:pPr>
      <w:r w:rsidRPr="00DF0680">
        <w:t xml:space="preserve">Popuri, V., Ramamoorthy, M., Tadokoro, T., Singh, D.K., Karmakar, P., Croteau, D.L. &amp; Bohr, V. a, 2012b. Recruitment and retention dynamics of RECQL5 at DNA double strand break sites. </w:t>
      </w:r>
      <w:r w:rsidRPr="00DF0680">
        <w:rPr>
          <w:i/>
          <w:iCs/>
        </w:rPr>
        <w:t>DNA Repair</w:t>
      </w:r>
      <w:r w:rsidRPr="00DF0680">
        <w:t>, 11(7), pp.624–35.</w:t>
      </w:r>
    </w:p>
    <w:p w:rsidR="00341643" w:rsidRPr="00DF0680" w:rsidRDefault="00341643">
      <w:pPr>
        <w:pStyle w:val="NormalWeb"/>
        <w:ind w:left="480" w:hanging="480"/>
        <w:divId w:val="930774447"/>
      </w:pPr>
      <w:r w:rsidRPr="00DF0680">
        <w:t xml:space="preserve">Post, S. &amp; Weng, Y., 2001. Phosphorylation of serines 635 and 645 of human Rad17 is cell cycle regulated and is required for G1/S checkpoint activation in response to DNA damage. </w:t>
      </w:r>
      <w:r w:rsidRPr="00DF0680">
        <w:rPr>
          <w:i/>
          <w:iCs/>
        </w:rPr>
        <w:t>Proceedings of the National Academy of Sciences</w:t>
      </w:r>
      <w:r w:rsidRPr="00DF0680">
        <w:t>, 98(23), pp.13102–7.</w:t>
      </w:r>
    </w:p>
    <w:p w:rsidR="00341643" w:rsidRPr="00DF0680" w:rsidRDefault="00341643">
      <w:pPr>
        <w:pStyle w:val="NormalWeb"/>
        <w:ind w:left="480" w:hanging="480"/>
        <w:divId w:val="930774447"/>
      </w:pPr>
      <w:r w:rsidRPr="00DF0680">
        <w:t xml:space="preserve">Post, S.M., Tomkinson, A.E. &amp; Lee, E.Y.-H., 2003. The human checkpoint Rad protein Rad17 is chromatin-associated throughout the cell cycle, localizes to DNA </w:t>
      </w:r>
      <w:r w:rsidRPr="00DF0680">
        <w:lastRenderedPageBreak/>
        <w:t xml:space="preserve">replication sites, and interacts with DNA polymerase. </w:t>
      </w:r>
      <w:r w:rsidRPr="00DF0680">
        <w:rPr>
          <w:i/>
          <w:iCs/>
        </w:rPr>
        <w:t>Nucleic Acids Research</w:t>
      </w:r>
      <w:r w:rsidRPr="00DF0680">
        <w:t>, 31(19), pp.5568–5575.</w:t>
      </w:r>
    </w:p>
    <w:p w:rsidR="00341643" w:rsidRPr="00DF0680" w:rsidRDefault="00341643">
      <w:pPr>
        <w:pStyle w:val="NormalWeb"/>
        <w:ind w:left="480" w:hanging="480"/>
        <w:divId w:val="930774447"/>
      </w:pPr>
      <w:r w:rsidRPr="00DF0680">
        <w:t xml:space="preserve">Puranam, K. &amp; Blackshear, P., 1994. Cloning and characterization of RECQL, a potential human homologue of the Escherichia coli DNA helicase RecQ. </w:t>
      </w:r>
      <w:r w:rsidRPr="00DF0680">
        <w:rPr>
          <w:i/>
          <w:iCs/>
        </w:rPr>
        <w:t>Journal of Biological Chemistry</w:t>
      </w:r>
      <w:r w:rsidRPr="00DF0680">
        <w:t>, 269(47), pp.29838–29845.</w:t>
      </w:r>
    </w:p>
    <w:p w:rsidR="00341643" w:rsidRPr="00DF0680" w:rsidRDefault="00341643">
      <w:pPr>
        <w:pStyle w:val="NormalWeb"/>
        <w:ind w:left="480" w:hanging="480"/>
        <w:divId w:val="930774447"/>
      </w:pPr>
      <w:r w:rsidRPr="00DF0680">
        <w:t xml:space="preserve">Qi, Y., Gregory, M., Li, Z., Brousal, J., West, K. &amp; Hann, S., 2004. p19ARF directly and differentially controls the functions of c-Myc independently of p53. </w:t>
      </w:r>
      <w:r w:rsidRPr="00DF0680">
        <w:rPr>
          <w:i/>
          <w:iCs/>
        </w:rPr>
        <w:t>Nature</w:t>
      </w:r>
      <w:r w:rsidRPr="00DF0680">
        <w:t>, 431(7009), pp.712–7.</w:t>
      </w:r>
    </w:p>
    <w:p w:rsidR="00341643" w:rsidRPr="00DF0680" w:rsidRDefault="00341643">
      <w:pPr>
        <w:pStyle w:val="NormalWeb"/>
        <w:ind w:left="480" w:hanging="480"/>
        <w:divId w:val="930774447"/>
      </w:pPr>
      <w:r w:rsidRPr="00DF0680">
        <w:t xml:space="preserve">Qi, Y. &amp; Zhou, X., 2014. Haplotype analysis of RECQL5 gene and laryngeal cancer. </w:t>
      </w:r>
      <w:r w:rsidRPr="00DF0680">
        <w:rPr>
          <w:i/>
          <w:iCs/>
        </w:rPr>
        <w:t>Tumour Biology</w:t>
      </w:r>
      <w:r w:rsidRPr="00DF0680">
        <w:t>, 35(3), pp.2669–73.</w:t>
      </w:r>
    </w:p>
    <w:p w:rsidR="00341643" w:rsidRPr="00DF0680" w:rsidRDefault="00341643">
      <w:pPr>
        <w:pStyle w:val="NormalWeb"/>
        <w:ind w:left="480" w:hanging="480"/>
        <w:divId w:val="930774447"/>
      </w:pPr>
      <w:r w:rsidRPr="00DF0680">
        <w:t xml:space="preserve">Rad, B. &amp; Kowalczykowski, S.C., 2012. Efficient coupling of ATP hydrolysis to translocation by RecQ helicase. </w:t>
      </w:r>
      <w:r w:rsidRPr="00DF0680">
        <w:rPr>
          <w:i/>
          <w:iCs/>
        </w:rPr>
        <w:t>Proceedings of the National Academy of Sciences</w:t>
      </w:r>
      <w:r w:rsidRPr="00DF0680">
        <w:t>, 109(5), pp.1443–8.</w:t>
      </w:r>
    </w:p>
    <w:p w:rsidR="00341643" w:rsidRPr="00DF0680" w:rsidRDefault="00341643">
      <w:pPr>
        <w:pStyle w:val="NormalWeb"/>
        <w:ind w:left="480" w:hanging="480"/>
        <w:divId w:val="930774447"/>
      </w:pPr>
      <w:r w:rsidRPr="00DF0680">
        <w:t xml:space="preserve">Ralf, C., Hickson, I.D. &amp; Wu, L., 2006. The Bloom’s syndrome helicase can promote the regression of a model replication fork. </w:t>
      </w:r>
      <w:r w:rsidRPr="00DF0680">
        <w:rPr>
          <w:i/>
          <w:iCs/>
        </w:rPr>
        <w:t>The Journal of Biological Chemistry</w:t>
      </w:r>
      <w:r w:rsidRPr="00DF0680">
        <w:t>, 281(32), pp.22839–46.</w:t>
      </w:r>
    </w:p>
    <w:p w:rsidR="00341643" w:rsidRPr="00DF0680" w:rsidRDefault="00341643">
      <w:pPr>
        <w:pStyle w:val="NormalWeb"/>
        <w:ind w:left="480" w:hanging="480"/>
        <w:divId w:val="930774447"/>
      </w:pPr>
      <w:r w:rsidRPr="00DF0680">
        <w:t xml:space="preserve">Ramamoorthy, M., May, A. &amp; Tadokoro, T., 2013. The RecQ helicase RECQL5 participates in psoralen induced interstrand cross-link repair. </w:t>
      </w:r>
      <w:r w:rsidRPr="00DF0680">
        <w:rPr>
          <w:i/>
          <w:iCs/>
        </w:rPr>
        <w:t>Carcinogenesis</w:t>
      </w:r>
      <w:r w:rsidRPr="00DF0680">
        <w:t>, 34(10), pp.2218–30.</w:t>
      </w:r>
    </w:p>
    <w:p w:rsidR="00341643" w:rsidRPr="00DF0680" w:rsidRDefault="00341643">
      <w:pPr>
        <w:pStyle w:val="NormalWeb"/>
        <w:ind w:left="480" w:hanging="480"/>
        <w:divId w:val="930774447"/>
      </w:pPr>
      <w:r w:rsidRPr="00DF0680">
        <w:t xml:space="preserve">Ramamoorthy, M., Tadokoro, T., Rybanska, I., Ghosh, A.K., Wersto, R., May, A., Kulikowicz, T., Sykora, P., Croteau, D.L. &amp; Bohr, V. a, 2012. RECQL5 cooperates with Topoisomerase II alpha in DNA decatenation and cell cycle progression. </w:t>
      </w:r>
      <w:r w:rsidRPr="00DF0680">
        <w:rPr>
          <w:i/>
          <w:iCs/>
        </w:rPr>
        <w:t>Nucleic Acids Research</w:t>
      </w:r>
      <w:r w:rsidRPr="00DF0680">
        <w:t>, 40(4), pp.1621–35.</w:t>
      </w:r>
    </w:p>
    <w:p w:rsidR="00341643" w:rsidRPr="00DF0680" w:rsidRDefault="00341643">
      <w:pPr>
        <w:pStyle w:val="NormalWeb"/>
        <w:ind w:left="480" w:hanging="480"/>
        <w:divId w:val="930774447"/>
      </w:pPr>
      <w:r w:rsidRPr="00DF0680">
        <w:t xml:space="preserve">Ramsay, G., Evan, G. &amp; Bishop, J., 1984. The protein encoded by the human proto-oncogene c-myc. </w:t>
      </w:r>
      <w:r w:rsidRPr="00DF0680">
        <w:rPr>
          <w:i/>
          <w:iCs/>
        </w:rPr>
        <w:t>Proceedings of the National Academy of Sciences</w:t>
      </w:r>
      <w:r w:rsidRPr="00DF0680">
        <w:t>, 81(24), pp.7742–7746.</w:t>
      </w:r>
    </w:p>
    <w:p w:rsidR="00341643" w:rsidRPr="00DF0680" w:rsidRDefault="00341643">
      <w:pPr>
        <w:pStyle w:val="NormalWeb"/>
        <w:ind w:left="480" w:hanging="480"/>
        <w:divId w:val="930774447"/>
      </w:pPr>
      <w:r w:rsidRPr="00DF0680">
        <w:t xml:space="preserve">Randell, J.C.W., Bowers, J.L., Rodríguez, H.K. &amp; Bell, S.P., 2006. Sequential ATP hydrolysis by Cdc6 and ORC directs loading of the Mcm2-7 helicase. </w:t>
      </w:r>
      <w:r w:rsidRPr="00DF0680">
        <w:rPr>
          <w:i/>
          <w:iCs/>
        </w:rPr>
        <w:t>Molecular Cell</w:t>
      </w:r>
      <w:r w:rsidRPr="00DF0680">
        <w:t>, 21(1), pp.29–39.</w:t>
      </w:r>
    </w:p>
    <w:p w:rsidR="00341643" w:rsidRPr="00DF0680" w:rsidRDefault="00341643">
      <w:pPr>
        <w:pStyle w:val="NormalWeb"/>
        <w:ind w:left="480" w:hanging="480"/>
        <w:divId w:val="930774447"/>
      </w:pPr>
      <w:r w:rsidRPr="00DF0680">
        <w:t xml:space="preserve">Randi, G., Pelucchi, C., Negri, E., Talamini, R., Galeone, C., Franceschi, S. &amp; La Vecchia, C., 2007. Family history of urogenital cancers in patients with bladder, renal cell and prostate cancers. </w:t>
      </w:r>
      <w:r w:rsidRPr="00DF0680">
        <w:rPr>
          <w:i/>
          <w:iCs/>
        </w:rPr>
        <w:t>International Journal of Cancer</w:t>
      </w:r>
      <w:r w:rsidRPr="00DF0680">
        <w:t>, 121(12), pp.2748–52.</w:t>
      </w:r>
    </w:p>
    <w:p w:rsidR="00341643" w:rsidRPr="00DF0680" w:rsidRDefault="00341643">
      <w:pPr>
        <w:pStyle w:val="NormalWeb"/>
        <w:ind w:left="480" w:hanging="480"/>
        <w:divId w:val="930774447"/>
      </w:pPr>
      <w:r w:rsidRPr="00DF0680">
        <w:t xml:space="preserve">Rao, V., Fan, A. &amp; Meng, L., 2005. Phosphorylation of BLM, dissociation from topoisomerase IIIα, and colocalization with γ-H2AX after topoisomerase I-induced replication damage. </w:t>
      </w:r>
      <w:r w:rsidRPr="00DF0680">
        <w:rPr>
          <w:i/>
          <w:iCs/>
        </w:rPr>
        <w:t>Molecular and Cellular Biology</w:t>
      </w:r>
      <w:r w:rsidRPr="00DF0680">
        <w:t>, 25(20), pp.8925–37.</w:t>
      </w:r>
    </w:p>
    <w:p w:rsidR="00341643" w:rsidRPr="00DF0680" w:rsidRDefault="00341643">
      <w:pPr>
        <w:pStyle w:val="NormalWeb"/>
        <w:ind w:left="480" w:hanging="480"/>
        <w:divId w:val="930774447"/>
      </w:pPr>
      <w:r w:rsidRPr="00DF0680">
        <w:t xml:space="preserve">Rao, V.A., Conti, C., Guirouilh-Barbat, J., Nakamura, A., Miao, Z.-H., Davies, S.L., Saccá, B., Hickson, I.D., Bensimon, A. &amp; Pommier, Y., 2007. Endogenous </w:t>
      </w:r>
      <w:r w:rsidRPr="00DF0680">
        <w:lastRenderedPageBreak/>
        <w:t xml:space="preserve">gamma-H2AX-ATM-Chk2 checkpoint activation in Bloom’s syndrome helicase deficient cells is related to DNA replication arrested forks. </w:t>
      </w:r>
      <w:r w:rsidRPr="00DF0680">
        <w:rPr>
          <w:i/>
          <w:iCs/>
        </w:rPr>
        <w:t>Molecular Cancer Research</w:t>
      </w:r>
      <w:r w:rsidRPr="00DF0680">
        <w:t>, 5(7), pp.713–24.</w:t>
      </w:r>
    </w:p>
    <w:p w:rsidR="00341643" w:rsidRPr="00DF0680" w:rsidRDefault="00341643">
      <w:pPr>
        <w:pStyle w:val="NormalWeb"/>
        <w:ind w:left="480" w:hanging="480"/>
        <w:divId w:val="930774447"/>
      </w:pPr>
      <w:r w:rsidRPr="00DF0680">
        <w:t xml:space="preserve">Räschle, M., Knipscheer, P., Knipsheer, P., Enoiu, M., Angelov, T., Sun, J., Griffith, J.D., Ellenberger, T.E., Schärer, O.D. &amp; Walter, J.C., 2008. Mechanism of replication-coupled DNA interstrand crosslink repair. </w:t>
      </w:r>
      <w:r w:rsidRPr="00DF0680">
        <w:rPr>
          <w:i/>
          <w:iCs/>
        </w:rPr>
        <w:t>Cell</w:t>
      </w:r>
      <w:r w:rsidRPr="00DF0680">
        <w:t>, 134(6), pp.969–80.</w:t>
      </w:r>
    </w:p>
    <w:p w:rsidR="00341643" w:rsidRPr="00DF0680" w:rsidRDefault="00341643">
      <w:pPr>
        <w:pStyle w:val="NormalWeb"/>
        <w:ind w:left="480" w:hanging="480"/>
        <w:divId w:val="930774447"/>
      </w:pPr>
      <w:r w:rsidRPr="00DF0680">
        <w:t xml:space="preserve">Rass, U. &amp; Compton, S., 2010. Mechanism of Holliday junction resolution by the human GEN1 protein. </w:t>
      </w:r>
      <w:r w:rsidRPr="00DF0680">
        <w:rPr>
          <w:i/>
          <w:iCs/>
        </w:rPr>
        <w:t>Genes &amp; Development</w:t>
      </w:r>
      <w:r w:rsidRPr="00DF0680">
        <w:t>, 24(14), pp.1559–1569.</w:t>
      </w:r>
    </w:p>
    <w:p w:rsidR="00341643" w:rsidRPr="00DF0680" w:rsidRDefault="00341643">
      <w:pPr>
        <w:pStyle w:val="NormalWeb"/>
        <w:ind w:left="480" w:hanging="480"/>
        <w:divId w:val="930774447"/>
      </w:pPr>
      <w:r w:rsidRPr="00DF0680">
        <w:t xml:space="preserve">Regairaz, M., Zhang, Y.-W., Fu, H., Agama, K.K., Tata, N., Agrawal, S., Aladjem, M.I. &amp; Pommier, Y., 2011. Mus81-mediated DNA cleavage resolves replication forks stalled by topoisomerase I-DNA complexes. </w:t>
      </w:r>
      <w:r w:rsidRPr="00DF0680">
        <w:rPr>
          <w:i/>
          <w:iCs/>
        </w:rPr>
        <w:t>The Journal of Cell Biology</w:t>
      </w:r>
      <w:r w:rsidRPr="00DF0680">
        <w:t>, 195(5), pp.739–49.</w:t>
      </w:r>
    </w:p>
    <w:p w:rsidR="00341643" w:rsidRPr="00DF0680" w:rsidRDefault="00341643">
      <w:pPr>
        <w:pStyle w:val="NormalWeb"/>
        <w:ind w:left="480" w:hanging="480"/>
        <w:divId w:val="930774447"/>
      </w:pPr>
      <w:r w:rsidRPr="00DF0680">
        <w:t xml:space="preserve">Remus, D., Beuron, F., Tolun, G., Griffith, J.D., Morris, E.P. &amp; Diffley, J.F.X., 2009. Concerted loading of Mcm2-7 double hexamers around DNA during DNA replication origin licensing. </w:t>
      </w:r>
      <w:r w:rsidRPr="00DF0680">
        <w:rPr>
          <w:i/>
          <w:iCs/>
        </w:rPr>
        <w:t>Cell</w:t>
      </w:r>
      <w:r w:rsidRPr="00DF0680">
        <w:t>, 139(4), pp.719–30.</w:t>
      </w:r>
    </w:p>
    <w:p w:rsidR="00341643" w:rsidRPr="00DF0680" w:rsidRDefault="00341643">
      <w:pPr>
        <w:pStyle w:val="NormalWeb"/>
        <w:ind w:left="480" w:hanging="480"/>
        <w:divId w:val="930774447"/>
      </w:pPr>
      <w:r w:rsidRPr="00DF0680">
        <w:t xml:space="preserve">Ricke, R.M. &amp; Bielinsky, A.-K., 2004. Mcm10 regulates the stability and chromatin association of DNA polymerase-alpha. </w:t>
      </w:r>
      <w:r w:rsidRPr="00DF0680">
        <w:rPr>
          <w:i/>
          <w:iCs/>
        </w:rPr>
        <w:t>Molecular Cell</w:t>
      </w:r>
      <w:r w:rsidRPr="00DF0680">
        <w:t>, 16(2), pp.173–85.</w:t>
      </w:r>
    </w:p>
    <w:p w:rsidR="00341643" w:rsidRPr="00DF0680" w:rsidRDefault="00341643">
      <w:pPr>
        <w:pStyle w:val="NormalWeb"/>
        <w:ind w:left="480" w:hanging="480"/>
        <w:divId w:val="930774447"/>
      </w:pPr>
      <w:r w:rsidRPr="00DF0680">
        <w:t xml:space="preserve">Rigby, C.C. &amp; Franks, L.M., 1970. A human tissue culture cell line from a transitional cell tumour of the urinary bladder: growth, chromosone pattern and ultrastructure. </w:t>
      </w:r>
      <w:r w:rsidRPr="00DF0680">
        <w:rPr>
          <w:i/>
          <w:iCs/>
        </w:rPr>
        <w:t>British Journal of Cancer</w:t>
      </w:r>
      <w:r w:rsidRPr="00DF0680">
        <w:t>, 24(4), pp.746–754.</w:t>
      </w:r>
    </w:p>
    <w:p w:rsidR="00341643" w:rsidRPr="00DF0680" w:rsidRDefault="00341643">
      <w:pPr>
        <w:pStyle w:val="NormalWeb"/>
        <w:ind w:left="480" w:hanging="480"/>
        <w:divId w:val="930774447"/>
      </w:pPr>
      <w:r w:rsidRPr="00DF0680">
        <w:t xml:space="preserve">Rodríguez-Bravo, V., Guaita-Esteruelas, S., Salvador, N., Bachs, O. &amp; Agell, N., 2007. Different S/M checkpoint responses of tumor and non tumor cell lines to DNA replication inhibition. </w:t>
      </w:r>
      <w:r w:rsidRPr="00DF0680">
        <w:rPr>
          <w:i/>
          <w:iCs/>
        </w:rPr>
        <w:t>Cancer Research</w:t>
      </w:r>
      <w:r w:rsidRPr="00DF0680">
        <w:t>, 67(24), pp.11648–56.</w:t>
      </w:r>
    </w:p>
    <w:p w:rsidR="00341643" w:rsidRPr="00DF0680" w:rsidRDefault="00341643">
      <w:pPr>
        <w:pStyle w:val="NormalWeb"/>
        <w:ind w:left="480" w:hanging="480"/>
        <w:divId w:val="930774447"/>
      </w:pPr>
      <w:r w:rsidRPr="00DF0680">
        <w:t xml:space="preserve">Rodríguez-López, A.M., Jackson, D.A., Iborra, F. &amp; Cox, L.S., 2002. Asymmetry of DNA replication fork progression in Werner’s syndrome. </w:t>
      </w:r>
      <w:r w:rsidRPr="00DF0680">
        <w:rPr>
          <w:i/>
          <w:iCs/>
        </w:rPr>
        <w:t>Aging Cell</w:t>
      </w:r>
      <w:r w:rsidRPr="00DF0680">
        <w:t>, 1(1), pp.30–39.</w:t>
      </w:r>
    </w:p>
    <w:p w:rsidR="00341643" w:rsidRPr="00DF0680" w:rsidRDefault="00341643">
      <w:pPr>
        <w:pStyle w:val="NormalWeb"/>
        <w:ind w:left="480" w:hanging="480"/>
        <w:divId w:val="930774447"/>
      </w:pPr>
      <w:r w:rsidRPr="00DF0680">
        <w:t xml:space="preserve">Rodrıguez-Lopez, A.M., Jackson, D.A., Nehlin, J.O., Iborra, F., Warren, A. V &amp; Cox, L.S., 2003. Characterisation of the interaction between WRN, the helicase/exonuclease defective in progeroid Werner’s syndrome, and an essential replication factor, PCNA. </w:t>
      </w:r>
      <w:r w:rsidRPr="00DF0680">
        <w:rPr>
          <w:i/>
          <w:iCs/>
        </w:rPr>
        <w:t>Mechanisms of Ageing and Development</w:t>
      </w:r>
      <w:r w:rsidRPr="00DF0680">
        <w:t>, 124(2), pp.167–174.</w:t>
      </w:r>
    </w:p>
    <w:p w:rsidR="00341643" w:rsidRPr="00DF0680" w:rsidRDefault="00341643">
      <w:pPr>
        <w:pStyle w:val="NormalWeb"/>
        <w:ind w:left="480" w:hanging="480"/>
        <w:divId w:val="930774447"/>
      </w:pPr>
      <w:r w:rsidRPr="00DF0680">
        <w:t xml:space="preserve">Rogers, K.J., Fu, W., Akey, J.M. &amp; Monnat, R.J., 2014. Global and disease-associated genetic variation in the human Fanconi anemia gene family. </w:t>
      </w:r>
      <w:r w:rsidRPr="00DF0680">
        <w:rPr>
          <w:i/>
          <w:iCs/>
        </w:rPr>
        <w:t>Human Molecular Genetics</w:t>
      </w:r>
      <w:r w:rsidRPr="00DF0680">
        <w:t>, 23(25), pp.6815–25.</w:t>
      </w:r>
    </w:p>
    <w:p w:rsidR="00341643" w:rsidRPr="00DF0680" w:rsidRDefault="00341643">
      <w:pPr>
        <w:pStyle w:val="NormalWeb"/>
        <w:ind w:left="480" w:hanging="480"/>
        <w:divId w:val="930774447"/>
      </w:pPr>
      <w:r w:rsidRPr="00DF0680">
        <w:t xml:space="preserve">Rong, L. &amp; Klein, H., 1993. Purification and characterization of the SRS2 DNA helicase of the yeast Saccharomyces cerevisiae. </w:t>
      </w:r>
      <w:r w:rsidRPr="00DF0680">
        <w:rPr>
          <w:i/>
          <w:iCs/>
        </w:rPr>
        <w:t>Journal of Biological Chemistry</w:t>
      </w:r>
      <w:r w:rsidRPr="00DF0680">
        <w:t>, 268(2), pp.1252–1259.</w:t>
      </w:r>
    </w:p>
    <w:p w:rsidR="00341643" w:rsidRPr="00DF0680" w:rsidRDefault="00341643">
      <w:pPr>
        <w:pStyle w:val="NormalWeb"/>
        <w:ind w:left="480" w:hanging="480"/>
        <w:divId w:val="930774447"/>
      </w:pPr>
      <w:r w:rsidRPr="00DF0680">
        <w:lastRenderedPageBreak/>
        <w:t xml:space="preserve">Rosenthal, A.S., Dexheimer, T.S., Gileadi, O., Nguyen, G.H., Chu, W.K., Hickson, I.D., Jadhav, A., Simeonov, A. &amp; Maloney, D.J., 2013. Synthesis and SAR studies of 5-(pyridin-4-yl)-1,3,4-thiadiazol-2-amine derivatives as potent inhibitors of Bloom helicase. </w:t>
      </w:r>
      <w:r w:rsidRPr="00DF0680">
        <w:rPr>
          <w:i/>
          <w:iCs/>
        </w:rPr>
        <w:t>Bioorganic &amp; Medicinal Chemistry Letters</w:t>
      </w:r>
      <w:r w:rsidRPr="00DF0680">
        <w:t>, 23(20), pp.5660–6.</w:t>
      </w:r>
    </w:p>
    <w:p w:rsidR="00341643" w:rsidRPr="00DF0680" w:rsidRDefault="00341643">
      <w:pPr>
        <w:pStyle w:val="NormalWeb"/>
        <w:ind w:left="480" w:hanging="480"/>
        <w:divId w:val="930774447"/>
      </w:pPr>
      <w:r w:rsidRPr="00DF0680">
        <w:t xml:space="preserve">Rouzeau, S., Cordelières, F.P., Buhagiar-Labarchède, G., Hurbain, I., Onclercq-Delic, R., Gemble, S., Magnaghi-Jaulin, L., Jaulin, C. &amp; Amor-Guéret, M., 2012. Bloom’s syndrome and PICH helicases cooperate with topoisomerase IIα in centromere disjunction before anaphase. </w:t>
      </w:r>
      <w:r w:rsidRPr="00DF0680">
        <w:rPr>
          <w:i/>
          <w:iCs/>
        </w:rPr>
        <w:t>PloS One</w:t>
      </w:r>
      <w:r w:rsidRPr="00DF0680">
        <w:t>, 7(4), p.e33905.</w:t>
      </w:r>
    </w:p>
    <w:p w:rsidR="00341643" w:rsidRPr="00DF0680" w:rsidRDefault="00341643">
      <w:pPr>
        <w:pStyle w:val="NormalWeb"/>
        <w:ind w:left="480" w:hanging="480"/>
        <w:divId w:val="930774447"/>
      </w:pPr>
      <w:r w:rsidRPr="00DF0680">
        <w:t xml:space="preserve">Ryan, a J., Squires, S., Strutt, H.L. &amp; Johnson, R.T., 1991. Camptothecin cytotoxicity in mammalian cells is associated with the induction of persistent double strand breaks in replicating DNA. </w:t>
      </w:r>
      <w:r w:rsidRPr="00DF0680">
        <w:rPr>
          <w:i/>
          <w:iCs/>
        </w:rPr>
        <w:t>Nucleic Acids Research</w:t>
      </w:r>
      <w:r w:rsidRPr="00DF0680">
        <w:t>, 19(12), pp.3295–300.</w:t>
      </w:r>
    </w:p>
    <w:p w:rsidR="00341643" w:rsidRPr="00DF0680" w:rsidRDefault="00341643">
      <w:pPr>
        <w:pStyle w:val="NormalWeb"/>
        <w:ind w:left="480" w:hanging="480"/>
        <w:divId w:val="930774447"/>
      </w:pPr>
      <w:r w:rsidRPr="00DF0680">
        <w:t xml:space="preserve">Saffhill, R., Margison, G.P. &amp; O’Connor, P.J., 1985. Mechanisms of carcinogenesis induced by alkylating agents. </w:t>
      </w:r>
      <w:r w:rsidRPr="00DF0680">
        <w:rPr>
          <w:i/>
          <w:iCs/>
        </w:rPr>
        <w:t>Biochimica ee Biophysica Acta</w:t>
      </w:r>
      <w:r w:rsidRPr="00DF0680">
        <w:t>, 823(2), pp.111–45.</w:t>
      </w:r>
    </w:p>
    <w:p w:rsidR="00341643" w:rsidRPr="00DF0680" w:rsidRDefault="00341643">
      <w:pPr>
        <w:pStyle w:val="NormalWeb"/>
        <w:ind w:left="480" w:hanging="480"/>
        <w:divId w:val="930774447"/>
      </w:pPr>
      <w:r w:rsidRPr="00DF0680">
        <w:t xml:space="preserve">Saha, P., Chen, J. &amp; Thome, K., 1998. Human CDC6/Cdc18 associates with Orc1 and cyclin-cdk and is selectively eliminated from the nucleus at the onset of S phase. </w:t>
      </w:r>
      <w:r w:rsidRPr="00DF0680">
        <w:rPr>
          <w:i/>
          <w:iCs/>
        </w:rPr>
        <w:t>Molecular and Cellular Biology</w:t>
      </w:r>
      <w:r w:rsidRPr="00DF0680">
        <w:t>, 18(5), pp.2758–2767.</w:t>
      </w:r>
    </w:p>
    <w:p w:rsidR="00341643" w:rsidRPr="00DF0680" w:rsidRDefault="00341643">
      <w:pPr>
        <w:pStyle w:val="NormalWeb"/>
        <w:ind w:left="480" w:hanging="480"/>
        <w:divId w:val="930774447"/>
      </w:pPr>
      <w:r w:rsidRPr="00DF0680">
        <w:t xml:space="preserve">Saintigny, Y., Makienko, K., Swanson, C., Emond, M.J. &amp; Monnat, R.J., 2002. Homologous recombination resolution defect in Werner syndrome. </w:t>
      </w:r>
      <w:r w:rsidRPr="00DF0680">
        <w:rPr>
          <w:i/>
          <w:iCs/>
        </w:rPr>
        <w:t>Molecular and Cellular Biology</w:t>
      </w:r>
      <w:r w:rsidRPr="00DF0680">
        <w:t>, 22(20), pp.6971–8.</w:t>
      </w:r>
    </w:p>
    <w:p w:rsidR="00341643" w:rsidRPr="00DF0680" w:rsidRDefault="00341643">
      <w:pPr>
        <w:pStyle w:val="NormalWeb"/>
        <w:ind w:left="480" w:hanging="480"/>
        <w:divId w:val="930774447"/>
      </w:pPr>
      <w:r w:rsidRPr="00DF0680">
        <w:t xml:space="preserve">Sakamoto, S., Nishikawa, K., Heo, S.-J., Goto, M., Furuichi, Y. &amp; Shimamoto, A., 2001. Werner helicase relocates into nuclear foci in response to DNA damaging agents and co-localizes with RPA and Rad51. </w:t>
      </w:r>
      <w:r w:rsidRPr="00DF0680">
        <w:rPr>
          <w:i/>
          <w:iCs/>
        </w:rPr>
        <w:t>Genes to Cells</w:t>
      </w:r>
      <w:r w:rsidRPr="00DF0680">
        <w:t>, 6(5), pp.421–430.</w:t>
      </w:r>
    </w:p>
    <w:p w:rsidR="00341643" w:rsidRPr="00DF0680" w:rsidRDefault="00341643">
      <w:pPr>
        <w:pStyle w:val="NormalWeb"/>
        <w:ind w:left="480" w:hanging="480"/>
        <w:divId w:val="930774447"/>
      </w:pPr>
      <w:r w:rsidRPr="00DF0680">
        <w:t xml:space="preserve">Saleh-Gohari, N. &amp; Bryant, H., 2005. Spontaneous homologous recombination is induced by collapsed replication forks that are caused by endogenous DNA single-strand breaks. </w:t>
      </w:r>
      <w:r w:rsidRPr="00DF0680">
        <w:rPr>
          <w:i/>
          <w:iCs/>
        </w:rPr>
        <w:t>Molecular and Cellular Biology</w:t>
      </w:r>
      <w:r w:rsidRPr="00DF0680">
        <w:t>, 25(16), pp.7158–7169.</w:t>
      </w:r>
    </w:p>
    <w:p w:rsidR="00341643" w:rsidRPr="00DF0680" w:rsidRDefault="00341643">
      <w:pPr>
        <w:pStyle w:val="NormalWeb"/>
        <w:ind w:left="480" w:hanging="480"/>
        <w:divId w:val="930774447"/>
      </w:pPr>
      <w:r w:rsidRPr="00DF0680">
        <w:t xml:space="preserve">Salk, D., 1982. Werner’s syndrome: A review of recent research with an analysis of connective tissue metabolism, growth control of cultured cells, and chromosomal aberrations. </w:t>
      </w:r>
      <w:r w:rsidRPr="00DF0680">
        <w:rPr>
          <w:i/>
          <w:iCs/>
        </w:rPr>
        <w:t>Human Genetics</w:t>
      </w:r>
      <w:r w:rsidRPr="00DF0680">
        <w:t>, 62(1), pp.1–15.</w:t>
      </w:r>
    </w:p>
    <w:p w:rsidR="00341643" w:rsidRPr="00DF0680" w:rsidRDefault="00341643">
      <w:pPr>
        <w:pStyle w:val="NormalWeb"/>
        <w:ind w:left="480" w:hanging="480"/>
        <w:divId w:val="930774447"/>
      </w:pPr>
      <w:r w:rsidRPr="00DF0680">
        <w:t xml:space="preserve">Samadashwily, G., Raca, G. &amp; Mirkin, S., 1997. Trinucleotide repeats affect DNA replication in vivo. </w:t>
      </w:r>
      <w:r w:rsidRPr="00DF0680">
        <w:rPr>
          <w:i/>
          <w:iCs/>
        </w:rPr>
        <w:t>Nature Genetics</w:t>
      </w:r>
      <w:r w:rsidRPr="00DF0680">
        <w:t>, 17(3), pp.298–304.</w:t>
      </w:r>
    </w:p>
    <w:p w:rsidR="00341643" w:rsidRPr="00DF0680" w:rsidRDefault="00341643">
      <w:pPr>
        <w:pStyle w:val="NormalWeb"/>
        <w:ind w:left="480" w:hanging="480"/>
        <w:divId w:val="930774447"/>
      </w:pPr>
      <w:r w:rsidRPr="00DF0680">
        <w:t xml:space="preserve">Sancar, A., 1996. DNA excision repair. </w:t>
      </w:r>
      <w:r w:rsidRPr="00DF0680">
        <w:rPr>
          <w:i/>
          <w:iCs/>
        </w:rPr>
        <w:t>Annual Review of Biochemistry</w:t>
      </w:r>
      <w:r w:rsidRPr="00DF0680">
        <w:t>, 65, pp.43–81.</w:t>
      </w:r>
    </w:p>
    <w:p w:rsidR="00341643" w:rsidRPr="00DF0680" w:rsidRDefault="00341643">
      <w:pPr>
        <w:pStyle w:val="NormalWeb"/>
        <w:ind w:left="480" w:hanging="480"/>
        <w:divId w:val="930774447"/>
      </w:pPr>
      <w:r w:rsidRPr="00DF0680">
        <w:t xml:space="preserve">Saponaro, M., Kantidakis, T., Mitter, R., Kelly, G.P., Heron, M., Williams, H., Söding, J., Stewart, A. &amp; Svejstrup, J.Q., 2014. RECQL5 Controls Transcript Elongation and Suppresses Genome Instability Associated with Transcription Stress. </w:t>
      </w:r>
      <w:r w:rsidRPr="00DF0680">
        <w:rPr>
          <w:i/>
          <w:iCs/>
        </w:rPr>
        <w:t>Cell</w:t>
      </w:r>
      <w:r w:rsidRPr="00DF0680">
        <w:t>, 157(5), pp.1037–1049.</w:t>
      </w:r>
    </w:p>
    <w:p w:rsidR="00341643" w:rsidRPr="00DF0680" w:rsidRDefault="00341643">
      <w:pPr>
        <w:pStyle w:val="NormalWeb"/>
        <w:ind w:left="480" w:hanging="480"/>
        <w:divId w:val="930774447"/>
      </w:pPr>
      <w:r w:rsidRPr="00DF0680">
        <w:t xml:space="preserve">Sargent, R. &amp; Meservy, J., 2000. Role of the nucleotide excision repair gene ERCC1 in formation of recombination-dependent rearrangements in mammalian cells. </w:t>
      </w:r>
      <w:r w:rsidRPr="00DF0680">
        <w:rPr>
          <w:i/>
          <w:iCs/>
        </w:rPr>
        <w:t>Nucleic Acids Research</w:t>
      </w:r>
      <w:r w:rsidRPr="00DF0680">
        <w:t>, 28(19), pp.3771–3778.</w:t>
      </w:r>
    </w:p>
    <w:p w:rsidR="00341643" w:rsidRPr="00DF0680" w:rsidRDefault="00341643">
      <w:pPr>
        <w:pStyle w:val="NormalWeb"/>
        <w:ind w:left="480" w:hanging="480"/>
        <w:divId w:val="930774447"/>
      </w:pPr>
      <w:r w:rsidRPr="00DF0680">
        <w:lastRenderedPageBreak/>
        <w:t xml:space="preserve">Sargent, R. &amp; Rolig, R., 1997. Recombination-dependent deletion formation in mammalian cells deficient in the nucleotide excision repair gene ERCC1. </w:t>
      </w:r>
      <w:r w:rsidRPr="00DF0680">
        <w:rPr>
          <w:i/>
          <w:iCs/>
        </w:rPr>
        <w:t>Proceedings of the National Academy of Sciences</w:t>
      </w:r>
      <w:r w:rsidRPr="00DF0680">
        <w:t>, 94(24), pp.13122–13127.</w:t>
      </w:r>
    </w:p>
    <w:p w:rsidR="00341643" w:rsidRPr="00DF0680" w:rsidRDefault="00341643">
      <w:pPr>
        <w:pStyle w:val="NormalWeb"/>
        <w:ind w:left="480" w:hanging="480"/>
        <w:divId w:val="930774447"/>
      </w:pPr>
      <w:r w:rsidRPr="00DF0680">
        <w:t xml:space="preserve">Sarlós, K., Gyimesi, M. &amp; Kovács, M., 2012. RecQ helicase translocates along single-stranded DNA with a moderate processivity and tight mechanochemical coupling. </w:t>
      </w:r>
      <w:r w:rsidRPr="00DF0680">
        <w:rPr>
          <w:i/>
          <w:iCs/>
        </w:rPr>
        <w:t>Proceedings of the National Academy of Sciences</w:t>
      </w:r>
      <w:r w:rsidRPr="00DF0680">
        <w:t>, 109(25), pp.9804–9.</w:t>
      </w:r>
    </w:p>
    <w:p w:rsidR="00341643" w:rsidRPr="00DF0680" w:rsidRDefault="00341643">
      <w:pPr>
        <w:pStyle w:val="NormalWeb"/>
        <w:ind w:left="480" w:hanging="480"/>
        <w:divId w:val="930774447"/>
      </w:pPr>
      <w:r w:rsidRPr="00DF0680">
        <w:t xml:space="preserve">Sartori, A., Lukas, C., Coates, J., Mistrik, M. &amp; Fu, S., 2007. Human CtIP promotes DNA end resection. </w:t>
      </w:r>
      <w:r w:rsidRPr="00DF0680">
        <w:rPr>
          <w:i/>
          <w:iCs/>
        </w:rPr>
        <w:t>Nature</w:t>
      </w:r>
      <w:r w:rsidRPr="00DF0680">
        <w:t>, 450(7169), pp.509–514.</w:t>
      </w:r>
    </w:p>
    <w:p w:rsidR="00341643" w:rsidRPr="00DF0680" w:rsidRDefault="00341643">
      <w:pPr>
        <w:pStyle w:val="NormalWeb"/>
        <w:ind w:left="480" w:hanging="480"/>
        <w:divId w:val="930774447"/>
      </w:pPr>
      <w:r w:rsidRPr="00DF0680">
        <w:t xml:space="preserve">Sassi, A., Popielarski, M., Synowiec, E., Morawiec, Z. &amp; Wozniak, K., 2013. BLM and RAD51 genes polymorphism and susceptibility to breast cancer. </w:t>
      </w:r>
      <w:r w:rsidRPr="00DF0680">
        <w:rPr>
          <w:i/>
          <w:iCs/>
        </w:rPr>
        <w:t>Pathology Oncology Research</w:t>
      </w:r>
      <w:r w:rsidRPr="00DF0680">
        <w:t>, 19(3), pp.451–9.</w:t>
      </w:r>
    </w:p>
    <w:p w:rsidR="00341643" w:rsidRPr="00DF0680" w:rsidRDefault="00341643">
      <w:pPr>
        <w:pStyle w:val="NormalWeb"/>
        <w:ind w:left="480" w:hanging="480"/>
        <w:divId w:val="930774447"/>
      </w:pPr>
      <w:r w:rsidRPr="00DF0680">
        <w:t xml:space="preserve">Savitsky, K., Bar-Shira, a, Gilad, S., Rotman, G., Ziv, Y., Vanagaite, L., Tagle, D. a, Smith, S., Uziel, T., Sfez, S., Ashkenazi, M., Pecker, I., Frydman, M., Harnik, R., Patanjali, S.R., Simmons, a, Clines, G. a, Sartiel, a, Gatti, R. a, Chessa, L., Sanal, O., Lavin, M.F., Jaspers, N.G., Taylor, a M., Arlett, C.F., Miki, T., Weissman, S.M., Lovett, M., Collins, F.S. &amp; Shiloh, Y., 1995. A single ataxia telangiectasia gene with a product similar to PI-3 kinase. </w:t>
      </w:r>
      <w:r w:rsidRPr="00DF0680">
        <w:rPr>
          <w:i/>
          <w:iCs/>
        </w:rPr>
        <w:t>Science</w:t>
      </w:r>
      <w:r w:rsidRPr="00DF0680">
        <w:t>, 268(5218), pp.1749–53.</w:t>
      </w:r>
    </w:p>
    <w:p w:rsidR="00341643" w:rsidRPr="00DF0680" w:rsidRDefault="00341643">
      <w:pPr>
        <w:pStyle w:val="NormalWeb"/>
        <w:ind w:left="480" w:hanging="480"/>
        <w:divId w:val="930774447"/>
      </w:pPr>
      <w:r w:rsidRPr="00DF0680">
        <w:t xml:space="preserve">Schmitt, M.W., Matsumoto, Y. &amp; Loeb, L.A., 2009. High fidelity and lesion bypass capability of human DNA polymerase delta. </w:t>
      </w:r>
      <w:r w:rsidRPr="00DF0680">
        <w:rPr>
          <w:i/>
          <w:iCs/>
        </w:rPr>
        <w:t>Biochimie</w:t>
      </w:r>
      <w:r w:rsidRPr="00DF0680">
        <w:t>, 91(9), pp.1163–72.</w:t>
      </w:r>
    </w:p>
    <w:p w:rsidR="00341643" w:rsidRPr="00DF0680" w:rsidRDefault="00341643">
      <w:pPr>
        <w:pStyle w:val="NormalWeb"/>
        <w:ind w:left="480" w:hanging="480"/>
        <w:divId w:val="930774447"/>
      </w:pPr>
      <w:r w:rsidRPr="00DF0680">
        <w:t xml:space="preserve">Schurman, S.H., Hedayati, M., Wang, Z., Singh, D.K., Speina, E., Zhang, Y., Becker, K., Macris, M., Sung, P., Wilson, D.M., Croteau, D.L. &amp; Bohr, V. a, 2009. Direct and indirect roles of RECQL4 in modulating base excision repair capacity. </w:t>
      </w:r>
      <w:r w:rsidRPr="00DF0680">
        <w:rPr>
          <w:i/>
          <w:iCs/>
        </w:rPr>
        <w:t>Human Molecular Genetics</w:t>
      </w:r>
      <w:r w:rsidRPr="00DF0680">
        <w:t>, 18(18), pp.3470–83.</w:t>
      </w:r>
    </w:p>
    <w:p w:rsidR="00341643" w:rsidRPr="00DF0680" w:rsidRDefault="00341643">
      <w:pPr>
        <w:pStyle w:val="NormalWeb"/>
        <w:ind w:left="480" w:hanging="480"/>
        <w:divId w:val="930774447"/>
      </w:pPr>
      <w:r w:rsidRPr="00DF0680">
        <w:t xml:space="preserve">Schwendener, S., Raynard, S., Paliwal, S., Cheng, A., Kanagaraj, R., Shevelev, I., Stark, J.M., Sung, P. &amp; Janscak, P., 2010. Physical interaction of RECQ5 helicase with RAD51 facilitates its anti-recombinase activity. </w:t>
      </w:r>
      <w:r w:rsidRPr="00DF0680">
        <w:rPr>
          <w:i/>
          <w:iCs/>
        </w:rPr>
        <w:t>The Journal of Biological Chemistry</w:t>
      </w:r>
      <w:r w:rsidRPr="00DF0680">
        <w:t>, 285(21), pp.15739–45.</w:t>
      </w:r>
    </w:p>
    <w:p w:rsidR="00341643" w:rsidRPr="00DF0680" w:rsidRDefault="00341643">
      <w:pPr>
        <w:pStyle w:val="NormalWeb"/>
        <w:ind w:left="480" w:hanging="480"/>
        <w:divId w:val="930774447"/>
      </w:pPr>
      <w:r w:rsidRPr="00DF0680">
        <w:t xml:space="preserve">Seiler, J. a, Conti, C., Syed, A., Aladjem, M.I. &amp; Pommier, Y., 2007. The intra-S-phase checkpoint affects both DNA replication initiation and elongation: single-cell and -DNA fiber analyses. </w:t>
      </w:r>
      <w:r w:rsidRPr="00DF0680">
        <w:rPr>
          <w:i/>
          <w:iCs/>
        </w:rPr>
        <w:t>Molecular and Cellular Biology</w:t>
      </w:r>
      <w:r w:rsidRPr="00DF0680">
        <w:t>, 27(16), pp.5806–18.</w:t>
      </w:r>
    </w:p>
    <w:p w:rsidR="00341643" w:rsidRPr="00DF0680" w:rsidRDefault="00341643">
      <w:pPr>
        <w:pStyle w:val="NormalWeb"/>
        <w:ind w:left="480" w:hanging="480"/>
        <w:divId w:val="930774447"/>
      </w:pPr>
      <w:r w:rsidRPr="00DF0680">
        <w:t xml:space="preserve">Seki, M., Miyazawa, H. &amp; Tada, S., 1994. Molecular cloning of cDNA encoding human DNA helicase Q1 which has homology to Escherichia coli Rec Q helicase and localization of the gene at chromosome. </w:t>
      </w:r>
      <w:r w:rsidRPr="00DF0680">
        <w:rPr>
          <w:i/>
          <w:iCs/>
        </w:rPr>
        <w:t>Nucleic Acids Research</w:t>
      </w:r>
      <w:r w:rsidRPr="00DF0680">
        <w:t>, 22(22), pp.4566–4573.</w:t>
      </w:r>
    </w:p>
    <w:p w:rsidR="00341643" w:rsidRPr="00DF0680" w:rsidRDefault="00341643">
      <w:pPr>
        <w:pStyle w:val="NormalWeb"/>
        <w:ind w:left="480" w:hanging="480"/>
        <w:divId w:val="930774447"/>
      </w:pPr>
      <w:r w:rsidRPr="00DF0680">
        <w:t xml:space="preserve">Setlow, R. &amp; Regan, J., 1969. Evidence that xeroderma pigmentosum cells do not perform the first step in the repair of ultraviolet damage to their DNA. </w:t>
      </w:r>
      <w:r w:rsidRPr="00DF0680">
        <w:rPr>
          <w:i/>
          <w:iCs/>
        </w:rPr>
        <w:t>Proceedings of the National Academy of Sciences</w:t>
      </w:r>
      <w:r w:rsidRPr="00DF0680">
        <w:t>, 64(3), pp.1035–41.</w:t>
      </w:r>
    </w:p>
    <w:p w:rsidR="00341643" w:rsidRPr="00DF0680" w:rsidRDefault="00341643">
      <w:pPr>
        <w:pStyle w:val="NormalWeb"/>
        <w:ind w:left="480" w:hanging="480"/>
        <w:divId w:val="930774447"/>
      </w:pPr>
      <w:r w:rsidRPr="00DF0680">
        <w:lastRenderedPageBreak/>
        <w:t xml:space="preserve">Sharma, S. &amp; Brosh, R.M., 2007. Human RECQ1 is a DNA damage responsive protein required for genotoxic stress resistance and suppression of sister chromatid exchanges. </w:t>
      </w:r>
      <w:r w:rsidRPr="00DF0680">
        <w:rPr>
          <w:i/>
          <w:iCs/>
        </w:rPr>
        <w:t>PloS One</w:t>
      </w:r>
      <w:r w:rsidRPr="00DF0680">
        <w:t>, 2(12), p.e1297.</w:t>
      </w:r>
    </w:p>
    <w:p w:rsidR="00341643" w:rsidRPr="00DF0680" w:rsidRDefault="00341643">
      <w:pPr>
        <w:pStyle w:val="NormalWeb"/>
        <w:ind w:left="480" w:hanging="480"/>
        <w:divId w:val="930774447"/>
      </w:pPr>
      <w:r w:rsidRPr="00DF0680">
        <w:t xml:space="preserve">Sharma, S., Otterlei, M., Sommers, J.A., Driscoll, H.C., Dianov, G.L., Kao, H., Bambara, R.A. &amp; Brosh, R.M., 2004a. WRN Helicase and FEN-1 form a complex upon replication arrest and together process branch-migrating DNA structures associated with the replication fork. </w:t>
      </w:r>
      <w:r w:rsidRPr="00DF0680">
        <w:rPr>
          <w:i/>
          <w:iCs/>
        </w:rPr>
        <w:t>Molecular and General Genetics</w:t>
      </w:r>
      <w:r w:rsidRPr="00DF0680">
        <w:t>, 15(2), pp.734–750.</w:t>
      </w:r>
    </w:p>
    <w:p w:rsidR="00341643" w:rsidRPr="00DF0680" w:rsidRDefault="00341643">
      <w:pPr>
        <w:pStyle w:val="NormalWeb"/>
        <w:ind w:left="480" w:hanging="480"/>
        <w:divId w:val="930774447"/>
      </w:pPr>
      <w:r w:rsidRPr="00DF0680">
        <w:t xml:space="preserve">Sharma, S., Phatak, P., Stortchevoi, A., Jasin, M. &amp; Larocque, J.R., 2012. RECQ1 plays a distinct role in cellular response to oxidative DNA damage. </w:t>
      </w:r>
      <w:r w:rsidRPr="00DF0680">
        <w:rPr>
          <w:i/>
          <w:iCs/>
        </w:rPr>
        <w:t>DNA Repair</w:t>
      </w:r>
      <w:r w:rsidRPr="00DF0680">
        <w:t>, 11(6), pp.537–49.</w:t>
      </w:r>
    </w:p>
    <w:p w:rsidR="00341643" w:rsidRPr="00DF0680" w:rsidRDefault="00341643">
      <w:pPr>
        <w:pStyle w:val="NormalWeb"/>
        <w:ind w:left="480" w:hanging="480"/>
        <w:divId w:val="930774447"/>
      </w:pPr>
      <w:r w:rsidRPr="00DF0680">
        <w:t xml:space="preserve">Sharma, S., Sommers, J. a, Choudhary, S., Faulkner, J.K., Cui, S., Andreoli, L., Muzzolini, L., Vindigni, A. &amp; Brosh, R.M., 2005. Biochemical analysis of the </w:t>
      </w:r>
      <w:proofErr w:type="gramStart"/>
      <w:r w:rsidRPr="00DF0680">
        <w:t>DNA unwinding</w:t>
      </w:r>
      <w:proofErr w:type="gramEnd"/>
      <w:r w:rsidRPr="00DF0680">
        <w:t xml:space="preserve"> and strand annealing activities catalyzed by human RECQ1. </w:t>
      </w:r>
      <w:r w:rsidRPr="00DF0680">
        <w:rPr>
          <w:i/>
          <w:iCs/>
        </w:rPr>
        <w:t>The Journal of Biological Chemistry</w:t>
      </w:r>
      <w:r w:rsidRPr="00DF0680">
        <w:t>, 280(30), pp.28072–84.</w:t>
      </w:r>
    </w:p>
    <w:p w:rsidR="00341643" w:rsidRPr="00DF0680" w:rsidRDefault="00341643">
      <w:pPr>
        <w:pStyle w:val="NormalWeb"/>
        <w:ind w:left="480" w:hanging="480"/>
        <w:divId w:val="930774447"/>
      </w:pPr>
      <w:r w:rsidRPr="00DF0680">
        <w:t xml:space="preserve">Sharma, S., Sommers, J. a, Wu, L., Bohr, V. a, Hickson, I.D. &amp; Brosh, R.M., 2004b. Stimulation of flap endonuclease-1 by the Bloom’s syndrome protein. </w:t>
      </w:r>
      <w:r w:rsidRPr="00DF0680">
        <w:rPr>
          <w:i/>
          <w:iCs/>
        </w:rPr>
        <w:t>The Journal of Biological Chemistry</w:t>
      </w:r>
      <w:r w:rsidRPr="00DF0680">
        <w:t>, 279(11), pp.9847–56.</w:t>
      </w:r>
    </w:p>
    <w:p w:rsidR="00341643" w:rsidRPr="00DF0680" w:rsidRDefault="00341643">
      <w:pPr>
        <w:pStyle w:val="NormalWeb"/>
        <w:ind w:left="480" w:hanging="480"/>
        <w:divId w:val="930774447"/>
      </w:pPr>
      <w:r w:rsidRPr="00DF0680">
        <w:t xml:space="preserve">Sharma, S., Stumpo, D.J., Balajee, A.S., Bock, C.B., Lansdorp, P.M., Brosh, R.M. &amp; Blackshear, P.J., 2007. RECQL, a member of the RecQ family of DNA helicases, suppresses chromosomal instability. </w:t>
      </w:r>
      <w:r w:rsidRPr="00DF0680">
        <w:rPr>
          <w:i/>
          <w:iCs/>
        </w:rPr>
        <w:t>Molecular and Cellular Biology</w:t>
      </w:r>
      <w:r w:rsidRPr="00DF0680">
        <w:t>, 27(5), pp.1784–94.</w:t>
      </w:r>
    </w:p>
    <w:p w:rsidR="00341643" w:rsidRPr="00DF0680" w:rsidRDefault="00341643">
      <w:pPr>
        <w:pStyle w:val="NormalWeb"/>
        <w:ind w:left="480" w:hanging="480"/>
        <w:divId w:val="930774447"/>
      </w:pPr>
      <w:r w:rsidRPr="00DF0680">
        <w:t xml:space="preserve">Shen, J. &amp; Loeb, L.A., 2000. Werner syndrome exonuclease catalyzes structure-dependent degradation of DNA. </w:t>
      </w:r>
      <w:r w:rsidRPr="00DF0680">
        <w:rPr>
          <w:i/>
          <w:iCs/>
        </w:rPr>
        <w:t>Nucleic Acids Research</w:t>
      </w:r>
      <w:r w:rsidRPr="00DF0680">
        <w:t>, 28(17), pp.3260–3268.</w:t>
      </w:r>
    </w:p>
    <w:p w:rsidR="00341643" w:rsidRPr="00DF0680" w:rsidRDefault="00341643">
      <w:pPr>
        <w:pStyle w:val="NormalWeb"/>
        <w:ind w:left="480" w:hanging="480"/>
        <w:divId w:val="930774447"/>
      </w:pPr>
      <w:r w:rsidRPr="00DF0680">
        <w:t xml:space="preserve">Shen, J.-C., 1998. Werner Syndrome Protein. I. DNA HELICASE AND DNA EXONUCLEASE RESIDE ON THE SAME POLYPEPTIDE. </w:t>
      </w:r>
      <w:r w:rsidRPr="00DF0680">
        <w:rPr>
          <w:i/>
          <w:iCs/>
        </w:rPr>
        <w:t>Journal of Biological Chemistry</w:t>
      </w:r>
      <w:r w:rsidRPr="00DF0680">
        <w:t>, 273(51), pp.34139–34144.</w:t>
      </w:r>
    </w:p>
    <w:p w:rsidR="00341643" w:rsidRPr="00DF0680" w:rsidRDefault="00341643">
      <w:pPr>
        <w:pStyle w:val="NormalWeb"/>
        <w:ind w:left="480" w:hanging="480"/>
        <w:divId w:val="930774447"/>
      </w:pPr>
      <w:r w:rsidRPr="00DF0680">
        <w:t xml:space="preserve">Shen, J.-C., Gray, M.D., Oshima, J. &amp; Loeb, L. a., 1998. Characterization of Werner syndrome protein DNA helicase activity: Directionality, substrate dependence and stimulation by replication protein A. </w:t>
      </w:r>
      <w:r w:rsidRPr="00DF0680">
        <w:rPr>
          <w:i/>
          <w:iCs/>
        </w:rPr>
        <w:t>Nucleic Acids Research</w:t>
      </w:r>
      <w:r w:rsidRPr="00DF0680">
        <w:t>, 26(12), pp.2879–2885.</w:t>
      </w:r>
    </w:p>
    <w:p w:rsidR="00341643" w:rsidRPr="00DF0680" w:rsidRDefault="00341643">
      <w:pPr>
        <w:pStyle w:val="NormalWeb"/>
        <w:ind w:left="480" w:hanging="480"/>
        <w:divId w:val="930774447"/>
      </w:pPr>
      <w:r w:rsidRPr="00DF0680">
        <w:t xml:space="preserve">Shereda, R.D., Bernstein, D. a &amp; Keck, J.L., 2007. A central role for SSB in Escherichia coli RecQ DNA helicase function. </w:t>
      </w:r>
      <w:r w:rsidRPr="00DF0680">
        <w:rPr>
          <w:i/>
          <w:iCs/>
        </w:rPr>
        <w:t>The Journal of Biological Chemistry</w:t>
      </w:r>
      <w:r w:rsidRPr="00DF0680">
        <w:t>, 282(26), pp.19247–58.</w:t>
      </w:r>
    </w:p>
    <w:p w:rsidR="00341643" w:rsidRPr="00DF0680" w:rsidRDefault="00341643">
      <w:pPr>
        <w:pStyle w:val="NormalWeb"/>
        <w:ind w:left="480" w:hanging="480"/>
        <w:divId w:val="930774447"/>
      </w:pPr>
      <w:r w:rsidRPr="00DF0680">
        <w:t xml:space="preserve">Shereda, R.D., Reiter, N.J., Butcher, S.E. &amp; Keck, J.L., 2009. Identification of the SSB binding site on E. coli RecQ reveals a conserved surface for binding SSB’s C terminus. </w:t>
      </w:r>
      <w:r w:rsidRPr="00DF0680">
        <w:rPr>
          <w:i/>
          <w:iCs/>
        </w:rPr>
        <w:t>Journal of Molecular Biology</w:t>
      </w:r>
      <w:r w:rsidRPr="00DF0680">
        <w:t>, 386(3), pp.612–25.</w:t>
      </w:r>
    </w:p>
    <w:p w:rsidR="00341643" w:rsidRPr="00DF0680" w:rsidRDefault="00341643">
      <w:pPr>
        <w:pStyle w:val="NormalWeb"/>
        <w:ind w:left="480" w:hanging="480"/>
        <w:divId w:val="930774447"/>
      </w:pPr>
      <w:r w:rsidRPr="00DF0680">
        <w:lastRenderedPageBreak/>
        <w:t xml:space="preserve">Sheu, Y.-J. &amp; Stillman, B., 2006. Cdc7-Dbf4 phosphorylates MCM proteins via a docking site-mediated mechanism to promote S phase progression. </w:t>
      </w:r>
      <w:r w:rsidRPr="00DF0680">
        <w:rPr>
          <w:i/>
          <w:iCs/>
        </w:rPr>
        <w:t>Molecular Cell</w:t>
      </w:r>
      <w:r w:rsidRPr="00DF0680">
        <w:t>, 24(1), pp.101–13.</w:t>
      </w:r>
    </w:p>
    <w:p w:rsidR="00341643" w:rsidRPr="00DF0680" w:rsidRDefault="00341643">
      <w:pPr>
        <w:pStyle w:val="NormalWeb"/>
        <w:ind w:left="480" w:hanging="480"/>
        <w:divId w:val="930774447"/>
      </w:pPr>
      <w:r w:rsidRPr="00DF0680">
        <w:t xml:space="preserve">Shibata, A., Moiani, D., Arvai, A.S., Perry, J., Harding, S.M., Genois, M.-M., Maity, R., van Rossum-Fikkert, S., Kertokalio, A., Romoli, F., Ismail, A., Ismalaj, E., Petricci, E., Neale, M.J., Bristow, R.G., Masson, J.-Y., Wyman, C., Jeggo, P. a &amp; Tainer, J. a, 2014. DNA Double-Strand Break Repair Pathway Choice Is Directed by Distinct MRE11 Nuclease Activities. </w:t>
      </w:r>
      <w:r w:rsidRPr="00DF0680">
        <w:rPr>
          <w:i/>
          <w:iCs/>
        </w:rPr>
        <w:t>Molecular Cell</w:t>
      </w:r>
      <w:r w:rsidRPr="00DF0680">
        <w:t>, 53(1), pp.7–18.</w:t>
      </w:r>
    </w:p>
    <w:p w:rsidR="00341643" w:rsidRPr="00DF0680" w:rsidRDefault="00341643">
      <w:pPr>
        <w:pStyle w:val="NormalWeb"/>
        <w:ind w:left="480" w:hanging="480"/>
        <w:divId w:val="930774447"/>
      </w:pPr>
      <w:r w:rsidRPr="00DF0680">
        <w:t xml:space="preserve">Shimamoto, a, Nishikawa, K., Kitao, S. &amp; Furuichi, Y., 2000. Human RecQ5beta, a large isomer of RecQ5 DNA helicase, localizes in the nucleoplasm and interacts with topoisomerases 3alpha and 3beta. </w:t>
      </w:r>
      <w:r w:rsidRPr="00DF0680">
        <w:rPr>
          <w:i/>
          <w:iCs/>
        </w:rPr>
        <w:t>Nucleic Acids Research</w:t>
      </w:r>
      <w:r w:rsidRPr="00DF0680">
        <w:t>, 28(7), pp.1647–55.</w:t>
      </w:r>
    </w:p>
    <w:p w:rsidR="00341643" w:rsidRPr="00DF0680" w:rsidRDefault="00341643">
      <w:pPr>
        <w:pStyle w:val="NormalWeb"/>
        <w:ind w:left="480" w:hanging="480"/>
        <w:divId w:val="930774447"/>
      </w:pPr>
      <w:r w:rsidRPr="00DF0680">
        <w:t xml:space="preserve">Shivji, M., Podust, V., Huebscher, U. &amp; Wood, R., 1995. Nucleotide Excision Repair DNA Synthesis by DNA Polymerase. epsilon. in the Presence of PCNA, RFC, and RPA. </w:t>
      </w:r>
      <w:r w:rsidRPr="00DF0680">
        <w:rPr>
          <w:i/>
          <w:iCs/>
        </w:rPr>
        <w:t>Biochemistry</w:t>
      </w:r>
      <w:r w:rsidRPr="00DF0680">
        <w:t>, 34(15), pp.5011–7.</w:t>
      </w:r>
    </w:p>
    <w:p w:rsidR="00341643" w:rsidRPr="00DF0680" w:rsidRDefault="00341643">
      <w:pPr>
        <w:pStyle w:val="NormalWeb"/>
        <w:ind w:left="480" w:hanging="480"/>
        <w:divId w:val="930774447"/>
      </w:pPr>
      <w:r w:rsidRPr="00DF0680">
        <w:t xml:space="preserve">Sidorova, J., Li, N., Folch, A. &amp; Monnat Jr., R., 2008. The RecQ helicase WRN is required for normal replication fork progression after DNA damage or replication fork arrest. </w:t>
      </w:r>
      <w:r w:rsidRPr="00DF0680">
        <w:rPr>
          <w:i/>
          <w:iCs/>
        </w:rPr>
        <w:t>Cell Cycle</w:t>
      </w:r>
      <w:r w:rsidRPr="00DF0680">
        <w:t>, 7(6), pp.796–807.</w:t>
      </w:r>
    </w:p>
    <w:p w:rsidR="00341643" w:rsidRPr="00DF0680" w:rsidRDefault="00341643">
      <w:pPr>
        <w:pStyle w:val="NormalWeb"/>
        <w:ind w:left="480" w:hanging="480"/>
        <w:divId w:val="930774447"/>
      </w:pPr>
      <w:r w:rsidRPr="00DF0680">
        <w:t xml:space="preserve">Sidorova, J.M., Kehrli, K., Mao, F. &amp; Monnat, R., 2013. Distinct functions of human RECQ helicases WRN and BLM in replication fork recovery and progression after hydroxyurea-induced stalling. </w:t>
      </w:r>
      <w:r w:rsidRPr="00DF0680">
        <w:rPr>
          <w:i/>
          <w:iCs/>
        </w:rPr>
        <w:t>DNA Repair</w:t>
      </w:r>
      <w:r w:rsidRPr="00DF0680">
        <w:t>, 12(2), pp.128–39.</w:t>
      </w:r>
    </w:p>
    <w:p w:rsidR="00341643" w:rsidRPr="00DF0680" w:rsidRDefault="00341643">
      <w:pPr>
        <w:pStyle w:val="NormalWeb"/>
        <w:ind w:left="480" w:hanging="480"/>
        <w:divId w:val="930774447"/>
      </w:pPr>
      <w:r w:rsidRPr="00DF0680">
        <w:t xml:space="preserve">Siitonen, H.A., Kopra, O., Kääriäinen, H., Haravuori, H., Winter, R.M., Säämänen, A.-M., Peltonen, L. &amp; Kestilä, M., 2003. Molecular defect of RAPADILINO syndrome expands the phenotype spectrum of RECQL diseases. </w:t>
      </w:r>
      <w:r w:rsidRPr="00DF0680">
        <w:rPr>
          <w:i/>
          <w:iCs/>
        </w:rPr>
        <w:t>Human Molecular Genetics</w:t>
      </w:r>
      <w:r w:rsidRPr="00DF0680">
        <w:t>, 12(21), pp.2837–44.</w:t>
      </w:r>
    </w:p>
    <w:p w:rsidR="00341643" w:rsidRPr="00DF0680" w:rsidRDefault="00341643">
      <w:pPr>
        <w:pStyle w:val="NormalWeb"/>
        <w:ind w:left="480" w:hanging="480"/>
        <w:divId w:val="930774447"/>
      </w:pPr>
      <w:r w:rsidRPr="00DF0680">
        <w:t xml:space="preserve">Silvera, D., Formenti, S.C. &amp; Schneider, R.J., 2010. Translational control in cancer. </w:t>
      </w:r>
      <w:r w:rsidRPr="00DF0680">
        <w:rPr>
          <w:i/>
          <w:iCs/>
        </w:rPr>
        <w:t>Nature Reviews. Cancer</w:t>
      </w:r>
      <w:r w:rsidRPr="00DF0680">
        <w:t>, 10(4), pp.254–66.</w:t>
      </w:r>
    </w:p>
    <w:p w:rsidR="00341643" w:rsidRPr="00DF0680" w:rsidRDefault="00341643">
      <w:pPr>
        <w:pStyle w:val="NormalWeb"/>
        <w:ind w:left="480" w:hanging="480"/>
        <w:divId w:val="930774447"/>
      </w:pPr>
      <w:r w:rsidRPr="00DF0680">
        <w:t xml:space="preserve">Simsek, D., Brunet, E., Wong, S.Y.-W., Katyal, S., Gao, Y., McKinnon, P.J., Lou, J., Zhang, L., Li, J., Rebar, E.J., Gregory, P.D., Holmes, M.C. &amp; Jasin, M., 2011. DNA ligase III promotes alternative nonhomologous end-joining during chromosomal translocation formation. </w:t>
      </w:r>
      <w:r w:rsidRPr="00DF0680">
        <w:rPr>
          <w:i/>
          <w:iCs/>
        </w:rPr>
        <w:t>PLoS Genetics</w:t>
      </w:r>
      <w:r w:rsidRPr="00DF0680">
        <w:t>, 7(6), p.e1002080.</w:t>
      </w:r>
    </w:p>
    <w:p w:rsidR="00341643" w:rsidRPr="00DF0680" w:rsidRDefault="00341643">
      <w:pPr>
        <w:pStyle w:val="NormalWeb"/>
        <w:ind w:left="480" w:hanging="480"/>
        <w:divId w:val="930774447"/>
      </w:pPr>
      <w:r w:rsidRPr="00DF0680">
        <w:t xml:space="preserve">Sinclair, D. a., 1997. Accelerated Aging and Nucleolar Fragmentation in Yeast sgs1 Mutants. </w:t>
      </w:r>
      <w:r w:rsidRPr="00DF0680">
        <w:rPr>
          <w:i/>
          <w:iCs/>
        </w:rPr>
        <w:t>Science</w:t>
      </w:r>
      <w:r w:rsidRPr="00DF0680">
        <w:t>, 277(5330), pp.1313–1316.</w:t>
      </w:r>
    </w:p>
    <w:p w:rsidR="00341643" w:rsidRPr="00DF0680" w:rsidRDefault="00341643">
      <w:pPr>
        <w:pStyle w:val="NormalWeb"/>
        <w:ind w:left="480" w:hanging="480"/>
        <w:divId w:val="930774447"/>
      </w:pPr>
      <w:r w:rsidRPr="00DF0680">
        <w:t xml:space="preserve">Singh, T.R., Ali, A.M., Busygina, V., Raynard, S., Fan, Q., Du, C., Andreassen, P.R., Sung, P. &amp; Meetei, A.R., 2008. BLAP18/RMI2, a novel OB-fold-containing protein, is an essential component of the Bloom helicase-double Holliday junction dissolvasome. </w:t>
      </w:r>
      <w:r w:rsidRPr="00DF0680">
        <w:rPr>
          <w:i/>
          <w:iCs/>
        </w:rPr>
        <w:t>Genes &amp; Development</w:t>
      </w:r>
      <w:r w:rsidRPr="00DF0680">
        <w:t>, 22(20), pp.2856–68.</w:t>
      </w:r>
    </w:p>
    <w:p w:rsidR="00341643" w:rsidRPr="00DF0680" w:rsidRDefault="00341643">
      <w:pPr>
        <w:pStyle w:val="NormalWeb"/>
        <w:ind w:left="480" w:hanging="480"/>
        <w:divId w:val="930774447"/>
      </w:pPr>
      <w:r w:rsidRPr="00DF0680">
        <w:t xml:space="preserve">Singhal, R., Prasad, R. &amp; Wilson, S., 1995. DNA polymerase conducts the gap-filling step in uracil-initiated base excision repair in a bovine testis nuclear extract. </w:t>
      </w:r>
      <w:r w:rsidRPr="00DF0680">
        <w:rPr>
          <w:i/>
          <w:iCs/>
        </w:rPr>
        <w:t>Journal of Biological Chemistry</w:t>
      </w:r>
      <w:r w:rsidRPr="00DF0680">
        <w:t>, 270(2), pp.949–57.</w:t>
      </w:r>
    </w:p>
    <w:p w:rsidR="00341643" w:rsidRPr="00DF0680" w:rsidRDefault="00341643">
      <w:pPr>
        <w:pStyle w:val="NormalWeb"/>
        <w:ind w:left="480" w:hanging="480"/>
        <w:divId w:val="930774447"/>
      </w:pPr>
      <w:r w:rsidRPr="00DF0680">
        <w:lastRenderedPageBreak/>
        <w:t xml:space="preserve">Smith, G.C. &amp; Jackson, S.P., 1999. The DNA-dependent protein kinase. </w:t>
      </w:r>
      <w:r w:rsidRPr="00DF0680">
        <w:rPr>
          <w:i/>
          <w:iCs/>
        </w:rPr>
        <w:t>Genes &amp; Development</w:t>
      </w:r>
      <w:r w:rsidRPr="00DF0680">
        <w:t>, 13(8), pp.916–34.</w:t>
      </w:r>
    </w:p>
    <w:p w:rsidR="00341643" w:rsidRPr="00DF0680" w:rsidRDefault="00341643">
      <w:pPr>
        <w:pStyle w:val="NormalWeb"/>
        <w:ind w:left="480" w:hanging="480"/>
        <w:divId w:val="930774447"/>
      </w:pPr>
      <w:r w:rsidRPr="00DF0680">
        <w:t xml:space="preserve">Smith, L.M., Willmore, E., Austin, C. a &amp; Curtin, N.J., 2005. The novel poly(ADP-Ribose) polymerase inhibitor, AG14361, sensitizes cells to topoisomerase I poisons by increasing the persistence of DNA strand breaks. </w:t>
      </w:r>
      <w:r w:rsidRPr="00DF0680">
        <w:rPr>
          <w:i/>
          <w:iCs/>
        </w:rPr>
        <w:t>Clinical Cancer Research</w:t>
      </w:r>
      <w:r w:rsidRPr="00DF0680">
        <w:t>, 11(23), pp.8449–57.</w:t>
      </w:r>
    </w:p>
    <w:p w:rsidR="00341643" w:rsidRPr="00DF0680" w:rsidRDefault="00341643">
      <w:pPr>
        <w:pStyle w:val="NormalWeb"/>
        <w:ind w:left="480" w:hanging="480"/>
        <w:divId w:val="930774447"/>
      </w:pPr>
      <w:r w:rsidRPr="00DF0680">
        <w:t xml:space="preserve">Smogorzewska, A., Desetty, R., Saito, T.T., Schlabach, M., Lach, F.P., Sowa, M.E., Clark, A.B., Kunkel, T.A., Harper, J.W., Colaiacovo, M.P. &amp; Elledge, S.J., 2010. A Genetic Screen Identifies FAN1, a Fanconi Anemia-Associated Nuclease Necessary for DNA Interstrand Crosslink Repair. </w:t>
      </w:r>
      <w:r w:rsidRPr="00DF0680">
        <w:rPr>
          <w:i/>
          <w:iCs/>
        </w:rPr>
        <w:t>Molecular Cell</w:t>
      </w:r>
      <w:r w:rsidRPr="00DF0680">
        <w:t>, 39(1), pp.36–47.</w:t>
      </w:r>
    </w:p>
    <w:p w:rsidR="00341643" w:rsidRPr="00DF0680" w:rsidRDefault="00341643">
      <w:pPr>
        <w:pStyle w:val="NormalWeb"/>
        <w:ind w:left="480" w:hanging="480"/>
        <w:divId w:val="930774447"/>
      </w:pPr>
      <w:r w:rsidRPr="00DF0680">
        <w:t xml:space="preserve">Sobeck, A., Stone, S., Costanzo, V., de Graaf, B., Reuter, T., de Winter, J., Wallisch, M., Akkari, Y., Olson, S., Wang, W., Joenje, H., Christian, J.L., Lupardus, P.J., Cimprich, K. a, Gautier, J. &amp; Hoatlin, M.E., 2006. Fanconi anemia proteins are required to prevent accumulation of replication-associated DNA double-strand breaks. </w:t>
      </w:r>
      <w:r w:rsidRPr="00DF0680">
        <w:rPr>
          <w:i/>
          <w:iCs/>
        </w:rPr>
        <w:t>Molecular and Cellular Biology</w:t>
      </w:r>
      <w:r w:rsidRPr="00DF0680">
        <w:t>, 26(2), pp.425–37.</w:t>
      </w:r>
    </w:p>
    <w:p w:rsidR="00341643" w:rsidRPr="00DF0680" w:rsidRDefault="00341643">
      <w:pPr>
        <w:pStyle w:val="NormalWeb"/>
        <w:ind w:left="480" w:hanging="480"/>
        <w:divId w:val="930774447"/>
      </w:pPr>
      <w:r w:rsidRPr="00DF0680">
        <w:t xml:space="preserve">Sogo, J.M., Lopes, M. &amp; Foiani, M., 2002. Fork reversal and ssDNA accumulation at stalled replication forks owing to checkpoint defects. </w:t>
      </w:r>
      <w:r w:rsidRPr="00DF0680">
        <w:rPr>
          <w:i/>
          <w:iCs/>
        </w:rPr>
        <w:t>Science</w:t>
      </w:r>
      <w:r w:rsidRPr="00DF0680">
        <w:t>, 297(5581), pp.599–602.</w:t>
      </w:r>
    </w:p>
    <w:p w:rsidR="00341643" w:rsidRPr="00DF0680" w:rsidRDefault="00341643">
      <w:pPr>
        <w:pStyle w:val="NormalWeb"/>
        <w:ind w:left="480" w:hanging="480"/>
        <w:divId w:val="930774447"/>
      </w:pPr>
      <w:r w:rsidRPr="00DF0680">
        <w:t xml:space="preserve">Sommers, J. a, Banerjee, T., Hinds, T., Wan, B., Wold, M.S., Lei, M. &amp; Brosh, R.M., 2014. Novel function of the Fanconi anemia group J or RECQ1 helicase to disrupt protein-DNA complexes in a replication protein A-stimulated manner. </w:t>
      </w:r>
      <w:r w:rsidRPr="00DF0680">
        <w:rPr>
          <w:i/>
          <w:iCs/>
        </w:rPr>
        <w:t>The Journal of Biological Chemistry</w:t>
      </w:r>
      <w:r w:rsidRPr="00DF0680">
        <w:t>, 289(29), pp.19928–41.</w:t>
      </w:r>
    </w:p>
    <w:p w:rsidR="00341643" w:rsidRPr="00DF0680" w:rsidRDefault="00341643">
      <w:pPr>
        <w:pStyle w:val="NormalWeb"/>
        <w:ind w:left="480" w:hanging="480"/>
        <w:divId w:val="930774447"/>
      </w:pPr>
      <w:r w:rsidRPr="00DF0680">
        <w:t xml:space="preserve">Sørensen, C.S., Syljuåsen, R.G., Falck, J., Schroeder, T., Rönnstrand, L., Khanna, K.K., Zhou, B.-B., Bartek, J. &amp; Lukas, J., 2003. Chk1 regulates the S phase checkpoint by coupling the physiological turnover and ionizing radiation-induced accelerated proteolysis of Cdc25A. </w:t>
      </w:r>
      <w:r w:rsidRPr="00DF0680">
        <w:rPr>
          <w:i/>
          <w:iCs/>
        </w:rPr>
        <w:t>Cancer Cell</w:t>
      </w:r>
      <w:r w:rsidRPr="00DF0680">
        <w:t>, 3(3), pp.247–58.</w:t>
      </w:r>
    </w:p>
    <w:p w:rsidR="00341643" w:rsidRPr="00DF0680" w:rsidRDefault="00341643">
      <w:pPr>
        <w:pStyle w:val="NormalWeb"/>
        <w:ind w:left="480" w:hanging="480"/>
        <w:divId w:val="930774447"/>
      </w:pPr>
      <w:r w:rsidRPr="00DF0680">
        <w:t xml:space="preserve">Speina, E., Dawut, L., Hedayati, M., Wang, Z., May, A., Schwendener, S., Janscak, P., Croteau, D.L. &amp; Bohr, V. a, 2010. Human RECQL5beta stimulates flap endonuclease 1. </w:t>
      </w:r>
      <w:r w:rsidRPr="00DF0680">
        <w:rPr>
          <w:i/>
          <w:iCs/>
        </w:rPr>
        <w:t>Nucleic Acids Research</w:t>
      </w:r>
      <w:r w:rsidRPr="00DF0680">
        <w:t>, 38(9), pp.2904–16.</w:t>
      </w:r>
    </w:p>
    <w:p w:rsidR="00341643" w:rsidRPr="00DF0680" w:rsidRDefault="00341643">
      <w:pPr>
        <w:pStyle w:val="NormalWeb"/>
        <w:ind w:left="480" w:hanging="480"/>
        <w:divId w:val="930774447"/>
      </w:pPr>
      <w:r w:rsidRPr="00DF0680">
        <w:t xml:space="preserve">Spitz, D.R., Azzam, E.I., Li, J.J. &amp; Gius, D., 2004. Metabolic oxidation/reduction reactions and cellular responses to ionizing radiation: a unifying concept in stress response biology. </w:t>
      </w:r>
      <w:r w:rsidRPr="00DF0680">
        <w:rPr>
          <w:i/>
          <w:iCs/>
        </w:rPr>
        <w:t>Cancer Metastasis Reviews</w:t>
      </w:r>
      <w:r w:rsidRPr="00DF0680">
        <w:t>, 23(3-4), pp.311–22.</w:t>
      </w:r>
    </w:p>
    <w:p w:rsidR="00341643" w:rsidRPr="00DF0680" w:rsidRDefault="00341643">
      <w:pPr>
        <w:pStyle w:val="NormalWeb"/>
        <w:ind w:left="480" w:hanging="480"/>
        <w:divId w:val="930774447"/>
      </w:pPr>
      <w:r w:rsidRPr="00DF0680">
        <w:t xml:space="preserve">Stenzl, A., Cowan, N.C., De Santis, M., Kuczyk, M. a, Merseburger, A.S., Ribal, M.J., Sherif, A. &amp; Witjes, J.A., 2011. Treatment of muscle-invasive and metastatic bladder cancer: update of the EAU guidelines. </w:t>
      </w:r>
      <w:r w:rsidRPr="00DF0680">
        <w:rPr>
          <w:i/>
          <w:iCs/>
        </w:rPr>
        <w:t>European Urology</w:t>
      </w:r>
      <w:r w:rsidRPr="00DF0680">
        <w:t>, 59(6), pp.1009–18.</w:t>
      </w:r>
    </w:p>
    <w:p w:rsidR="00341643" w:rsidRPr="00DF0680" w:rsidRDefault="00341643">
      <w:pPr>
        <w:pStyle w:val="NormalWeb"/>
        <w:ind w:left="480" w:hanging="480"/>
        <w:divId w:val="930774447"/>
      </w:pPr>
      <w:r w:rsidRPr="00DF0680">
        <w:t xml:space="preserve">Stoimenov, I., Gottipati, P., Schultz, N. &amp; Helleday, T., 2011. Transcription inhibition by 5,6-dichloro-1-beta-D-ribofuranosylbenzimidazole (DRB) causes DNA damage and triggers homologous recombination repair in mammalian cells. </w:t>
      </w:r>
      <w:r w:rsidRPr="00DF0680">
        <w:rPr>
          <w:i/>
          <w:iCs/>
        </w:rPr>
        <w:t>Mutation Research</w:t>
      </w:r>
      <w:r w:rsidRPr="00DF0680">
        <w:t>, 706(1-2), pp.1–6.</w:t>
      </w:r>
    </w:p>
    <w:p w:rsidR="00341643" w:rsidRPr="00DF0680" w:rsidRDefault="00341643">
      <w:pPr>
        <w:pStyle w:val="NormalWeb"/>
        <w:ind w:left="480" w:hanging="480"/>
        <w:divId w:val="930774447"/>
      </w:pPr>
      <w:r w:rsidRPr="00DF0680">
        <w:lastRenderedPageBreak/>
        <w:t xml:space="preserve">Stoyanova, B.B., Genetics, M., Biology, M. &amp; Academy, B., 1979. Alterations in the Processing of Rat Liver Ribosomal RNA Caused by Cycloheximide Inhibition of Protein Synthesis. </w:t>
      </w:r>
      <w:r w:rsidRPr="00DF0680">
        <w:rPr>
          <w:i/>
          <w:iCs/>
        </w:rPr>
        <w:t>European Journal of Biochemistry</w:t>
      </w:r>
      <w:r w:rsidRPr="00DF0680">
        <w:t>, 92(2), pp.349–356.</w:t>
      </w:r>
    </w:p>
    <w:p w:rsidR="00341643" w:rsidRPr="00DF0680" w:rsidRDefault="00341643">
      <w:pPr>
        <w:pStyle w:val="NormalWeb"/>
        <w:ind w:left="480" w:hanging="480"/>
        <w:divId w:val="930774447"/>
      </w:pPr>
      <w:r w:rsidRPr="00DF0680">
        <w:t xml:space="preserve">Su, Y., Meador, J. a, Calaf, G.M., Proietti De-Santis, L., Zhao, Y., Bohr, V. a &amp; Balajee, A.S., 2010. Human RecQL4 helicase plays critical roles in prostate carcinogenesis. </w:t>
      </w:r>
      <w:r w:rsidRPr="00DF0680">
        <w:rPr>
          <w:i/>
          <w:iCs/>
        </w:rPr>
        <w:t>Cancer Research</w:t>
      </w:r>
      <w:r w:rsidRPr="00DF0680">
        <w:t>, 70(22), pp.9207–17.</w:t>
      </w:r>
    </w:p>
    <w:p w:rsidR="00341643" w:rsidRPr="00DF0680" w:rsidRDefault="00341643">
      <w:pPr>
        <w:pStyle w:val="NormalWeb"/>
        <w:ind w:left="480" w:hanging="480"/>
        <w:divId w:val="930774447"/>
      </w:pPr>
      <w:r w:rsidRPr="00DF0680">
        <w:t xml:space="preserve">Sugasawa, K., Ng, J.M., Masutani, C., Iwai, S., van der Spek, P.J., Eker, a P., Hanaoka, F., Bootsma, D. &amp; Hoeijmakers, J.H., 1998. Xeroderma pigmentosum group C protein complex is the initiator of global genome nucleotide excision repair. </w:t>
      </w:r>
      <w:r w:rsidRPr="00DF0680">
        <w:rPr>
          <w:i/>
          <w:iCs/>
        </w:rPr>
        <w:t>Molecular Cell</w:t>
      </w:r>
      <w:r w:rsidRPr="00DF0680">
        <w:t>, 2(2), pp.223–32.</w:t>
      </w:r>
    </w:p>
    <w:p w:rsidR="00341643" w:rsidRPr="00DF0680" w:rsidRDefault="00341643">
      <w:pPr>
        <w:pStyle w:val="NormalWeb"/>
        <w:ind w:left="480" w:hanging="480"/>
        <w:divId w:val="930774447"/>
      </w:pPr>
      <w:r w:rsidRPr="00DF0680">
        <w:t xml:space="preserve">Sugiyama, T. &amp; Kowalczykowski, S.C., 2002. Rad52 protein associates with replication protein A (RPA)-single-stranded DNA to accelerate Rad51-mediated displacement of RPA and presynaptic complex formation. </w:t>
      </w:r>
      <w:r w:rsidRPr="00DF0680">
        <w:rPr>
          <w:i/>
          <w:iCs/>
        </w:rPr>
        <w:t>The Journal of Biological Chemistry</w:t>
      </w:r>
      <w:r w:rsidRPr="00DF0680">
        <w:t>, 277(35), pp.31663–72.</w:t>
      </w:r>
    </w:p>
    <w:p w:rsidR="00341643" w:rsidRPr="00DF0680" w:rsidRDefault="00341643">
      <w:pPr>
        <w:pStyle w:val="NormalWeb"/>
        <w:ind w:left="480" w:hanging="480"/>
        <w:divId w:val="930774447"/>
      </w:pPr>
      <w:r w:rsidRPr="00DF0680">
        <w:t xml:space="preserve">Suhasini, A.N., Rawtani, N. a, Wu, Y., Sommers, J. a, Sharma, S., Mosedale, G., North, P.S., Cantor, S.B., Hickson, I.D. &amp; Brosh, R.M., 2011. Interaction between the helicases genetically linked to Fanconi anemia group J and Bloom’s syndrome. </w:t>
      </w:r>
      <w:r w:rsidRPr="00DF0680">
        <w:rPr>
          <w:i/>
          <w:iCs/>
        </w:rPr>
        <w:t>The EMBO Journal</w:t>
      </w:r>
      <w:r w:rsidRPr="00DF0680">
        <w:t>, 30(4), pp.692–705.</w:t>
      </w:r>
    </w:p>
    <w:p w:rsidR="00341643" w:rsidRPr="00DF0680" w:rsidRDefault="00341643">
      <w:pPr>
        <w:pStyle w:val="NormalWeb"/>
        <w:ind w:left="480" w:hanging="480"/>
        <w:divId w:val="930774447"/>
      </w:pPr>
      <w:r w:rsidRPr="00DF0680">
        <w:t xml:space="preserve">Sun, H., Karow, J., Hickson, I. &amp; Maizels, N., 1998. The Bloom’s syndrome helicase unwinds G4 DNA. </w:t>
      </w:r>
      <w:r w:rsidRPr="00DF0680">
        <w:rPr>
          <w:i/>
          <w:iCs/>
        </w:rPr>
        <w:t>Journal of Biological Chemistry</w:t>
      </w:r>
      <w:r w:rsidRPr="00DF0680">
        <w:t>, 273(42), pp.27587–27592.</w:t>
      </w:r>
    </w:p>
    <w:p w:rsidR="00341643" w:rsidRPr="00DF0680" w:rsidRDefault="00341643">
      <w:pPr>
        <w:pStyle w:val="NormalWeb"/>
        <w:ind w:left="480" w:hanging="480"/>
        <w:divId w:val="930774447"/>
      </w:pPr>
      <w:r w:rsidRPr="00DF0680">
        <w:t xml:space="preserve">Sung, P., 1994. Catalysis of ATP-dependent homologous DNA pairing and strand exchange by yeast RAD51 protein. </w:t>
      </w:r>
      <w:r w:rsidRPr="00DF0680">
        <w:rPr>
          <w:i/>
          <w:iCs/>
        </w:rPr>
        <w:t>Science</w:t>
      </w:r>
      <w:r w:rsidRPr="00DF0680">
        <w:t>, 265(5176), pp.1241–3.</w:t>
      </w:r>
    </w:p>
    <w:p w:rsidR="00341643" w:rsidRPr="00DF0680" w:rsidRDefault="00341643">
      <w:pPr>
        <w:pStyle w:val="NormalWeb"/>
        <w:ind w:left="480" w:hanging="480"/>
        <w:divId w:val="930774447"/>
      </w:pPr>
      <w:r w:rsidRPr="00DF0680">
        <w:t xml:space="preserve">Suzuki, N., Shiratori, M., Goto, M. &amp; Furuichi, Y., 1999. Werner syndrome helicase contains a 5’-&gt;3' exonuclease activity that digests DNA and RNA strands in DNA/DNA and RNA/DNA duplexes dependent on unwinding. </w:t>
      </w:r>
      <w:r w:rsidRPr="00DF0680">
        <w:rPr>
          <w:i/>
          <w:iCs/>
        </w:rPr>
        <w:t>Nucleic Acids Research</w:t>
      </w:r>
      <w:r w:rsidRPr="00DF0680">
        <w:t>, 27(11), pp.2361–2368.</w:t>
      </w:r>
    </w:p>
    <w:p w:rsidR="00341643" w:rsidRPr="00DF0680" w:rsidRDefault="00341643">
      <w:pPr>
        <w:pStyle w:val="NormalWeb"/>
        <w:ind w:left="480" w:hanging="480"/>
        <w:divId w:val="930774447"/>
      </w:pPr>
      <w:r w:rsidRPr="00DF0680">
        <w:t xml:space="preserve">Suzuki, T., Kohno, T. &amp; Ishimi, Y., 2009. DNA helicase activity in purified human RECQL4 protein. </w:t>
      </w:r>
      <w:r w:rsidRPr="00DF0680">
        <w:rPr>
          <w:i/>
          <w:iCs/>
        </w:rPr>
        <w:t>Journal of Biochemistry</w:t>
      </w:r>
      <w:r w:rsidRPr="00DF0680">
        <w:t>, 146(3), pp.327–35.</w:t>
      </w:r>
    </w:p>
    <w:p w:rsidR="00341643" w:rsidRPr="00DF0680" w:rsidRDefault="00341643">
      <w:pPr>
        <w:pStyle w:val="NormalWeb"/>
        <w:ind w:left="480" w:hanging="480"/>
        <w:divId w:val="930774447"/>
      </w:pPr>
      <w:r w:rsidRPr="00DF0680">
        <w:t xml:space="preserve">Taccioli, G.E., Amatucci, a G., Beamish, H.J., Gell, D., Xiang, X.H., Torres Arzayus, M.I., Priestley, a, Jackson, S.P., Marshak Rothstein, a, Jeggo, P. a &amp; Herrera, V.L., 1998. Targeted disruption of the catalytic subunit of the DNA-PK gene in mice confers severe combined immunodeficiency and radiosensitivity. </w:t>
      </w:r>
      <w:r w:rsidRPr="00DF0680">
        <w:rPr>
          <w:i/>
          <w:iCs/>
        </w:rPr>
        <w:t>Immunity</w:t>
      </w:r>
      <w:r w:rsidRPr="00DF0680">
        <w:t>, 9(3), pp.355–66.</w:t>
      </w:r>
    </w:p>
    <w:p w:rsidR="00341643" w:rsidRPr="00DF0680" w:rsidRDefault="00341643">
      <w:pPr>
        <w:pStyle w:val="NormalWeb"/>
        <w:ind w:left="480" w:hanging="480"/>
        <w:divId w:val="930774447"/>
      </w:pPr>
      <w:r w:rsidRPr="00DF0680">
        <w:t xml:space="preserve">Tadokoro, T., Ramamoorthy, M., Popuri, V., May, A., Tian, J., Sykora, P., Rybanska, I., Wilson, D.M., Croteau, D.L. &amp; Bohr, V. a, 2012. Human RECQL5 participates in the removal of endogenous DNA damage. </w:t>
      </w:r>
      <w:r w:rsidRPr="00DF0680">
        <w:rPr>
          <w:i/>
          <w:iCs/>
        </w:rPr>
        <w:t>Molecular Biology of the Cell</w:t>
      </w:r>
      <w:r w:rsidRPr="00DF0680">
        <w:t>, 23(21), pp.4273–85.</w:t>
      </w:r>
    </w:p>
    <w:p w:rsidR="00341643" w:rsidRPr="00DF0680" w:rsidRDefault="00341643">
      <w:pPr>
        <w:pStyle w:val="NormalWeb"/>
        <w:ind w:left="480" w:hanging="480"/>
        <w:divId w:val="930774447"/>
      </w:pPr>
      <w:r w:rsidRPr="00DF0680">
        <w:lastRenderedPageBreak/>
        <w:t xml:space="preserve">Takeda, D.Y., Shibata, Y., Parvin, J.D. &amp; Dutta, A., 2005. Recruitment of ORC or CDC6 to DNA is sufficient to create an artificial origin of replication in mammalian cells. </w:t>
      </w:r>
      <w:r w:rsidRPr="00DF0680">
        <w:rPr>
          <w:i/>
          <w:iCs/>
        </w:rPr>
        <w:t>Genes &amp; Development</w:t>
      </w:r>
      <w:r w:rsidRPr="00DF0680">
        <w:t>, 19(23), pp.2827–36.</w:t>
      </w:r>
    </w:p>
    <w:p w:rsidR="00341643" w:rsidRPr="00DF0680" w:rsidRDefault="00341643">
      <w:pPr>
        <w:pStyle w:val="NormalWeb"/>
        <w:ind w:left="480" w:hanging="480"/>
        <w:divId w:val="930774447"/>
      </w:pPr>
      <w:r w:rsidRPr="00DF0680">
        <w:t xml:space="preserve">Tanaka, T., Knapp, D. &amp; Nasmyth, K., 1997. Loading of an Mcm Protein onto DNA Replication Origins Is Regulated by Cdc6p and CDKs. </w:t>
      </w:r>
      <w:r w:rsidRPr="00DF0680">
        <w:rPr>
          <w:i/>
          <w:iCs/>
        </w:rPr>
        <w:t>Cell</w:t>
      </w:r>
      <w:r w:rsidRPr="00DF0680">
        <w:t>, 90(4), pp.649–660.</w:t>
      </w:r>
    </w:p>
    <w:p w:rsidR="00341643" w:rsidRPr="00DF0680" w:rsidRDefault="00341643">
      <w:pPr>
        <w:pStyle w:val="NormalWeb"/>
        <w:ind w:left="480" w:hanging="480"/>
        <w:divId w:val="930774447"/>
      </w:pPr>
      <w:r w:rsidRPr="00DF0680">
        <w:t xml:space="preserve">Taniguchi, T., Garcia-Higuera, I., Andreassen, P.R., Gregory, R.C., Grompe, M. &amp; D’Andrea, A.D., 2002. S-phase-specific interaction of the Fanconi anemia protein, FANCD2, with BRCA1 and RAD51. </w:t>
      </w:r>
      <w:r w:rsidRPr="00DF0680">
        <w:rPr>
          <w:i/>
          <w:iCs/>
        </w:rPr>
        <w:t>Blood</w:t>
      </w:r>
      <w:r w:rsidRPr="00DF0680">
        <w:t>, 100(7), pp.2414–20.</w:t>
      </w:r>
    </w:p>
    <w:p w:rsidR="00341643" w:rsidRPr="00DF0680" w:rsidRDefault="00341643">
      <w:pPr>
        <w:pStyle w:val="NormalWeb"/>
        <w:ind w:left="480" w:hanging="480"/>
        <w:divId w:val="930774447"/>
      </w:pPr>
      <w:r w:rsidRPr="00DF0680">
        <w:t xml:space="preserve">Tao, J., Tao, S., Han, J., Zhou, Z., Zhang, X., Wang, H., Chen, R., Ji, F. &amp; Zhu, Y., 2014. RECQL1 Plays an Important Role in the Development of Tongue Squamous Cell Carcinoma. </w:t>
      </w:r>
      <w:r w:rsidRPr="00DF0680">
        <w:rPr>
          <w:i/>
          <w:iCs/>
        </w:rPr>
        <w:t>Cellular Physiology and Biochemistry</w:t>
      </w:r>
      <w:r w:rsidRPr="00DF0680">
        <w:t>, 33(5), pp.1579–90.</w:t>
      </w:r>
    </w:p>
    <w:p w:rsidR="00341643" w:rsidRPr="00DF0680" w:rsidRDefault="00341643">
      <w:pPr>
        <w:pStyle w:val="NormalWeb"/>
        <w:ind w:left="480" w:hanging="480"/>
        <w:divId w:val="930774447"/>
      </w:pPr>
      <w:r w:rsidRPr="00DF0680">
        <w:t xml:space="preserve">Técher, H., Koundrioukoff, S., Azar, D., Wilhelm, T., Carignon, S., Brison, O., Debatisse, M. &amp; Tallec, B. Le, 2013. Replication dynamics: Biases and robustness of DNA fiber analysis. </w:t>
      </w:r>
      <w:r w:rsidRPr="00DF0680">
        <w:rPr>
          <w:i/>
          <w:iCs/>
        </w:rPr>
        <w:t>Journal of Molecular Biology</w:t>
      </w:r>
      <w:r w:rsidRPr="00DF0680">
        <w:t>, 425(23), pp.4845–55.</w:t>
      </w:r>
    </w:p>
    <w:p w:rsidR="00341643" w:rsidRPr="00DF0680" w:rsidRDefault="00341643">
      <w:pPr>
        <w:pStyle w:val="NormalWeb"/>
        <w:ind w:left="480" w:hanging="480"/>
        <w:divId w:val="930774447"/>
      </w:pPr>
      <w:r w:rsidRPr="00DF0680">
        <w:t xml:space="preserve">Thangavel, S., Mendoza-Maldonado, R., Tissino, E., Sidorova, J.M., Yin, J., Wang, W., Monnat, R.J., Falaschi, A. &amp; Vindigni, A., 2010. Human RECQ1 and RECQ4 helicases play distinct roles in DNA replication initiation. </w:t>
      </w:r>
      <w:r w:rsidRPr="00DF0680">
        <w:rPr>
          <w:i/>
          <w:iCs/>
        </w:rPr>
        <w:t>Molecular and Cellular Biology</w:t>
      </w:r>
      <w:r w:rsidRPr="00DF0680">
        <w:t>, 30(6), pp.1382–96.</w:t>
      </w:r>
    </w:p>
    <w:p w:rsidR="00341643" w:rsidRPr="00DF0680" w:rsidRDefault="00341643">
      <w:pPr>
        <w:pStyle w:val="NormalWeb"/>
        <w:ind w:left="480" w:hanging="480"/>
        <w:divId w:val="930774447"/>
      </w:pPr>
      <w:r w:rsidRPr="00DF0680">
        <w:t xml:space="preserve">Thompson, T., Tovar, C., Yang, H., Carvajal, D., Vu, B.T., Xu, Q., Wahl, G.M., Heimbrook, D.C. &amp; Vassilev, L.T., 2004. Phosphorylation of p53 on key serines is dispensable for transcriptional activation and apoptosis. </w:t>
      </w:r>
      <w:r w:rsidRPr="00DF0680">
        <w:rPr>
          <w:i/>
          <w:iCs/>
        </w:rPr>
        <w:t>Journal of Biological Chemistry</w:t>
      </w:r>
      <w:r w:rsidRPr="00DF0680">
        <w:t>, 279(51), pp.53015–53022.</w:t>
      </w:r>
    </w:p>
    <w:p w:rsidR="00341643" w:rsidRPr="00DF0680" w:rsidRDefault="00341643">
      <w:pPr>
        <w:pStyle w:val="NormalWeb"/>
        <w:ind w:left="480" w:hanging="480"/>
        <w:divId w:val="930774447"/>
      </w:pPr>
      <w:r w:rsidRPr="00DF0680">
        <w:t xml:space="preserve">Thorslund, T., McIlwraith, M.J., Compton, S. a, Lekomtsev, S., Petronczki, M., Griffith, J.D. &amp; West, S.C., 2010. The breast cancer tumor suppressor BRCA2 promotes the specific targeting of RAD51 to single-stranded DNA. </w:t>
      </w:r>
      <w:r w:rsidRPr="00DF0680">
        <w:rPr>
          <w:i/>
          <w:iCs/>
        </w:rPr>
        <w:t>Nature Structural &amp; Molecular Biology</w:t>
      </w:r>
      <w:r w:rsidRPr="00DF0680">
        <w:t>, 17(10), pp.1263–5.</w:t>
      </w:r>
    </w:p>
    <w:p w:rsidR="00341643" w:rsidRPr="00DF0680" w:rsidRDefault="00341643">
      <w:pPr>
        <w:pStyle w:val="NormalWeb"/>
        <w:ind w:left="480" w:hanging="480"/>
        <w:divId w:val="930774447"/>
      </w:pPr>
      <w:r w:rsidRPr="00DF0680">
        <w:t xml:space="preserve">Tibbetts, R. &amp; Brumbaugh, K., 1999. A role for ATR in the DNA damage-induced phosphorylation of p53. </w:t>
      </w:r>
      <w:r w:rsidRPr="00DF0680">
        <w:rPr>
          <w:i/>
          <w:iCs/>
        </w:rPr>
        <w:t>Genes &amp; Development</w:t>
      </w:r>
      <w:r w:rsidRPr="00DF0680">
        <w:t>, 13(2), pp.152–157.</w:t>
      </w:r>
    </w:p>
    <w:p w:rsidR="00341643" w:rsidRPr="00DF0680" w:rsidRDefault="00341643">
      <w:pPr>
        <w:pStyle w:val="NormalWeb"/>
        <w:ind w:left="480" w:hanging="480"/>
        <w:divId w:val="930774447"/>
      </w:pPr>
      <w:r w:rsidRPr="00DF0680">
        <w:t xml:space="preserve">Tikoo, S., Madhavan, V., Hussain, M., Miller, E.S., Arora, P., Zlatanou, A., Modi, P., Townsend, K., Stewart, G.S. &amp; Sengupta, S., 2013. Ubiquitin-dependent recruitment of the Bloom syndrome helicase upon replication stress is required to suppress homologous recombination. </w:t>
      </w:r>
      <w:r w:rsidRPr="00DF0680">
        <w:rPr>
          <w:i/>
          <w:iCs/>
        </w:rPr>
        <w:t>The EMBO Journal</w:t>
      </w:r>
      <w:r w:rsidRPr="00DF0680">
        <w:t>, 32(12), pp.1778–92.</w:t>
      </w:r>
    </w:p>
    <w:p w:rsidR="00341643" w:rsidRPr="00DF0680" w:rsidRDefault="00341643">
      <w:pPr>
        <w:pStyle w:val="NormalWeb"/>
        <w:ind w:left="480" w:hanging="480"/>
        <w:divId w:val="930774447"/>
      </w:pPr>
      <w:r w:rsidRPr="00DF0680">
        <w:t xml:space="preserve">Trenz, K., Smith, E., Smith, S. &amp; Costanzo, V., 2006. ATM and ATR promote Mre11 dependent restart of collapsed replication forks and prevent accumulation of DNA breaks. </w:t>
      </w:r>
      <w:r w:rsidRPr="00DF0680">
        <w:rPr>
          <w:i/>
          <w:iCs/>
        </w:rPr>
        <w:t>The EMBO Journal</w:t>
      </w:r>
      <w:r w:rsidRPr="00DF0680">
        <w:t>, 25(8), pp.1764–74.</w:t>
      </w:r>
    </w:p>
    <w:p w:rsidR="00341643" w:rsidRPr="00DF0680" w:rsidRDefault="00341643">
      <w:pPr>
        <w:pStyle w:val="NormalWeb"/>
        <w:ind w:left="480" w:hanging="480"/>
        <w:divId w:val="930774447"/>
      </w:pPr>
      <w:r w:rsidRPr="00DF0680">
        <w:t xml:space="preserve">Tsuji, T., Lau, E., Chiang, G.G. &amp; Jiang, W., 2008. The role of Dbf4/Drf1-dependent kinase Cdc7 in DNA-damage checkpoint control. </w:t>
      </w:r>
      <w:r w:rsidRPr="00DF0680">
        <w:rPr>
          <w:i/>
          <w:iCs/>
        </w:rPr>
        <w:t>Molecular Cell</w:t>
      </w:r>
      <w:r w:rsidRPr="00DF0680">
        <w:t>, 32(6), pp.862–9.</w:t>
      </w:r>
    </w:p>
    <w:p w:rsidR="00341643" w:rsidRPr="00DF0680" w:rsidRDefault="00341643">
      <w:pPr>
        <w:pStyle w:val="NormalWeb"/>
        <w:ind w:left="480" w:hanging="480"/>
        <w:divId w:val="930774447"/>
      </w:pPr>
      <w:r w:rsidRPr="00DF0680">
        <w:lastRenderedPageBreak/>
        <w:t xml:space="preserve">Tuduri, S., Crabbé, L., Conti, C., Tourrière, H., Holtgreve-Grez, H., Jauch, A., Pantesco, V., De Vos, J., Thomas, A., Theillet, C., Pommier, Y., Tazi, J., Coquelle, A. &amp; Pasero, P., 2009. Topoisomerase I suppresses genomic instability by preventing interference between replication and transcription. </w:t>
      </w:r>
      <w:r w:rsidRPr="00DF0680">
        <w:rPr>
          <w:i/>
          <w:iCs/>
        </w:rPr>
        <w:t>Nature Cell Biology</w:t>
      </w:r>
      <w:r w:rsidRPr="00DF0680">
        <w:t>, 11(11), pp.1315–24.</w:t>
      </w:r>
    </w:p>
    <w:p w:rsidR="00341643" w:rsidRPr="00DF0680" w:rsidRDefault="00341643">
      <w:pPr>
        <w:pStyle w:val="NormalWeb"/>
        <w:ind w:left="480" w:hanging="480"/>
        <w:divId w:val="930774447"/>
      </w:pPr>
      <w:r w:rsidRPr="00DF0680">
        <w:t xml:space="preserve">Umar, a, Buermeyer, a B., Simon, J. a, Thomas, D.C., Clark, a B., Liskay, R.M. &amp; Kunkel, T. a, 1996. Requirement for PCNA in DNA mismatch repair at a step preceding DNA resynthesis. </w:t>
      </w:r>
      <w:r w:rsidRPr="00DF0680">
        <w:rPr>
          <w:i/>
          <w:iCs/>
        </w:rPr>
        <w:t>Cell</w:t>
      </w:r>
      <w:r w:rsidRPr="00DF0680">
        <w:t>, 87(1), pp.65–73.</w:t>
      </w:r>
    </w:p>
    <w:p w:rsidR="00341643" w:rsidRPr="00DF0680" w:rsidRDefault="00341643">
      <w:pPr>
        <w:pStyle w:val="NormalWeb"/>
        <w:ind w:left="480" w:hanging="480"/>
        <w:divId w:val="930774447"/>
      </w:pPr>
      <w:r w:rsidRPr="00DF0680">
        <w:t xml:space="preserve">Umezu, K. &amp; Nakayama, H., 1993. RecQ DNA helicase of Escherichia coli. Characterization of the helix-unwinding activity with emphasis on the effect of single-stranded DNA-binding protein. </w:t>
      </w:r>
      <w:r w:rsidRPr="00DF0680">
        <w:rPr>
          <w:i/>
          <w:iCs/>
        </w:rPr>
        <w:t>Journal of Molecular Biology</w:t>
      </w:r>
      <w:r w:rsidRPr="00DF0680">
        <w:t>, 230(4), pp.1145–50.</w:t>
      </w:r>
    </w:p>
    <w:p w:rsidR="00341643" w:rsidRPr="00DF0680" w:rsidRDefault="00341643">
      <w:pPr>
        <w:pStyle w:val="NormalWeb"/>
        <w:ind w:left="480" w:hanging="480"/>
        <w:divId w:val="930774447"/>
      </w:pPr>
      <w:r w:rsidRPr="00DF0680">
        <w:t xml:space="preserve">Umezu, K., Nakayama, K. &amp; Nakayama, H., 1990. Escherichia coli RecQ protein is a DNA helicase. </w:t>
      </w:r>
      <w:r w:rsidRPr="00DF0680">
        <w:rPr>
          <w:i/>
          <w:iCs/>
        </w:rPr>
        <w:t>Proceedings of the National Academy of Sciences</w:t>
      </w:r>
      <w:r w:rsidRPr="00DF0680">
        <w:t>, 87(14), pp.5363–7.</w:t>
      </w:r>
    </w:p>
    <w:p w:rsidR="00341643" w:rsidRPr="00DF0680" w:rsidRDefault="00341643">
      <w:pPr>
        <w:pStyle w:val="NormalWeb"/>
        <w:ind w:left="480" w:hanging="480"/>
        <w:divId w:val="930774447"/>
      </w:pPr>
      <w:r w:rsidRPr="00DF0680">
        <w:t xml:space="preserve">Unger, T., Juven-Gershon, T., Moallem, E., Berger, M., Vogt Sionov, R., Lozano, G., Oren, M. &amp; Haupt, Y., 1999. Critical role for Ser20 of human p53 in the negative regulation of p53 by Mdm2. </w:t>
      </w:r>
      <w:r w:rsidRPr="00DF0680">
        <w:rPr>
          <w:i/>
          <w:iCs/>
        </w:rPr>
        <w:t>The EMBO journal</w:t>
      </w:r>
      <w:r w:rsidRPr="00DF0680">
        <w:t>, 18(7), pp.1805–1814.</w:t>
      </w:r>
    </w:p>
    <w:p w:rsidR="00341643" w:rsidRPr="00DF0680" w:rsidRDefault="00341643">
      <w:pPr>
        <w:pStyle w:val="NormalWeb"/>
        <w:ind w:left="480" w:hanging="480"/>
        <w:divId w:val="930774447"/>
      </w:pPr>
      <w:r w:rsidRPr="00DF0680">
        <w:t xml:space="preserve">Uziel, T., Lerenthal, Y., Moyal, L., Andegeko, Y., Mittelman, L. &amp; Shiloh, Y., 2003. Requirement of the MRN complex for ATM activation by DNA damage. </w:t>
      </w:r>
      <w:r w:rsidRPr="00DF0680">
        <w:rPr>
          <w:i/>
          <w:iCs/>
        </w:rPr>
        <w:t>The EMBO Journal</w:t>
      </w:r>
      <w:r w:rsidRPr="00DF0680">
        <w:t>, 22(20), pp.5612–21.</w:t>
      </w:r>
    </w:p>
    <w:p w:rsidR="00341643" w:rsidRPr="00DF0680" w:rsidRDefault="00341643">
      <w:pPr>
        <w:pStyle w:val="NormalWeb"/>
        <w:ind w:left="480" w:hanging="480"/>
        <w:divId w:val="930774447"/>
      </w:pPr>
      <w:r w:rsidRPr="00DF0680">
        <w:t xml:space="preserve">Venclovas, C. &amp; Thelen, M., 2000. Structure-based predictions of Rad1, Rad9, Hus1 and Rad17 participation in sliding clamp and clamp-loading complexes. </w:t>
      </w:r>
      <w:r w:rsidRPr="00DF0680">
        <w:rPr>
          <w:i/>
          <w:iCs/>
        </w:rPr>
        <w:t>Nucleic Acids Research</w:t>
      </w:r>
      <w:r w:rsidRPr="00DF0680">
        <w:t>, 28(13), pp.2481–2493.</w:t>
      </w:r>
    </w:p>
    <w:p w:rsidR="00341643" w:rsidRPr="00DF0680" w:rsidRDefault="00341643">
      <w:pPr>
        <w:pStyle w:val="NormalWeb"/>
        <w:ind w:left="480" w:hanging="480"/>
        <w:divId w:val="930774447"/>
      </w:pPr>
      <w:r w:rsidRPr="00DF0680">
        <w:t xml:space="preserve">Vennos, E.M., Collins, M. &amp; James, W.D., 1992. Rothmund-Thomson syndrome: Review of the world literature. </w:t>
      </w:r>
      <w:r w:rsidRPr="00DF0680">
        <w:rPr>
          <w:i/>
          <w:iCs/>
        </w:rPr>
        <w:t>Journal of the American Academy of Dermatology</w:t>
      </w:r>
      <w:r w:rsidRPr="00DF0680">
        <w:t>, 27(5), pp.750–762.</w:t>
      </w:r>
    </w:p>
    <w:p w:rsidR="00341643" w:rsidRPr="00DF0680" w:rsidRDefault="00341643">
      <w:pPr>
        <w:pStyle w:val="NormalWeb"/>
        <w:ind w:left="480" w:hanging="480"/>
        <w:divId w:val="930774447"/>
      </w:pPr>
      <w:r w:rsidRPr="00DF0680">
        <w:t xml:space="preserve">Volker, M., Moné, M.J., Karmakar, P., van Hoffen, a, Schul, W., Vermeulen, W., Hoeijmakers, J.H., van Driel, R., van Zeeland, a a &amp; Mullenders, L.H., 2001. Sequential assembly of the nucleotide excision repair factors in vivo. </w:t>
      </w:r>
      <w:r w:rsidRPr="00DF0680">
        <w:rPr>
          <w:i/>
          <w:iCs/>
        </w:rPr>
        <w:t>Molecular Cell</w:t>
      </w:r>
      <w:r w:rsidRPr="00DF0680">
        <w:t>, 8(1), pp.213–24.</w:t>
      </w:r>
    </w:p>
    <w:p w:rsidR="00341643" w:rsidRPr="00DF0680" w:rsidRDefault="00341643">
      <w:pPr>
        <w:pStyle w:val="NormalWeb"/>
        <w:ind w:left="480" w:hanging="480"/>
        <w:divId w:val="930774447"/>
      </w:pPr>
      <w:r w:rsidRPr="00DF0680">
        <w:t xml:space="preserve">Walker, J.R., Corpina, R. a &amp; Goldberg, J., 2001. Structure of the Ku heterodimer bound to DNA and its implications for double-strand break repair. </w:t>
      </w:r>
      <w:r w:rsidRPr="00DF0680">
        <w:rPr>
          <w:i/>
          <w:iCs/>
        </w:rPr>
        <w:t>Nature</w:t>
      </w:r>
      <w:r w:rsidRPr="00DF0680">
        <w:t>, 412(6847), pp.607–14.</w:t>
      </w:r>
    </w:p>
    <w:p w:rsidR="00341643" w:rsidRPr="00DF0680" w:rsidRDefault="00341643">
      <w:pPr>
        <w:pStyle w:val="NormalWeb"/>
        <w:ind w:left="480" w:hanging="480"/>
        <w:divId w:val="930774447"/>
      </w:pPr>
      <w:r w:rsidRPr="00DF0680">
        <w:t xml:space="preserve">Wan, L., Han, J., Liu, T., Dong, S., Xie, F., Chen, H. &amp; Huang, J., 2013. Scaffolding protein SPIDR/KIAA0146 connects the Bloom syndrome helicase with homologous recombination repair. </w:t>
      </w:r>
      <w:r w:rsidRPr="00DF0680">
        <w:rPr>
          <w:i/>
          <w:iCs/>
        </w:rPr>
        <w:t>Proceedings of the National Academy of Sciences</w:t>
      </w:r>
      <w:r w:rsidRPr="00DF0680">
        <w:t>, 110(26), pp.10646–51.</w:t>
      </w:r>
    </w:p>
    <w:p w:rsidR="00341643" w:rsidRPr="00DF0680" w:rsidRDefault="00341643">
      <w:pPr>
        <w:pStyle w:val="NormalWeb"/>
        <w:ind w:left="480" w:hanging="480"/>
        <w:divId w:val="930774447"/>
      </w:pPr>
      <w:r w:rsidRPr="00DF0680">
        <w:lastRenderedPageBreak/>
        <w:t xml:space="preserve">Wang, J., Chen, J. &amp; Gong, Z., 2013. TopBP1 controls BLM protein level to maintain genome stability. </w:t>
      </w:r>
      <w:r w:rsidRPr="00DF0680">
        <w:rPr>
          <w:i/>
          <w:iCs/>
        </w:rPr>
        <w:t>Molecular Cell</w:t>
      </w:r>
      <w:r w:rsidRPr="00DF0680">
        <w:t>, 52(5), pp.667–78.</w:t>
      </w:r>
    </w:p>
    <w:p w:rsidR="00341643" w:rsidRPr="00DF0680" w:rsidRDefault="00341643">
      <w:pPr>
        <w:pStyle w:val="NormalWeb"/>
        <w:ind w:left="480" w:hanging="480"/>
        <w:divId w:val="930774447"/>
      </w:pPr>
      <w:r w:rsidRPr="00DF0680">
        <w:t xml:space="preserve">Wang, J.C., 2002. Cellular roles of DNA topoisomerases: a molecular perspective. </w:t>
      </w:r>
      <w:r w:rsidRPr="00DF0680">
        <w:rPr>
          <w:i/>
          <w:iCs/>
        </w:rPr>
        <w:t>Nature Reviews. Molecular Cell Biology</w:t>
      </w:r>
      <w:r w:rsidRPr="00DF0680">
        <w:t>, 3(6), pp.430–40.</w:t>
      </w:r>
    </w:p>
    <w:p w:rsidR="00341643" w:rsidRPr="00DF0680" w:rsidRDefault="00341643">
      <w:pPr>
        <w:pStyle w:val="NormalWeb"/>
        <w:ind w:left="480" w:hanging="480"/>
        <w:divId w:val="930774447"/>
      </w:pPr>
      <w:r w:rsidRPr="00DF0680">
        <w:t xml:space="preserve">Wang, Q., Goldstein, M., Alexander, P., Wakeman, T.P., Sun, T., Feng, J., Lou, Z., Kastan, M.B. &amp; Wang, X., 2014. Rad 17 recruits the MRE11-RAD50-NBS1 complex to regulate the cellular response to DNA double-strand breaks. </w:t>
      </w:r>
      <w:r w:rsidRPr="00DF0680">
        <w:rPr>
          <w:i/>
          <w:iCs/>
        </w:rPr>
        <w:t>The EMBO Journal</w:t>
      </w:r>
      <w:r w:rsidRPr="00DF0680">
        <w:t>, 33(8), pp.862–878.</w:t>
      </w:r>
    </w:p>
    <w:p w:rsidR="00341643" w:rsidRPr="00DF0680" w:rsidRDefault="00341643">
      <w:pPr>
        <w:pStyle w:val="NormalWeb"/>
        <w:ind w:left="480" w:hanging="480"/>
        <w:divId w:val="930774447"/>
      </w:pPr>
      <w:r w:rsidRPr="00DF0680">
        <w:t xml:space="preserve">Wang, W., Seki, M. &amp; Narita, Y., 2003. Functional relation among RecQ family helicases RecQL1, RecQL5, and BLM in cell growth and sister chromatid exchange formation. </w:t>
      </w:r>
      <w:r w:rsidRPr="00DF0680">
        <w:rPr>
          <w:i/>
          <w:iCs/>
        </w:rPr>
        <w:t>Molecular and Cellular Biology</w:t>
      </w:r>
      <w:r w:rsidRPr="00DF0680">
        <w:t>, 23(10), pp.3527–3535.</w:t>
      </w:r>
    </w:p>
    <w:p w:rsidR="00341643" w:rsidRPr="00DF0680" w:rsidRDefault="00341643">
      <w:pPr>
        <w:pStyle w:val="NormalWeb"/>
        <w:ind w:left="480" w:hanging="480"/>
        <w:divId w:val="930774447"/>
      </w:pPr>
      <w:r w:rsidRPr="00DF0680">
        <w:t xml:space="preserve">Wang, X., Lu, X., Zhou, G., Lou, H. &amp; Luo, G., 2011. RECQL5 is an important determinant for camptothecin tolerance in human colorectal cancer cells. </w:t>
      </w:r>
      <w:r w:rsidRPr="00DF0680">
        <w:rPr>
          <w:i/>
          <w:iCs/>
        </w:rPr>
        <w:t>Bioscience Reports</w:t>
      </w:r>
      <w:r w:rsidRPr="00DF0680">
        <w:t>, 31(5), pp.363–369.</w:t>
      </w:r>
    </w:p>
    <w:p w:rsidR="00341643" w:rsidRPr="00DF0680" w:rsidRDefault="00341643">
      <w:pPr>
        <w:pStyle w:val="NormalWeb"/>
        <w:ind w:left="480" w:hanging="480"/>
        <w:divId w:val="930774447"/>
      </w:pPr>
      <w:r w:rsidRPr="00DF0680">
        <w:t xml:space="preserve">Wang, X., Zou, L., Lu, T., Bao, S., Hurov, K.E., Hittelman, W.N., Elledge, S.J. &amp; Li, L., 2006. Rad17 phosphorylation is required for claspin recruitment and Chk1 activation in response to replication stress. </w:t>
      </w:r>
      <w:r w:rsidRPr="00DF0680">
        <w:rPr>
          <w:i/>
          <w:iCs/>
        </w:rPr>
        <w:t>Molecular Cell</w:t>
      </w:r>
      <w:r w:rsidRPr="00DF0680">
        <w:t>, 23(3), pp.331–41.</w:t>
      </w:r>
    </w:p>
    <w:p w:rsidR="00341643" w:rsidRPr="00DF0680" w:rsidRDefault="00341643">
      <w:pPr>
        <w:pStyle w:val="NormalWeb"/>
        <w:ind w:left="480" w:hanging="480"/>
        <w:divId w:val="930774447"/>
      </w:pPr>
      <w:r w:rsidRPr="00DF0680">
        <w:t xml:space="preserve">Ward, I.M. &amp; Chen, J., 2001. Histone H2AX is phosphorylated in an ATR-dependent manner in response to replicational stress. </w:t>
      </w:r>
      <w:r w:rsidRPr="00DF0680">
        <w:rPr>
          <w:i/>
          <w:iCs/>
        </w:rPr>
        <w:t>The Journal of Biological Chemistry</w:t>
      </w:r>
      <w:r w:rsidRPr="00DF0680">
        <w:t>, 276(51), pp.47759–62.</w:t>
      </w:r>
    </w:p>
    <w:p w:rsidR="00341643" w:rsidRPr="00DF0680" w:rsidRDefault="00341643">
      <w:pPr>
        <w:pStyle w:val="NormalWeb"/>
        <w:ind w:left="480" w:hanging="480"/>
        <w:divId w:val="930774447"/>
      </w:pPr>
      <w:r w:rsidRPr="00DF0680">
        <w:t xml:space="preserve">Watanabe, K., Tateishi, S., Kawasuji, M., Tsurimoto, T., Inoue, H. &amp; Yamaizumi, M., 2004. Rad18 guides poleta to replication stalling sites through physical interaction and PCNA monoubiquitination. </w:t>
      </w:r>
      <w:r w:rsidRPr="00DF0680">
        <w:rPr>
          <w:i/>
          <w:iCs/>
        </w:rPr>
        <w:t>The EMBO Journal</w:t>
      </w:r>
      <w:r w:rsidRPr="00DF0680">
        <w:t>, 23(19), pp.3886–96.</w:t>
      </w:r>
    </w:p>
    <w:p w:rsidR="00341643" w:rsidRPr="00DF0680" w:rsidRDefault="00341643">
      <w:pPr>
        <w:pStyle w:val="NormalWeb"/>
        <w:ind w:left="480" w:hanging="480"/>
        <w:divId w:val="930774447"/>
      </w:pPr>
      <w:r w:rsidRPr="00DF0680">
        <w:t xml:space="preserve">Waters, L.S., Minesinger, B.K., Wiltrout, M.E., D’Souza, S., Woodruff, R. V &amp; Walker, G.C., 2009. Eukaryotic translesion polymerases and their roles and regulation in DNA damage tolerance. </w:t>
      </w:r>
      <w:r w:rsidRPr="00DF0680">
        <w:rPr>
          <w:i/>
          <w:iCs/>
        </w:rPr>
        <w:t>Microbiology and Molecular Biology Reviews</w:t>
      </w:r>
      <w:r w:rsidRPr="00DF0680">
        <w:t>, 73(1), pp.134–54.</w:t>
      </w:r>
    </w:p>
    <w:p w:rsidR="00341643" w:rsidRPr="00DF0680" w:rsidRDefault="00341643">
      <w:pPr>
        <w:pStyle w:val="NormalWeb"/>
        <w:ind w:left="480" w:hanging="480"/>
        <w:divId w:val="930774447"/>
      </w:pPr>
      <w:r w:rsidRPr="00DF0680">
        <w:t xml:space="preserve">Watson, J.L., Hill, R., Yaffe, P.B., Greenshields, A., Walsh, M., Lee, P.W., Giacomantonio, C. a &amp; Hoskin, D.W., 2010. Curcumin causes superoxide anion production and p53-independent apoptosis in human colon cancer cells. </w:t>
      </w:r>
      <w:r w:rsidRPr="00DF0680">
        <w:rPr>
          <w:i/>
          <w:iCs/>
        </w:rPr>
        <w:t>Cancer Letters</w:t>
      </w:r>
      <w:r w:rsidRPr="00DF0680">
        <w:t>, 297(1), pp.1–8.</w:t>
      </w:r>
    </w:p>
    <w:p w:rsidR="00341643" w:rsidRPr="00DF0680" w:rsidRDefault="00341643">
      <w:pPr>
        <w:pStyle w:val="NormalWeb"/>
        <w:ind w:left="480" w:hanging="480"/>
        <w:divId w:val="930774447"/>
      </w:pPr>
      <w:r w:rsidRPr="00DF0680">
        <w:t xml:space="preserve">Watt, P., Hickson, I., Borts, R. &amp; Louis, E., 1996. SGS1, a homologue of the Bloom’s and Werner's syndrome genes, is required for maintenance of genome stability in Saccharomyces cerevisiae. </w:t>
      </w:r>
      <w:r w:rsidRPr="00DF0680">
        <w:rPr>
          <w:i/>
          <w:iCs/>
        </w:rPr>
        <w:t>Genetics</w:t>
      </w:r>
      <w:r w:rsidRPr="00DF0680">
        <w:t>, 144(3), pp.935–45.</w:t>
      </w:r>
    </w:p>
    <w:p w:rsidR="00341643" w:rsidRPr="00DF0680" w:rsidRDefault="00341643">
      <w:pPr>
        <w:pStyle w:val="NormalWeb"/>
        <w:ind w:left="480" w:hanging="480"/>
        <w:divId w:val="930774447"/>
      </w:pPr>
      <w:r w:rsidRPr="00DF0680">
        <w:t xml:space="preserve">Watt, P., Louis, E., Borts, R. &amp; Hickson, I., 1995. Sgs1: a eukaryotic homolog of E. coli RecQ that interacts with topoisomerase II in vivo and is required for faithful chromosome segregation. </w:t>
      </w:r>
      <w:r w:rsidRPr="00DF0680">
        <w:rPr>
          <w:i/>
          <w:iCs/>
        </w:rPr>
        <w:t>Cell</w:t>
      </w:r>
      <w:r w:rsidRPr="00DF0680">
        <w:t>, 81(2), pp.253–260.</w:t>
      </w:r>
    </w:p>
    <w:p w:rsidR="00341643" w:rsidRPr="00DF0680" w:rsidRDefault="00341643">
      <w:pPr>
        <w:pStyle w:val="NormalWeb"/>
        <w:ind w:left="480" w:hanging="480"/>
        <w:divId w:val="930774447"/>
      </w:pPr>
      <w:r w:rsidRPr="00DF0680">
        <w:lastRenderedPageBreak/>
        <w:t xml:space="preserve">Wellinger, R., Prado, F. &amp; Aguilera, A., 2006. Replication fork progression is impaired by transcription in hyperrecombinant yeast cells lacking a functional THO complex. </w:t>
      </w:r>
      <w:r w:rsidRPr="00DF0680">
        <w:rPr>
          <w:i/>
          <w:iCs/>
        </w:rPr>
        <w:t>Molecular and Cellular Biology</w:t>
      </w:r>
      <w:r w:rsidRPr="00DF0680">
        <w:t>, 26(8), pp.3327–34.</w:t>
      </w:r>
    </w:p>
    <w:p w:rsidR="00341643" w:rsidRPr="00DF0680" w:rsidRDefault="00341643">
      <w:pPr>
        <w:pStyle w:val="NormalWeb"/>
        <w:ind w:left="480" w:hanging="480"/>
        <w:divId w:val="930774447"/>
      </w:pPr>
      <w:r w:rsidRPr="00DF0680">
        <w:t xml:space="preserve">Wen, Q., Scorah, J. &amp; Phear, G., 2008. A Mutant Allele of MRE11 Found in Mismatch Repair-deficient Tumor Cells Suppresses the Cellular Response to DNA Replication Fork Stress in a Dominant Negative Manner. </w:t>
      </w:r>
      <w:r w:rsidRPr="00DF0680">
        <w:rPr>
          <w:i/>
          <w:iCs/>
        </w:rPr>
        <w:t>Molecular Biology of the Cell</w:t>
      </w:r>
      <w:r w:rsidRPr="00DF0680">
        <w:t>, 19(4), pp.1693–1705.</w:t>
      </w:r>
    </w:p>
    <w:p w:rsidR="00341643" w:rsidRPr="00DF0680" w:rsidRDefault="00341643">
      <w:pPr>
        <w:pStyle w:val="NormalWeb"/>
        <w:ind w:left="480" w:hanging="480"/>
        <w:divId w:val="930774447"/>
      </w:pPr>
      <w:r w:rsidRPr="00DF0680">
        <w:t xml:space="preserve">Whitehouse, C., Taylor, R. &amp; Thistlethwaite, A., 2001. XRCC1 stimulates human polynucleotide kinase activity at damaged DNA termini and accelerates DNA single-strand break repair. </w:t>
      </w:r>
      <w:r w:rsidRPr="00DF0680">
        <w:rPr>
          <w:i/>
          <w:iCs/>
        </w:rPr>
        <w:t>Cell</w:t>
      </w:r>
      <w:r w:rsidRPr="00DF0680">
        <w:t>, 104(1), pp.107–117.</w:t>
      </w:r>
    </w:p>
    <w:p w:rsidR="00341643" w:rsidRPr="00DF0680" w:rsidRDefault="00341643">
      <w:pPr>
        <w:pStyle w:val="NormalWeb"/>
        <w:ind w:left="480" w:hanging="480"/>
        <w:divId w:val="930774447"/>
      </w:pPr>
      <w:r w:rsidRPr="00DF0680">
        <w:t xml:space="preserve">De Wind, N., Dekker, M., Berns, A., Radman, M. &amp; te Riele, H., 1995. Inactivation of the mouse Msh2 gene results in mismatch repair deficiency, methylation tolerance, hyperrecombination, and predisposition to cancer. </w:t>
      </w:r>
      <w:r w:rsidRPr="00DF0680">
        <w:rPr>
          <w:i/>
          <w:iCs/>
        </w:rPr>
        <w:t>Cell</w:t>
      </w:r>
      <w:r w:rsidRPr="00DF0680">
        <w:t>, 82(2), pp.321–330.</w:t>
      </w:r>
    </w:p>
    <w:p w:rsidR="00341643" w:rsidRPr="00DF0680" w:rsidRDefault="00341643">
      <w:pPr>
        <w:pStyle w:val="NormalWeb"/>
        <w:ind w:left="480" w:hanging="480"/>
        <w:divId w:val="930774447"/>
      </w:pPr>
      <w:r w:rsidRPr="00DF0680">
        <w:t xml:space="preserve">Wold, M.S. &amp; Kelly, T., 1988. Purification and characterization of replication protein A, a cellular protein required for in vitro replication of simian virus 40 DNA. </w:t>
      </w:r>
      <w:r w:rsidRPr="00DF0680">
        <w:rPr>
          <w:i/>
          <w:iCs/>
        </w:rPr>
        <w:t>Proceedings of the National Academy of Sciences</w:t>
      </w:r>
      <w:r w:rsidRPr="00DF0680">
        <w:t>, 85(8), pp.2523–7.</w:t>
      </w:r>
    </w:p>
    <w:p w:rsidR="00341643" w:rsidRPr="00DF0680" w:rsidRDefault="00341643">
      <w:pPr>
        <w:pStyle w:val="NormalWeb"/>
        <w:ind w:left="480" w:hanging="480"/>
        <w:divId w:val="930774447"/>
      </w:pPr>
      <w:r w:rsidRPr="00DF0680">
        <w:t xml:space="preserve">Wood, R., Robins, P. &amp; Lindahl, T., 1988. Complementation of the xeroderma pigmentosum DNA repair defect in cell-free extracts. </w:t>
      </w:r>
      <w:r w:rsidRPr="00DF0680">
        <w:rPr>
          <w:i/>
          <w:iCs/>
        </w:rPr>
        <w:t>Cell</w:t>
      </w:r>
      <w:r w:rsidRPr="00DF0680">
        <w:t>, 53(1), pp.97–106.</w:t>
      </w:r>
    </w:p>
    <w:p w:rsidR="00341643" w:rsidRPr="00DF0680" w:rsidRDefault="00341643">
      <w:pPr>
        <w:pStyle w:val="NormalWeb"/>
        <w:ind w:left="480" w:hanging="480"/>
        <w:divId w:val="930774447"/>
      </w:pPr>
      <w:r w:rsidRPr="00DF0680">
        <w:t xml:space="preserve">Wu, L., 2000. The Bloom’s Syndrome Gene Product Interacts with Topoisomerase III. </w:t>
      </w:r>
      <w:r w:rsidRPr="00DF0680">
        <w:rPr>
          <w:i/>
          <w:iCs/>
        </w:rPr>
        <w:t>Journal of Biological Chemistry</w:t>
      </w:r>
      <w:r w:rsidRPr="00DF0680">
        <w:t>, 275(13), pp.9636–9644.</w:t>
      </w:r>
    </w:p>
    <w:p w:rsidR="00341643" w:rsidRPr="00DF0680" w:rsidRDefault="00341643">
      <w:pPr>
        <w:pStyle w:val="NormalWeb"/>
        <w:ind w:left="480" w:hanging="480"/>
        <w:divId w:val="930774447"/>
      </w:pPr>
      <w:r w:rsidRPr="00DF0680">
        <w:t xml:space="preserve">Wu, L., Bachrati, C., Ou, J. &amp; Xu, C., 2006. BLAP75/RMI1 promotes the BLM-dependent dissolution of homologous recombination intermediates. </w:t>
      </w:r>
      <w:r w:rsidRPr="00DF0680">
        <w:rPr>
          <w:i/>
          <w:iCs/>
        </w:rPr>
        <w:t>Proceedings of the National Academy of Sciences</w:t>
      </w:r>
      <w:r w:rsidRPr="00DF0680">
        <w:t>, 103(11), pp.4068–73.</w:t>
      </w:r>
    </w:p>
    <w:p w:rsidR="00341643" w:rsidRPr="00DF0680" w:rsidRDefault="00341643">
      <w:pPr>
        <w:pStyle w:val="NormalWeb"/>
        <w:ind w:left="480" w:hanging="480"/>
        <w:divId w:val="930774447"/>
      </w:pPr>
      <w:r w:rsidRPr="00DF0680">
        <w:t xml:space="preserve">Wu, L., Davies, S.L., Levitt, N.C. &amp; Hickson, I.D., 2001. Potential role for the BLM helicase in recombinational repair via a conserved interaction with RAD51. </w:t>
      </w:r>
      <w:r w:rsidRPr="00DF0680">
        <w:rPr>
          <w:i/>
          <w:iCs/>
        </w:rPr>
        <w:t>The Journal of Biological Chemistry</w:t>
      </w:r>
      <w:r w:rsidRPr="00DF0680">
        <w:t>, 276(22), pp.19375–81.</w:t>
      </w:r>
    </w:p>
    <w:p w:rsidR="00341643" w:rsidRPr="00DF0680" w:rsidRDefault="00341643">
      <w:pPr>
        <w:pStyle w:val="NormalWeb"/>
        <w:ind w:left="480" w:hanging="480"/>
        <w:divId w:val="930774447"/>
      </w:pPr>
      <w:r w:rsidRPr="00DF0680">
        <w:t xml:space="preserve">Wu, L. &amp; Hickson, I., 2002. The Bloom’s syndrome helicase stimulates the activity of human topoisomerase IIIα. </w:t>
      </w:r>
      <w:r w:rsidRPr="00DF0680">
        <w:rPr>
          <w:i/>
          <w:iCs/>
        </w:rPr>
        <w:t>Nucleic Acids Research</w:t>
      </w:r>
      <w:r w:rsidRPr="00DF0680">
        <w:t>, 30(22), pp.4823–9.</w:t>
      </w:r>
    </w:p>
    <w:p w:rsidR="00341643" w:rsidRPr="00DF0680" w:rsidRDefault="00341643">
      <w:pPr>
        <w:pStyle w:val="NormalWeb"/>
        <w:ind w:left="480" w:hanging="480"/>
        <w:divId w:val="930774447"/>
      </w:pPr>
      <w:r w:rsidRPr="00DF0680">
        <w:t xml:space="preserve">Wu, L. &amp; Hickson, I., 2003. The Bloom’s syndrome helicase suppresses crossing over during homologous recombination. </w:t>
      </w:r>
      <w:r w:rsidRPr="00DF0680">
        <w:rPr>
          <w:i/>
          <w:iCs/>
        </w:rPr>
        <w:t>Nature</w:t>
      </w:r>
      <w:r w:rsidRPr="00DF0680">
        <w:t>, 426(6968), pp.870–4.</w:t>
      </w:r>
    </w:p>
    <w:p w:rsidR="00341643" w:rsidRPr="00DF0680" w:rsidRDefault="00341643">
      <w:pPr>
        <w:pStyle w:val="NormalWeb"/>
        <w:ind w:left="480" w:hanging="480"/>
        <w:divId w:val="930774447"/>
      </w:pPr>
      <w:r w:rsidRPr="00DF0680">
        <w:t xml:space="preserve">Xiao, Z., Chen, Z., Gunasekera, A.H., Sowin, T.J., Rosenberg, S.H., Fesik, S. &amp; Zhang, H., 2003. Chk1 mediates S and G2 arrests through Cdc25A degradation in response to DNA-damaging agents. </w:t>
      </w:r>
      <w:r w:rsidRPr="00DF0680">
        <w:rPr>
          <w:i/>
          <w:iCs/>
        </w:rPr>
        <w:t>The Journal of Biological Chemistry</w:t>
      </w:r>
      <w:r w:rsidRPr="00DF0680">
        <w:t>, 278(24), pp.21767–73.</w:t>
      </w:r>
    </w:p>
    <w:p w:rsidR="00341643" w:rsidRPr="00DF0680" w:rsidRDefault="00341643">
      <w:pPr>
        <w:pStyle w:val="NormalWeb"/>
        <w:ind w:left="480" w:hanging="480"/>
        <w:divId w:val="930774447"/>
      </w:pPr>
      <w:r w:rsidRPr="00DF0680">
        <w:t xml:space="preserve">Xu, X. &amp; Liu, Y., 2009. Dual DNA unwinding activities of the Rothmund-Thomson syndrome protein, RECQ4. </w:t>
      </w:r>
      <w:r w:rsidRPr="00DF0680">
        <w:rPr>
          <w:i/>
          <w:iCs/>
        </w:rPr>
        <w:t>The EMBO Journal</w:t>
      </w:r>
      <w:r w:rsidRPr="00DF0680">
        <w:t>, 28(5), pp.568–77.</w:t>
      </w:r>
    </w:p>
    <w:p w:rsidR="00341643" w:rsidRPr="00DF0680" w:rsidRDefault="00341643">
      <w:pPr>
        <w:pStyle w:val="NormalWeb"/>
        <w:ind w:left="480" w:hanging="480"/>
        <w:divId w:val="930774447"/>
      </w:pPr>
      <w:r w:rsidRPr="00DF0680">
        <w:lastRenderedPageBreak/>
        <w:t xml:space="preserve">Xu, X., Rochette, P.J., Feyissa, E. a, Su, T. V &amp; Liu, Y., 2009. MCM10 mediates RECQ4 association with MCM2-7 helicase complex during DNA replication. </w:t>
      </w:r>
      <w:r w:rsidRPr="00DF0680">
        <w:rPr>
          <w:i/>
          <w:iCs/>
        </w:rPr>
        <w:t>The EMBO Journal</w:t>
      </w:r>
      <w:r w:rsidRPr="00DF0680">
        <w:t>, 28(19), pp.3005–14.</w:t>
      </w:r>
    </w:p>
    <w:p w:rsidR="00341643" w:rsidRPr="00DF0680" w:rsidRDefault="00341643">
      <w:pPr>
        <w:pStyle w:val="NormalWeb"/>
        <w:ind w:left="480" w:hanging="480"/>
        <w:divId w:val="930774447"/>
      </w:pPr>
      <w:r w:rsidRPr="00DF0680">
        <w:t xml:space="preserve">Xue, X., Raynard, S., Busygina, V., Singh, A.K. &amp; Sung, P., 2013. Role of replication protein A in double holliday junction dissolution mediated by the BLM-Topo IIIα-RMI1-RMI2 protein complex. </w:t>
      </w:r>
      <w:r w:rsidRPr="00DF0680">
        <w:rPr>
          <w:i/>
          <w:iCs/>
        </w:rPr>
        <w:t>The Journal of Biological Chemistry</w:t>
      </w:r>
      <w:r w:rsidRPr="00DF0680">
        <w:t>, 288(20), pp.14221–7.</w:t>
      </w:r>
    </w:p>
    <w:p w:rsidR="00341643" w:rsidRPr="00DF0680" w:rsidRDefault="00341643">
      <w:pPr>
        <w:pStyle w:val="NormalWeb"/>
        <w:ind w:left="480" w:hanging="480"/>
        <w:divId w:val="930774447"/>
      </w:pPr>
      <w:r w:rsidRPr="00DF0680">
        <w:t xml:space="preserve">Yagi, Y., Ogawara, D., Iwai, S., Hanaoka, F., Akiyama, M. &amp; Maki, H., 2005. DNA polymerases eta and kappa are responsible for error-free translesion DNA synthesis activity over a cis-syn thymine dimer in Xenopus laevis oocyte extracts. </w:t>
      </w:r>
      <w:r w:rsidRPr="00DF0680">
        <w:rPr>
          <w:i/>
          <w:iCs/>
        </w:rPr>
        <w:t>DNA Repair</w:t>
      </w:r>
      <w:r w:rsidRPr="00DF0680">
        <w:t>, 4(11), pp.1252–69.</w:t>
      </w:r>
    </w:p>
    <w:p w:rsidR="00341643" w:rsidRPr="00DF0680" w:rsidRDefault="00341643">
      <w:pPr>
        <w:pStyle w:val="NormalWeb"/>
        <w:ind w:left="480" w:hanging="480"/>
        <w:divId w:val="930774447"/>
      </w:pPr>
      <w:r w:rsidRPr="00DF0680">
        <w:t xml:space="preserve">Yamaguchi, Y., Takagi, T., Wada, T., Yano, K., Furuya, a, Sugimoto, S., Hasegawa, J. &amp; Handa, H., 1999. NELF, a multisubunit complex containing RD, cooperates with DSIF to repress RNA polymerase II elongation. </w:t>
      </w:r>
      <w:r w:rsidRPr="00DF0680">
        <w:rPr>
          <w:i/>
          <w:iCs/>
        </w:rPr>
        <w:t>Cell</w:t>
      </w:r>
      <w:r w:rsidRPr="00DF0680">
        <w:t>, 97(1), pp.41–51.</w:t>
      </w:r>
    </w:p>
    <w:p w:rsidR="00341643" w:rsidRPr="00DF0680" w:rsidRDefault="00341643">
      <w:pPr>
        <w:pStyle w:val="NormalWeb"/>
        <w:ind w:left="480" w:hanging="480"/>
        <w:divId w:val="930774447"/>
      </w:pPr>
      <w:r w:rsidRPr="00DF0680">
        <w:t xml:space="preserve">Yan, S. &amp; Michael, W., 2009. TopBP1 and DNA polymerase α-mediated recruitment of the 9-1-1 complex to stalled replication forks. </w:t>
      </w:r>
      <w:r w:rsidRPr="00DF0680">
        <w:rPr>
          <w:i/>
          <w:iCs/>
        </w:rPr>
        <w:t>Cell Cycle</w:t>
      </w:r>
      <w:r w:rsidRPr="00DF0680">
        <w:t>, 8(18), pp.2877–2884.</w:t>
      </w:r>
    </w:p>
    <w:p w:rsidR="00341643" w:rsidRPr="00DF0680" w:rsidRDefault="00341643">
      <w:pPr>
        <w:pStyle w:val="NormalWeb"/>
        <w:ind w:left="480" w:hanging="480"/>
        <w:divId w:val="930774447"/>
      </w:pPr>
      <w:r w:rsidRPr="00DF0680">
        <w:t xml:space="preserve">Yan, Z. &amp; DeGregori, J., 1998. Cdc6 is regulated by E2F and is essential for DNA replication in mammalian cells. </w:t>
      </w:r>
      <w:r w:rsidRPr="00DF0680">
        <w:rPr>
          <w:i/>
          <w:iCs/>
        </w:rPr>
        <w:t>Proceedings of the National Academy of Sciences</w:t>
      </w:r>
      <w:r w:rsidRPr="00DF0680">
        <w:t>, 95(7), pp.3603–3608.</w:t>
      </w:r>
    </w:p>
    <w:p w:rsidR="00341643" w:rsidRPr="00DF0680" w:rsidRDefault="00341643">
      <w:pPr>
        <w:pStyle w:val="NormalWeb"/>
        <w:ind w:left="480" w:hanging="480"/>
        <w:divId w:val="930774447"/>
      </w:pPr>
      <w:r w:rsidRPr="00DF0680">
        <w:t xml:space="preserve">Yang, Q., Zhang, R., Wang, X.W., Linke, S.P., Sengupta, S., Hickson, I.D., Pedrazzi, G., Perrera, C., Stagljar, I., Littman, S.J., Modrich, P. &amp; Harris, C.C., 2004. The mismatch DNA repair heterodimer, hMSH2/6, regulates BLM helicase. </w:t>
      </w:r>
      <w:r w:rsidRPr="00DF0680">
        <w:rPr>
          <w:i/>
          <w:iCs/>
        </w:rPr>
        <w:t>Oncogene</w:t>
      </w:r>
      <w:r w:rsidRPr="00DF0680">
        <w:t>, 23(21), pp.3749–56.</w:t>
      </w:r>
    </w:p>
    <w:p w:rsidR="00341643" w:rsidRPr="00DF0680" w:rsidRDefault="00341643">
      <w:pPr>
        <w:pStyle w:val="NormalWeb"/>
        <w:ind w:left="480" w:hanging="480"/>
        <w:divId w:val="930774447"/>
      </w:pPr>
      <w:r w:rsidRPr="00DF0680">
        <w:t xml:space="preserve">Yin, J., Sobeck, A., Xu, C., Meetei, A.R., Hoatlin, M., Li, L. &amp; Wang, W., 2005. BLAP75, an essential component of Bloom’s syndrome protein complexes that maintain genome integrity. </w:t>
      </w:r>
      <w:r w:rsidRPr="00DF0680">
        <w:rPr>
          <w:i/>
          <w:iCs/>
        </w:rPr>
        <w:t>The EMBO Journal</w:t>
      </w:r>
      <w:r w:rsidRPr="00DF0680">
        <w:t>, 24(7), pp.1465–76.</w:t>
      </w:r>
    </w:p>
    <w:p w:rsidR="00341643" w:rsidRPr="00DF0680" w:rsidRDefault="00341643">
      <w:pPr>
        <w:pStyle w:val="NormalWeb"/>
        <w:ind w:left="480" w:hanging="480"/>
        <w:divId w:val="930774447"/>
      </w:pPr>
      <w:r w:rsidRPr="00DF0680">
        <w:t xml:space="preserve">Yu, C., Oshima, J., Fu, Y. &amp; Wijsman, E., 1996. Positional cloning of the Werner’s syndrome gene. </w:t>
      </w:r>
      <w:r w:rsidRPr="00DF0680">
        <w:rPr>
          <w:i/>
          <w:iCs/>
        </w:rPr>
        <w:t>Science</w:t>
      </w:r>
      <w:r w:rsidRPr="00DF0680">
        <w:t>, 272(5259), pp.258–62.</w:t>
      </w:r>
    </w:p>
    <w:p w:rsidR="00341643" w:rsidRPr="00DF0680" w:rsidRDefault="00341643">
      <w:pPr>
        <w:pStyle w:val="NormalWeb"/>
        <w:ind w:left="480" w:hanging="480"/>
        <w:divId w:val="930774447"/>
      </w:pPr>
      <w:r w:rsidRPr="00DF0680">
        <w:t xml:space="preserve">Yuan, J., Ghosal, G. &amp; Chen, J., 2009. The annealing helicase HARP protects stalled replication forks. </w:t>
      </w:r>
      <w:r w:rsidRPr="00DF0680">
        <w:rPr>
          <w:i/>
          <w:iCs/>
        </w:rPr>
        <w:t>Genes &amp; Development</w:t>
      </w:r>
      <w:r w:rsidRPr="00DF0680">
        <w:t>, 23(20), pp.2394–2399.</w:t>
      </w:r>
    </w:p>
    <w:p w:rsidR="00341643" w:rsidRPr="00DF0680" w:rsidRDefault="00341643">
      <w:pPr>
        <w:pStyle w:val="NormalWeb"/>
        <w:ind w:left="480" w:hanging="480"/>
        <w:divId w:val="930774447"/>
      </w:pPr>
      <w:r w:rsidRPr="00DF0680">
        <w:t xml:space="preserve">Yusufzai, T. &amp; Kong, X., 2009. The annealing helicase HARP is recruited to DNA repair sites via an interaction with RPA. </w:t>
      </w:r>
      <w:r w:rsidRPr="00DF0680">
        <w:rPr>
          <w:i/>
          <w:iCs/>
        </w:rPr>
        <w:t>Genes &amp; Development</w:t>
      </w:r>
      <w:r w:rsidRPr="00DF0680">
        <w:t>, 23(20), pp.2400–2404.</w:t>
      </w:r>
    </w:p>
    <w:p w:rsidR="00341643" w:rsidRPr="00DF0680" w:rsidRDefault="00341643">
      <w:pPr>
        <w:pStyle w:val="NormalWeb"/>
        <w:ind w:left="480" w:hanging="480"/>
        <w:divId w:val="930774447"/>
      </w:pPr>
      <w:r w:rsidRPr="00DF0680">
        <w:t xml:space="preserve">Zhang, J., Willers, H., Feng, Z., Ghosh, J.C., Kim, S., Weaver, D.T., Chung, J.H., Powell, S.N. &amp; Xia, F., 2003. Chk2 Phosphorylation of BRCA1 Regulates DNA Double-Strand Break Repair. </w:t>
      </w:r>
      <w:r w:rsidRPr="00DF0680">
        <w:rPr>
          <w:i/>
          <w:iCs/>
        </w:rPr>
        <w:t>Molecular and Cellular Biology</w:t>
      </w:r>
      <w:r w:rsidRPr="00DF0680">
        <w:t>, 24(2), pp.708–718.</w:t>
      </w:r>
    </w:p>
    <w:p w:rsidR="00341643" w:rsidRPr="00DF0680" w:rsidRDefault="00341643">
      <w:pPr>
        <w:pStyle w:val="NormalWeb"/>
        <w:ind w:left="480" w:hanging="480"/>
        <w:divId w:val="930774447"/>
      </w:pPr>
      <w:r w:rsidRPr="00DF0680">
        <w:t xml:space="preserve">Zhao, H., Watkins, J.L. &amp; Piwnica-Worms, H., 2002. Disruption of the checkpoint kinase 1/cell division cycle 25A pathway abrogates ionizing radiation-induced S </w:t>
      </w:r>
      <w:r w:rsidRPr="00DF0680">
        <w:lastRenderedPageBreak/>
        <w:t xml:space="preserve">and G2 checkpoints. </w:t>
      </w:r>
      <w:r w:rsidRPr="00DF0680">
        <w:rPr>
          <w:i/>
          <w:iCs/>
        </w:rPr>
        <w:t>Proceedings of the National Academy of Sciences</w:t>
      </w:r>
      <w:r w:rsidRPr="00DF0680">
        <w:t>, 99(23), pp.14795–800.</w:t>
      </w:r>
    </w:p>
    <w:p w:rsidR="00341643" w:rsidRPr="00DF0680" w:rsidRDefault="00341643">
      <w:pPr>
        <w:pStyle w:val="NormalWeb"/>
        <w:ind w:left="480" w:hanging="480"/>
        <w:divId w:val="930774447"/>
      </w:pPr>
      <w:r w:rsidRPr="00DF0680">
        <w:t xml:space="preserve">Zheng, L., Kanagaraj, R., Mihaljevic, B., Schwendener, S., Sartori, A. a, Gerrits, B., Shevelev, I. &amp; Janscak, P., 2009. MRE11 complex links RECQ5 helicase to sites of DNA damage. </w:t>
      </w:r>
      <w:r w:rsidRPr="00DF0680">
        <w:rPr>
          <w:i/>
          <w:iCs/>
        </w:rPr>
        <w:t>Nucleic Acids Research</w:t>
      </w:r>
      <w:r w:rsidRPr="00DF0680">
        <w:t>, 37(8), pp.2645–57.</w:t>
      </w:r>
    </w:p>
    <w:p w:rsidR="00341643" w:rsidRPr="00DF0680" w:rsidRDefault="00341643">
      <w:pPr>
        <w:pStyle w:val="NormalWeb"/>
        <w:ind w:left="480" w:hanging="480"/>
        <w:divId w:val="930774447"/>
      </w:pPr>
      <w:r w:rsidRPr="00DF0680">
        <w:t xml:space="preserve">Zhi, L.-Q., Ma, W., Zhang, H., Zeng, S.-X. &amp; Chen, B., 2014. Association of RECQL5 gene polymorphisms and osteosarcoma in a Chinese Han population. </w:t>
      </w:r>
      <w:r w:rsidRPr="00DF0680">
        <w:rPr>
          <w:i/>
          <w:iCs/>
        </w:rPr>
        <w:t>Tumour Biology</w:t>
      </w:r>
      <w:r w:rsidRPr="00DF0680">
        <w:t>, 35(4), pp.3255–9.</w:t>
      </w:r>
    </w:p>
    <w:p w:rsidR="00341643" w:rsidRPr="00DF0680" w:rsidRDefault="00341643">
      <w:pPr>
        <w:pStyle w:val="NormalWeb"/>
        <w:ind w:left="480" w:hanging="480"/>
        <w:divId w:val="930774447"/>
      </w:pPr>
      <w:r w:rsidRPr="00DF0680">
        <w:t xml:space="preserve">Zhu, W., Ukomadu, C., Jha, S., Senga, T., Dhar, S.K., Wohlschlegel, J. a, Nutt, L.K., Kornbluth, S. &amp; Dutta, A., 2007. Mcm10 and And-1/CTF4 recruit DNA polymerase alpha to chromatin for initiation of DNA replication. </w:t>
      </w:r>
      <w:r w:rsidRPr="00DF0680">
        <w:rPr>
          <w:i/>
          <w:iCs/>
        </w:rPr>
        <w:t>Genes &amp; Development</w:t>
      </w:r>
      <w:r w:rsidRPr="00DF0680">
        <w:t>, 21(18), pp.2288–99.</w:t>
      </w:r>
    </w:p>
    <w:p w:rsidR="00341643" w:rsidRPr="00DF0680" w:rsidRDefault="00341643">
      <w:pPr>
        <w:pStyle w:val="NormalWeb"/>
        <w:ind w:left="480" w:hanging="480"/>
        <w:divId w:val="930774447"/>
      </w:pPr>
      <w:r w:rsidRPr="00DF0680">
        <w:t xml:space="preserve">Zhu, Z., Chung, W.-H., Shim, E.Y., Lee, S.E. &amp; Ira, G., 2008. Sgs1 helicase and two nucleases Dna2 and Exo1 resect DNA double-strand break ends. </w:t>
      </w:r>
      <w:r w:rsidRPr="00DF0680">
        <w:rPr>
          <w:i/>
          <w:iCs/>
        </w:rPr>
        <w:t>Cell</w:t>
      </w:r>
      <w:r w:rsidRPr="00DF0680">
        <w:t>, 134(6), pp.981–94.</w:t>
      </w:r>
    </w:p>
    <w:p w:rsidR="00341643" w:rsidRPr="00DF0680" w:rsidRDefault="00341643">
      <w:pPr>
        <w:pStyle w:val="NormalWeb"/>
        <w:ind w:left="480" w:hanging="480"/>
        <w:divId w:val="930774447"/>
      </w:pPr>
      <w:r w:rsidRPr="00DF0680">
        <w:t xml:space="preserve">Zou, L., 1998. Formation of a Preinitiation Complex by S-phase Cyclin CDK-Dependent Loading of Cdc45p onto Chromatin. </w:t>
      </w:r>
      <w:r w:rsidRPr="00DF0680">
        <w:rPr>
          <w:i/>
          <w:iCs/>
        </w:rPr>
        <w:t>Science</w:t>
      </w:r>
      <w:r w:rsidRPr="00DF0680">
        <w:t>, 280(5363), pp.593–596.</w:t>
      </w:r>
    </w:p>
    <w:p w:rsidR="00341643" w:rsidRPr="00DF0680" w:rsidRDefault="00341643">
      <w:pPr>
        <w:pStyle w:val="NormalWeb"/>
        <w:ind w:left="480" w:hanging="480"/>
        <w:divId w:val="930774447"/>
      </w:pPr>
      <w:r w:rsidRPr="00DF0680">
        <w:t xml:space="preserve">Zou, L., Cortez, D. &amp; Elledge, S.J., 2002. Regulation of ATR substrate selection by Rad17-dependent loading of Rad9 complexes onto chromatin. </w:t>
      </w:r>
      <w:r w:rsidRPr="00DF0680">
        <w:rPr>
          <w:i/>
          <w:iCs/>
        </w:rPr>
        <w:t>Genes &amp; Development</w:t>
      </w:r>
      <w:r w:rsidRPr="00DF0680">
        <w:t>, 16(2), pp.198–208.</w:t>
      </w:r>
    </w:p>
    <w:p w:rsidR="00341643" w:rsidRPr="00DF0680" w:rsidRDefault="00341643">
      <w:pPr>
        <w:pStyle w:val="NormalWeb"/>
        <w:ind w:left="480" w:hanging="480"/>
        <w:divId w:val="930774447"/>
      </w:pPr>
      <w:r w:rsidRPr="00DF0680">
        <w:t xml:space="preserve">Zou, L. &amp; Elledge, S.J., 2003. Sensing DNA damage through ATRIP recognition of RPA-ssDNA complexes. </w:t>
      </w:r>
      <w:r w:rsidRPr="00DF0680">
        <w:rPr>
          <w:i/>
          <w:iCs/>
        </w:rPr>
        <w:t>Science</w:t>
      </w:r>
      <w:r w:rsidRPr="00DF0680">
        <w:t>, 300(5625), pp.1542–8.</w:t>
      </w:r>
    </w:p>
    <w:p w:rsidR="00341643" w:rsidRPr="00DF0680" w:rsidRDefault="00341643">
      <w:pPr>
        <w:pStyle w:val="NormalWeb"/>
        <w:ind w:left="480" w:hanging="480"/>
        <w:divId w:val="930774447"/>
      </w:pPr>
      <w:r w:rsidRPr="00DF0680">
        <w:t xml:space="preserve">Zou, L., Liu, D. &amp; Elledge, S.J., 2003. Replication protein A-mediated recruitment and activation of Rad17 complexes. </w:t>
      </w:r>
      <w:r w:rsidRPr="00DF0680">
        <w:rPr>
          <w:i/>
          <w:iCs/>
        </w:rPr>
        <w:t>Proceedings of the National Academy of Sciences</w:t>
      </w:r>
      <w:r w:rsidRPr="00DF0680">
        <w:t>, 100(24), pp.13827–32.</w:t>
      </w:r>
    </w:p>
    <w:p w:rsidR="00341643" w:rsidRPr="00DF0680" w:rsidRDefault="00341643">
      <w:pPr>
        <w:pStyle w:val="NormalWeb"/>
        <w:ind w:left="480" w:hanging="480"/>
        <w:divId w:val="930774447"/>
      </w:pPr>
      <w:r w:rsidRPr="00DF0680">
        <w:t xml:space="preserve">Zou, L. &amp; Stillman, B., 2000. Assembly of a complex containing Cdc45p, replication protein A, and Mcm2p at replication origins controlled by S-phase cyclin-dependent kinases and Cdc7p-Dbf4p. </w:t>
      </w:r>
      <w:r w:rsidRPr="00DF0680">
        <w:rPr>
          <w:i/>
          <w:iCs/>
        </w:rPr>
        <w:t>Molecular and Cellular Biology</w:t>
      </w:r>
      <w:r w:rsidRPr="00DF0680">
        <w:t>, 20(9), pp.3086–96.</w:t>
      </w:r>
    </w:p>
    <w:p w:rsidR="00341643" w:rsidRPr="00DF0680" w:rsidRDefault="00341643">
      <w:pPr>
        <w:pStyle w:val="NormalWeb"/>
        <w:ind w:left="480" w:hanging="480"/>
        <w:divId w:val="930774447"/>
      </w:pPr>
      <w:r w:rsidRPr="00DF0680">
        <w:t xml:space="preserve">Zucca, E., Bertoletti, F., Wimmer, U., Ferrari, E., Mazzini, G., Khoronenkova, S., Grosse, N., van Loon, B., Dianov, G., Hübscher, U. &amp; Maga, G., 2013. Silencing of human DNA polymerase λ causes replication stress and is synthetically lethal with an impaired S phase checkpoint. </w:t>
      </w:r>
      <w:r w:rsidRPr="00DF0680">
        <w:rPr>
          <w:i/>
          <w:iCs/>
        </w:rPr>
        <w:t>Nucleic Acids Research</w:t>
      </w:r>
      <w:r w:rsidRPr="00DF0680">
        <w:t>, 41(1), pp.229–41.</w:t>
      </w:r>
    </w:p>
    <w:p w:rsidR="00DA6E78" w:rsidRPr="00DF0680" w:rsidRDefault="00F20EC0" w:rsidP="00341643">
      <w:pPr>
        <w:pStyle w:val="NormalWeb"/>
        <w:ind w:left="480" w:hanging="480"/>
        <w:divId w:val="1132674311"/>
        <w:sectPr w:rsidR="00DA6E78" w:rsidRPr="00DF0680" w:rsidSect="0051096C">
          <w:headerReference w:type="default" r:id="rId87"/>
          <w:pgSz w:w="11906" w:h="16838"/>
          <w:pgMar w:top="1440" w:right="1134" w:bottom="1440" w:left="2268" w:header="709" w:footer="709" w:gutter="0"/>
          <w:cols w:space="708"/>
          <w:docGrid w:linePitch="360"/>
        </w:sectPr>
      </w:pPr>
      <w:r w:rsidRPr="00DF0680">
        <w:fldChar w:fldCharType="end"/>
      </w:r>
    </w:p>
    <w:p w:rsidR="00A6439C" w:rsidRPr="00DF0680" w:rsidRDefault="00A6439C" w:rsidP="00E664FC">
      <w:pPr>
        <w:pStyle w:val="Heading1"/>
        <w:numPr>
          <w:ilvl w:val="0"/>
          <w:numId w:val="0"/>
        </w:numPr>
        <w:ind w:left="360" w:hanging="360"/>
      </w:pPr>
      <w:bookmarkStart w:id="841" w:name="_Toc417204232"/>
      <w:bookmarkStart w:id="842" w:name="_Toc417204765"/>
      <w:bookmarkStart w:id="843" w:name="_Toc417204825"/>
      <w:r w:rsidRPr="00DF0680">
        <w:lastRenderedPageBreak/>
        <w:t>Appendix</w:t>
      </w:r>
      <w:bookmarkEnd w:id="841"/>
      <w:bookmarkEnd w:id="842"/>
      <w:bookmarkEnd w:id="843"/>
    </w:p>
    <w:p w:rsidR="00A6439C" w:rsidRPr="00DF0680" w:rsidRDefault="00A6439C" w:rsidP="00A6439C">
      <w:pPr>
        <w:spacing w:after="0"/>
        <w:rPr>
          <w:rFonts w:cs="Times New Roman"/>
          <w:b/>
          <w:sz w:val="28"/>
          <w:szCs w:val="28"/>
        </w:rPr>
      </w:pPr>
      <w:r w:rsidRPr="00DF0680">
        <w:rPr>
          <w:rFonts w:cs="Times New Roman"/>
          <w:b/>
          <w:sz w:val="28"/>
          <w:szCs w:val="28"/>
        </w:rPr>
        <w:t>Plasmids</w:t>
      </w:r>
    </w:p>
    <w:p w:rsidR="00A6439C" w:rsidRPr="00DF0680" w:rsidRDefault="00A6439C" w:rsidP="00A6439C">
      <w:pPr>
        <w:spacing w:after="0"/>
        <w:rPr>
          <w:rFonts w:cs="Times New Roman"/>
        </w:rPr>
      </w:pPr>
      <w:r w:rsidRPr="00DF0680">
        <w:rPr>
          <w:rFonts w:cs="Times New Roman"/>
          <w:i/>
        </w:rPr>
        <w:t xml:space="preserve">pjPP136 (+Q5) </w:t>
      </w:r>
      <w:r w:rsidRPr="00DF0680">
        <w:rPr>
          <w:rFonts w:cs="Times New Roman"/>
        </w:rPr>
        <w:t>– pcDNA3.1/His C with the RECQL5β cDNA sequence cloned into the multi -cloning site.  A generous gift of Dr Pavel Janscak.</w:t>
      </w:r>
    </w:p>
    <w:p w:rsidR="00A6439C" w:rsidRPr="00DF0680" w:rsidRDefault="00A6439C" w:rsidP="00A6439C">
      <w:pPr>
        <w:spacing w:after="0"/>
        <w:rPr>
          <w:rFonts w:cs="Times New Roman"/>
        </w:rPr>
      </w:pPr>
      <w:r w:rsidRPr="00DF0680">
        <w:rPr>
          <w:rFonts w:cs="Times New Roman"/>
          <w:i/>
        </w:rPr>
        <w:t>pjPP136KR (+Q5KR)</w:t>
      </w:r>
      <w:r w:rsidRPr="00DF0680">
        <w:rPr>
          <w:rFonts w:cs="Times New Roman"/>
        </w:rPr>
        <w:t xml:space="preserve"> – pcDNA3.1/His C with a mutated RECQL5β cDNA sequence cloned into the multi-cloning site.  The sequence has a K58R point mutation in the ATPase domain that prevents the proteins helicase activity.  Also a generous gift of Dr. Pavel Janscak.</w:t>
      </w:r>
    </w:p>
    <w:p w:rsidR="00A6439C" w:rsidRPr="00DF0680" w:rsidRDefault="00A6439C" w:rsidP="00A6439C">
      <w:pPr>
        <w:spacing w:after="0"/>
        <w:rPr>
          <w:rFonts w:cs="Times New Roman"/>
        </w:rPr>
      </w:pPr>
      <w:r w:rsidRPr="00DF0680">
        <w:rPr>
          <w:rFonts w:cs="Times New Roman"/>
        </w:rPr>
        <w:t xml:space="preserve">(The following plasmid maps were drawn using </w:t>
      </w:r>
      <w:r w:rsidRPr="00DF0680">
        <w:rPr>
          <w:rFonts w:cs="Times New Roman"/>
          <w:i/>
        </w:rPr>
        <w:t>ApE – A plasmid Editor</w:t>
      </w:r>
      <w:r w:rsidRPr="00DF0680">
        <w:rPr>
          <w:rFonts w:cs="Times New Roman"/>
        </w:rPr>
        <w:t xml:space="preserve"> by M. Wayne Davis, downloaded from http://biologylabs.utah.edu/jorgensen/wayned/ape/)</w:t>
      </w:r>
    </w:p>
    <w:p w:rsidR="00A6439C" w:rsidRPr="00DF0680" w:rsidRDefault="00A6439C" w:rsidP="00A6439C">
      <w:pPr>
        <w:spacing w:after="0"/>
        <w:rPr>
          <w:rFonts w:cs="Times New Roman"/>
          <w:i/>
          <w:szCs w:val="28"/>
          <w:u w:val="single"/>
        </w:rPr>
      </w:pPr>
      <w:r w:rsidRPr="00DF0680">
        <w:rPr>
          <w:rFonts w:cs="Times New Roman"/>
          <w:i/>
          <w:szCs w:val="28"/>
          <w:u w:val="single"/>
        </w:rPr>
        <w:t>pcDNA3.1/His C</w:t>
      </w:r>
    </w:p>
    <w:p w:rsidR="00A6439C" w:rsidRPr="00DF0680" w:rsidRDefault="00A6439C" w:rsidP="00A6439C">
      <w:pPr>
        <w:spacing w:after="0"/>
        <w:rPr>
          <w:rFonts w:cs="Times New Roman"/>
        </w:rPr>
      </w:pPr>
      <w:r w:rsidRPr="00DF0680">
        <w:rPr>
          <w:rFonts w:cs="Times New Roman"/>
        </w:rPr>
        <w:drawing>
          <wp:inline distT="0" distB="0" distL="0" distR="0">
            <wp:extent cx="3657600" cy="2294021"/>
            <wp:effectExtent l="19050" t="0" r="0" b="0"/>
            <wp:docPr id="60" name="Picture 0" descr="pcDNA3.1-His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DNA3.1-HisC.tif"/>
                    <pic:cNvPicPr/>
                  </pic:nvPicPr>
                  <pic:blipFill>
                    <a:blip r:embed="rId88" cstate="print"/>
                    <a:stretch>
                      <a:fillRect/>
                    </a:stretch>
                  </pic:blipFill>
                  <pic:spPr>
                    <a:xfrm>
                      <a:off x="0" y="0"/>
                      <a:ext cx="3668663" cy="2300959"/>
                    </a:xfrm>
                    <a:prstGeom prst="rect">
                      <a:avLst/>
                    </a:prstGeom>
                  </pic:spPr>
                </pic:pic>
              </a:graphicData>
            </a:graphic>
          </wp:inline>
        </w:drawing>
      </w:r>
    </w:p>
    <w:p w:rsidR="00A6439C" w:rsidRPr="00DF0680" w:rsidRDefault="00A6439C" w:rsidP="00A6439C">
      <w:pPr>
        <w:spacing w:after="0"/>
        <w:rPr>
          <w:rFonts w:cs="Times New Roman"/>
        </w:rPr>
      </w:pPr>
    </w:p>
    <w:p w:rsidR="00A6439C" w:rsidRPr="00DF0680" w:rsidRDefault="00A6439C" w:rsidP="00A6439C">
      <w:pPr>
        <w:spacing w:after="0"/>
        <w:rPr>
          <w:rFonts w:cs="Times New Roman"/>
          <w:i/>
          <w:szCs w:val="28"/>
          <w:u w:val="single"/>
        </w:rPr>
      </w:pPr>
      <w:r w:rsidRPr="00DF0680">
        <w:rPr>
          <w:rFonts w:cs="Times New Roman"/>
          <w:i/>
          <w:szCs w:val="28"/>
          <w:u w:val="single"/>
        </w:rPr>
        <w:t>pMirReport (RECQL5β 3’UTR cloned into the vector using the PmeI site)</w:t>
      </w:r>
    </w:p>
    <w:p w:rsidR="00A6439C" w:rsidRPr="00DF0680" w:rsidRDefault="00A6439C" w:rsidP="00A6439C">
      <w:pPr>
        <w:tabs>
          <w:tab w:val="left" w:pos="1843"/>
        </w:tabs>
        <w:spacing w:after="0"/>
        <w:rPr>
          <w:rFonts w:cs="Times New Roman"/>
          <w:i/>
          <w:szCs w:val="28"/>
        </w:rPr>
      </w:pPr>
      <w:r w:rsidRPr="00DF0680">
        <w:rPr>
          <w:rFonts w:cs="Times New Roman"/>
          <w:i/>
          <w:szCs w:val="28"/>
        </w:rPr>
        <w:drawing>
          <wp:inline distT="0" distB="0" distL="0" distR="0">
            <wp:extent cx="3905250" cy="2651193"/>
            <wp:effectExtent l="19050" t="0" r="0" b="0"/>
            <wp:docPr id="61" name="Picture 2" descr="pMirRepor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irReport.tif"/>
                    <pic:cNvPicPr/>
                  </pic:nvPicPr>
                  <pic:blipFill>
                    <a:blip r:embed="rId89" cstate="print"/>
                    <a:stretch>
                      <a:fillRect/>
                    </a:stretch>
                  </pic:blipFill>
                  <pic:spPr>
                    <a:xfrm>
                      <a:off x="0" y="0"/>
                      <a:ext cx="3912795" cy="2656315"/>
                    </a:xfrm>
                    <a:prstGeom prst="rect">
                      <a:avLst/>
                    </a:prstGeom>
                  </pic:spPr>
                </pic:pic>
              </a:graphicData>
            </a:graphic>
          </wp:inline>
        </w:drawing>
      </w:r>
    </w:p>
    <w:p w:rsidR="00A6439C" w:rsidRPr="00DF0680" w:rsidRDefault="00A6439C" w:rsidP="00A6439C">
      <w:pPr>
        <w:spacing w:after="0" w:line="240" w:lineRule="auto"/>
        <w:rPr>
          <w:rFonts w:cs="Times New Roman"/>
          <w:i/>
          <w:szCs w:val="28"/>
          <w:u w:val="single"/>
        </w:rPr>
      </w:pPr>
      <w:r w:rsidRPr="00DF0680">
        <w:rPr>
          <w:rFonts w:cs="Times New Roman"/>
          <w:i/>
          <w:szCs w:val="28"/>
          <w:u w:val="single"/>
        </w:rPr>
        <w:lastRenderedPageBreak/>
        <w:t>pRL-TK</w:t>
      </w:r>
    </w:p>
    <w:p w:rsidR="00A6439C" w:rsidRPr="00DF0680" w:rsidRDefault="00A6439C" w:rsidP="00A6439C">
      <w:pPr>
        <w:spacing w:line="240" w:lineRule="auto"/>
        <w:rPr>
          <w:rFonts w:cs="Times New Roman"/>
          <w:szCs w:val="28"/>
        </w:rPr>
      </w:pPr>
      <w:r w:rsidRPr="00DF0680">
        <w:rPr>
          <w:rFonts w:cs="Times New Roman"/>
          <w:szCs w:val="28"/>
        </w:rPr>
        <w:drawing>
          <wp:inline distT="0" distB="0" distL="0" distR="0">
            <wp:extent cx="3657600" cy="2353657"/>
            <wp:effectExtent l="19050" t="0" r="0" b="0"/>
            <wp:docPr id="62" name="Picture 4" descr="pRL-T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L-TK.tif"/>
                    <pic:cNvPicPr/>
                  </pic:nvPicPr>
                  <pic:blipFill>
                    <a:blip r:embed="rId90" cstate="print"/>
                    <a:stretch>
                      <a:fillRect/>
                    </a:stretch>
                  </pic:blipFill>
                  <pic:spPr>
                    <a:xfrm>
                      <a:off x="0" y="0"/>
                      <a:ext cx="3657979" cy="2353901"/>
                    </a:xfrm>
                    <a:prstGeom prst="rect">
                      <a:avLst/>
                    </a:prstGeom>
                  </pic:spPr>
                </pic:pic>
              </a:graphicData>
            </a:graphic>
          </wp:inline>
        </w:drawing>
      </w:r>
    </w:p>
    <w:p w:rsidR="00A6439C" w:rsidRPr="00DF0680" w:rsidRDefault="00A6439C" w:rsidP="00A6439C">
      <w:pPr>
        <w:rPr>
          <w:rFonts w:cs="Times New Roman"/>
          <w:i/>
          <w:szCs w:val="28"/>
        </w:rPr>
      </w:pPr>
    </w:p>
    <w:p w:rsidR="00A6439C" w:rsidRPr="00DF0680" w:rsidRDefault="00A6439C" w:rsidP="00A6439C">
      <w:pPr>
        <w:spacing w:after="0"/>
        <w:rPr>
          <w:rFonts w:cs="Times New Roman"/>
          <w:i/>
          <w:szCs w:val="28"/>
          <w:u w:val="single"/>
        </w:rPr>
      </w:pPr>
      <w:r w:rsidRPr="00DF0680">
        <w:rPr>
          <w:rFonts w:cs="Times New Roman"/>
          <w:i/>
          <w:szCs w:val="28"/>
          <w:u w:val="single"/>
        </w:rPr>
        <w:t>pIRES puro3</w:t>
      </w:r>
    </w:p>
    <w:p w:rsidR="00A6439C" w:rsidRPr="00DF0680" w:rsidRDefault="00A6439C" w:rsidP="00A6439C">
      <w:pPr>
        <w:spacing w:after="0"/>
        <w:rPr>
          <w:rFonts w:cs="Times New Roman"/>
          <w:i/>
          <w:szCs w:val="28"/>
        </w:rPr>
      </w:pPr>
      <w:r w:rsidRPr="00DF0680">
        <w:rPr>
          <w:rFonts w:cs="Times New Roman"/>
          <w:i/>
          <w:szCs w:val="28"/>
        </w:rPr>
        <w:t>RECQL5 and RECQL5KR sequences cloned into the vector using EcoR1 and Not1 sites</w:t>
      </w:r>
    </w:p>
    <w:p w:rsidR="00A6439C" w:rsidRPr="00DF0680" w:rsidRDefault="00A6439C" w:rsidP="00A6439C">
      <w:pPr>
        <w:spacing w:after="0"/>
        <w:rPr>
          <w:rFonts w:cs="Times New Roman"/>
          <w:i/>
          <w:szCs w:val="28"/>
        </w:rPr>
      </w:pPr>
      <w:r w:rsidRPr="00DF0680">
        <w:rPr>
          <w:rFonts w:cs="Times New Roman"/>
          <w:i/>
          <w:szCs w:val="28"/>
        </w:rPr>
        <w:t>Plasmids containing MRE11 and MRE11Δ</w:t>
      </w:r>
      <w:r w:rsidR="0071440F" w:rsidRPr="00DF0680">
        <w:rPr>
          <w:rFonts w:cs="Times New Roman"/>
          <w:i/>
          <w:szCs w:val="28"/>
          <w:vertAlign w:val="subscript"/>
        </w:rPr>
        <w:t>5-7</w:t>
      </w:r>
      <w:r w:rsidRPr="00DF0680">
        <w:rPr>
          <w:rFonts w:cs="Times New Roman"/>
          <w:i/>
          <w:szCs w:val="28"/>
        </w:rPr>
        <w:t xml:space="preserve"> were a generous gift from Professor Mark Meuth</w:t>
      </w:r>
    </w:p>
    <w:p w:rsidR="00A6439C" w:rsidRPr="00DF0680" w:rsidRDefault="00A6439C" w:rsidP="00A6439C">
      <w:pPr>
        <w:spacing w:after="0"/>
        <w:rPr>
          <w:rFonts w:cs="Times New Roman"/>
          <w:i/>
          <w:szCs w:val="28"/>
        </w:rPr>
      </w:pPr>
      <w:r w:rsidRPr="00DF0680">
        <w:rPr>
          <w:rFonts w:cs="Times New Roman"/>
          <w:i/>
          <w:szCs w:val="28"/>
        </w:rPr>
        <w:drawing>
          <wp:inline distT="0" distB="0" distL="0" distR="0">
            <wp:extent cx="3524250" cy="2806644"/>
            <wp:effectExtent l="19050" t="0" r="0" b="0"/>
            <wp:docPr id="63" name="Picture 5" descr="pIRESpuro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RESpuro3.tif"/>
                    <pic:cNvPicPr/>
                  </pic:nvPicPr>
                  <pic:blipFill>
                    <a:blip r:embed="rId91" cstate="print"/>
                    <a:stretch>
                      <a:fillRect/>
                    </a:stretch>
                  </pic:blipFill>
                  <pic:spPr>
                    <a:xfrm>
                      <a:off x="0" y="0"/>
                      <a:ext cx="3532169" cy="2812951"/>
                    </a:xfrm>
                    <a:prstGeom prst="rect">
                      <a:avLst/>
                    </a:prstGeom>
                  </pic:spPr>
                </pic:pic>
              </a:graphicData>
            </a:graphic>
          </wp:inline>
        </w:drawing>
      </w:r>
    </w:p>
    <w:p w:rsidR="00A6439C" w:rsidRPr="00DF0680" w:rsidRDefault="00A6439C" w:rsidP="00A6439C"/>
    <w:p w:rsidR="00A6439C" w:rsidRPr="00DF0680" w:rsidRDefault="00A6439C" w:rsidP="00A6439C">
      <w:pPr>
        <w:widowControl w:val="0"/>
        <w:autoSpaceDE w:val="0"/>
        <w:autoSpaceDN w:val="0"/>
        <w:adjustRightInd w:val="0"/>
        <w:spacing w:after="0"/>
        <w:rPr>
          <w:rFonts w:cs="Times New Roman"/>
          <w:b/>
          <w:szCs w:val="20"/>
          <w:highlight w:val="white"/>
        </w:rPr>
      </w:pPr>
    </w:p>
    <w:p w:rsidR="00A6439C" w:rsidRPr="00DF0680" w:rsidRDefault="00A6439C" w:rsidP="00A6439C">
      <w:pPr>
        <w:widowControl w:val="0"/>
        <w:autoSpaceDE w:val="0"/>
        <w:autoSpaceDN w:val="0"/>
        <w:adjustRightInd w:val="0"/>
        <w:spacing w:after="0"/>
        <w:rPr>
          <w:rFonts w:cs="Times New Roman"/>
          <w:b/>
          <w:szCs w:val="20"/>
          <w:highlight w:val="white"/>
        </w:rPr>
      </w:pPr>
    </w:p>
    <w:p w:rsidR="00A6439C" w:rsidRPr="00DF0680" w:rsidRDefault="00A6439C" w:rsidP="00A6439C">
      <w:pPr>
        <w:widowControl w:val="0"/>
        <w:autoSpaceDE w:val="0"/>
        <w:autoSpaceDN w:val="0"/>
        <w:adjustRightInd w:val="0"/>
        <w:spacing w:after="0"/>
        <w:rPr>
          <w:rFonts w:cs="Times New Roman"/>
          <w:b/>
          <w:szCs w:val="20"/>
          <w:highlight w:val="white"/>
        </w:rPr>
      </w:pPr>
    </w:p>
    <w:p w:rsidR="00A6439C" w:rsidRPr="00DF0680" w:rsidRDefault="00A6439C" w:rsidP="00A6439C">
      <w:pPr>
        <w:widowControl w:val="0"/>
        <w:autoSpaceDE w:val="0"/>
        <w:autoSpaceDN w:val="0"/>
        <w:adjustRightInd w:val="0"/>
        <w:spacing w:after="0"/>
        <w:rPr>
          <w:rFonts w:cs="Times New Roman"/>
          <w:b/>
          <w:szCs w:val="20"/>
          <w:highlight w:val="white"/>
        </w:rPr>
      </w:pPr>
    </w:p>
    <w:p w:rsidR="00A6439C" w:rsidRPr="00DF0680" w:rsidRDefault="00A6439C" w:rsidP="00A6439C">
      <w:pPr>
        <w:widowControl w:val="0"/>
        <w:autoSpaceDE w:val="0"/>
        <w:autoSpaceDN w:val="0"/>
        <w:adjustRightInd w:val="0"/>
        <w:spacing w:after="0"/>
        <w:rPr>
          <w:rFonts w:cs="Times New Roman"/>
          <w:b/>
          <w:szCs w:val="20"/>
          <w:highlight w:val="white"/>
        </w:rPr>
      </w:pPr>
    </w:p>
    <w:p w:rsidR="00A6439C" w:rsidRPr="00DF0680" w:rsidRDefault="00A6439C" w:rsidP="00A6439C">
      <w:pPr>
        <w:widowControl w:val="0"/>
        <w:autoSpaceDE w:val="0"/>
        <w:autoSpaceDN w:val="0"/>
        <w:adjustRightInd w:val="0"/>
        <w:spacing w:after="0"/>
        <w:rPr>
          <w:rFonts w:cs="Times New Roman"/>
          <w:b/>
          <w:sz w:val="28"/>
          <w:szCs w:val="20"/>
          <w:highlight w:val="white"/>
        </w:rPr>
      </w:pPr>
      <w:r w:rsidRPr="00DF0680">
        <w:rPr>
          <w:rFonts w:cs="Times New Roman"/>
          <w:b/>
          <w:sz w:val="28"/>
          <w:szCs w:val="20"/>
          <w:highlight w:val="white"/>
        </w:rPr>
        <w:lastRenderedPageBreak/>
        <w:t>Sequencing</w:t>
      </w:r>
    </w:p>
    <w:p w:rsidR="00A6439C" w:rsidRPr="00DF0680" w:rsidRDefault="00A6439C" w:rsidP="00A6439C">
      <w:pPr>
        <w:widowControl w:val="0"/>
        <w:autoSpaceDE w:val="0"/>
        <w:autoSpaceDN w:val="0"/>
        <w:adjustRightInd w:val="0"/>
        <w:spacing w:after="0"/>
        <w:rPr>
          <w:rFonts w:cs="Times New Roman"/>
          <w:b/>
          <w:szCs w:val="20"/>
          <w:highlight w:val="white"/>
        </w:rPr>
      </w:pPr>
      <w:r w:rsidRPr="00DF0680">
        <w:rPr>
          <w:rFonts w:cs="Times New Roman"/>
          <w:i/>
          <w:szCs w:val="24"/>
          <w:highlight w:val="white"/>
        </w:rPr>
        <w:t>3’UTR sequences of RECQL5 from bladder cell lines aligned with reference from NCBI (</w:t>
      </w:r>
      <w:r w:rsidRPr="00DF0680">
        <w:rPr>
          <w:rFonts w:cs="Times New Roman"/>
          <w:i/>
          <w:szCs w:val="24"/>
          <w:shd w:val="clear" w:color="auto" w:fill="FFFFFF"/>
        </w:rPr>
        <w:t>NM_004259.6)</w:t>
      </w:r>
    </w:p>
    <w:p w:rsidR="00A6439C" w:rsidRPr="00DF0680" w:rsidRDefault="00A6439C" w:rsidP="00A6439C">
      <w:pPr>
        <w:widowControl w:val="0"/>
        <w:autoSpaceDE w:val="0"/>
        <w:autoSpaceDN w:val="0"/>
        <w:adjustRightInd w:val="0"/>
        <w:spacing w:after="0" w:line="240" w:lineRule="auto"/>
        <w:jc w:val="left"/>
        <w:rPr>
          <w:rFonts w:ascii="Courier New" w:hAnsi="Courier New" w:cs="Courier New"/>
          <w:sz w:val="18"/>
          <w:szCs w:val="20"/>
          <w:highlight w:val="white"/>
        </w:rPr>
      </w:pPr>
      <w:r w:rsidRPr="00DF0680">
        <w:rPr>
          <w:rFonts w:ascii="Courier New" w:hAnsi="Courier New" w:cs="Courier New"/>
          <w:sz w:val="18"/>
          <w:szCs w:val="20"/>
          <w:highlight w:val="white"/>
        </w:rPr>
        <w:t>RECQL53UTR    1 CCAACTGCTGGCTGGGC----GG</w:t>
      </w:r>
      <w:r w:rsidRPr="00DF0680">
        <w:rPr>
          <w:rFonts w:ascii="Courier New" w:hAnsi="Courier New" w:cs="Courier New"/>
          <w:color w:val="FF0000"/>
          <w:sz w:val="18"/>
          <w:szCs w:val="20"/>
          <w:highlight w:val="white"/>
        </w:rPr>
        <w:t>G</w:t>
      </w:r>
      <w:r w:rsidRPr="00DF0680">
        <w:rPr>
          <w:rFonts w:ascii="Courier New" w:hAnsi="Courier New" w:cs="Courier New"/>
          <w:sz w:val="18"/>
          <w:szCs w:val="20"/>
          <w:highlight w:val="white"/>
        </w:rPr>
        <w:t>C</w:t>
      </w:r>
      <w:r w:rsidRPr="00DF0680">
        <w:rPr>
          <w:rFonts w:ascii="Courier New" w:hAnsi="Courier New" w:cs="Courier New"/>
          <w:color w:val="FF0000"/>
          <w:sz w:val="18"/>
          <w:szCs w:val="20"/>
          <w:highlight w:val="white"/>
        </w:rPr>
        <w:t>CC</w:t>
      </w:r>
      <w:r w:rsidRPr="00DF0680">
        <w:rPr>
          <w:rFonts w:ascii="Courier New" w:hAnsi="Courier New" w:cs="Courier New"/>
          <w:sz w:val="18"/>
          <w:szCs w:val="20"/>
          <w:highlight w:val="white"/>
        </w:rPr>
        <w:t>G</w:t>
      </w:r>
      <w:r w:rsidRPr="00DF0680">
        <w:rPr>
          <w:rFonts w:ascii="Courier New" w:hAnsi="Courier New" w:cs="Courier New"/>
          <w:color w:val="FF0000"/>
          <w:sz w:val="18"/>
          <w:szCs w:val="20"/>
          <w:highlight w:val="white"/>
        </w:rPr>
        <w:t>CGTCCTCCCC</w:t>
      </w:r>
      <w:r w:rsidRPr="00DF0680">
        <w:rPr>
          <w:rFonts w:ascii="Courier New" w:hAnsi="Courier New" w:cs="Courier New"/>
          <w:sz w:val="18"/>
          <w:szCs w:val="20"/>
          <w:highlight w:val="white"/>
        </w:rPr>
        <w:t>CA</w:t>
      </w:r>
      <w:r w:rsidRPr="00DF0680">
        <w:rPr>
          <w:rFonts w:ascii="Courier New" w:hAnsi="Courier New" w:cs="Courier New"/>
          <w:color w:val="FF0000"/>
          <w:sz w:val="18"/>
          <w:szCs w:val="20"/>
          <w:highlight w:val="white"/>
        </w:rPr>
        <w:t>GA</w:t>
      </w:r>
      <w:r w:rsidRPr="00DF0680">
        <w:rPr>
          <w:rFonts w:ascii="Courier New" w:hAnsi="Courier New" w:cs="Courier New"/>
          <w:sz w:val="18"/>
          <w:szCs w:val="20"/>
          <w:highlight w:val="white"/>
        </w:rPr>
        <w:t>T</w:t>
      </w:r>
      <w:r w:rsidRPr="00DF0680">
        <w:rPr>
          <w:rFonts w:ascii="Courier New" w:hAnsi="Courier New" w:cs="Courier New"/>
          <w:color w:val="FF0000"/>
          <w:sz w:val="18"/>
          <w:szCs w:val="20"/>
          <w:highlight w:val="white"/>
        </w:rPr>
        <w:t>TCTAGCATGGGTCATC</w:t>
      </w:r>
      <w:r w:rsidRPr="00DF0680">
        <w:rPr>
          <w:rFonts w:ascii="Courier New" w:hAnsi="Courier New" w:cs="Courier New"/>
          <w:sz w:val="18"/>
          <w:szCs w:val="20"/>
          <w:highlight w:val="white"/>
        </w:rPr>
        <w:br/>
        <w:t>EJ3UTR        1 NNNNNNNNNNNNNGNTGGGNNNG</w:t>
      </w:r>
      <w:r w:rsidRPr="00DF0680">
        <w:rPr>
          <w:rFonts w:ascii="Courier New" w:hAnsi="Courier New" w:cs="Courier New"/>
          <w:color w:val="FF0000"/>
          <w:sz w:val="18"/>
          <w:szCs w:val="20"/>
          <w:highlight w:val="white"/>
        </w:rPr>
        <w:t>G</w:t>
      </w:r>
      <w:r w:rsidRPr="00DF0680">
        <w:rPr>
          <w:rFonts w:ascii="Courier New" w:hAnsi="Courier New" w:cs="Courier New"/>
          <w:sz w:val="18"/>
          <w:szCs w:val="20"/>
          <w:highlight w:val="white"/>
        </w:rPr>
        <w:t>C</w:t>
      </w:r>
      <w:r w:rsidRPr="00DF0680">
        <w:rPr>
          <w:rFonts w:ascii="Courier New" w:hAnsi="Courier New" w:cs="Courier New"/>
          <w:color w:val="FF0000"/>
          <w:sz w:val="18"/>
          <w:szCs w:val="20"/>
          <w:highlight w:val="white"/>
        </w:rPr>
        <w:t>CC</w:t>
      </w:r>
      <w:r w:rsidRPr="00DF0680">
        <w:rPr>
          <w:rFonts w:ascii="Courier New" w:hAnsi="Courier New" w:cs="Courier New"/>
          <w:sz w:val="18"/>
          <w:szCs w:val="20"/>
          <w:highlight w:val="white"/>
        </w:rPr>
        <w:t>G</w:t>
      </w:r>
      <w:r w:rsidRPr="00DF0680">
        <w:rPr>
          <w:rFonts w:ascii="Courier New" w:hAnsi="Courier New" w:cs="Courier New"/>
          <w:color w:val="FF0000"/>
          <w:sz w:val="18"/>
          <w:szCs w:val="20"/>
          <w:highlight w:val="white"/>
        </w:rPr>
        <w:t>CGTCCTCCCC</w:t>
      </w:r>
      <w:r w:rsidRPr="00DF0680">
        <w:rPr>
          <w:rFonts w:ascii="Courier New" w:hAnsi="Courier New" w:cs="Courier New"/>
          <w:sz w:val="18"/>
          <w:szCs w:val="20"/>
          <w:highlight w:val="white"/>
        </w:rPr>
        <w:t>NN</w:t>
      </w:r>
      <w:r w:rsidRPr="00DF0680">
        <w:rPr>
          <w:rFonts w:ascii="Courier New" w:hAnsi="Courier New" w:cs="Courier New"/>
          <w:color w:val="FF0000"/>
          <w:sz w:val="18"/>
          <w:szCs w:val="20"/>
          <w:highlight w:val="white"/>
        </w:rPr>
        <w:t>GA</w:t>
      </w:r>
      <w:r w:rsidRPr="00DF0680">
        <w:rPr>
          <w:rFonts w:ascii="Courier New" w:hAnsi="Courier New" w:cs="Courier New"/>
          <w:sz w:val="18"/>
          <w:szCs w:val="20"/>
          <w:highlight w:val="white"/>
        </w:rPr>
        <w:t>T</w:t>
      </w:r>
      <w:r w:rsidRPr="00DF0680">
        <w:rPr>
          <w:rFonts w:ascii="Courier New" w:hAnsi="Courier New" w:cs="Courier New"/>
          <w:color w:val="FF0000"/>
          <w:sz w:val="18"/>
          <w:szCs w:val="20"/>
          <w:highlight w:val="white"/>
        </w:rPr>
        <w:t>TCTAGCATGGGTCATC</w:t>
      </w:r>
      <w:r w:rsidRPr="00DF0680">
        <w:rPr>
          <w:rFonts w:ascii="Courier New" w:hAnsi="Courier New" w:cs="Courier New"/>
          <w:sz w:val="18"/>
          <w:szCs w:val="20"/>
          <w:highlight w:val="white"/>
        </w:rPr>
        <w:br/>
        <w:t>NHU3UTR       1 NNNNNNNNNNNNNGNNNG---NN</w:t>
      </w:r>
      <w:r w:rsidRPr="00DF0680">
        <w:rPr>
          <w:rFonts w:ascii="Courier New" w:hAnsi="Courier New" w:cs="Courier New"/>
          <w:color w:val="FF0000"/>
          <w:sz w:val="18"/>
          <w:szCs w:val="20"/>
          <w:highlight w:val="white"/>
        </w:rPr>
        <w:t>G</w:t>
      </w:r>
      <w:r w:rsidRPr="00DF0680">
        <w:rPr>
          <w:rFonts w:ascii="Courier New" w:hAnsi="Courier New" w:cs="Courier New"/>
          <w:sz w:val="18"/>
          <w:szCs w:val="20"/>
          <w:highlight w:val="white"/>
        </w:rPr>
        <w:t>C</w:t>
      </w:r>
      <w:r w:rsidRPr="00DF0680">
        <w:rPr>
          <w:rFonts w:ascii="Courier New" w:hAnsi="Courier New" w:cs="Courier New"/>
          <w:color w:val="FF0000"/>
          <w:sz w:val="18"/>
          <w:szCs w:val="20"/>
          <w:highlight w:val="white"/>
        </w:rPr>
        <w:t>CC</w:t>
      </w:r>
      <w:r w:rsidRPr="00DF0680">
        <w:rPr>
          <w:rFonts w:ascii="Courier New" w:hAnsi="Courier New" w:cs="Courier New"/>
          <w:sz w:val="18"/>
          <w:szCs w:val="20"/>
          <w:highlight w:val="white"/>
        </w:rPr>
        <w:t>G</w:t>
      </w:r>
      <w:r w:rsidRPr="00DF0680">
        <w:rPr>
          <w:rFonts w:ascii="Courier New" w:hAnsi="Courier New" w:cs="Courier New"/>
          <w:color w:val="FF0000"/>
          <w:sz w:val="18"/>
          <w:szCs w:val="20"/>
          <w:highlight w:val="white"/>
        </w:rPr>
        <w:t>CGTCCTCCCC</w:t>
      </w:r>
      <w:r w:rsidRPr="00DF0680">
        <w:rPr>
          <w:rFonts w:ascii="Courier New" w:hAnsi="Courier New" w:cs="Courier New"/>
          <w:sz w:val="18"/>
          <w:szCs w:val="20"/>
          <w:highlight w:val="white"/>
        </w:rPr>
        <w:t>NN</w:t>
      </w:r>
      <w:r w:rsidRPr="00DF0680">
        <w:rPr>
          <w:rFonts w:ascii="Courier New" w:hAnsi="Courier New" w:cs="Courier New"/>
          <w:color w:val="FF0000"/>
          <w:sz w:val="18"/>
          <w:szCs w:val="20"/>
          <w:highlight w:val="white"/>
        </w:rPr>
        <w:t>GA</w:t>
      </w:r>
      <w:r w:rsidRPr="00DF0680">
        <w:rPr>
          <w:rFonts w:ascii="Courier New" w:hAnsi="Courier New" w:cs="Courier New"/>
          <w:sz w:val="18"/>
          <w:szCs w:val="20"/>
          <w:highlight w:val="white"/>
        </w:rPr>
        <w:t>T</w:t>
      </w:r>
      <w:r w:rsidRPr="00DF0680">
        <w:rPr>
          <w:rFonts w:ascii="Courier New" w:hAnsi="Courier New" w:cs="Courier New"/>
          <w:color w:val="FF0000"/>
          <w:sz w:val="18"/>
          <w:szCs w:val="20"/>
          <w:highlight w:val="white"/>
        </w:rPr>
        <w:t>TCTAGCATGGGTCATC</w:t>
      </w:r>
      <w:r w:rsidRPr="00DF0680">
        <w:rPr>
          <w:rFonts w:ascii="Courier New" w:hAnsi="Courier New" w:cs="Courier New"/>
          <w:sz w:val="18"/>
          <w:szCs w:val="20"/>
          <w:highlight w:val="white"/>
        </w:rPr>
        <w:br/>
        <w:t>RT43UTR       1 NNNNNNNNNNNNNNGNNNGN-NN</w:t>
      </w:r>
      <w:r w:rsidRPr="00DF0680">
        <w:rPr>
          <w:rFonts w:ascii="Courier New" w:hAnsi="Courier New" w:cs="Courier New"/>
          <w:color w:val="FF0000"/>
          <w:sz w:val="18"/>
          <w:szCs w:val="20"/>
          <w:highlight w:val="white"/>
        </w:rPr>
        <w:t>G</w:t>
      </w:r>
      <w:r w:rsidRPr="00DF0680">
        <w:rPr>
          <w:rFonts w:ascii="Courier New" w:hAnsi="Courier New" w:cs="Courier New"/>
          <w:sz w:val="18"/>
          <w:szCs w:val="20"/>
          <w:highlight w:val="white"/>
        </w:rPr>
        <w:t>C</w:t>
      </w:r>
      <w:r w:rsidRPr="00DF0680">
        <w:rPr>
          <w:rFonts w:ascii="Courier New" w:hAnsi="Courier New" w:cs="Courier New"/>
          <w:color w:val="FF0000"/>
          <w:sz w:val="18"/>
          <w:szCs w:val="20"/>
          <w:highlight w:val="white"/>
        </w:rPr>
        <w:t>CC</w:t>
      </w:r>
      <w:r w:rsidRPr="00DF0680">
        <w:rPr>
          <w:rFonts w:ascii="Courier New" w:hAnsi="Courier New" w:cs="Courier New"/>
          <w:sz w:val="18"/>
          <w:szCs w:val="20"/>
          <w:highlight w:val="white"/>
        </w:rPr>
        <w:t>N</w:t>
      </w:r>
      <w:r w:rsidRPr="00DF0680">
        <w:rPr>
          <w:rFonts w:ascii="Courier New" w:hAnsi="Courier New" w:cs="Courier New"/>
          <w:color w:val="FF0000"/>
          <w:sz w:val="18"/>
          <w:szCs w:val="20"/>
          <w:highlight w:val="white"/>
        </w:rPr>
        <w:t>CGTCCTCCCC</w:t>
      </w:r>
      <w:r w:rsidRPr="00DF0680">
        <w:rPr>
          <w:rFonts w:ascii="Courier New" w:hAnsi="Courier New" w:cs="Courier New"/>
          <w:sz w:val="18"/>
          <w:szCs w:val="20"/>
          <w:highlight w:val="white"/>
        </w:rPr>
        <w:t>NN</w:t>
      </w:r>
      <w:r w:rsidRPr="00DF0680">
        <w:rPr>
          <w:rFonts w:ascii="Courier New" w:hAnsi="Courier New" w:cs="Courier New"/>
          <w:color w:val="FF0000"/>
          <w:sz w:val="18"/>
          <w:szCs w:val="20"/>
          <w:highlight w:val="white"/>
        </w:rPr>
        <w:t>GA</w:t>
      </w:r>
      <w:r w:rsidRPr="00DF0680">
        <w:rPr>
          <w:rFonts w:ascii="Courier New" w:hAnsi="Courier New" w:cs="Courier New"/>
          <w:sz w:val="18"/>
          <w:szCs w:val="20"/>
          <w:highlight w:val="white"/>
        </w:rPr>
        <w:t>N</w:t>
      </w:r>
      <w:r w:rsidRPr="00DF0680">
        <w:rPr>
          <w:rFonts w:ascii="Courier New" w:hAnsi="Courier New" w:cs="Courier New"/>
          <w:color w:val="FF0000"/>
          <w:sz w:val="18"/>
          <w:szCs w:val="20"/>
          <w:highlight w:val="white"/>
        </w:rPr>
        <w:t>TCTAGCATGGGTCATC</w:t>
      </w:r>
      <w:r w:rsidRPr="00DF0680">
        <w:rPr>
          <w:rFonts w:ascii="Courier New" w:hAnsi="Courier New" w:cs="Courier New"/>
          <w:sz w:val="18"/>
          <w:szCs w:val="20"/>
          <w:highlight w:val="white"/>
        </w:rPr>
        <w:br/>
        <w:t>RT1123UTR     1 NNNNNNNNNNNNNGNTGGN--NN</w:t>
      </w:r>
      <w:r w:rsidRPr="00DF0680">
        <w:rPr>
          <w:rFonts w:ascii="Courier New" w:hAnsi="Courier New" w:cs="Courier New"/>
          <w:color w:val="FF0000"/>
          <w:sz w:val="18"/>
          <w:szCs w:val="20"/>
          <w:highlight w:val="white"/>
        </w:rPr>
        <w:t>G</w:t>
      </w:r>
      <w:r w:rsidRPr="00DF0680">
        <w:rPr>
          <w:rFonts w:ascii="Courier New" w:hAnsi="Courier New" w:cs="Courier New"/>
          <w:sz w:val="18"/>
          <w:szCs w:val="20"/>
          <w:highlight w:val="white"/>
        </w:rPr>
        <w:t>N</w:t>
      </w:r>
      <w:r w:rsidRPr="00DF0680">
        <w:rPr>
          <w:rFonts w:ascii="Courier New" w:hAnsi="Courier New" w:cs="Courier New"/>
          <w:color w:val="FF0000"/>
          <w:sz w:val="18"/>
          <w:szCs w:val="20"/>
          <w:highlight w:val="white"/>
        </w:rPr>
        <w:t>CC</w:t>
      </w:r>
      <w:r w:rsidRPr="00DF0680">
        <w:rPr>
          <w:rFonts w:ascii="Courier New" w:hAnsi="Courier New" w:cs="Courier New"/>
          <w:sz w:val="18"/>
          <w:szCs w:val="20"/>
          <w:highlight w:val="white"/>
        </w:rPr>
        <w:t>G</w:t>
      </w:r>
      <w:r w:rsidRPr="00DF0680">
        <w:rPr>
          <w:rFonts w:ascii="Courier New" w:hAnsi="Courier New" w:cs="Courier New"/>
          <w:color w:val="FF0000"/>
          <w:sz w:val="18"/>
          <w:szCs w:val="20"/>
          <w:highlight w:val="white"/>
        </w:rPr>
        <w:t>CGTCCTCCCC</w:t>
      </w:r>
      <w:r w:rsidRPr="00DF0680">
        <w:rPr>
          <w:rFonts w:ascii="Courier New" w:hAnsi="Courier New" w:cs="Courier New"/>
          <w:sz w:val="18"/>
          <w:szCs w:val="20"/>
          <w:highlight w:val="white"/>
        </w:rPr>
        <w:t>NN</w:t>
      </w:r>
      <w:r w:rsidRPr="00DF0680">
        <w:rPr>
          <w:rFonts w:ascii="Courier New" w:hAnsi="Courier New" w:cs="Courier New"/>
          <w:color w:val="FF0000"/>
          <w:sz w:val="18"/>
          <w:szCs w:val="20"/>
          <w:highlight w:val="white"/>
        </w:rPr>
        <w:t>GA</w:t>
      </w:r>
      <w:r w:rsidRPr="00DF0680">
        <w:rPr>
          <w:rFonts w:ascii="Courier New" w:hAnsi="Courier New" w:cs="Courier New"/>
          <w:sz w:val="18"/>
          <w:szCs w:val="20"/>
          <w:highlight w:val="white"/>
        </w:rPr>
        <w:t>T</w:t>
      </w:r>
      <w:r w:rsidRPr="00DF0680">
        <w:rPr>
          <w:rFonts w:ascii="Courier New" w:hAnsi="Courier New" w:cs="Courier New"/>
          <w:color w:val="FF0000"/>
          <w:sz w:val="18"/>
          <w:szCs w:val="20"/>
          <w:highlight w:val="white"/>
        </w:rPr>
        <w:t>TCTAGCATGGGTCATC</w:t>
      </w:r>
      <w:r w:rsidRPr="00DF0680">
        <w:rPr>
          <w:rFonts w:ascii="Courier New" w:hAnsi="Courier New" w:cs="Courier New"/>
          <w:sz w:val="18"/>
          <w:szCs w:val="20"/>
          <w:highlight w:val="white"/>
        </w:rPr>
        <w:br/>
        <w:t>consensus     1                        * ** **********  ** ****************</w:t>
      </w:r>
      <w:r w:rsidRPr="00DF0680">
        <w:rPr>
          <w:rFonts w:ascii="Courier New" w:hAnsi="Courier New" w:cs="Courier New"/>
          <w:sz w:val="18"/>
          <w:szCs w:val="20"/>
          <w:highlight w:val="white"/>
        </w:rPr>
        <w:br/>
      </w:r>
      <w:r w:rsidRPr="00DF0680">
        <w:rPr>
          <w:rFonts w:ascii="Courier New" w:hAnsi="Courier New" w:cs="Courier New"/>
          <w:sz w:val="18"/>
          <w:szCs w:val="20"/>
          <w:highlight w:val="white"/>
        </w:rPr>
        <w:br/>
        <w:t xml:space="preserve">RECQL53UTR   57 </w:t>
      </w:r>
      <w:r w:rsidRPr="00DF0680">
        <w:rPr>
          <w:rFonts w:ascii="Courier New" w:hAnsi="Courier New" w:cs="Courier New"/>
          <w:color w:val="FF0000"/>
          <w:sz w:val="18"/>
          <w:szCs w:val="20"/>
          <w:highlight w:val="white"/>
        </w:rPr>
        <w:t>TGGGCCTC</w:t>
      </w:r>
      <w:r w:rsidRPr="00DF0680">
        <w:rPr>
          <w:rFonts w:ascii="Courier New" w:hAnsi="Courier New" w:cs="Courier New"/>
          <w:sz w:val="18"/>
          <w:szCs w:val="20"/>
          <w:highlight w:val="white"/>
        </w:rPr>
        <w:t>ACCTGCTGATGCCA</w:t>
      </w:r>
      <w:r w:rsidRPr="00DF0680">
        <w:rPr>
          <w:rFonts w:ascii="Courier New" w:hAnsi="Courier New" w:cs="Courier New"/>
          <w:color w:val="FF0000"/>
          <w:sz w:val="18"/>
          <w:szCs w:val="20"/>
          <w:highlight w:val="white"/>
        </w:rPr>
        <w:t>GGGCCATCGTCTTTTCTCAGTCCTTCTCC</w:t>
      </w:r>
      <w:r w:rsidRPr="00DF0680">
        <w:rPr>
          <w:rFonts w:ascii="Courier New" w:hAnsi="Courier New" w:cs="Courier New"/>
          <w:sz w:val="18"/>
          <w:szCs w:val="20"/>
          <w:highlight w:val="white"/>
        </w:rPr>
        <w:t>T</w:t>
      </w:r>
      <w:r w:rsidRPr="00DF0680">
        <w:rPr>
          <w:rFonts w:ascii="Courier New" w:hAnsi="Courier New" w:cs="Courier New"/>
          <w:color w:val="FF0000"/>
          <w:sz w:val="18"/>
          <w:szCs w:val="20"/>
          <w:highlight w:val="white"/>
        </w:rPr>
        <w:t>T</w:t>
      </w:r>
      <w:r w:rsidRPr="00DF0680">
        <w:rPr>
          <w:rFonts w:ascii="Courier New" w:hAnsi="Courier New" w:cs="Courier New"/>
          <w:sz w:val="18"/>
          <w:szCs w:val="20"/>
          <w:highlight w:val="white"/>
        </w:rPr>
        <w:t>TCCAAC</w:t>
      </w:r>
      <w:r w:rsidRPr="00DF0680">
        <w:rPr>
          <w:rFonts w:ascii="Courier New" w:hAnsi="Courier New" w:cs="Courier New"/>
          <w:sz w:val="18"/>
          <w:szCs w:val="20"/>
          <w:highlight w:val="white"/>
        </w:rPr>
        <w:br/>
        <w:t xml:space="preserve">EJ3UTR       61 </w:t>
      </w:r>
      <w:r w:rsidRPr="00DF0680">
        <w:rPr>
          <w:rFonts w:ascii="Courier New" w:hAnsi="Courier New" w:cs="Courier New"/>
          <w:color w:val="FF0000"/>
          <w:sz w:val="18"/>
          <w:szCs w:val="20"/>
          <w:highlight w:val="white"/>
        </w:rPr>
        <w:t>TGGGCCTC</w:t>
      </w:r>
      <w:r w:rsidRPr="00DF0680">
        <w:rPr>
          <w:rFonts w:ascii="Courier New" w:hAnsi="Courier New" w:cs="Courier New"/>
          <w:sz w:val="18"/>
          <w:szCs w:val="20"/>
          <w:highlight w:val="white"/>
        </w:rPr>
        <w:t>NCNTGNNGNNGCNN</w:t>
      </w:r>
      <w:r w:rsidRPr="00DF0680">
        <w:rPr>
          <w:rFonts w:ascii="Courier New" w:hAnsi="Courier New" w:cs="Courier New"/>
          <w:color w:val="FF0000"/>
          <w:sz w:val="18"/>
          <w:szCs w:val="20"/>
          <w:highlight w:val="white"/>
        </w:rPr>
        <w:t>GGGCCATCGTCTTTTCTCAGTCCTTCTCC</w:t>
      </w:r>
      <w:r w:rsidRPr="00DF0680">
        <w:rPr>
          <w:rFonts w:ascii="Courier New" w:hAnsi="Courier New" w:cs="Courier New"/>
          <w:sz w:val="18"/>
          <w:szCs w:val="20"/>
          <w:highlight w:val="white"/>
        </w:rPr>
        <w:t>T</w:t>
      </w:r>
      <w:r w:rsidRPr="00DF0680">
        <w:rPr>
          <w:rFonts w:ascii="Courier New" w:hAnsi="Courier New" w:cs="Courier New"/>
          <w:color w:val="FF0000"/>
          <w:sz w:val="18"/>
          <w:szCs w:val="20"/>
          <w:highlight w:val="white"/>
        </w:rPr>
        <w:t>T</w:t>
      </w:r>
      <w:r w:rsidRPr="00DF0680">
        <w:rPr>
          <w:rFonts w:ascii="Courier New" w:hAnsi="Courier New" w:cs="Courier New"/>
          <w:sz w:val="18"/>
          <w:szCs w:val="20"/>
          <w:highlight w:val="white"/>
        </w:rPr>
        <w:t>NCNNAC</w:t>
      </w:r>
      <w:r w:rsidRPr="00DF0680">
        <w:rPr>
          <w:rFonts w:ascii="Courier New" w:hAnsi="Courier New" w:cs="Courier New"/>
          <w:sz w:val="18"/>
          <w:szCs w:val="20"/>
          <w:highlight w:val="white"/>
        </w:rPr>
        <w:br/>
        <w:t xml:space="preserve">NHU3UTR      58 </w:t>
      </w:r>
      <w:r w:rsidRPr="00DF0680">
        <w:rPr>
          <w:rFonts w:ascii="Courier New" w:hAnsi="Courier New" w:cs="Courier New"/>
          <w:color w:val="FF0000"/>
          <w:sz w:val="18"/>
          <w:szCs w:val="20"/>
          <w:highlight w:val="white"/>
        </w:rPr>
        <w:t>TGGGCCTC</w:t>
      </w:r>
      <w:r w:rsidRPr="00DF0680">
        <w:rPr>
          <w:rFonts w:ascii="Courier New" w:hAnsi="Courier New" w:cs="Courier New"/>
          <w:sz w:val="18"/>
          <w:szCs w:val="20"/>
          <w:highlight w:val="white"/>
        </w:rPr>
        <w:t>ACCTGCTGATGCCA</w:t>
      </w:r>
      <w:r w:rsidRPr="00DF0680">
        <w:rPr>
          <w:rFonts w:ascii="Courier New" w:hAnsi="Courier New" w:cs="Courier New"/>
          <w:color w:val="FF0000"/>
          <w:sz w:val="18"/>
          <w:szCs w:val="20"/>
          <w:highlight w:val="white"/>
        </w:rPr>
        <w:t>GGGCCATCGTCTTTTCTCAGTCCTTCTCC</w:t>
      </w:r>
      <w:r w:rsidRPr="00DF0680">
        <w:rPr>
          <w:rFonts w:ascii="Courier New" w:hAnsi="Courier New" w:cs="Courier New"/>
          <w:sz w:val="18"/>
          <w:szCs w:val="20"/>
          <w:highlight w:val="white"/>
        </w:rPr>
        <w:t>T</w:t>
      </w:r>
      <w:r w:rsidRPr="00DF0680">
        <w:rPr>
          <w:rFonts w:ascii="Courier New" w:hAnsi="Courier New" w:cs="Courier New"/>
          <w:color w:val="FF0000"/>
          <w:sz w:val="18"/>
          <w:szCs w:val="20"/>
          <w:highlight w:val="white"/>
        </w:rPr>
        <w:t>T</w:t>
      </w:r>
      <w:r w:rsidRPr="00DF0680">
        <w:rPr>
          <w:rFonts w:ascii="Courier New" w:hAnsi="Courier New" w:cs="Courier New"/>
          <w:sz w:val="18"/>
          <w:szCs w:val="20"/>
          <w:highlight w:val="white"/>
        </w:rPr>
        <w:t>TCCAAC</w:t>
      </w:r>
      <w:r w:rsidRPr="00DF0680">
        <w:rPr>
          <w:rFonts w:ascii="Courier New" w:hAnsi="Courier New" w:cs="Courier New"/>
          <w:sz w:val="18"/>
          <w:szCs w:val="20"/>
          <w:highlight w:val="white"/>
        </w:rPr>
        <w:br/>
        <w:t xml:space="preserve">RT43UTR      60 </w:t>
      </w:r>
      <w:r w:rsidRPr="00DF0680">
        <w:rPr>
          <w:rFonts w:ascii="Courier New" w:hAnsi="Courier New" w:cs="Courier New"/>
          <w:color w:val="FF0000"/>
          <w:sz w:val="18"/>
          <w:szCs w:val="20"/>
          <w:highlight w:val="white"/>
        </w:rPr>
        <w:t>TGGGCCTC</w:t>
      </w:r>
      <w:r w:rsidRPr="00DF0680">
        <w:rPr>
          <w:rFonts w:ascii="Courier New" w:hAnsi="Courier New" w:cs="Courier New"/>
          <w:sz w:val="18"/>
          <w:szCs w:val="20"/>
          <w:highlight w:val="white"/>
        </w:rPr>
        <w:t>NNNNNNNNNNNNNN</w:t>
      </w:r>
      <w:r w:rsidRPr="00DF0680">
        <w:rPr>
          <w:rFonts w:ascii="Courier New" w:hAnsi="Courier New" w:cs="Courier New"/>
          <w:color w:val="FF0000"/>
          <w:sz w:val="18"/>
          <w:szCs w:val="20"/>
          <w:highlight w:val="white"/>
        </w:rPr>
        <w:t>GGGCCATCGTCTTTTCTCAGTCCTTCTCC</w:t>
      </w:r>
      <w:r w:rsidRPr="00DF0680">
        <w:rPr>
          <w:rFonts w:ascii="Courier New" w:hAnsi="Courier New" w:cs="Courier New"/>
          <w:sz w:val="18"/>
          <w:szCs w:val="20"/>
          <w:highlight w:val="white"/>
        </w:rPr>
        <w:t>N</w:t>
      </w:r>
      <w:r w:rsidRPr="00DF0680">
        <w:rPr>
          <w:rFonts w:ascii="Courier New" w:hAnsi="Courier New" w:cs="Courier New"/>
          <w:color w:val="FF0000"/>
          <w:sz w:val="18"/>
          <w:szCs w:val="20"/>
          <w:highlight w:val="white"/>
        </w:rPr>
        <w:t>T</w:t>
      </w:r>
      <w:r w:rsidRPr="00DF0680">
        <w:rPr>
          <w:rFonts w:ascii="Courier New" w:hAnsi="Courier New" w:cs="Courier New"/>
          <w:sz w:val="18"/>
          <w:szCs w:val="20"/>
          <w:highlight w:val="white"/>
        </w:rPr>
        <w:t>NNNNNN</w:t>
      </w:r>
      <w:r w:rsidRPr="00DF0680">
        <w:rPr>
          <w:rFonts w:ascii="Courier New" w:hAnsi="Courier New" w:cs="Courier New"/>
          <w:sz w:val="18"/>
          <w:szCs w:val="20"/>
          <w:highlight w:val="white"/>
        </w:rPr>
        <w:br/>
        <w:t xml:space="preserve">RT1123UTR    59 </w:t>
      </w:r>
      <w:r w:rsidRPr="00DF0680">
        <w:rPr>
          <w:rFonts w:ascii="Courier New" w:hAnsi="Courier New" w:cs="Courier New"/>
          <w:color w:val="FF0000"/>
          <w:sz w:val="18"/>
          <w:szCs w:val="20"/>
          <w:highlight w:val="white"/>
        </w:rPr>
        <w:t>TGGGCCTC</w:t>
      </w:r>
      <w:r w:rsidRPr="00DF0680">
        <w:rPr>
          <w:rFonts w:ascii="Courier New" w:hAnsi="Courier New" w:cs="Courier New"/>
          <w:sz w:val="18"/>
          <w:szCs w:val="20"/>
          <w:highlight w:val="white"/>
        </w:rPr>
        <w:t>ACCNGNTNNNGCNN</w:t>
      </w:r>
      <w:r w:rsidRPr="00DF0680">
        <w:rPr>
          <w:rFonts w:ascii="Courier New" w:hAnsi="Courier New" w:cs="Courier New"/>
          <w:color w:val="FF0000"/>
          <w:sz w:val="18"/>
          <w:szCs w:val="20"/>
          <w:highlight w:val="white"/>
        </w:rPr>
        <w:t>GGGCCATCGTCTTTTCTCAGTCCTTCTCC</w:t>
      </w:r>
      <w:r w:rsidRPr="00DF0680">
        <w:rPr>
          <w:rFonts w:ascii="Courier New" w:hAnsi="Courier New" w:cs="Courier New"/>
          <w:sz w:val="18"/>
          <w:szCs w:val="20"/>
          <w:highlight w:val="white"/>
        </w:rPr>
        <w:t>T</w:t>
      </w:r>
      <w:r w:rsidRPr="00DF0680">
        <w:rPr>
          <w:rFonts w:ascii="Courier New" w:hAnsi="Courier New" w:cs="Courier New"/>
          <w:color w:val="FF0000"/>
          <w:sz w:val="18"/>
          <w:szCs w:val="20"/>
          <w:highlight w:val="white"/>
        </w:rPr>
        <w:t>T</w:t>
      </w:r>
      <w:r w:rsidRPr="00DF0680">
        <w:rPr>
          <w:rFonts w:ascii="Courier New" w:hAnsi="Courier New" w:cs="Courier New"/>
          <w:sz w:val="18"/>
          <w:szCs w:val="20"/>
          <w:highlight w:val="white"/>
        </w:rPr>
        <w:t>NCNNAC</w:t>
      </w:r>
      <w:r w:rsidRPr="00DF0680">
        <w:rPr>
          <w:rFonts w:ascii="Courier New" w:hAnsi="Courier New" w:cs="Courier New"/>
          <w:sz w:val="18"/>
          <w:szCs w:val="20"/>
          <w:highlight w:val="white"/>
        </w:rPr>
        <w:br/>
        <w:t xml:space="preserve">consensus    61 ********              ***************************** *      </w:t>
      </w:r>
      <w:r w:rsidRPr="00DF0680">
        <w:rPr>
          <w:rFonts w:ascii="Courier New" w:hAnsi="Courier New" w:cs="Courier New"/>
          <w:sz w:val="18"/>
          <w:szCs w:val="20"/>
          <w:highlight w:val="white"/>
        </w:rPr>
        <w:br/>
      </w:r>
      <w:r w:rsidRPr="00DF0680">
        <w:rPr>
          <w:rFonts w:ascii="Courier New" w:hAnsi="Courier New" w:cs="Courier New"/>
          <w:sz w:val="18"/>
          <w:szCs w:val="20"/>
          <w:highlight w:val="white"/>
        </w:rPr>
        <w:br/>
        <w:t>RECQL53UTR  117 AT</w:t>
      </w:r>
      <w:r w:rsidRPr="00DF0680">
        <w:rPr>
          <w:rFonts w:ascii="Courier New" w:hAnsi="Courier New" w:cs="Courier New"/>
          <w:color w:val="FF0000"/>
          <w:sz w:val="18"/>
          <w:szCs w:val="20"/>
          <w:highlight w:val="white"/>
        </w:rPr>
        <w:t>A</w:t>
      </w:r>
      <w:r w:rsidRPr="00DF0680">
        <w:rPr>
          <w:rFonts w:ascii="Courier New" w:hAnsi="Courier New" w:cs="Courier New"/>
          <w:sz w:val="18"/>
          <w:szCs w:val="20"/>
          <w:highlight w:val="white"/>
        </w:rPr>
        <w:t>C</w:t>
      </w:r>
      <w:r w:rsidRPr="00DF0680">
        <w:rPr>
          <w:rFonts w:ascii="Courier New" w:hAnsi="Courier New" w:cs="Courier New"/>
          <w:color w:val="FF0000"/>
          <w:sz w:val="18"/>
          <w:szCs w:val="20"/>
          <w:highlight w:val="white"/>
        </w:rPr>
        <w:t>TTGGCTTTGGGGATGACCCCAGACACCCCCTGAATCCAGGTCAGAGGTCAGCCCA</w:t>
      </w:r>
      <w:r w:rsidRPr="00DF0680">
        <w:rPr>
          <w:rFonts w:ascii="Courier New" w:hAnsi="Courier New" w:cs="Courier New"/>
          <w:sz w:val="18"/>
          <w:szCs w:val="20"/>
          <w:highlight w:val="white"/>
        </w:rPr>
        <w:br/>
        <w:t>EJ3UTR      121 NT</w:t>
      </w:r>
      <w:r w:rsidRPr="00DF0680">
        <w:rPr>
          <w:rFonts w:ascii="Courier New" w:hAnsi="Courier New" w:cs="Courier New"/>
          <w:color w:val="FF0000"/>
          <w:sz w:val="18"/>
          <w:szCs w:val="20"/>
          <w:highlight w:val="white"/>
        </w:rPr>
        <w:t>A</w:t>
      </w:r>
      <w:r w:rsidRPr="00DF0680">
        <w:rPr>
          <w:rFonts w:ascii="Courier New" w:hAnsi="Courier New" w:cs="Courier New"/>
          <w:sz w:val="18"/>
          <w:szCs w:val="20"/>
          <w:highlight w:val="white"/>
        </w:rPr>
        <w:t>C</w:t>
      </w:r>
      <w:r w:rsidRPr="00DF0680">
        <w:rPr>
          <w:rFonts w:ascii="Courier New" w:hAnsi="Courier New" w:cs="Courier New"/>
          <w:color w:val="FF0000"/>
          <w:sz w:val="18"/>
          <w:szCs w:val="20"/>
          <w:highlight w:val="white"/>
        </w:rPr>
        <w:t>TTGGCTTTGGGGATGACCCCAGACACCCCCTGAATCCAGGTCAGAGGTCAGCCCA</w:t>
      </w:r>
      <w:r w:rsidRPr="00DF0680">
        <w:rPr>
          <w:rFonts w:ascii="Courier New" w:hAnsi="Courier New" w:cs="Courier New"/>
          <w:sz w:val="18"/>
          <w:szCs w:val="20"/>
          <w:highlight w:val="white"/>
        </w:rPr>
        <w:br/>
        <w:t>NHU3UTR     118 AT</w:t>
      </w:r>
      <w:r w:rsidRPr="00DF0680">
        <w:rPr>
          <w:rFonts w:ascii="Courier New" w:hAnsi="Courier New" w:cs="Courier New"/>
          <w:color w:val="FF0000"/>
          <w:sz w:val="18"/>
          <w:szCs w:val="20"/>
          <w:highlight w:val="white"/>
        </w:rPr>
        <w:t>A</w:t>
      </w:r>
      <w:r w:rsidRPr="00DF0680">
        <w:rPr>
          <w:rFonts w:ascii="Courier New" w:hAnsi="Courier New" w:cs="Courier New"/>
          <w:sz w:val="18"/>
          <w:szCs w:val="20"/>
          <w:highlight w:val="white"/>
        </w:rPr>
        <w:t>C</w:t>
      </w:r>
      <w:r w:rsidRPr="00DF0680">
        <w:rPr>
          <w:rFonts w:ascii="Courier New" w:hAnsi="Courier New" w:cs="Courier New"/>
          <w:color w:val="FF0000"/>
          <w:sz w:val="18"/>
          <w:szCs w:val="20"/>
          <w:highlight w:val="white"/>
        </w:rPr>
        <w:t>TTGGCTTTGGGGATGACCCCAGACACCCCCTGAATCCAGGTCAGAGGTCAGCCCA</w:t>
      </w:r>
      <w:r w:rsidRPr="00DF0680">
        <w:rPr>
          <w:rFonts w:ascii="Courier New" w:hAnsi="Courier New" w:cs="Courier New"/>
          <w:sz w:val="18"/>
          <w:szCs w:val="20"/>
          <w:highlight w:val="white"/>
        </w:rPr>
        <w:br/>
        <w:t>RT43UTR     120 NN</w:t>
      </w:r>
      <w:r w:rsidRPr="00DF0680">
        <w:rPr>
          <w:rFonts w:ascii="Courier New" w:hAnsi="Courier New" w:cs="Courier New"/>
          <w:color w:val="FF0000"/>
          <w:sz w:val="18"/>
          <w:szCs w:val="20"/>
          <w:highlight w:val="white"/>
        </w:rPr>
        <w:t>A</w:t>
      </w:r>
      <w:r w:rsidRPr="00DF0680">
        <w:rPr>
          <w:rFonts w:ascii="Courier New" w:hAnsi="Courier New" w:cs="Courier New"/>
          <w:sz w:val="18"/>
          <w:szCs w:val="20"/>
          <w:highlight w:val="white"/>
        </w:rPr>
        <w:t>N</w:t>
      </w:r>
      <w:r w:rsidRPr="00DF0680">
        <w:rPr>
          <w:rFonts w:ascii="Courier New" w:hAnsi="Courier New" w:cs="Courier New"/>
          <w:color w:val="FF0000"/>
          <w:sz w:val="18"/>
          <w:szCs w:val="20"/>
          <w:highlight w:val="white"/>
        </w:rPr>
        <w:t>TTGGCTTTGGGGATGACCCCAGACACCCCCTGAATCCAGGTCAGAGGTCAGCCCA</w:t>
      </w:r>
      <w:r w:rsidRPr="00DF0680">
        <w:rPr>
          <w:rFonts w:ascii="Courier New" w:hAnsi="Courier New" w:cs="Courier New"/>
          <w:sz w:val="18"/>
          <w:szCs w:val="20"/>
          <w:highlight w:val="white"/>
        </w:rPr>
        <w:br/>
        <w:t>RT1123UTR   119 AT</w:t>
      </w:r>
      <w:r w:rsidRPr="00DF0680">
        <w:rPr>
          <w:rFonts w:ascii="Courier New" w:hAnsi="Courier New" w:cs="Courier New"/>
          <w:color w:val="FF0000"/>
          <w:sz w:val="18"/>
          <w:szCs w:val="20"/>
          <w:highlight w:val="white"/>
        </w:rPr>
        <w:t>A</w:t>
      </w:r>
      <w:r w:rsidRPr="00DF0680">
        <w:rPr>
          <w:rFonts w:ascii="Courier New" w:hAnsi="Courier New" w:cs="Courier New"/>
          <w:sz w:val="18"/>
          <w:szCs w:val="20"/>
          <w:highlight w:val="white"/>
        </w:rPr>
        <w:t>C</w:t>
      </w:r>
      <w:r w:rsidRPr="00DF0680">
        <w:rPr>
          <w:rFonts w:ascii="Courier New" w:hAnsi="Courier New" w:cs="Courier New"/>
          <w:color w:val="FF0000"/>
          <w:sz w:val="18"/>
          <w:szCs w:val="20"/>
          <w:highlight w:val="white"/>
        </w:rPr>
        <w:t>TTGGCTTTGGGGATGACCCCAGACACCCCCTGAATCCAGGTCAGAGGTCAGCCCA</w:t>
      </w:r>
      <w:r w:rsidRPr="00DF0680">
        <w:rPr>
          <w:rFonts w:ascii="Courier New" w:hAnsi="Courier New" w:cs="Courier New"/>
          <w:sz w:val="18"/>
          <w:szCs w:val="20"/>
          <w:highlight w:val="white"/>
        </w:rPr>
        <w:br/>
        <w:t>consensus   121   * *******************************************************</w:t>
      </w:r>
      <w:r w:rsidRPr="00DF0680">
        <w:rPr>
          <w:rFonts w:ascii="Courier New" w:hAnsi="Courier New" w:cs="Courier New"/>
          <w:sz w:val="18"/>
          <w:szCs w:val="20"/>
          <w:highlight w:val="white"/>
        </w:rPr>
        <w:br/>
      </w:r>
      <w:r w:rsidRPr="00DF0680">
        <w:rPr>
          <w:rFonts w:ascii="Courier New" w:hAnsi="Courier New" w:cs="Courier New"/>
          <w:sz w:val="18"/>
          <w:szCs w:val="20"/>
          <w:highlight w:val="white"/>
        </w:rPr>
        <w:br/>
        <w:t xml:space="preserve">RECQL53UTR  177 </w:t>
      </w:r>
      <w:r w:rsidRPr="00DF0680">
        <w:rPr>
          <w:rFonts w:ascii="Courier New" w:hAnsi="Courier New" w:cs="Courier New"/>
          <w:color w:val="FF0000"/>
          <w:sz w:val="18"/>
          <w:szCs w:val="20"/>
          <w:highlight w:val="white"/>
        </w:rPr>
        <w:t>CTTTCTTTCTGCTTGCAAAGCCTATAGACCCTTCTCAGAGCGGTCCTCATGGCTGGGTT</w:t>
      </w:r>
      <w:r w:rsidRPr="00DF0680">
        <w:rPr>
          <w:rFonts w:ascii="Courier New" w:hAnsi="Courier New" w:cs="Courier New"/>
          <w:sz w:val="18"/>
          <w:szCs w:val="20"/>
          <w:highlight w:val="white"/>
        </w:rPr>
        <w:br/>
        <w:t xml:space="preserve">EJ3UTR      181 </w:t>
      </w:r>
      <w:r w:rsidRPr="00DF0680">
        <w:rPr>
          <w:rFonts w:ascii="Courier New" w:hAnsi="Courier New" w:cs="Courier New"/>
          <w:color w:val="FF0000"/>
          <w:sz w:val="18"/>
          <w:szCs w:val="20"/>
          <w:highlight w:val="white"/>
        </w:rPr>
        <w:t>CTTTCTTTCTGCTTGCAAAGCCTATAGACCCTTCTCAGAGCGGTCCTCATGGCTGGGTT</w:t>
      </w:r>
      <w:r w:rsidRPr="00DF0680">
        <w:rPr>
          <w:rFonts w:ascii="Courier New" w:hAnsi="Courier New" w:cs="Courier New"/>
          <w:sz w:val="18"/>
          <w:szCs w:val="20"/>
          <w:highlight w:val="white"/>
        </w:rPr>
        <w:br/>
        <w:t xml:space="preserve">NHU3UTR     178 </w:t>
      </w:r>
      <w:r w:rsidRPr="00DF0680">
        <w:rPr>
          <w:rFonts w:ascii="Courier New" w:hAnsi="Courier New" w:cs="Courier New"/>
          <w:color w:val="FF0000"/>
          <w:sz w:val="18"/>
          <w:szCs w:val="20"/>
          <w:highlight w:val="white"/>
        </w:rPr>
        <w:t>CTTTCTTTCTGCTTGCAAAGCCTATAGACCCTTCTCAGAGCGGTCCTCATGGCTGGGTT</w:t>
      </w:r>
      <w:r w:rsidRPr="00DF0680">
        <w:rPr>
          <w:rFonts w:ascii="Courier New" w:hAnsi="Courier New" w:cs="Courier New"/>
          <w:sz w:val="18"/>
          <w:szCs w:val="20"/>
          <w:highlight w:val="white"/>
        </w:rPr>
        <w:br/>
        <w:t xml:space="preserve">RT43UTR     180 </w:t>
      </w:r>
      <w:r w:rsidRPr="00DF0680">
        <w:rPr>
          <w:rFonts w:ascii="Courier New" w:hAnsi="Courier New" w:cs="Courier New"/>
          <w:color w:val="FF0000"/>
          <w:sz w:val="18"/>
          <w:szCs w:val="20"/>
          <w:highlight w:val="white"/>
        </w:rPr>
        <w:t>CTTTCTTTCTGCTTGCAAAGCCTATAGACCCTTCTCAGAGCGGTCCTCATGGCTGGGTT</w:t>
      </w:r>
      <w:r w:rsidRPr="00DF0680">
        <w:rPr>
          <w:rFonts w:ascii="Courier New" w:hAnsi="Courier New" w:cs="Courier New"/>
          <w:sz w:val="18"/>
          <w:szCs w:val="20"/>
          <w:highlight w:val="white"/>
        </w:rPr>
        <w:br/>
        <w:t xml:space="preserve">RT1123UTR   179 </w:t>
      </w:r>
      <w:r w:rsidRPr="00DF0680">
        <w:rPr>
          <w:rFonts w:ascii="Courier New" w:hAnsi="Courier New" w:cs="Courier New"/>
          <w:color w:val="FF0000"/>
          <w:sz w:val="18"/>
          <w:szCs w:val="20"/>
          <w:highlight w:val="white"/>
        </w:rPr>
        <w:t>CTTTCTTTCTGCTTGCAAAGCCTATAGACCCTTCTCAGAGCGGTCCTCATGGCTGGGTT</w:t>
      </w:r>
      <w:r w:rsidRPr="00DF0680">
        <w:rPr>
          <w:rFonts w:ascii="Courier New" w:hAnsi="Courier New" w:cs="Courier New"/>
          <w:sz w:val="18"/>
          <w:szCs w:val="20"/>
          <w:highlight w:val="white"/>
        </w:rPr>
        <w:br/>
        <w:t>consensus   181 ***********************************************************</w:t>
      </w:r>
      <w:r w:rsidRPr="00DF0680">
        <w:rPr>
          <w:rFonts w:ascii="Courier New" w:hAnsi="Courier New" w:cs="Courier New"/>
          <w:sz w:val="18"/>
          <w:szCs w:val="20"/>
          <w:highlight w:val="white"/>
        </w:rPr>
        <w:br/>
      </w:r>
      <w:r w:rsidRPr="00DF0680">
        <w:rPr>
          <w:rFonts w:ascii="Courier New" w:hAnsi="Courier New" w:cs="Courier New"/>
          <w:sz w:val="18"/>
          <w:szCs w:val="20"/>
          <w:highlight w:val="white"/>
        </w:rPr>
        <w:br/>
        <w:t xml:space="preserve">RECQL53UTR  237 </w:t>
      </w:r>
      <w:r w:rsidRPr="00DF0680">
        <w:rPr>
          <w:rFonts w:ascii="Courier New" w:hAnsi="Courier New" w:cs="Courier New"/>
          <w:color w:val="FF0000"/>
          <w:sz w:val="18"/>
          <w:szCs w:val="20"/>
          <w:highlight w:val="white"/>
        </w:rPr>
        <w:t>TCTGGGACACATGTCGAGGACAGAAGGTGGAGGGTGGTGGAGCTGCTGCTGGAAGAAGG</w:t>
      </w:r>
      <w:r w:rsidRPr="00DF0680">
        <w:rPr>
          <w:rFonts w:ascii="Courier New" w:hAnsi="Courier New" w:cs="Courier New"/>
          <w:sz w:val="18"/>
          <w:szCs w:val="20"/>
          <w:highlight w:val="white"/>
        </w:rPr>
        <w:br/>
        <w:t xml:space="preserve">EJ3UTR      241 </w:t>
      </w:r>
      <w:r w:rsidRPr="00DF0680">
        <w:rPr>
          <w:rFonts w:ascii="Courier New" w:hAnsi="Courier New" w:cs="Courier New"/>
          <w:color w:val="FF0000"/>
          <w:sz w:val="18"/>
          <w:szCs w:val="20"/>
          <w:highlight w:val="white"/>
        </w:rPr>
        <w:t>TCTGGGACACATGTCGAGGACAGAAGGTGGAGGGTGGTGGAGCTGCTGCTGGAAGAAGG</w:t>
      </w:r>
      <w:r w:rsidRPr="00DF0680">
        <w:rPr>
          <w:rFonts w:ascii="Courier New" w:hAnsi="Courier New" w:cs="Courier New"/>
          <w:sz w:val="18"/>
          <w:szCs w:val="20"/>
          <w:highlight w:val="white"/>
        </w:rPr>
        <w:br/>
        <w:t xml:space="preserve">NHU3UTR     238 </w:t>
      </w:r>
      <w:r w:rsidRPr="00DF0680">
        <w:rPr>
          <w:rFonts w:ascii="Courier New" w:hAnsi="Courier New" w:cs="Courier New"/>
          <w:color w:val="FF0000"/>
          <w:sz w:val="18"/>
          <w:szCs w:val="20"/>
          <w:highlight w:val="white"/>
        </w:rPr>
        <w:t>TCTGGGACACATGTCGAGGACAGAAGGTGGAGGGTGGTGGAGCTGCTGCTGGAAGAAGG</w:t>
      </w:r>
      <w:r w:rsidRPr="00DF0680">
        <w:rPr>
          <w:rFonts w:ascii="Courier New" w:hAnsi="Courier New" w:cs="Courier New"/>
          <w:sz w:val="18"/>
          <w:szCs w:val="20"/>
          <w:highlight w:val="white"/>
        </w:rPr>
        <w:br/>
        <w:t xml:space="preserve">RT43UTR     240 </w:t>
      </w:r>
      <w:r w:rsidRPr="00DF0680">
        <w:rPr>
          <w:rFonts w:ascii="Courier New" w:hAnsi="Courier New" w:cs="Courier New"/>
          <w:color w:val="FF0000"/>
          <w:sz w:val="18"/>
          <w:szCs w:val="20"/>
          <w:highlight w:val="white"/>
        </w:rPr>
        <w:t>TCTGGGACACATGTCGAGGACAGAAGGTGGAGGGTGGTGGAGCTGCTGCTGGAAGAAGG</w:t>
      </w:r>
      <w:r w:rsidRPr="00DF0680">
        <w:rPr>
          <w:rFonts w:ascii="Courier New" w:hAnsi="Courier New" w:cs="Courier New"/>
          <w:sz w:val="18"/>
          <w:szCs w:val="20"/>
          <w:highlight w:val="white"/>
        </w:rPr>
        <w:br/>
        <w:t xml:space="preserve">RT1123UTR   239 </w:t>
      </w:r>
      <w:r w:rsidRPr="00DF0680">
        <w:rPr>
          <w:rFonts w:ascii="Courier New" w:hAnsi="Courier New" w:cs="Courier New"/>
          <w:color w:val="FF0000"/>
          <w:sz w:val="18"/>
          <w:szCs w:val="20"/>
          <w:highlight w:val="white"/>
        </w:rPr>
        <w:t>TCTGGGACACATGTCGAGGACAGAAGGTGGAGGGTGGTGGAGCTGCTGCTGGAAGAAGG</w:t>
      </w:r>
      <w:r w:rsidRPr="00DF0680">
        <w:rPr>
          <w:rFonts w:ascii="Courier New" w:hAnsi="Courier New" w:cs="Courier New"/>
          <w:sz w:val="18"/>
          <w:szCs w:val="20"/>
          <w:highlight w:val="white"/>
        </w:rPr>
        <w:br/>
        <w:t>consensus   241 ***********************************************************</w:t>
      </w:r>
      <w:r w:rsidRPr="00DF0680">
        <w:rPr>
          <w:rFonts w:ascii="Courier New" w:hAnsi="Courier New" w:cs="Courier New"/>
          <w:sz w:val="18"/>
          <w:szCs w:val="20"/>
          <w:highlight w:val="white"/>
        </w:rPr>
        <w:br/>
      </w:r>
      <w:r w:rsidRPr="00DF0680">
        <w:rPr>
          <w:rFonts w:ascii="Courier New" w:hAnsi="Courier New" w:cs="Courier New"/>
          <w:sz w:val="18"/>
          <w:szCs w:val="20"/>
          <w:highlight w:val="white"/>
        </w:rPr>
        <w:br/>
        <w:t xml:space="preserve">RECQL53UTR  297 </w:t>
      </w:r>
      <w:r w:rsidRPr="00DF0680">
        <w:rPr>
          <w:rFonts w:ascii="Courier New" w:hAnsi="Courier New" w:cs="Courier New"/>
          <w:color w:val="FF0000"/>
          <w:sz w:val="18"/>
          <w:szCs w:val="20"/>
          <w:highlight w:val="white"/>
        </w:rPr>
        <w:t>GAAGGAAGAGTGGCCCCTCCCCGAGTTCTAAGTCAGGATGAGGCCCACCTGTCCAAGGT</w:t>
      </w:r>
      <w:r w:rsidRPr="00DF0680">
        <w:rPr>
          <w:rFonts w:ascii="Courier New" w:hAnsi="Courier New" w:cs="Courier New"/>
          <w:sz w:val="18"/>
          <w:szCs w:val="20"/>
          <w:highlight w:val="white"/>
        </w:rPr>
        <w:br/>
        <w:t xml:space="preserve">EJ3UTR      301 </w:t>
      </w:r>
      <w:r w:rsidRPr="00DF0680">
        <w:rPr>
          <w:rFonts w:ascii="Courier New" w:hAnsi="Courier New" w:cs="Courier New"/>
          <w:color w:val="FF0000"/>
          <w:sz w:val="18"/>
          <w:szCs w:val="20"/>
          <w:highlight w:val="white"/>
        </w:rPr>
        <w:t>GAAGGAAGAGTGGCCCCTCCCCGAGTTCTAAGTCAGGATGAGGCCCACCTGTCCAAGGT</w:t>
      </w:r>
      <w:r w:rsidRPr="00DF0680">
        <w:rPr>
          <w:rFonts w:ascii="Courier New" w:hAnsi="Courier New" w:cs="Courier New"/>
          <w:sz w:val="18"/>
          <w:szCs w:val="20"/>
          <w:highlight w:val="white"/>
        </w:rPr>
        <w:br/>
        <w:t xml:space="preserve">NHU3UTR     298 </w:t>
      </w:r>
      <w:r w:rsidRPr="00DF0680">
        <w:rPr>
          <w:rFonts w:ascii="Courier New" w:hAnsi="Courier New" w:cs="Courier New"/>
          <w:color w:val="FF0000"/>
          <w:sz w:val="18"/>
          <w:szCs w:val="20"/>
          <w:highlight w:val="white"/>
        </w:rPr>
        <w:t>GAAGGAAGAGTGGCCCCTCCCCGAGTTCTAAGTCAGGATGAGGCCCACCTGTCCAAGGT</w:t>
      </w:r>
      <w:r w:rsidRPr="00DF0680">
        <w:rPr>
          <w:rFonts w:ascii="Courier New" w:hAnsi="Courier New" w:cs="Courier New"/>
          <w:sz w:val="18"/>
          <w:szCs w:val="20"/>
          <w:highlight w:val="white"/>
        </w:rPr>
        <w:br/>
        <w:t xml:space="preserve">RT43UTR     300 </w:t>
      </w:r>
      <w:r w:rsidRPr="00DF0680">
        <w:rPr>
          <w:rFonts w:ascii="Courier New" w:hAnsi="Courier New" w:cs="Courier New"/>
          <w:color w:val="FF0000"/>
          <w:sz w:val="18"/>
          <w:szCs w:val="20"/>
          <w:highlight w:val="white"/>
        </w:rPr>
        <w:t>GAAGGAAGAGTGGCCCCTCCCCGAGTTCTAAGTCAGGATGAGGCCCACCTGTCCAAGGT</w:t>
      </w:r>
      <w:r w:rsidRPr="00DF0680">
        <w:rPr>
          <w:rFonts w:ascii="Courier New" w:hAnsi="Courier New" w:cs="Courier New"/>
          <w:sz w:val="18"/>
          <w:szCs w:val="20"/>
          <w:highlight w:val="white"/>
        </w:rPr>
        <w:br/>
        <w:t xml:space="preserve">RT1123UTR   299 </w:t>
      </w:r>
      <w:r w:rsidRPr="00DF0680">
        <w:rPr>
          <w:rFonts w:ascii="Courier New" w:hAnsi="Courier New" w:cs="Courier New"/>
          <w:color w:val="FF0000"/>
          <w:sz w:val="18"/>
          <w:szCs w:val="20"/>
          <w:highlight w:val="white"/>
        </w:rPr>
        <w:t>GAAGGAAGAGTGGCCCCTCCCCGAGTTCTAAGTCAGGATGAGGCCCACCTGTCCAAGGT</w:t>
      </w:r>
      <w:r w:rsidRPr="00DF0680">
        <w:rPr>
          <w:rFonts w:ascii="Courier New" w:hAnsi="Courier New" w:cs="Courier New"/>
          <w:sz w:val="18"/>
          <w:szCs w:val="20"/>
          <w:highlight w:val="white"/>
        </w:rPr>
        <w:br/>
        <w:t>consensus   301 ***********************************************************</w:t>
      </w:r>
      <w:r w:rsidRPr="00DF0680">
        <w:rPr>
          <w:rFonts w:ascii="Courier New" w:hAnsi="Courier New" w:cs="Courier New"/>
          <w:sz w:val="18"/>
          <w:szCs w:val="20"/>
          <w:highlight w:val="white"/>
        </w:rPr>
        <w:br/>
      </w:r>
    </w:p>
    <w:p w:rsidR="00A6439C" w:rsidRPr="00DF0680" w:rsidRDefault="00A6439C" w:rsidP="00A6439C">
      <w:pPr>
        <w:widowControl w:val="0"/>
        <w:autoSpaceDE w:val="0"/>
        <w:autoSpaceDN w:val="0"/>
        <w:adjustRightInd w:val="0"/>
        <w:spacing w:after="0" w:line="240" w:lineRule="auto"/>
        <w:jc w:val="left"/>
        <w:rPr>
          <w:rFonts w:ascii="Courier New" w:hAnsi="Courier New" w:cs="Courier New"/>
          <w:sz w:val="18"/>
          <w:szCs w:val="20"/>
          <w:highlight w:val="white"/>
        </w:rPr>
      </w:pPr>
      <w:r w:rsidRPr="00DF0680">
        <w:rPr>
          <w:rFonts w:ascii="Courier New" w:hAnsi="Courier New" w:cs="Courier New"/>
          <w:sz w:val="18"/>
          <w:szCs w:val="20"/>
          <w:highlight w:val="white"/>
        </w:rPr>
        <w:t xml:space="preserve">RECQL53UTR  357 </w:t>
      </w:r>
      <w:r w:rsidRPr="00DF0680">
        <w:rPr>
          <w:rFonts w:ascii="Courier New" w:hAnsi="Courier New" w:cs="Courier New"/>
          <w:color w:val="FF0000"/>
          <w:sz w:val="18"/>
          <w:szCs w:val="20"/>
          <w:highlight w:val="white"/>
        </w:rPr>
        <w:t>TCGGAACCTACCCAGGGGACCCTCA</w:t>
      </w:r>
      <w:r w:rsidRPr="00DF0680">
        <w:rPr>
          <w:rFonts w:ascii="Courier New" w:hAnsi="Courier New" w:cs="Courier New"/>
          <w:sz w:val="18"/>
          <w:szCs w:val="20"/>
          <w:highlight w:val="white"/>
        </w:rPr>
        <w:t>G</w:t>
      </w:r>
      <w:r w:rsidRPr="00DF0680">
        <w:rPr>
          <w:rFonts w:ascii="Courier New" w:hAnsi="Courier New" w:cs="Courier New"/>
          <w:color w:val="FF0000"/>
          <w:sz w:val="18"/>
          <w:szCs w:val="20"/>
          <w:highlight w:val="white"/>
        </w:rPr>
        <w:t>ATCCTCCACCCACTCCCCCATCCATTACGATGC</w:t>
      </w:r>
      <w:r w:rsidRPr="00DF0680">
        <w:rPr>
          <w:rFonts w:ascii="Courier New" w:hAnsi="Courier New" w:cs="Courier New"/>
          <w:sz w:val="18"/>
          <w:szCs w:val="20"/>
          <w:highlight w:val="white"/>
        </w:rPr>
        <w:br/>
        <w:t xml:space="preserve">EJ3UTR      361 </w:t>
      </w:r>
      <w:r w:rsidRPr="00DF0680">
        <w:rPr>
          <w:rFonts w:ascii="Courier New" w:hAnsi="Courier New" w:cs="Courier New"/>
          <w:color w:val="FF0000"/>
          <w:sz w:val="18"/>
          <w:szCs w:val="20"/>
          <w:highlight w:val="white"/>
        </w:rPr>
        <w:t>TCGGAACCTACCCAGGGGACCCTCA</w:t>
      </w:r>
      <w:r w:rsidRPr="00DF0680">
        <w:rPr>
          <w:rFonts w:ascii="Courier New" w:hAnsi="Courier New" w:cs="Courier New"/>
          <w:sz w:val="18"/>
          <w:szCs w:val="20"/>
          <w:highlight w:val="white"/>
        </w:rPr>
        <w:t>G</w:t>
      </w:r>
      <w:r w:rsidRPr="00DF0680">
        <w:rPr>
          <w:rFonts w:ascii="Courier New" w:hAnsi="Courier New" w:cs="Courier New"/>
          <w:color w:val="FF0000"/>
          <w:sz w:val="18"/>
          <w:szCs w:val="20"/>
          <w:highlight w:val="white"/>
        </w:rPr>
        <w:t>ATCCTCCACCCACTCCCCCATCCATTACGATGC</w:t>
      </w:r>
      <w:r w:rsidRPr="00DF0680">
        <w:rPr>
          <w:rFonts w:ascii="Courier New" w:hAnsi="Courier New" w:cs="Courier New"/>
          <w:sz w:val="18"/>
          <w:szCs w:val="20"/>
          <w:highlight w:val="white"/>
        </w:rPr>
        <w:br/>
        <w:t xml:space="preserve">NHU3UTR     358 </w:t>
      </w:r>
      <w:r w:rsidRPr="00DF0680">
        <w:rPr>
          <w:rFonts w:ascii="Courier New" w:hAnsi="Courier New" w:cs="Courier New"/>
          <w:color w:val="FF0000"/>
          <w:sz w:val="18"/>
          <w:szCs w:val="20"/>
          <w:highlight w:val="white"/>
        </w:rPr>
        <w:t>TCGGAACCTACCCAGGGGACCCTCA</w:t>
      </w:r>
      <w:r w:rsidRPr="00DF0680">
        <w:rPr>
          <w:rFonts w:ascii="Courier New" w:hAnsi="Courier New" w:cs="Courier New"/>
          <w:sz w:val="18"/>
          <w:szCs w:val="20"/>
          <w:highlight w:val="white"/>
        </w:rPr>
        <w:t>G</w:t>
      </w:r>
      <w:r w:rsidRPr="00DF0680">
        <w:rPr>
          <w:rFonts w:ascii="Courier New" w:hAnsi="Courier New" w:cs="Courier New"/>
          <w:color w:val="FF0000"/>
          <w:sz w:val="18"/>
          <w:szCs w:val="20"/>
          <w:highlight w:val="white"/>
        </w:rPr>
        <w:t>ATCCTCCACCCACTCCCCCATCCATTACGATGC</w:t>
      </w:r>
      <w:r w:rsidRPr="00DF0680">
        <w:rPr>
          <w:rFonts w:ascii="Courier New" w:hAnsi="Courier New" w:cs="Courier New"/>
          <w:sz w:val="18"/>
          <w:szCs w:val="20"/>
          <w:highlight w:val="white"/>
        </w:rPr>
        <w:br/>
        <w:t xml:space="preserve">RT43UTR     360 </w:t>
      </w:r>
      <w:r w:rsidRPr="00DF0680">
        <w:rPr>
          <w:rFonts w:ascii="Courier New" w:hAnsi="Courier New" w:cs="Courier New"/>
          <w:color w:val="FF0000"/>
          <w:sz w:val="18"/>
          <w:szCs w:val="20"/>
          <w:highlight w:val="white"/>
        </w:rPr>
        <w:t>TCGGAACCTACCCAGGGGACCCTCA</w:t>
      </w:r>
      <w:r w:rsidRPr="00DF0680">
        <w:rPr>
          <w:rFonts w:ascii="Courier New" w:hAnsi="Courier New" w:cs="Courier New"/>
          <w:sz w:val="18"/>
          <w:szCs w:val="20"/>
          <w:highlight w:val="white"/>
        </w:rPr>
        <w:t>N</w:t>
      </w:r>
      <w:r w:rsidRPr="00DF0680">
        <w:rPr>
          <w:rFonts w:ascii="Courier New" w:hAnsi="Courier New" w:cs="Courier New"/>
          <w:color w:val="FF0000"/>
          <w:sz w:val="18"/>
          <w:szCs w:val="20"/>
          <w:highlight w:val="white"/>
        </w:rPr>
        <w:t>ATCCTCCACCCACTCCCCCATCCATTACGATGC</w:t>
      </w:r>
      <w:r w:rsidRPr="00DF0680">
        <w:rPr>
          <w:rFonts w:ascii="Courier New" w:hAnsi="Courier New" w:cs="Courier New"/>
          <w:sz w:val="18"/>
          <w:szCs w:val="20"/>
          <w:highlight w:val="white"/>
        </w:rPr>
        <w:br/>
        <w:t xml:space="preserve">RT1123UTR   359 </w:t>
      </w:r>
      <w:r w:rsidRPr="00DF0680">
        <w:rPr>
          <w:rFonts w:ascii="Courier New" w:hAnsi="Courier New" w:cs="Courier New"/>
          <w:color w:val="FF0000"/>
          <w:sz w:val="18"/>
          <w:szCs w:val="20"/>
          <w:highlight w:val="white"/>
        </w:rPr>
        <w:t>TCGGAACCTACCCAGGGGACCCTCA</w:t>
      </w:r>
      <w:r w:rsidRPr="00DF0680">
        <w:rPr>
          <w:rFonts w:ascii="Courier New" w:hAnsi="Courier New" w:cs="Courier New"/>
          <w:sz w:val="18"/>
          <w:szCs w:val="20"/>
          <w:highlight w:val="white"/>
        </w:rPr>
        <w:t>G</w:t>
      </w:r>
      <w:r w:rsidRPr="00DF0680">
        <w:rPr>
          <w:rFonts w:ascii="Courier New" w:hAnsi="Courier New" w:cs="Courier New"/>
          <w:color w:val="FF0000"/>
          <w:sz w:val="18"/>
          <w:szCs w:val="20"/>
          <w:highlight w:val="white"/>
        </w:rPr>
        <w:t>ATCCTCCACCCACTCCCCCATCCATTACGATGC</w:t>
      </w:r>
      <w:r w:rsidRPr="00DF0680">
        <w:rPr>
          <w:rFonts w:ascii="Courier New" w:hAnsi="Courier New" w:cs="Courier New"/>
          <w:sz w:val="18"/>
          <w:szCs w:val="20"/>
          <w:highlight w:val="white"/>
        </w:rPr>
        <w:br/>
        <w:t>consensus   361 ************************* *********************************</w:t>
      </w:r>
      <w:r w:rsidRPr="00DF0680">
        <w:rPr>
          <w:rFonts w:ascii="Courier New" w:hAnsi="Courier New" w:cs="Courier New"/>
          <w:sz w:val="18"/>
          <w:szCs w:val="20"/>
          <w:highlight w:val="white"/>
        </w:rPr>
        <w:br/>
      </w:r>
      <w:r w:rsidRPr="00DF0680">
        <w:rPr>
          <w:rFonts w:ascii="Courier New" w:hAnsi="Courier New" w:cs="Courier New"/>
          <w:sz w:val="18"/>
          <w:szCs w:val="20"/>
          <w:highlight w:val="white"/>
        </w:rPr>
        <w:br/>
        <w:t xml:space="preserve">RECQL53UTR  417 </w:t>
      </w:r>
      <w:r w:rsidRPr="00DF0680">
        <w:rPr>
          <w:rFonts w:ascii="Courier New" w:hAnsi="Courier New" w:cs="Courier New"/>
          <w:color w:val="FF0000"/>
          <w:sz w:val="18"/>
          <w:szCs w:val="20"/>
          <w:highlight w:val="white"/>
        </w:rPr>
        <w:t>AGCTTCCAGCCTTGCCCAGGTCAGAGCTGTGGCAGAGGAGAGGCAGCCAGGCCCTGTTC</w:t>
      </w:r>
      <w:r w:rsidRPr="00DF0680">
        <w:rPr>
          <w:rFonts w:ascii="Courier New" w:hAnsi="Courier New" w:cs="Courier New"/>
          <w:sz w:val="18"/>
          <w:szCs w:val="20"/>
          <w:highlight w:val="white"/>
        </w:rPr>
        <w:br/>
        <w:t xml:space="preserve">EJ3UTR      421 </w:t>
      </w:r>
      <w:r w:rsidRPr="00DF0680">
        <w:rPr>
          <w:rFonts w:ascii="Courier New" w:hAnsi="Courier New" w:cs="Courier New"/>
          <w:color w:val="FF0000"/>
          <w:sz w:val="18"/>
          <w:szCs w:val="20"/>
          <w:highlight w:val="white"/>
        </w:rPr>
        <w:t>AGCTTCCAGCCTTGCCCAGGTCAGAGCTGTGGCAGAGGAGAGGCAGCCAGGCCCTGTTC</w:t>
      </w:r>
      <w:r w:rsidRPr="00DF0680">
        <w:rPr>
          <w:rFonts w:ascii="Courier New" w:hAnsi="Courier New" w:cs="Courier New"/>
          <w:sz w:val="18"/>
          <w:szCs w:val="20"/>
          <w:highlight w:val="white"/>
        </w:rPr>
        <w:br/>
        <w:t xml:space="preserve">NHU3UTR     418 </w:t>
      </w:r>
      <w:r w:rsidRPr="00DF0680">
        <w:rPr>
          <w:rFonts w:ascii="Courier New" w:hAnsi="Courier New" w:cs="Courier New"/>
          <w:color w:val="FF0000"/>
          <w:sz w:val="18"/>
          <w:szCs w:val="20"/>
          <w:highlight w:val="white"/>
        </w:rPr>
        <w:t>AGCTTCCAGCCTTGCCCAGGTCAGAGCTGTGGCAGAGGAGAGGCAGCCAGGCCCTGTTC</w:t>
      </w:r>
      <w:r w:rsidRPr="00DF0680">
        <w:rPr>
          <w:rFonts w:ascii="Courier New" w:hAnsi="Courier New" w:cs="Courier New"/>
          <w:sz w:val="18"/>
          <w:szCs w:val="20"/>
          <w:highlight w:val="white"/>
        </w:rPr>
        <w:br/>
        <w:t xml:space="preserve">RT43UTR     420 </w:t>
      </w:r>
      <w:r w:rsidRPr="00DF0680">
        <w:rPr>
          <w:rFonts w:ascii="Courier New" w:hAnsi="Courier New" w:cs="Courier New"/>
          <w:color w:val="FF0000"/>
          <w:sz w:val="18"/>
          <w:szCs w:val="20"/>
          <w:highlight w:val="white"/>
        </w:rPr>
        <w:t>AGCTTCCAGCCTTGCCCAGGTCAGAGCTGTGGCAGAGGAGAGGCAGCCAGGCCCTGTTC</w:t>
      </w:r>
      <w:r w:rsidRPr="00DF0680">
        <w:rPr>
          <w:rFonts w:ascii="Courier New" w:hAnsi="Courier New" w:cs="Courier New"/>
          <w:sz w:val="18"/>
          <w:szCs w:val="20"/>
          <w:highlight w:val="white"/>
        </w:rPr>
        <w:br/>
        <w:t xml:space="preserve">RT1123UTR   419 </w:t>
      </w:r>
      <w:r w:rsidRPr="00DF0680">
        <w:rPr>
          <w:rFonts w:ascii="Courier New" w:hAnsi="Courier New" w:cs="Courier New"/>
          <w:color w:val="FF0000"/>
          <w:sz w:val="18"/>
          <w:szCs w:val="20"/>
          <w:highlight w:val="white"/>
        </w:rPr>
        <w:t>AGCTTCCAGCCTTGCCCAGGTCAGAGCTGTGGCAGAGGAGAGGCAGCCAGGCCCTGTTC</w:t>
      </w:r>
      <w:r w:rsidRPr="00DF0680">
        <w:rPr>
          <w:rFonts w:ascii="Courier New" w:hAnsi="Courier New" w:cs="Courier New"/>
          <w:sz w:val="18"/>
          <w:szCs w:val="20"/>
          <w:highlight w:val="white"/>
        </w:rPr>
        <w:br/>
        <w:t>consensus   421 ***********************************************************</w:t>
      </w:r>
      <w:r w:rsidRPr="00DF0680">
        <w:rPr>
          <w:rFonts w:ascii="Courier New" w:hAnsi="Courier New" w:cs="Courier New"/>
          <w:sz w:val="18"/>
          <w:szCs w:val="20"/>
          <w:highlight w:val="white"/>
        </w:rPr>
        <w:br/>
      </w:r>
    </w:p>
    <w:p w:rsidR="00A6439C" w:rsidRPr="00DF0680" w:rsidRDefault="00A6439C" w:rsidP="00A6439C">
      <w:pPr>
        <w:widowControl w:val="0"/>
        <w:autoSpaceDE w:val="0"/>
        <w:autoSpaceDN w:val="0"/>
        <w:adjustRightInd w:val="0"/>
        <w:spacing w:after="0" w:line="240" w:lineRule="auto"/>
        <w:jc w:val="left"/>
        <w:rPr>
          <w:rFonts w:ascii="Courier New" w:hAnsi="Courier New" w:cs="Courier New"/>
          <w:sz w:val="18"/>
          <w:szCs w:val="20"/>
          <w:highlight w:val="white"/>
        </w:rPr>
      </w:pPr>
    </w:p>
    <w:p w:rsidR="00A6439C" w:rsidRPr="00DF0680" w:rsidRDefault="00A6439C" w:rsidP="00A6439C">
      <w:pPr>
        <w:widowControl w:val="0"/>
        <w:autoSpaceDE w:val="0"/>
        <w:autoSpaceDN w:val="0"/>
        <w:adjustRightInd w:val="0"/>
        <w:spacing w:after="0" w:line="240" w:lineRule="auto"/>
        <w:jc w:val="left"/>
        <w:rPr>
          <w:rFonts w:ascii="Courier New" w:hAnsi="Courier New" w:cs="Courier New"/>
          <w:sz w:val="18"/>
          <w:szCs w:val="20"/>
          <w:highlight w:val="white"/>
        </w:rPr>
      </w:pPr>
    </w:p>
    <w:p w:rsidR="00A6439C" w:rsidRPr="00DF0680" w:rsidRDefault="00A6439C" w:rsidP="00A6439C">
      <w:pPr>
        <w:widowControl w:val="0"/>
        <w:autoSpaceDE w:val="0"/>
        <w:autoSpaceDN w:val="0"/>
        <w:adjustRightInd w:val="0"/>
        <w:spacing w:after="0" w:line="240" w:lineRule="auto"/>
        <w:jc w:val="left"/>
        <w:rPr>
          <w:rFonts w:ascii="Courier New" w:hAnsi="Courier New" w:cs="Courier New"/>
          <w:sz w:val="18"/>
          <w:szCs w:val="20"/>
          <w:highlight w:val="white"/>
        </w:rPr>
      </w:pPr>
    </w:p>
    <w:p w:rsidR="00A6439C" w:rsidRPr="00DF0680" w:rsidRDefault="00A6439C" w:rsidP="00A6439C">
      <w:pPr>
        <w:widowControl w:val="0"/>
        <w:autoSpaceDE w:val="0"/>
        <w:autoSpaceDN w:val="0"/>
        <w:adjustRightInd w:val="0"/>
        <w:spacing w:after="0" w:line="240" w:lineRule="auto"/>
        <w:jc w:val="left"/>
        <w:rPr>
          <w:rFonts w:ascii="Courier New" w:hAnsi="Courier New" w:cs="Courier New"/>
          <w:sz w:val="18"/>
          <w:szCs w:val="20"/>
          <w:highlight w:val="white"/>
        </w:rPr>
      </w:pPr>
    </w:p>
    <w:p w:rsidR="00A6439C" w:rsidRPr="00DF0680" w:rsidRDefault="00A6439C" w:rsidP="00A6439C">
      <w:pPr>
        <w:widowControl w:val="0"/>
        <w:autoSpaceDE w:val="0"/>
        <w:autoSpaceDN w:val="0"/>
        <w:adjustRightInd w:val="0"/>
        <w:spacing w:after="0" w:line="240" w:lineRule="auto"/>
        <w:jc w:val="left"/>
        <w:rPr>
          <w:rFonts w:ascii="Courier New" w:hAnsi="Courier New" w:cs="Courier New"/>
          <w:sz w:val="18"/>
          <w:szCs w:val="20"/>
          <w:highlight w:val="white"/>
        </w:rPr>
      </w:pPr>
    </w:p>
    <w:p w:rsidR="00A6439C" w:rsidRPr="00DF0680" w:rsidRDefault="00A6439C" w:rsidP="00A6439C">
      <w:pPr>
        <w:widowControl w:val="0"/>
        <w:autoSpaceDE w:val="0"/>
        <w:autoSpaceDN w:val="0"/>
        <w:adjustRightInd w:val="0"/>
        <w:spacing w:after="0" w:line="240" w:lineRule="auto"/>
        <w:jc w:val="left"/>
        <w:rPr>
          <w:rFonts w:ascii="Courier New" w:hAnsi="Courier New" w:cs="Courier New"/>
          <w:sz w:val="18"/>
          <w:szCs w:val="20"/>
          <w:highlight w:val="white"/>
        </w:rPr>
      </w:pPr>
    </w:p>
    <w:p w:rsidR="00A6439C" w:rsidRPr="00DF0680" w:rsidRDefault="00A6439C" w:rsidP="00A6439C">
      <w:pPr>
        <w:widowControl w:val="0"/>
        <w:autoSpaceDE w:val="0"/>
        <w:autoSpaceDN w:val="0"/>
        <w:adjustRightInd w:val="0"/>
        <w:spacing w:after="0" w:line="240" w:lineRule="auto"/>
        <w:jc w:val="left"/>
        <w:rPr>
          <w:rFonts w:ascii="Courier New" w:hAnsi="Courier New" w:cs="Courier New"/>
          <w:sz w:val="18"/>
          <w:szCs w:val="20"/>
          <w:highlight w:val="white"/>
        </w:rPr>
      </w:pPr>
      <w:r w:rsidRPr="00DF0680">
        <w:rPr>
          <w:rFonts w:ascii="Courier New" w:hAnsi="Courier New" w:cs="Courier New"/>
          <w:sz w:val="18"/>
          <w:szCs w:val="20"/>
          <w:highlight w:val="white"/>
        </w:rPr>
        <w:lastRenderedPageBreak/>
        <w:t xml:space="preserve">RECQL53UTR  477 </w:t>
      </w:r>
      <w:r w:rsidRPr="00DF0680">
        <w:rPr>
          <w:rFonts w:ascii="Courier New" w:hAnsi="Courier New" w:cs="Courier New"/>
          <w:color w:val="FF0000"/>
          <w:sz w:val="18"/>
          <w:szCs w:val="20"/>
          <w:highlight w:val="white"/>
        </w:rPr>
        <w:t>TGCTCAGCTCCTGCTCAGGAAGGCCAGGCCTGACAGATGTTTGGGAGAGGAATAAAGTT</w:t>
      </w:r>
      <w:r w:rsidRPr="00DF0680">
        <w:rPr>
          <w:rFonts w:ascii="Courier New" w:hAnsi="Courier New" w:cs="Courier New"/>
          <w:sz w:val="18"/>
          <w:szCs w:val="20"/>
          <w:highlight w:val="white"/>
        </w:rPr>
        <w:br/>
        <w:t xml:space="preserve">EJ3UTR      481 </w:t>
      </w:r>
      <w:r w:rsidRPr="00DF0680">
        <w:rPr>
          <w:rFonts w:ascii="Courier New" w:hAnsi="Courier New" w:cs="Courier New"/>
          <w:color w:val="FF0000"/>
          <w:sz w:val="18"/>
          <w:szCs w:val="20"/>
          <w:highlight w:val="white"/>
        </w:rPr>
        <w:t>TGCTCAGCTCCTGCTCAGGAAGGCCAGGCCTGACAGATGTTTGGGAGAGGAATAAAGTT</w:t>
      </w:r>
      <w:r w:rsidRPr="00DF0680">
        <w:rPr>
          <w:rFonts w:ascii="Courier New" w:hAnsi="Courier New" w:cs="Courier New"/>
          <w:sz w:val="18"/>
          <w:szCs w:val="20"/>
          <w:highlight w:val="white"/>
        </w:rPr>
        <w:br/>
        <w:t xml:space="preserve">NHU3UTR     478 </w:t>
      </w:r>
      <w:r w:rsidRPr="00DF0680">
        <w:rPr>
          <w:rFonts w:ascii="Courier New" w:hAnsi="Courier New" w:cs="Courier New"/>
          <w:color w:val="FF0000"/>
          <w:sz w:val="18"/>
          <w:szCs w:val="20"/>
          <w:highlight w:val="white"/>
        </w:rPr>
        <w:t>TGCTCAGCTCCTGCTCAGGAAGGCCAGGCCTGACAGATGTTTGGGAGAGGAATAAAGTT</w:t>
      </w:r>
      <w:r w:rsidRPr="00DF0680">
        <w:rPr>
          <w:rFonts w:ascii="Courier New" w:hAnsi="Courier New" w:cs="Courier New"/>
          <w:sz w:val="18"/>
          <w:szCs w:val="20"/>
          <w:highlight w:val="white"/>
        </w:rPr>
        <w:br/>
        <w:t xml:space="preserve">RT43UTR     480 </w:t>
      </w:r>
      <w:r w:rsidRPr="00DF0680">
        <w:rPr>
          <w:rFonts w:ascii="Courier New" w:hAnsi="Courier New" w:cs="Courier New"/>
          <w:color w:val="FF0000"/>
          <w:sz w:val="18"/>
          <w:szCs w:val="20"/>
          <w:highlight w:val="white"/>
        </w:rPr>
        <w:t>TGCTCAGCTCCTGCTCAGGAAGGCCAGGCCTGACAGATGTTTGGGAGAGGAATAAAGTT</w:t>
      </w:r>
      <w:r w:rsidRPr="00DF0680">
        <w:rPr>
          <w:rFonts w:ascii="Courier New" w:hAnsi="Courier New" w:cs="Courier New"/>
          <w:sz w:val="18"/>
          <w:szCs w:val="20"/>
          <w:highlight w:val="white"/>
        </w:rPr>
        <w:br/>
        <w:t xml:space="preserve">RT1123UTR   479 </w:t>
      </w:r>
      <w:r w:rsidRPr="00DF0680">
        <w:rPr>
          <w:rFonts w:ascii="Courier New" w:hAnsi="Courier New" w:cs="Courier New"/>
          <w:color w:val="FF0000"/>
          <w:sz w:val="18"/>
          <w:szCs w:val="20"/>
          <w:highlight w:val="white"/>
        </w:rPr>
        <w:t>TGCTCAGCTCCTGCTCAGGAAGGCCAGGCCTGACAGATGTTTGGGAGAGGAATAAAGTT</w:t>
      </w:r>
      <w:r w:rsidRPr="00DF0680">
        <w:rPr>
          <w:rFonts w:ascii="Courier New" w:hAnsi="Courier New" w:cs="Courier New"/>
          <w:sz w:val="18"/>
          <w:szCs w:val="20"/>
          <w:highlight w:val="white"/>
        </w:rPr>
        <w:br/>
        <w:t>consensus   481 ***********************************************************</w:t>
      </w:r>
      <w:r w:rsidRPr="00DF0680">
        <w:rPr>
          <w:rFonts w:ascii="Courier New" w:hAnsi="Courier New" w:cs="Courier New"/>
          <w:sz w:val="18"/>
          <w:szCs w:val="20"/>
          <w:highlight w:val="white"/>
        </w:rPr>
        <w:br/>
      </w:r>
    </w:p>
    <w:p w:rsidR="00A6439C" w:rsidRPr="00DF0680" w:rsidRDefault="00A6439C" w:rsidP="00A6439C">
      <w:pPr>
        <w:widowControl w:val="0"/>
        <w:autoSpaceDE w:val="0"/>
        <w:autoSpaceDN w:val="0"/>
        <w:adjustRightInd w:val="0"/>
        <w:spacing w:after="0" w:line="240" w:lineRule="auto"/>
        <w:jc w:val="left"/>
        <w:rPr>
          <w:sz w:val="20"/>
        </w:rPr>
      </w:pPr>
      <w:r w:rsidRPr="00DF0680">
        <w:rPr>
          <w:rFonts w:ascii="Courier New" w:hAnsi="Courier New" w:cs="Courier New"/>
          <w:sz w:val="18"/>
          <w:szCs w:val="20"/>
          <w:highlight w:val="white"/>
        </w:rPr>
        <w:t xml:space="preserve">RECQL53UTR  537 </w:t>
      </w:r>
      <w:r w:rsidRPr="00DF0680">
        <w:rPr>
          <w:rFonts w:ascii="Courier New" w:hAnsi="Courier New" w:cs="Courier New"/>
          <w:color w:val="FF0000"/>
          <w:sz w:val="18"/>
          <w:szCs w:val="20"/>
          <w:highlight w:val="white"/>
        </w:rPr>
        <w:t>GTGTTGTTGTGGGGCATGCA</w:t>
      </w:r>
      <w:r w:rsidRPr="00DF0680">
        <w:rPr>
          <w:rFonts w:ascii="Courier New" w:hAnsi="Courier New" w:cs="Courier New"/>
          <w:sz w:val="18"/>
          <w:szCs w:val="20"/>
          <w:highlight w:val="white"/>
        </w:rPr>
        <w:t>G</w:t>
      </w:r>
      <w:r w:rsidRPr="00DF0680">
        <w:rPr>
          <w:rFonts w:ascii="Courier New" w:hAnsi="Courier New" w:cs="Courier New"/>
          <w:color w:val="FF0000"/>
          <w:sz w:val="18"/>
          <w:szCs w:val="20"/>
        </w:rPr>
        <w:t>GCGTGCACACAGCCCTTTTC</w:t>
      </w:r>
      <w:r w:rsidRPr="00DF0680">
        <w:rPr>
          <w:rFonts w:ascii="Courier New" w:hAnsi="Courier New" w:cs="Courier New"/>
          <w:sz w:val="18"/>
          <w:szCs w:val="20"/>
          <w:highlight w:val="white"/>
        </w:rPr>
        <w:br/>
        <w:t xml:space="preserve">EJ3UTR      541 </w:t>
      </w:r>
      <w:r w:rsidRPr="00DF0680">
        <w:rPr>
          <w:rFonts w:ascii="Courier New" w:hAnsi="Courier New" w:cs="Courier New"/>
          <w:color w:val="FF0000"/>
          <w:sz w:val="18"/>
          <w:szCs w:val="20"/>
          <w:highlight w:val="white"/>
        </w:rPr>
        <w:t>GTGTTGTTGTGGGGCATGCA</w:t>
      </w:r>
      <w:r w:rsidRPr="00DF0680">
        <w:rPr>
          <w:rFonts w:ascii="Courier New" w:hAnsi="Courier New" w:cs="Courier New"/>
          <w:sz w:val="18"/>
          <w:szCs w:val="20"/>
          <w:highlight w:val="white"/>
        </w:rPr>
        <w:t>G</w:t>
      </w:r>
      <w:r w:rsidRPr="00DF0680">
        <w:rPr>
          <w:rFonts w:ascii="Courier New" w:hAnsi="Courier New" w:cs="Courier New"/>
          <w:color w:val="FF0000"/>
          <w:sz w:val="18"/>
          <w:szCs w:val="20"/>
          <w:highlight w:val="white"/>
        </w:rPr>
        <w:t>GCGTGCACACAGCCCTTTTC</w:t>
      </w:r>
      <w:r w:rsidRPr="00DF0680">
        <w:rPr>
          <w:rFonts w:ascii="Courier New" w:hAnsi="Courier New" w:cs="Courier New"/>
          <w:sz w:val="18"/>
          <w:szCs w:val="20"/>
          <w:highlight w:val="white"/>
        </w:rPr>
        <w:t xml:space="preserve"> </w:t>
      </w:r>
      <w:r w:rsidRPr="00DF0680">
        <w:rPr>
          <w:rFonts w:ascii="Courier New" w:hAnsi="Courier New" w:cs="Courier New"/>
          <w:sz w:val="18"/>
          <w:szCs w:val="20"/>
          <w:highlight w:val="white"/>
        </w:rPr>
        <w:br/>
        <w:t xml:space="preserve">NHU3UTR     538 </w:t>
      </w:r>
      <w:r w:rsidRPr="00DF0680">
        <w:rPr>
          <w:rFonts w:ascii="Courier New" w:hAnsi="Courier New" w:cs="Courier New"/>
          <w:color w:val="FF0000"/>
          <w:sz w:val="18"/>
          <w:szCs w:val="20"/>
          <w:highlight w:val="white"/>
        </w:rPr>
        <w:t>GTGTTGTTGTGGGGCATGCA</w:t>
      </w:r>
      <w:r w:rsidRPr="00DF0680">
        <w:rPr>
          <w:rFonts w:ascii="Courier New" w:hAnsi="Courier New" w:cs="Courier New"/>
          <w:sz w:val="18"/>
          <w:szCs w:val="20"/>
          <w:highlight w:val="white"/>
        </w:rPr>
        <w:t>G</w:t>
      </w:r>
      <w:r w:rsidRPr="00DF0680">
        <w:rPr>
          <w:rFonts w:ascii="Courier New" w:hAnsi="Courier New" w:cs="Courier New"/>
          <w:color w:val="FF0000"/>
          <w:sz w:val="18"/>
          <w:szCs w:val="20"/>
          <w:highlight w:val="white"/>
        </w:rPr>
        <w:t>GCGTGCACACAGCCCTTTTC</w:t>
      </w:r>
      <w:r w:rsidRPr="00DF0680">
        <w:rPr>
          <w:rFonts w:ascii="Courier New" w:hAnsi="Courier New" w:cs="Courier New"/>
          <w:sz w:val="18"/>
          <w:szCs w:val="20"/>
          <w:highlight w:val="white"/>
        </w:rPr>
        <w:t xml:space="preserve"> </w:t>
      </w:r>
      <w:r w:rsidRPr="00DF0680">
        <w:rPr>
          <w:rFonts w:ascii="Courier New" w:hAnsi="Courier New" w:cs="Courier New"/>
          <w:sz w:val="18"/>
          <w:szCs w:val="20"/>
          <w:highlight w:val="white"/>
        </w:rPr>
        <w:br/>
        <w:t xml:space="preserve">RT43UTR     540 </w:t>
      </w:r>
      <w:r w:rsidRPr="00DF0680">
        <w:rPr>
          <w:rFonts w:ascii="Courier New" w:hAnsi="Courier New" w:cs="Courier New"/>
          <w:color w:val="FF0000"/>
          <w:sz w:val="18"/>
          <w:szCs w:val="20"/>
          <w:highlight w:val="white"/>
        </w:rPr>
        <w:t>GTGTTGTTGTGGGGCATGCA</w:t>
      </w:r>
      <w:r w:rsidRPr="00DF0680">
        <w:rPr>
          <w:rFonts w:ascii="Courier New" w:hAnsi="Courier New" w:cs="Courier New"/>
          <w:sz w:val="18"/>
          <w:szCs w:val="20"/>
          <w:highlight w:val="white"/>
        </w:rPr>
        <w:t>G</w:t>
      </w:r>
      <w:r w:rsidRPr="00DF0680">
        <w:rPr>
          <w:rFonts w:ascii="Courier New" w:hAnsi="Courier New" w:cs="Courier New"/>
          <w:color w:val="FF0000"/>
          <w:sz w:val="18"/>
          <w:szCs w:val="20"/>
          <w:highlight w:val="white"/>
        </w:rPr>
        <w:t>GCGTGCACACAGCCCTTTTC</w:t>
      </w:r>
      <w:r w:rsidRPr="00DF0680">
        <w:rPr>
          <w:rFonts w:ascii="Courier New" w:hAnsi="Courier New" w:cs="Courier New"/>
          <w:sz w:val="18"/>
          <w:szCs w:val="20"/>
          <w:highlight w:val="white"/>
        </w:rPr>
        <w:br/>
        <w:t xml:space="preserve">RT1123UTR   539 </w:t>
      </w:r>
      <w:r w:rsidRPr="00DF0680">
        <w:rPr>
          <w:rFonts w:ascii="Courier New" w:hAnsi="Courier New" w:cs="Courier New"/>
          <w:color w:val="FF0000"/>
          <w:sz w:val="18"/>
          <w:szCs w:val="20"/>
          <w:highlight w:val="white"/>
        </w:rPr>
        <w:t>GTGTTGTTGTGGGGCATGCA</w:t>
      </w:r>
      <w:r w:rsidRPr="00DF0680">
        <w:rPr>
          <w:rFonts w:ascii="Courier New" w:hAnsi="Courier New" w:cs="Courier New"/>
          <w:sz w:val="18"/>
          <w:szCs w:val="20"/>
          <w:highlight w:val="white"/>
        </w:rPr>
        <w:t>N</w:t>
      </w:r>
      <w:r w:rsidRPr="00DF0680">
        <w:rPr>
          <w:rFonts w:ascii="Courier New" w:hAnsi="Courier New" w:cs="Courier New"/>
          <w:color w:val="FF0000"/>
          <w:sz w:val="18"/>
          <w:szCs w:val="20"/>
          <w:highlight w:val="white"/>
        </w:rPr>
        <w:t>GCGTGCACACAGCCCTTTTC</w:t>
      </w:r>
      <w:r w:rsidRPr="00DF0680">
        <w:rPr>
          <w:rFonts w:ascii="Courier New" w:hAnsi="Courier New" w:cs="Courier New"/>
          <w:sz w:val="18"/>
          <w:szCs w:val="20"/>
          <w:highlight w:val="white"/>
        </w:rPr>
        <w:br/>
        <w:t xml:space="preserve">consensus   541 ******************** ********************                                        </w:t>
      </w:r>
      <w:r w:rsidRPr="00DF0680">
        <w:rPr>
          <w:rFonts w:ascii="Courier New" w:hAnsi="Courier New" w:cs="Courier New"/>
          <w:sz w:val="18"/>
          <w:szCs w:val="20"/>
          <w:highlight w:val="white"/>
        </w:rPr>
        <w:br/>
      </w:r>
    </w:p>
    <w:p w:rsidR="00A6439C" w:rsidRPr="00DF0680" w:rsidRDefault="00A6439C" w:rsidP="00A6439C">
      <w:pPr>
        <w:spacing w:after="0"/>
        <w:jc w:val="left"/>
        <w:rPr>
          <w:rFonts w:cs="Times New Roman"/>
        </w:rPr>
      </w:pPr>
    </w:p>
    <w:p w:rsidR="00A6439C" w:rsidRPr="00DF0680" w:rsidRDefault="00980433" w:rsidP="00A6439C">
      <w:pPr>
        <w:rPr>
          <w:rFonts w:cs="Times New Roman"/>
          <w:b/>
          <w:sz w:val="28"/>
        </w:rPr>
      </w:pPr>
      <w:r w:rsidRPr="00DF0680">
        <w:rPr>
          <w:rFonts w:cs="Times New Roman"/>
          <w:b/>
          <w:sz w:val="28"/>
        </w:rPr>
        <w:t>DNA f</w:t>
      </w:r>
      <w:r w:rsidR="00A6439C" w:rsidRPr="00DF0680">
        <w:rPr>
          <w:rFonts w:cs="Times New Roman"/>
          <w:b/>
          <w:sz w:val="28"/>
        </w:rPr>
        <w:t xml:space="preserve">ibre IdU </w:t>
      </w:r>
      <w:r w:rsidRPr="00DF0680">
        <w:rPr>
          <w:rFonts w:cs="Times New Roman"/>
          <w:b/>
          <w:sz w:val="28"/>
        </w:rPr>
        <w:t>d</w:t>
      </w:r>
      <w:r w:rsidR="00A6439C" w:rsidRPr="00DF0680">
        <w:rPr>
          <w:rFonts w:cs="Times New Roman"/>
          <w:b/>
          <w:sz w:val="28"/>
        </w:rPr>
        <w:t>ata</w:t>
      </w:r>
    </w:p>
    <w:p w:rsidR="00A6439C" w:rsidRPr="00DF0680" w:rsidRDefault="00980433" w:rsidP="00A6439C">
      <w:pPr>
        <w:spacing w:line="276" w:lineRule="auto"/>
        <w:jc w:val="center"/>
        <w:rPr>
          <w:rFonts w:cs="Times New Roman"/>
        </w:rPr>
      </w:pPr>
      <w:r w:rsidRPr="00DF0680">
        <w:rPr>
          <w:rFonts w:cs="Times New Roman"/>
        </w:rPr>
        <w:drawing>
          <wp:inline distT="0" distB="0" distL="0" distR="0">
            <wp:extent cx="2865871" cy="4379494"/>
            <wp:effectExtent l="0" t="0" r="0" b="0"/>
            <wp:docPr id="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cstate="print"/>
                    <a:srcRect/>
                    <a:stretch>
                      <a:fillRect/>
                    </a:stretch>
                  </pic:blipFill>
                  <pic:spPr bwMode="auto">
                    <a:xfrm>
                      <a:off x="0" y="0"/>
                      <a:ext cx="2865843" cy="4379451"/>
                    </a:xfrm>
                    <a:prstGeom prst="rect">
                      <a:avLst/>
                    </a:prstGeom>
                    <a:noFill/>
                    <a:ln w="9525">
                      <a:noFill/>
                      <a:miter lim="800000"/>
                      <a:headEnd/>
                      <a:tailEnd/>
                    </a:ln>
                  </pic:spPr>
                </pic:pic>
              </a:graphicData>
            </a:graphic>
          </wp:inline>
        </w:drawing>
      </w:r>
    </w:p>
    <w:p w:rsidR="00A6439C" w:rsidRPr="00DF0680" w:rsidRDefault="00A6439C" w:rsidP="00A6439C">
      <w:pPr>
        <w:spacing w:line="276" w:lineRule="auto"/>
        <w:rPr>
          <w:rFonts w:cs="Times New Roman"/>
        </w:rPr>
      </w:pPr>
      <w:r w:rsidRPr="00DF0680">
        <w:rPr>
          <w:rFonts w:cs="Times New Roman"/>
          <w:b/>
          <w:bCs/>
        </w:rPr>
        <w:t xml:space="preserve">Replication fork speed in </w:t>
      </w:r>
      <w:r w:rsidR="00471D18" w:rsidRPr="00DF0680">
        <w:rPr>
          <w:rFonts w:cs="Times New Roman"/>
          <w:b/>
          <w:bCs/>
        </w:rPr>
        <w:t>MRC5V2</w:t>
      </w:r>
      <w:r w:rsidRPr="00DF0680">
        <w:rPr>
          <w:rFonts w:cs="Times New Roman"/>
          <w:b/>
          <w:bCs/>
        </w:rPr>
        <w:t xml:space="preserve">+Q5 cells with RECQL5β siRNA </w:t>
      </w:r>
    </w:p>
    <w:p w:rsidR="00980433" w:rsidRPr="00DF0680" w:rsidRDefault="00471D18">
      <w:pPr>
        <w:spacing w:line="276" w:lineRule="auto"/>
        <w:jc w:val="left"/>
        <w:rPr>
          <w:rFonts w:cs="Times New Roman"/>
        </w:rPr>
      </w:pPr>
      <w:r w:rsidRPr="00DF0680">
        <w:rPr>
          <w:rFonts w:cs="Times New Roman"/>
        </w:rPr>
        <w:t>MRC5V2</w:t>
      </w:r>
      <w:r w:rsidR="00A6439C" w:rsidRPr="00DF0680">
        <w:rPr>
          <w:rFonts w:cs="Times New Roman"/>
        </w:rPr>
        <w:t>+Q5 cells were tra</w:t>
      </w:r>
      <w:r w:rsidR="00336FBD">
        <w:rPr>
          <w:rFonts w:cs="Times New Roman"/>
        </w:rPr>
        <w:t>nsfected with a pool of 2 siRNA</w:t>
      </w:r>
      <w:r w:rsidR="00A6439C" w:rsidRPr="00DF0680">
        <w:rPr>
          <w:rFonts w:cs="Times New Roman"/>
        </w:rPr>
        <w:t>s targeting all three isoforms of RECQL5 (Q5), RECQL5β (Q5β) or transfected with a non-targeting control (Con). DNA fibre analysis was performed on RECQL5 depleted cells and fork speed measured. Average and standard deviations of the means of fork speed from three experiments are shown for IdU (A) (Q5 RNAi data is only from two repeats). * indicates a Student’s t-test p value of &lt; 0.05. (B) Distr</w:t>
      </w:r>
      <w:r w:rsidR="00336FBD">
        <w:rPr>
          <w:rFonts w:cs="Times New Roman"/>
        </w:rPr>
        <w:t>ibution of these forks for IdU is</w:t>
      </w:r>
      <w:r w:rsidR="00A6439C" w:rsidRPr="00DF0680">
        <w:rPr>
          <w:rFonts w:cs="Times New Roman"/>
        </w:rPr>
        <w:t xml:space="preserve"> shown. Mean and standard deviation of three independent repeats are shown. </w:t>
      </w:r>
      <w:r w:rsidR="00980433" w:rsidRPr="00DF0680">
        <w:rPr>
          <w:rFonts w:cs="Times New Roman"/>
        </w:rPr>
        <w:br w:type="page"/>
      </w:r>
    </w:p>
    <w:p w:rsidR="00A6439C" w:rsidRPr="00DF0680" w:rsidRDefault="00A6439C" w:rsidP="00A6439C">
      <w:pPr>
        <w:spacing w:line="276" w:lineRule="auto"/>
        <w:rPr>
          <w:rFonts w:cs="Times New Roman"/>
        </w:rPr>
      </w:pPr>
    </w:p>
    <w:p w:rsidR="00A6439C" w:rsidRPr="00DF0680" w:rsidRDefault="00A6439C" w:rsidP="00A6439C">
      <w:pPr>
        <w:spacing w:line="276" w:lineRule="auto"/>
        <w:rPr>
          <w:rFonts w:cs="Times New Roman"/>
        </w:rPr>
      </w:pPr>
    </w:p>
    <w:p w:rsidR="00A6439C" w:rsidRPr="00DF0680" w:rsidRDefault="00980433" w:rsidP="00A6439C">
      <w:pPr>
        <w:spacing w:line="276" w:lineRule="auto"/>
        <w:jc w:val="center"/>
        <w:rPr>
          <w:rFonts w:cs="Times New Roman"/>
        </w:rPr>
      </w:pPr>
      <w:r w:rsidRPr="00DF0680">
        <w:rPr>
          <w:rFonts w:cs="Times New Roman"/>
        </w:rPr>
        <w:drawing>
          <wp:inline distT="0" distB="0" distL="0" distR="0">
            <wp:extent cx="3729990" cy="5414010"/>
            <wp:effectExtent l="0" t="0" r="0" b="0"/>
            <wp:docPr id="9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cstate="print"/>
                    <a:srcRect/>
                    <a:stretch>
                      <a:fillRect/>
                    </a:stretch>
                  </pic:blipFill>
                  <pic:spPr bwMode="auto">
                    <a:xfrm>
                      <a:off x="0" y="0"/>
                      <a:ext cx="3729990" cy="5414010"/>
                    </a:xfrm>
                    <a:prstGeom prst="rect">
                      <a:avLst/>
                    </a:prstGeom>
                    <a:noFill/>
                    <a:ln w="9525">
                      <a:noFill/>
                      <a:miter lim="800000"/>
                      <a:headEnd/>
                      <a:tailEnd/>
                    </a:ln>
                  </pic:spPr>
                </pic:pic>
              </a:graphicData>
            </a:graphic>
          </wp:inline>
        </w:drawing>
      </w:r>
    </w:p>
    <w:p w:rsidR="00A6439C" w:rsidRPr="00DF0680" w:rsidRDefault="00A6439C" w:rsidP="00A6439C">
      <w:pPr>
        <w:spacing w:line="276" w:lineRule="auto"/>
        <w:rPr>
          <w:rFonts w:cs="Times New Roman"/>
        </w:rPr>
      </w:pPr>
      <w:r w:rsidRPr="00DF0680">
        <w:rPr>
          <w:rFonts w:cs="Times New Roman"/>
          <w:b/>
          <w:bCs/>
        </w:rPr>
        <w:t xml:space="preserve">Replication fork speed in </w:t>
      </w:r>
      <w:r w:rsidR="00471D18" w:rsidRPr="00DF0680">
        <w:rPr>
          <w:rFonts w:cs="Times New Roman"/>
          <w:b/>
          <w:bCs/>
        </w:rPr>
        <w:t>MRC5V2</w:t>
      </w:r>
      <w:r w:rsidRPr="00DF0680">
        <w:rPr>
          <w:rFonts w:cs="Times New Roman"/>
          <w:b/>
          <w:bCs/>
        </w:rPr>
        <w:t xml:space="preserve"> cells depleted of RECQL5β </w:t>
      </w:r>
    </w:p>
    <w:p w:rsidR="00980433" w:rsidRPr="00DF0680" w:rsidRDefault="00471D18">
      <w:pPr>
        <w:spacing w:line="276" w:lineRule="auto"/>
        <w:jc w:val="left"/>
        <w:rPr>
          <w:rFonts w:cs="Times New Roman"/>
        </w:rPr>
      </w:pPr>
      <w:r w:rsidRPr="00DF0680">
        <w:rPr>
          <w:rFonts w:cs="Times New Roman"/>
        </w:rPr>
        <w:t>MRC5V2</w:t>
      </w:r>
      <w:r w:rsidR="00A6439C" w:rsidRPr="00DF0680">
        <w:rPr>
          <w:rFonts w:cs="Times New Roman"/>
        </w:rPr>
        <w:t xml:space="preserve"> cells were depleted of RECQL5β using siRNA targeting RECQL5β (Q5β) or transfected with a non-targeting control (Con) and fork dynamics measured using DNA fibre analysis techniques. Fork speed averages (A), and fork speed distribution (B) for IdU tracts are shown.. For each graph, averages and standard deviations from three repeats are shown. There were no significant differences in fork dynamics between control and RECQL5β depleted cells. </w:t>
      </w:r>
      <w:r w:rsidR="00980433" w:rsidRPr="00DF0680">
        <w:rPr>
          <w:rFonts w:cs="Times New Roman"/>
        </w:rPr>
        <w:br w:type="page"/>
      </w:r>
    </w:p>
    <w:p w:rsidR="00A6439C" w:rsidRPr="00DF0680" w:rsidRDefault="00A6439C" w:rsidP="00A6439C">
      <w:pPr>
        <w:spacing w:line="276" w:lineRule="auto"/>
        <w:rPr>
          <w:rFonts w:cs="Times New Roman"/>
        </w:rPr>
      </w:pPr>
    </w:p>
    <w:p w:rsidR="00980433" w:rsidRPr="00DF0680" w:rsidRDefault="00980433" w:rsidP="00A6439C">
      <w:pPr>
        <w:spacing w:line="276" w:lineRule="auto"/>
        <w:rPr>
          <w:rFonts w:cs="Times New Roman"/>
        </w:rPr>
      </w:pPr>
    </w:p>
    <w:p w:rsidR="00A6439C" w:rsidRPr="00DF0680" w:rsidRDefault="00980433" w:rsidP="00A6439C">
      <w:pPr>
        <w:spacing w:line="276" w:lineRule="auto"/>
        <w:jc w:val="center"/>
        <w:rPr>
          <w:rFonts w:cs="Times New Roman"/>
        </w:rPr>
      </w:pPr>
      <w:r w:rsidRPr="00DF0680">
        <w:drawing>
          <wp:inline distT="0" distB="0" distL="0" distR="0">
            <wp:extent cx="5400040" cy="4269992"/>
            <wp:effectExtent l="0" t="0" r="0" b="0"/>
            <wp:docPr id="9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cstate="print"/>
                    <a:srcRect/>
                    <a:stretch>
                      <a:fillRect/>
                    </a:stretch>
                  </pic:blipFill>
                  <pic:spPr bwMode="auto">
                    <a:xfrm>
                      <a:off x="0" y="0"/>
                      <a:ext cx="5400040" cy="4269992"/>
                    </a:xfrm>
                    <a:prstGeom prst="rect">
                      <a:avLst/>
                    </a:prstGeom>
                    <a:noFill/>
                    <a:ln w="9525">
                      <a:noFill/>
                      <a:miter lim="800000"/>
                      <a:headEnd/>
                      <a:tailEnd/>
                    </a:ln>
                  </pic:spPr>
                </pic:pic>
              </a:graphicData>
            </a:graphic>
          </wp:inline>
        </w:drawing>
      </w:r>
    </w:p>
    <w:p w:rsidR="00A6439C" w:rsidRPr="00DF0680" w:rsidRDefault="00A6439C" w:rsidP="00A6439C">
      <w:pPr>
        <w:tabs>
          <w:tab w:val="left" w:pos="3697"/>
        </w:tabs>
        <w:spacing w:line="276" w:lineRule="auto"/>
        <w:rPr>
          <w:rFonts w:cs="Times New Roman"/>
        </w:rPr>
      </w:pPr>
    </w:p>
    <w:p w:rsidR="00A6439C" w:rsidRPr="00DF0680" w:rsidRDefault="00A6439C" w:rsidP="00A6439C">
      <w:pPr>
        <w:tabs>
          <w:tab w:val="left" w:pos="3697"/>
        </w:tabs>
        <w:spacing w:line="276" w:lineRule="auto"/>
        <w:rPr>
          <w:rFonts w:cs="Times New Roman"/>
          <w:szCs w:val="24"/>
        </w:rPr>
      </w:pPr>
      <w:r w:rsidRPr="00DF0680">
        <w:rPr>
          <w:rFonts w:cs="Times New Roman"/>
          <w:b/>
          <w:bCs/>
          <w:szCs w:val="24"/>
        </w:rPr>
        <w:t xml:space="preserve">Replication fork speed in </w:t>
      </w:r>
      <w:r w:rsidR="00471D18" w:rsidRPr="00DF0680">
        <w:rPr>
          <w:rFonts w:cs="Times New Roman"/>
          <w:b/>
          <w:bCs/>
          <w:szCs w:val="24"/>
        </w:rPr>
        <w:t>MRC5V2</w:t>
      </w:r>
      <w:r w:rsidRPr="00DF0680">
        <w:rPr>
          <w:rFonts w:cs="Times New Roman"/>
          <w:b/>
          <w:bCs/>
          <w:szCs w:val="24"/>
        </w:rPr>
        <w:t xml:space="preserve"> cells over-expressing RECQL5β, during camptothecin treatment</w:t>
      </w:r>
    </w:p>
    <w:p w:rsidR="00980433" w:rsidRPr="00DF0680" w:rsidRDefault="00A6439C">
      <w:pPr>
        <w:spacing w:line="276" w:lineRule="auto"/>
        <w:jc w:val="left"/>
        <w:rPr>
          <w:rFonts w:cs="Times New Roman"/>
          <w:szCs w:val="24"/>
        </w:rPr>
      </w:pPr>
      <w:r w:rsidRPr="00DF0680">
        <w:rPr>
          <w:rFonts w:cs="Times New Roman"/>
          <w:szCs w:val="24"/>
        </w:rPr>
        <w:t xml:space="preserve">Wild-type </w:t>
      </w:r>
      <w:r w:rsidR="00471D18" w:rsidRPr="00DF0680">
        <w:rPr>
          <w:rFonts w:cs="Times New Roman"/>
          <w:szCs w:val="24"/>
        </w:rPr>
        <w:t>MRC5V2</w:t>
      </w:r>
      <w:r w:rsidRPr="00DF0680">
        <w:rPr>
          <w:rFonts w:cs="Times New Roman"/>
          <w:szCs w:val="24"/>
        </w:rPr>
        <w:t xml:space="preserve"> cells and those over-expressing RECQL5 (</w:t>
      </w:r>
      <w:r w:rsidR="00471D18" w:rsidRPr="00DF0680">
        <w:rPr>
          <w:rFonts w:cs="Times New Roman"/>
          <w:szCs w:val="24"/>
        </w:rPr>
        <w:t>MRC5V2</w:t>
      </w:r>
      <w:r w:rsidRPr="00DF0680">
        <w:rPr>
          <w:rFonts w:cs="Times New Roman"/>
          <w:szCs w:val="24"/>
        </w:rPr>
        <w:t>+Q5) and helicase-dead RECQL5 (</w:t>
      </w:r>
      <w:r w:rsidR="00471D18" w:rsidRPr="00DF0680">
        <w:rPr>
          <w:rFonts w:cs="Times New Roman"/>
          <w:szCs w:val="24"/>
        </w:rPr>
        <w:t>MRC5V2</w:t>
      </w:r>
      <w:r w:rsidRPr="00DF0680">
        <w:rPr>
          <w:rFonts w:cs="Times New Roman"/>
          <w:szCs w:val="24"/>
        </w:rPr>
        <w:t xml:space="preserve">+Q5KR) were incubated with both thymidine </w:t>
      </w:r>
      <w:r w:rsidR="00FE547D" w:rsidRPr="00DF0680">
        <w:rPr>
          <w:rFonts w:cs="Times New Roman"/>
          <w:szCs w:val="24"/>
        </w:rPr>
        <w:t>analogue</w:t>
      </w:r>
      <w:r w:rsidRPr="00DF0680">
        <w:rPr>
          <w:rFonts w:cs="Times New Roman"/>
          <w:szCs w:val="24"/>
        </w:rPr>
        <w:t>s in the presence of 10 nM CPT. Average of the means of fork speed calculated from IdU tracts (A). Distribution of fork speeds during CPT treatment are shown for IdU in wild-type (B), RECQL5 over-expressing (C), and helicase-dead expressing cells (D). *</w:t>
      </w:r>
      <w:r w:rsidR="00977C24" w:rsidRPr="00DF0680">
        <w:rPr>
          <w:rFonts w:cs="Times New Roman"/>
          <w:szCs w:val="24"/>
        </w:rPr>
        <w:t>**</w:t>
      </w:r>
      <w:r w:rsidRPr="00DF0680">
        <w:rPr>
          <w:rFonts w:cs="Times New Roman"/>
          <w:szCs w:val="24"/>
        </w:rPr>
        <w:t xml:space="preserve"> indicates a S</w:t>
      </w:r>
      <w:r w:rsidR="00977C24" w:rsidRPr="00DF0680">
        <w:rPr>
          <w:rFonts w:cs="Times New Roman"/>
          <w:szCs w:val="24"/>
        </w:rPr>
        <w:t>tudent’s t-test p value of &lt;0.0001</w:t>
      </w:r>
      <w:r w:rsidRPr="00DF0680">
        <w:rPr>
          <w:rFonts w:cs="Times New Roman"/>
          <w:szCs w:val="24"/>
        </w:rPr>
        <w:t xml:space="preserve">. </w:t>
      </w:r>
      <w:r w:rsidR="00980433" w:rsidRPr="00DF0680">
        <w:rPr>
          <w:rFonts w:cs="Times New Roman"/>
          <w:szCs w:val="24"/>
        </w:rPr>
        <w:br w:type="page"/>
      </w:r>
    </w:p>
    <w:p w:rsidR="00A6439C" w:rsidRPr="00DF0680" w:rsidRDefault="00A6439C" w:rsidP="00A6439C">
      <w:pPr>
        <w:tabs>
          <w:tab w:val="left" w:pos="3697"/>
        </w:tabs>
        <w:spacing w:line="276" w:lineRule="auto"/>
        <w:rPr>
          <w:rFonts w:cs="Times New Roman"/>
          <w:szCs w:val="24"/>
        </w:rPr>
      </w:pPr>
    </w:p>
    <w:p w:rsidR="00A6439C" w:rsidRPr="00DF0680" w:rsidRDefault="00A6439C" w:rsidP="00A6439C">
      <w:pPr>
        <w:tabs>
          <w:tab w:val="left" w:pos="3697"/>
        </w:tabs>
        <w:spacing w:line="276" w:lineRule="auto"/>
        <w:rPr>
          <w:rFonts w:cs="Times New Roman"/>
          <w:szCs w:val="24"/>
        </w:rPr>
      </w:pPr>
    </w:p>
    <w:p w:rsidR="00A6439C" w:rsidRPr="00DF0680" w:rsidRDefault="001E5AB8" w:rsidP="00A6439C">
      <w:pPr>
        <w:tabs>
          <w:tab w:val="left" w:pos="3697"/>
        </w:tabs>
        <w:spacing w:line="276" w:lineRule="auto"/>
        <w:rPr>
          <w:rFonts w:cs="Times New Roman"/>
        </w:rPr>
      </w:pPr>
      <w:r w:rsidRPr="00DF0680">
        <w:drawing>
          <wp:inline distT="0" distB="0" distL="0" distR="0">
            <wp:extent cx="5400040" cy="4082150"/>
            <wp:effectExtent l="0" t="0" r="0" b="0"/>
            <wp:docPr id="9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cstate="print"/>
                    <a:srcRect/>
                    <a:stretch>
                      <a:fillRect/>
                    </a:stretch>
                  </pic:blipFill>
                  <pic:spPr bwMode="auto">
                    <a:xfrm>
                      <a:off x="0" y="0"/>
                      <a:ext cx="5400040" cy="4082150"/>
                    </a:xfrm>
                    <a:prstGeom prst="rect">
                      <a:avLst/>
                    </a:prstGeom>
                    <a:noFill/>
                    <a:ln w="9525">
                      <a:noFill/>
                      <a:miter lim="800000"/>
                      <a:headEnd/>
                      <a:tailEnd/>
                    </a:ln>
                  </pic:spPr>
                </pic:pic>
              </a:graphicData>
            </a:graphic>
          </wp:inline>
        </w:drawing>
      </w:r>
    </w:p>
    <w:p w:rsidR="00A6439C" w:rsidRPr="00DF0680" w:rsidRDefault="00A6439C" w:rsidP="00A6439C">
      <w:pPr>
        <w:spacing w:line="276" w:lineRule="auto"/>
        <w:rPr>
          <w:rFonts w:cs="Times New Roman"/>
          <w:b/>
          <w:bCs/>
        </w:rPr>
      </w:pPr>
    </w:p>
    <w:p w:rsidR="00A6439C" w:rsidRPr="00DF0680" w:rsidRDefault="00A6439C" w:rsidP="00A6439C">
      <w:pPr>
        <w:spacing w:line="276" w:lineRule="auto"/>
        <w:rPr>
          <w:rFonts w:cs="Times New Roman"/>
        </w:rPr>
      </w:pPr>
      <w:r w:rsidRPr="00DF0680">
        <w:rPr>
          <w:rFonts w:cs="Times New Roman"/>
          <w:b/>
          <w:bCs/>
        </w:rPr>
        <w:t xml:space="preserve">Replication fork speed in </w:t>
      </w:r>
      <w:r w:rsidR="00471D18" w:rsidRPr="00DF0680">
        <w:rPr>
          <w:rFonts w:cs="Times New Roman"/>
          <w:b/>
          <w:bCs/>
        </w:rPr>
        <w:t>MRC5V2</w:t>
      </w:r>
      <w:r w:rsidRPr="00DF0680">
        <w:rPr>
          <w:rFonts w:cs="Times New Roman"/>
          <w:b/>
          <w:bCs/>
        </w:rPr>
        <w:t xml:space="preserve"> cells over-expressing RECQL5β, during DRB treatment</w:t>
      </w:r>
    </w:p>
    <w:p w:rsidR="00980433" w:rsidRPr="00DF0680" w:rsidRDefault="00A6439C">
      <w:pPr>
        <w:spacing w:line="276" w:lineRule="auto"/>
        <w:jc w:val="left"/>
        <w:rPr>
          <w:rFonts w:cs="Times New Roman"/>
        </w:rPr>
      </w:pPr>
      <w:r w:rsidRPr="00DF0680">
        <w:rPr>
          <w:rFonts w:cs="Times New Roman"/>
        </w:rPr>
        <w:t xml:space="preserve">Wild-type </w:t>
      </w:r>
      <w:r w:rsidR="00471D18" w:rsidRPr="00DF0680">
        <w:rPr>
          <w:rFonts w:cs="Times New Roman"/>
        </w:rPr>
        <w:t>MRC5V2</w:t>
      </w:r>
      <w:r w:rsidRPr="00DF0680">
        <w:rPr>
          <w:rFonts w:cs="Times New Roman"/>
        </w:rPr>
        <w:t xml:space="preserve"> cells and those over-expressing RECQL5 (</w:t>
      </w:r>
      <w:r w:rsidR="00471D18" w:rsidRPr="00DF0680">
        <w:rPr>
          <w:rFonts w:cs="Times New Roman"/>
        </w:rPr>
        <w:t>MRC5V2</w:t>
      </w:r>
      <w:r w:rsidRPr="00DF0680">
        <w:rPr>
          <w:rFonts w:cs="Times New Roman"/>
        </w:rPr>
        <w:t>+Q5) and helicase-dead RECQL5 (</w:t>
      </w:r>
      <w:r w:rsidR="00471D18" w:rsidRPr="00DF0680">
        <w:rPr>
          <w:rFonts w:cs="Times New Roman"/>
        </w:rPr>
        <w:t>MRC5V2</w:t>
      </w:r>
      <w:r w:rsidRPr="00DF0680">
        <w:rPr>
          <w:rFonts w:cs="Times New Roman"/>
        </w:rPr>
        <w:t xml:space="preserve">+Q5KR) were incubated with both thymidine </w:t>
      </w:r>
      <w:r w:rsidR="00FE547D" w:rsidRPr="00DF0680">
        <w:rPr>
          <w:rFonts w:cs="Times New Roman"/>
        </w:rPr>
        <w:t>analogue</w:t>
      </w:r>
      <w:r w:rsidRPr="00DF0680">
        <w:rPr>
          <w:rFonts w:cs="Times New Roman"/>
        </w:rPr>
        <w:t>s in the presence of 10 nM DRB. Average of the means of fork speed calculated from IdU tracts (A). Distribution of fork speeds during CPT treatment are shown for IdU in wild-type (B), RECQL5 over-expressing (C), and helic</w:t>
      </w:r>
      <w:r w:rsidR="00977C24" w:rsidRPr="00DF0680">
        <w:rPr>
          <w:rFonts w:cs="Times New Roman"/>
        </w:rPr>
        <w:t>ase-dead expressing cells (D). * and *** indicate</w:t>
      </w:r>
      <w:r w:rsidRPr="00DF0680">
        <w:rPr>
          <w:rFonts w:cs="Times New Roman"/>
        </w:rPr>
        <w:t xml:space="preserve"> a Student’s t-test p value of &lt;0.05</w:t>
      </w:r>
      <w:r w:rsidR="00977C24" w:rsidRPr="00DF0680">
        <w:rPr>
          <w:rFonts w:cs="Times New Roman"/>
        </w:rPr>
        <w:t xml:space="preserve"> and 0.0001 respectively</w:t>
      </w:r>
      <w:r w:rsidRPr="00DF0680">
        <w:rPr>
          <w:rFonts w:cs="Times New Roman"/>
        </w:rPr>
        <w:t xml:space="preserve">. </w:t>
      </w:r>
      <w:r w:rsidR="00980433" w:rsidRPr="00DF0680">
        <w:rPr>
          <w:rFonts w:cs="Times New Roman"/>
        </w:rPr>
        <w:br w:type="page"/>
      </w:r>
    </w:p>
    <w:p w:rsidR="00A6439C" w:rsidRPr="00DF0680" w:rsidRDefault="00A6439C" w:rsidP="00A6439C">
      <w:pPr>
        <w:spacing w:line="276" w:lineRule="auto"/>
        <w:rPr>
          <w:rFonts w:cs="Times New Roman"/>
        </w:rPr>
      </w:pPr>
    </w:p>
    <w:p w:rsidR="00A6439C" w:rsidRPr="00DF0680" w:rsidRDefault="00A6439C" w:rsidP="00A6439C">
      <w:pPr>
        <w:spacing w:line="276" w:lineRule="auto"/>
        <w:rPr>
          <w:rFonts w:cs="Times New Roman"/>
        </w:rPr>
      </w:pPr>
    </w:p>
    <w:p w:rsidR="00A6439C" w:rsidRPr="00DF0680" w:rsidRDefault="00A6439C" w:rsidP="00A6439C">
      <w:pPr>
        <w:spacing w:line="276" w:lineRule="auto"/>
        <w:rPr>
          <w:rFonts w:cs="Times New Roman"/>
        </w:rPr>
      </w:pPr>
    </w:p>
    <w:p w:rsidR="00A6439C" w:rsidRPr="00DF0680" w:rsidRDefault="001E5AB8" w:rsidP="00A6439C">
      <w:pPr>
        <w:spacing w:line="276" w:lineRule="auto"/>
        <w:rPr>
          <w:rFonts w:cs="Times New Roman"/>
        </w:rPr>
      </w:pPr>
      <w:r w:rsidRPr="00DF0680">
        <w:drawing>
          <wp:inline distT="0" distB="0" distL="0" distR="0">
            <wp:extent cx="5053330" cy="3705860"/>
            <wp:effectExtent l="0" t="0" r="0" b="0"/>
            <wp:docPr id="9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cstate="print"/>
                    <a:srcRect/>
                    <a:stretch>
                      <a:fillRect/>
                    </a:stretch>
                  </pic:blipFill>
                  <pic:spPr bwMode="auto">
                    <a:xfrm>
                      <a:off x="0" y="0"/>
                      <a:ext cx="5053330" cy="3705860"/>
                    </a:xfrm>
                    <a:prstGeom prst="rect">
                      <a:avLst/>
                    </a:prstGeom>
                    <a:noFill/>
                    <a:ln w="9525">
                      <a:noFill/>
                      <a:miter lim="800000"/>
                      <a:headEnd/>
                      <a:tailEnd/>
                    </a:ln>
                  </pic:spPr>
                </pic:pic>
              </a:graphicData>
            </a:graphic>
          </wp:inline>
        </w:drawing>
      </w:r>
    </w:p>
    <w:p w:rsidR="00A6439C" w:rsidRPr="00DF0680" w:rsidRDefault="00A6439C" w:rsidP="00A6439C">
      <w:pPr>
        <w:spacing w:line="276" w:lineRule="auto"/>
        <w:rPr>
          <w:rFonts w:cs="Times New Roman"/>
        </w:rPr>
      </w:pPr>
      <w:r w:rsidRPr="00DF0680">
        <w:rPr>
          <w:rFonts w:cs="Times New Roman"/>
          <w:b/>
          <w:bCs/>
        </w:rPr>
        <w:t xml:space="preserve">Replication fork speed in </w:t>
      </w:r>
      <w:r w:rsidR="00471D18" w:rsidRPr="00DF0680">
        <w:rPr>
          <w:rFonts w:cs="Times New Roman"/>
          <w:b/>
          <w:bCs/>
        </w:rPr>
        <w:t>MRC5V2</w:t>
      </w:r>
      <w:r w:rsidRPr="00DF0680">
        <w:rPr>
          <w:rFonts w:cs="Times New Roman"/>
          <w:b/>
          <w:bCs/>
        </w:rPr>
        <w:t xml:space="preserve"> cells over-expressing RECQL5β, during camptothecin and DRB treatment</w:t>
      </w:r>
    </w:p>
    <w:p w:rsidR="00FE3028" w:rsidRPr="00DF0680" w:rsidRDefault="00A6439C" w:rsidP="00980433">
      <w:pPr>
        <w:spacing w:line="276" w:lineRule="auto"/>
      </w:pPr>
      <w:r w:rsidRPr="00DF0680">
        <w:rPr>
          <w:rFonts w:cs="Times New Roman"/>
        </w:rPr>
        <w:t xml:space="preserve">Wild-type </w:t>
      </w:r>
      <w:r w:rsidR="00471D18" w:rsidRPr="00DF0680">
        <w:rPr>
          <w:rFonts w:cs="Times New Roman"/>
        </w:rPr>
        <w:t>MRC5V2</w:t>
      </w:r>
      <w:r w:rsidRPr="00DF0680">
        <w:rPr>
          <w:rFonts w:cs="Times New Roman"/>
        </w:rPr>
        <w:t xml:space="preserve"> cells and those over-expressing RECQL5 (</w:t>
      </w:r>
      <w:r w:rsidR="00471D18" w:rsidRPr="00DF0680">
        <w:rPr>
          <w:rFonts w:cs="Times New Roman"/>
        </w:rPr>
        <w:t>MRC5V2</w:t>
      </w:r>
      <w:r w:rsidRPr="00DF0680">
        <w:rPr>
          <w:rFonts w:cs="Times New Roman"/>
        </w:rPr>
        <w:t>+Q5) and helicase-dead RECQL5 (</w:t>
      </w:r>
      <w:r w:rsidR="00471D18" w:rsidRPr="00DF0680">
        <w:rPr>
          <w:rFonts w:cs="Times New Roman"/>
        </w:rPr>
        <w:t>MRC5V2</w:t>
      </w:r>
      <w:r w:rsidRPr="00DF0680">
        <w:rPr>
          <w:rFonts w:cs="Times New Roman"/>
        </w:rPr>
        <w:t xml:space="preserve">+Q5KR) were incubated with both thymidine </w:t>
      </w:r>
      <w:r w:rsidR="00FE547D" w:rsidRPr="00DF0680">
        <w:rPr>
          <w:rFonts w:cs="Times New Roman"/>
        </w:rPr>
        <w:t>analogue</w:t>
      </w:r>
      <w:r w:rsidRPr="00DF0680">
        <w:rPr>
          <w:rFonts w:cs="Times New Roman"/>
        </w:rPr>
        <w:t>s in the presence of 10 nM DRB and 10 nM CPT. Average and standard deviations of the means of fork speed calculated from IdU tracts are shown. *</w:t>
      </w:r>
      <w:r w:rsidR="00977C24" w:rsidRPr="00DF0680">
        <w:rPr>
          <w:rFonts w:cs="Times New Roman"/>
        </w:rPr>
        <w:t>,** and *** indicate</w:t>
      </w:r>
      <w:r w:rsidRPr="00DF0680">
        <w:rPr>
          <w:rFonts w:cs="Times New Roman"/>
        </w:rPr>
        <w:t xml:space="preserve"> a Student’s t-test p value of &lt;0.05</w:t>
      </w:r>
      <w:r w:rsidR="00977C24" w:rsidRPr="00DF0680">
        <w:rPr>
          <w:rFonts w:cs="Times New Roman"/>
        </w:rPr>
        <w:t>, 0.001 and 0.0001 respectively</w:t>
      </w:r>
      <w:r w:rsidRPr="00DF0680">
        <w:rPr>
          <w:rFonts w:cs="Times New Roman"/>
        </w:rPr>
        <w:t xml:space="preserve">. </w:t>
      </w:r>
    </w:p>
    <w:p w:rsidR="006832EF" w:rsidRPr="00DF0680" w:rsidRDefault="006832EF" w:rsidP="00A6439C">
      <w:pPr>
        <w:spacing w:line="276" w:lineRule="auto"/>
        <w:rPr>
          <w:rFonts w:cs="Times New Roman"/>
          <w:color w:val="auto"/>
          <w:szCs w:val="24"/>
        </w:rPr>
      </w:pPr>
    </w:p>
    <w:sectPr w:rsidR="006832EF" w:rsidRPr="00DF0680" w:rsidSect="0051096C">
      <w:headerReference w:type="default" r:id="rId97"/>
      <w:pgSz w:w="11906" w:h="16838"/>
      <w:pgMar w:top="1440" w:right="1134" w:bottom="1440"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026D" w:rsidRDefault="0054026D" w:rsidP="00A025CF">
      <w:r>
        <w:separator/>
      </w:r>
    </w:p>
  </w:endnote>
  <w:endnote w:type="continuationSeparator" w:id="0">
    <w:p w:rsidR="0054026D" w:rsidRDefault="0054026D" w:rsidP="00A025C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79541"/>
      <w:docPartObj>
        <w:docPartGallery w:val="Page Numbers (Bottom of Page)"/>
        <w:docPartUnique/>
      </w:docPartObj>
    </w:sdtPr>
    <w:sdtContent>
      <w:p w:rsidR="00AD3F64" w:rsidRDefault="00AD3F64">
        <w:pPr>
          <w:pStyle w:val="Footer"/>
          <w:jc w:val="right"/>
        </w:pPr>
      </w:p>
      <w:p w:rsidR="00AD3F64" w:rsidRDefault="00AD3F64" w:rsidP="003F0F7E">
        <w:pPr>
          <w:pStyle w:val="Footer"/>
          <w:ind w:left="360"/>
          <w:jc w:val="right"/>
        </w:pPr>
        <w:r>
          <w:fldChar w:fldCharType="begin"/>
        </w:r>
        <w:r w:rsidRPr="00AD3855">
          <w:instrText xml:space="preserve"> PAGE   \* MERGEFORMAT </w:instrText>
        </w:r>
        <w:r>
          <w:fldChar w:fldCharType="separate"/>
        </w:r>
        <w:r w:rsidR="001D5097">
          <w:rPr>
            <w:noProof/>
          </w:rPr>
          <w:t>86</w:t>
        </w:r>
        <w:r>
          <w:fldChar w:fldCharType="end"/>
        </w:r>
      </w:p>
    </w:sdtContent>
  </w:sdt>
  <w:p w:rsidR="00AD3F64" w:rsidRDefault="00AD3F6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79542"/>
      <w:docPartObj>
        <w:docPartGallery w:val="Page Numbers (Bottom of Page)"/>
        <w:docPartUnique/>
      </w:docPartObj>
    </w:sdtPr>
    <w:sdtContent>
      <w:p w:rsidR="00AD3F64" w:rsidRDefault="00AD3F64">
        <w:pPr>
          <w:pStyle w:val="Footer"/>
          <w:jc w:val="right"/>
        </w:pPr>
        <w:fldSimple w:instr=" PAGE   \* MERGEFORMAT ">
          <w:r w:rsidR="001D5097">
            <w:rPr>
              <w:noProof/>
            </w:rPr>
            <w:t>113</w:t>
          </w:r>
        </w:fldSimple>
      </w:p>
    </w:sdtContent>
  </w:sdt>
  <w:p w:rsidR="00AD3F64" w:rsidRDefault="00AD3F64">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79543"/>
      <w:docPartObj>
        <w:docPartGallery w:val="Page Numbers (Bottom of Page)"/>
        <w:docPartUnique/>
      </w:docPartObj>
    </w:sdtPr>
    <w:sdtContent>
      <w:p w:rsidR="00AD3F64" w:rsidRDefault="00AD3F64">
        <w:pPr>
          <w:pStyle w:val="Footer"/>
          <w:jc w:val="right"/>
        </w:pPr>
        <w:fldSimple w:instr=" PAGE   \* MERGEFORMAT ">
          <w:r w:rsidR="001D5097">
            <w:rPr>
              <w:noProof/>
            </w:rPr>
            <w:t>147</w:t>
          </w:r>
        </w:fldSimple>
      </w:p>
    </w:sdtContent>
  </w:sdt>
  <w:p w:rsidR="00AD3F64" w:rsidRDefault="00AD3F64">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79544"/>
      <w:docPartObj>
        <w:docPartGallery w:val="Page Numbers (Bottom of Page)"/>
        <w:docPartUnique/>
      </w:docPartObj>
    </w:sdtPr>
    <w:sdtContent>
      <w:p w:rsidR="00AD3F64" w:rsidRDefault="00AD3F64">
        <w:pPr>
          <w:pStyle w:val="Footer"/>
          <w:jc w:val="right"/>
        </w:pPr>
        <w:fldSimple w:instr=" PAGE   \* MERGEFORMAT ">
          <w:r w:rsidR="001D5097">
            <w:rPr>
              <w:noProof/>
            </w:rPr>
            <w:t>243</w:t>
          </w:r>
        </w:fldSimple>
      </w:p>
    </w:sdtContent>
  </w:sdt>
  <w:p w:rsidR="00AD3F64" w:rsidRDefault="00AD3F6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026D" w:rsidRDefault="0054026D" w:rsidP="00A025CF">
      <w:r>
        <w:separator/>
      </w:r>
    </w:p>
  </w:footnote>
  <w:footnote w:type="continuationSeparator" w:id="0">
    <w:p w:rsidR="0054026D" w:rsidRDefault="0054026D" w:rsidP="00A025C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Default="00AD3F64" w:rsidP="0026681D">
    <w:pPr>
      <w:pStyle w:val="Header"/>
      <w:jc w:val="right"/>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Pr="002C4D6B" w:rsidRDefault="00AD3F64" w:rsidP="0051096C">
    <w:pPr>
      <w:pStyle w:val="Header"/>
      <w:jc w:val="right"/>
      <w:rPr>
        <w:rFonts w:cs="Times New Roman"/>
      </w:rPr>
    </w:pPr>
    <w:r>
      <w:rPr>
        <w:rFonts w:cs="Times New Roman"/>
        <w:noProof/>
      </w:rPr>
      <w:pict>
        <v:shapetype id="_x0000_t32" coordsize="21600,21600" o:spt="32" o:oned="t" path="m,l21600,21600e" filled="f">
          <v:path arrowok="t" fillok="f" o:connecttype="none"/>
          <o:lock v:ext="edit" shapetype="t"/>
        </v:shapetype>
        <v:shape id="_x0000_s56332" type="#_x0000_t32" style="position:absolute;left:0;text-align:left;margin-left:-3.6pt;margin-top:17.6pt;width:430.1pt;height:0;flip:x;z-index:251659776" o:connectortype="straight"/>
      </w:pict>
    </w:r>
    <w:r>
      <w:rPr>
        <w:rFonts w:cs="Times New Roman"/>
      </w:rPr>
      <w:t>Chapter 5 – Results</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Pr="002C4D6B" w:rsidRDefault="00AD3F64" w:rsidP="0051096C">
    <w:pPr>
      <w:pStyle w:val="Header"/>
      <w:jc w:val="right"/>
      <w:rPr>
        <w:rFonts w:cs="Times New Roman"/>
      </w:rPr>
    </w:pPr>
    <w:r>
      <w:rPr>
        <w:rFonts w:cs="Times New Roman"/>
        <w:noProof/>
      </w:rPr>
      <w:pict>
        <v:shapetype id="_x0000_t32" coordsize="21600,21600" o:spt="32" o:oned="t" path="m,l21600,21600e" filled="f">
          <v:path arrowok="t" fillok="f" o:connecttype="none"/>
          <o:lock v:ext="edit" shapetype="t"/>
        </v:shapetype>
        <v:shape id="_x0000_s56333" type="#_x0000_t32" style="position:absolute;left:0;text-align:left;margin-left:-3.6pt;margin-top:17.6pt;width:430.1pt;height:0;flip:x;z-index:251660800" o:connectortype="straight"/>
      </w:pict>
    </w:r>
    <w:r>
      <w:rPr>
        <w:rFonts w:cs="Times New Roman"/>
      </w:rPr>
      <w:t>Chapter 6 – Results</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Pr="002C4D6B" w:rsidRDefault="00AD3F64" w:rsidP="0051096C">
    <w:pPr>
      <w:pStyle w:val="Header"/>
      <w:jc w:val="right"/>
      <w:rPr>
        <w:rFonts w:cs="Times New Roman"/>
      </w:rPr>
    </w:pPr>
    <w:r>
      <w:rPr>
        <w:rFonts w:cs="Times New Roman"/>
        <w:noProof/>
      </w:rPr>
      <w:pict>
        <v:shapetype id="_x0000_t32" coordsize="21600,21600" o:spt="32" o:oned="t" path="m,l21600,21600e" filled="f">
          <v:path arrowok="t" fillok="f" o:connecttype="none"/>
          <o:lock v:ext="edit" shapetype="t"/>
        </v:shapetype>
        <v:shape id="_x0000_s56334" type="#_x0000_t32" style="position:absolute;left:0;text-align:left;margin-left:-3.6pt;margin-top:17.6pt;width:430.1pt;height:0;flip:x;z-index:251661824" o:connectortype="straight"/>
      </w:pict>
    </w:r>
    <w:r>
      <w:rPr>
        <w:rFonts w:cs="Times New Roman"/>
      </w:rPr>
      <w:t>Discussion</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Pr="002C4D6B" w:rsidRDefault="00AD3F64" w:rsidP="0051096C">
    <w:pPr>
      <w:pStyle w:val="Header"/>
      <w:jc w:val="right"/>
      <w:rPr>
        <w:rFonts w:cs="Times New Roman"/>
      </w:rPr>
    </w:pPr>
    <w:r>
      <w:rPr>
        <w:rFonts w:cs="Times New Roman"/>
        <w:noProof/>
      </w:rPr>
      <w:pict>
        <v:shapetype id="_x0000_t32" coordsize="21600,21600" o:spt="32" o:oned="t" path="m,l21600,21600e" filled="f">
          <v:path arrowok="t" fillok="f" o:connecttype="none"/>
          <o:lock v:ext="edit" shapetype="t"/>
        </v:shapetype>
        <v:shape id="_x0000_s56335" type="#_x0000_t32" style="position:absolute;left:0;text-align:left;margin-left:-3.6pt;margin-top:17.6pt;width:430.1pt;height:0;flip:x;z-index:251662848" o:connectortype="straight"/>
      </w:pict>
    </w:r>
    <w:r>
      <w:rPr>
        <w:rFonts w:cs="Times New Roman"/>
      </w:rPr>
      <w:t>References</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Pr="002C4D6B" w:rsidRDefault="00AD3F64" w:rsidP="0051096C">
    <w:pPr>
      <w:pStyle w:val="Header"/>
      <w:jc w:val="right"/>
      <w:rPr>
        <w:rFonts w:cs="Times New Roman"/>
      </w:rPr>
    </w:pPr>
    <w:r>
      <w:rPr>
        <w:rFonts w:cs="Times New Roman"/>
        <w:noProof/>
      </w:rPr>
      <w:pict>
        <v:shapetype id="_x0000_t32" coordsize="21600,21600" o:spt="32" o:oned="t" path="m,l21600,21600e" filled="f">
          <v:path arrowok="t" fillok="f" o:connecttype="none"/>
          <o:lock v:ext="edit" shapetype="t"/>
        </v:shapetype>
        <v:shape id="_x0000_s56336" type="#_x0000_t32" style="position:absolute;left:0;text-align:left;margin-left:-3.6pt;margin-top:17.6pt;width:430.1pt;height:0;flip:x;z-index:251663872" o:connectortype="straight"/>
      </w:pict>
    </w:r>
    <w:r>
      <w:rPr>
        <w:rFonts w:cs="Times New Roman"/>
      </w:rPr>
      <w:t>Appendix</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Default="00AD3F64" w:rsidP="005A1EA7">
    <w:pPr>
      <w:pStyle w:val="Header"/>
      <w:jc w:val="right"/>
    </w:pPr>
    <w:r>
      <w:rPr>
        <w:noProof/>
      </w:rPr>
      <w:pict>
        <v:shapetype id="_x0000_t32" coordsize="21600,21600" o:spt="32" o:oned="t" path="m,l21600,21600e" filled="f">
          <v:path arrowok="t" fillok="f" o:connecttype="none"/>
          <o:lock v:ext="edit" shapetype="t"/>
        </v:shapetype>
        <v:shape id="_x0000_s56321" type="#_x0000_t32" style="position:absolute;left:0;text-align:left;margin-left:-3.6pt;margin-top:17.6pt;width:430.1pt;height:0;flip:x;z-index:251651584" o:connectortype="straight"/>
      </w:pict>
    </w:r>
    <w:r>
      <w:t>Abstract</w:t>
    </w:r>
  </w:p>
  <w:p w:rsidR="00AD3F64" w:rsidRDefault="00AD3F64">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Default="00AD3F64" w:rsidP="005A1EA7">
    <w:pPr>
      <w:pStyle w:val="Header"/>
      <w:jc w:val="right"/>
    </w:pPr>
    <w:r>
      <w:rPr>
        <w:noProof/>
      </w:rPr>
      <w:pict>
        <v:shapetype id="_x0000_t32" coordsize="21600,21600" o:spt="32" o:oned="t" path="m,l21600,21600e" filled="f">
          <v:path arrowok="t" fillok="f" o:connecttype="none"/>
          <o:lock v:ext="edit" shapetype="t"/>
        </v:shapetype>
        <v:shape id="_x0000_s56322" type="#_x0000_t32" style="position:absolute;left:0;text-align:left;margin-left:-3.6pt;margin-top:17.6pt;width:430.1pt;height:0;flip:x;z-index:251652608" o:connectortype="straight"/>
      </w:pict>
    </w:r>
    <w:r>
      <w:t>Acknowledgements</w:t>
    </w:r>
  </w:p>
  <w:p w:rsidR="00AD3F64" w:rsidRDefault="00AD3F64">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Default="00AD3F64" w:rsidP="005A1EA7">
    <w:pPr>
      <w:pStyle w:val="Header"/>
      <w:jc w:val="right"/>
    </w:pPr>
    <w:r>
      <w:rPr>
        <w:noProof/>
      </w:rPr>
      <w:pict>
        <v:shapetype id="_x0000_t32" coordsize="21600,21600" o:spt="32" o:oned="t" path="m,l21600,21600e" filled="f">
          <v:path arrowok="t" fillok="f" o:connecttype="none"/>
          <o:lock v:ext="edit" shapetype="t"/>
        </v:shapetype>
        <v:shape id="_x0000_s56325" type="#_x0000_t32" style="position:absolute;left:0;text-align:left;margin-left:-3.6pt;margin-top:17.6pt;width:430.1pt;height:0;flip:x;z-index:251653632" o:connectortype="straight"/>
      </w:pict>
    </w:r>
    <w:r>
      <w:t>Abbreviations</w:t>
    </w:r>
  </w:p>
  <w:p w:rsidR="00AD3F64" w:rsidRDefault="00AD3F64">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Default="00AD3F64" w:rsidP="005A1EA7">
    <w:pPr>
      <w:pStyle w:val="Header"/>
      <w:jc w:val="right"/>
    </w:pPr>
    <w:r>
      <w:rPr>
        <w:noProof/>
      </w:rPr>
      <w:pict>
        <v:shapetype id="_x0000_t32" coordsize="21600,21600" o:spt="32" o:oned="t" path="m,l21600,21600e" filled="f">
          <v:path arrowok="t" fillok="f" o:connecttype="none"/>
          <o:lock v:ext="edit" shapetype="t"/>
        </v:shapetype>
        <v:shape id="_x0000_s56324" type="#_x0000_t32" style="position:absolute;left:0;text-align:left;margin-left:-3.6pt;margin-top:17.6pt;width:430.1pt;height:0;flip:x;z-index:251654656" o:connectortype="straight"/>
      </w:pict>
    </w:r>
    <w:r>
      <w:t>Contents</w:t>
    </w:r>
  </w:p>
  <w:p w:rsidR="00AD3F64" w:rsidRDefault="00AD3F64">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Default="00AD3F64" w:rsidP="005A1EA7">
    <w:pPr>
      <w:pStyle w:val="Header"/>
      <w:jc w:val="right"/>
    </w:pPr>
    <w:r>
      <w:rPr>
        <w:noProof/>
      </w:rPr>
      <w:pict>
        <v:shapetype id="_x0000_t32" coordsize="21600,21600" o:spt="32" o:oned="t" path="m,l21600,21600e" filled="f">
          <v:path arrowok="t" fillok="f" o:connecttype="none"/>
          <o:lock v:ext="edit" shapetype="t"/>
        </v:shapetype>
        <v:shape id="_x0000_s56323" type="#_x0000_t32" style="position:absolute;left:0;text-align:left;margin-left:-3.6pt;margin-top:17.6pt;width:430.1pt;height:0;flip:x;z-index:251655680" o:connectortype="straight"/>
      </w:pict>
    </w:r>
    <w:r>
      <w:t>Chapter 1 - Introduction</w:t>
    </w:r>
  </w:p>
  <w:p w:rsidR="00AD3F64" w:rsidRDefault="00AD3F64">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Default="00AD3F64" w:rsidP="005A1EA7">
    <w:pPr>
      <w:pStyle w:val="Header"/>
      <w:jc w:val="right"/>
    </w:pPr>
    <w:r>
      <w:rPr>
        <w:noProof/>
      </w:rPr>
      <w:pict>
        <v:shapetype id="_x0000_t32" coordsize="21600,21600" o:spt="32" o:oned="t" path="m,l21600,21600e" filled="f">
          <v:path arrowok="t" fillok="f" o:connecttype="none"/>
          <o:lock v:ext="edit" shapetype="t"/>
        </v:shapetype>
        <v:shape id="_x0000_s56326" type="#_x0000_t32" style="position:absolute;left:0;text-align:left;margin-left:-3.6pt;margin-top:17.6pt;width:430.1pt;height:0;flip:x;z-index:251656704" o:connectortype="straight"/>
      </w:pict>
    </w:r>
    <w:r>
      <w:t>Chapter 2 – Materials and Methods</w:t>
    </w:r>
  </w:p>
  <w:p w:rsidR="00AD3F64" w:rsidRDefault="00AD3F64">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Default="00AD3F64" w:rsidP="000F4A2B">
    <w:pPr>
      <w:pStyle w:val="Header"/>
      <w:jc w:val="right"/>
    </w:pPr>
    <w:r>
      <w:t>Chapter 3 – Results</w:t>
    </w:r>
  </w:p>
  <w:p w:rsidR="00AD3F64" w:rsidRDefault="00AD3F64">
    <w:pPr>
      <w:pStyle w:val="Header"/>
    </w:pPr>
    <w:r>
      <w:rPr>
        <w:noProof/>
      </w:rPr>
      <w:pict>
        <v:shapetype id="_x0000_t32" coordsize="21600,21600" o:spt="32" o:oned="t" path="m,l21600,21600e" filled="f">
          <v:path arrowok="t" fillok="f" o:connecttype="none"/>
          <o:lock v:ext="edit" shapetype="t"/>
        </v:shapetype>
        <v:shape id="_x0000_s56328" type="#_x0000_t32" style="position:absolute;left:0;text-align:left;margin-left:-3.6pt;margin-top:3.8pt;width:430.1pt;height:0;flip:x;z-index:251657728" o:connectortype="straight"/>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3F64" w:rsidRDefault="00AD3F64" w:rsidP="000F4A2B">
    <w:pPr>
      <w:pStyle w:val="Header"/>
      <w:jc w:val="right"/>
    </w:pPr>
    <w:r>
      <w:rPr>
        <w:noProof/>
      </w:rPr>
      <w:pict>
        <v:shapetype id="_x0000_t32" coordsize="21600,21600" o:spt="32" o:oned="t" path="m,l21600,21600e" filled="f">
          <v:path arrowok="t" fillok="f" o:connecttype="none"/>
          <o:lock v:ext="edit" shapetype="t"/>
        </v:shapetype>
        <v:shape id="_x0000_s56330" type="#_x0000_t32" style="position:absolute;left:0;text-align:left;margin-left:-3.6pt;margin-top:17.6pt;width:430.1pt;height:0;flip:x;z-index:251658752" o:connectortype="straight"/>
      </w:pict>
    </w:r>
    <w:r>
      <w:t>Chapter 4 – Results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D598E"/>
    <w:multiLevelType w:val="hybridMultilevel"/>
    <w:tmpl w:val="433EEF6A"/>
    <w:lvl w:ilvl="0" w:tplc="60B2FE7A">
      <w:start w:val="2"/>
      <w:numFmt w:val="decimal"/>
      <w:lvlText w:val="Chapter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62D293E"/>
    <w:multiLevelType w:val="multilevel"/>
    <w:tmpl w:val="0930D22A"/>
    <w:lvl w:ilvl="0">
      <w:start w:val="1"/>
      <w:numFmt w:val="decimal"/>
      <w:lvlText w:val="%1)"/>
      <w:lvlJc w:val="left"/>
      <w:pPr>
        <w:ind w:left="360" w:hanging="360"/>
      </w:pPr>
      <w:rPr>
        <w:rFonts w:hint="default"/>
        <w:b w:val="0"/>
        <w:i w:val="0"/>
      </w:rPr>
    </w:lvl>
    <w:lvl w:ilvl="1">
      <w:start w:val="1"/>
      <w:numFmt w:val="lowerLetter"/>
      <w:lvlText w:val="%2)"/>
      <w:lvlJc w:val="left"/>
      <w:pPr>
        <w:ind w:left="720" w:hanging="360"/>
      </w:pPr>
      <w:rPr>
        <w:rFonts w:hint="default"/>
        <w:b w:val="0"/>
        <w:i/>
        <w:sz w:val="24"/>
        <w:szCs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9425430"/>
    <w:multiLevelType w:val="hybridMultilevel"/>
    <w:tmpl w:val="DADCD290"/>
    <w:lvl w:ilvl="0" w:tplc="AD5C37B4">
      <w:start w:val="1"/>
      <w:numFmt w:val="lowerRoman"/>
      <w:lvlText w:val="%1."/>
      <w:lvlJc w:val="right"/>
      <w:pPr>
        <w:ind w:left="1440" w:hanging="360"/>
      </w:pPr>
    </w:lvl>
    <w:lvl w:ilvl="1" w:tplc="3C120952" w:tentative="1">
      <w:start w:val="1"/>
      <w:numFmt w:val="lowerLetter"/>
      <w:lvlText w:val="%2."/>
      <w:lvlJc w:val="left"/>
      <w:pPr>
        <w:ind w:left="2160" w:hanging="360"/>
      </w:pPr>
    </w:lvl>
    <w:lvl w:ilvl="2" w:tplc="DF3C937C" w:tentative="1">
      <w:start w:val="1"/>
      <w:numFmt w:val="lowerRoman"/>
      <w:lvlText w:val="%3."/>
      <w:lvlJc w:val="right"/>
      <w:pPr>
        <w:ind w:left="2880" w:hanging="180"/>
      </w:pPr>
    </w:lvl>
    <w:lvl w:ilvl="3" w:tplc="999EECB8" w:tentative="1">
      <w:start w:val="1"/>
      <w:numFmt w:val="decimal"/>
      <w:lvlText w:val="%4."/>
      <w:lvlJc w:val="left"/>
      <w:pPr>
        <w:ind w:left="3600" w:hanging="360"/>
      </w:pPr>
    </w:lvl>
    <w:lvl w:ilvl="4" w:tplc="F19A4178" w:tentative="1">
      <w:start w:val="1"/>
      <w:numFmt w:val="lowerLetter"/>
      <w:lvlText w:val="%5."/>
      <w:lvlJc w:val="left"/>
      <w:pPr>
        <w:ind w:left="4320" w:hanging="360"/>
      </w:pPr>
    </w:lvl>
    <w:lvl w:ilvl="5" w:tplc="E7B81710" w:tentative="1">
      <w:start w:val="1"/>
      <w:numFmt w:val="lowerRoman"/>
      <w:lvlText w:val="%6."/>
      <w:lvlJc w:val="right"/>
      <w:pPr>
        <w:ind w:left="5040" w:hanging="180"/>
      </w:pPr>
    </w:lvl>
    <w:lvl w:ilvl="6" w:tplc="0BA4E126" w:tentative="1">
      <w:start w:val="1"/>
      <w:numFmt w:val="decimal"/>
      <w:lvlText w:val="%7."/>
      <w:lvlJc w:val="left"/>
      <w:pPr>
        <w:ind w:left="5760" w:hanging="360"/>
      </w:pPr>
    </w:lvl>
    <w:lvl w:ilvl="7" w:tplc="F15E5BB2" w:tentative="1">
      <w:start w:val="1"/>
      <w:numFmt w:val="lowerLetter"/>
      <w:lvlText w:val="%8."/>
      <w:lvlJc w:val="left"/>
      <w:pPr>
        <w:ind w:left="6480" w:hanging="360"/>
      </w:pPr>
    </w:lvl>
    <w:lvl w:ilvl="8" w:tplc="471C7FF2" w:tentative="1">
      <w:start w:val="1"/>
      <w:numFmt w:val="lowerRoman"/>
      <w:lvlText w:val="%9."/>
      <w:lvlJc w:val="right"/>
      <w:pPr>
        <w:ind w:left="7200" w:hanging="180"/>
      </w:pPr>
    </w:lvl>
  </w:abstractNum>
  <w:abstractNum w:abstractNumId="3">
    <w:nsid w:val="15EF2EE3"/>
    <w:multiLevelType w:val="multilevel"/>
    <w:tmpl w:val="FF029544"/>
    <w:lvl w:ilvl="0">
      <w:start w:val="2"/>
      <w:numFmt w:val="decimal"/>
      <w:lvlText w:val="Chapter %1"/>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nsid w:val="20E81C9D"/>
    <w:multiLevelType w:val="hybridMultilevel"/>
    <w:tmpl w:val="BC44FC0E"/>
    <w:lvl w:ilvl="0" w:tplc="DFF8C49E">
      <w:start w:val="1"/>
      <w:numFmt w:val="decimal"/>
      <w:lvlText w:val="1.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265537EF"/>
    <w:multiLevelType w:val="hybridMultilevel"/>
    <w:tmpl w:val="F0F4817C"/>
    <w:lvl w:ilvl="0" w:tplc="B5BCA58E">
      <w:start w:val="1"/>
      <w:numFmt w:val="upperLetter"/>
      <w:lvlText w:val="(%1)"/>
      <w:lvlJc w:val="left"/>
      <w:pPr>
        <w:ind w:left="720" w:hanging="360"/>
      </w:pPr>
      <w:rPr>
        <w:rFonts w:hint="default"/>
      </w:rPr>
    </w:lvl>
    <w:lvl w:ilvl="1" w:tplc="BACE0280" w:tentative="1">
      <w:start w:val="1"/>
      <w:numFmt w:val="lowerLetter"/>
      <w:lvlText w:val="%2."/>
      <w:lvlJc w:val="left"/>
      <w:pPr>
        <w:ind w:left="1440" w:hanging="360"/>
      </w:pPr>
    </w:lvl>
    <w:lvl w:ilvl="2" w:tplc="52D2BD48" w:tentative="1">
      <w:start w:val="1"/>
      <w:numFmt w:val="lowerRoman"/>
      <w:lvlText w:val="%3."/>
      <w:lvlJc w:val="right"/>
      <w:pPr>
        <w:ind w:left="2160" w:hanging="180"/>
      </w:pPr>
    </w:lvl>
    <w:lvl w:ilvl="3" w:tplc="E3969286" w:tentative="1">
      <w:start w:val="1"/>
      <w:numFmt w:val="decimal"/>
      <w:lvlText w:val="%4."/>
      <w:lvlJc w:val="left"/>
      <w:pPr>
        <w:ind w:left="2880" w:hanging="360"/>
      </w:pPr>
    </w:lvl>
    <w:lvl w:ilvl="4" w:tplc="B3D44758" w:tentative="1">
      <w:start w:val="1"/>
      <w:numFmt w:val="lowerLetter"/>
      <w:lvlText w:val="%5."/>
      <w:lvlJc w:val="left"/>
      <w:pPr>
        <w:ind w:left="3600" w:hanging="360"/>
      </w:pPr>
    </w:lvl>
    <w:lvl w:ilvl="5" w:tplc="5ED47A68" w:tentative="1">
      <w:start w:val="1"/>
      <w:numFmt w:val="lowerRoman"/>
      <w:lvlText w:val="%6."/>
      <w:lvlJc w:val="right"/>
      <w:pPr>
        <w:ind w:left="4320" w:hanging="180"/>
      </w:pPr>
    </w:lvl>
    <w:lvl w:ilvl="6" w:tplc="79EA63C6" w:tentative="1">
      <w:start w:val="1"/>
      <w:numFmt w:val="decimal"/>
      <w:lvlText w:val="%7."/>
      <w:lvlJc w:val="left"/>
      <w:pPr>
        <w:ind w:left="5040" w:hanging="360"/>
      </w:pPr>
    </w:lvl>
    <w:lvl w:ilvl="7" w:tplc="256AE128" w:tentative="1">
      <w:start w:val="1"/>
      <w:numFmt w:val="lowerLetter"/>
      <w:lvlText w:val="%8."/>
      <w:lvlJc w:val="left"/>
      <w:pPr>
        <w:ind w:left="5760" w:hanging="360"/>
      </w:pPr>
    </w:lvl>
    <w:lvl w:ilvl="8" w:tplc="7E921B94" w:tentative="1">
      <w:start w:val="1"/>
      <w:numFmt w:val="lowerRoman"/>
      <w:lvlText w:val="%9."/>
      <w:lvlJc w:val="right"/>
      <w:pPr>
        <w:ind w:left="6480" w:hanging="180"/>
      </w:pPr>
    </w:lvl>
  </w:abstractNum>
  <w:abstractNum w:abstractNumId="6">
    <w:nsid w:val="31D90B90"/>
    <w:multiLevelType w:val="hybridMultilevel"/>
    <w:tmpl w:val="321CCBF4"/>
    <w:lvl w:ilvl="0" w:tplc="7B3665BA">
      <w:start w:val="1"/>
      <w:numFmt w:val="upperLetter"/>
      <w:lvlText w:val="(%1)"/>
      <w:lvlJc w:val="left"/>
      <w:pPr>
        <w:ind w:left="915" w:hanging="55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375A2D77"/>
    <w:multiLevelType w:val="multilevel"/>
    <w:tmpl w:val="0930D22A"/>
    <w:lvl w:ilvl="0">
      <w:start w:val="1"/>
      <w:numFmt w:val="decimal"/>
      <w:lvlText w:val="%1)"/>
      <w:lvlJc w:val="left"/>
      <w:pPr>
        <w:ind w:left="360" w:hanging="360"/>
      </w:pPr>
      <w:rPr>
        <w:rFonts w:hint="default"/>
        <w:b w:val="0"/>
        <w:i w:val="0"/>
      </w:rPr>
    </w:lvl>
    <w:lvl w:ilvl="1">
      <w:start w:val="1"/>
      <w:numFmt w:val="lowerLetter"/>
      <w:lvlText w:val="%2)"/>
      <w:lvlJc w:val="left"/>
      <w:pPr>
        <w:ind w:left="720" w:hanging="360"/>
      </w:pPr>
      <w:rPr>
        <w:rFonts w:hint="default"/>
        <w:b w:val="0"/>
        <w:i/>
        <w:sz w:val="24"/>
        <w:szCs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38497DE9"/>
    <w:multiLevelType w:val="multilevel"/>
    <w:tmpl w:val="B1988AF2"/>
    <w:lvl w:ilvl="0">
      <w:start w:val="2"/>
      <w:numFmt w:val="decimal"/>
      <w:lvlText w:val="Chapter %1"/>
      <w:lvlJc w:val="left"/>
      <w:pPr>
        <w:ind w:left="720" w:hanging="360"/>
      </w:pPr>
      <w:rPr>
        <w:rFonts w:hint="default"/>
      </w:rPr>
    </w:lvl>
    <w:lvl w:ilvl="1">
      <w:start w:val="1"/>
      <w:numFmt w:val="decimal"/>
      <w:lvlText w:val="%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nsid w:val="39871F5A"/>
    <w:multiLevelType w:val="hybridMultilevel"/>
    <w:tmpl w:val="13BA04D4"/>
    <w:lvl w:ilvl="0" w:tplc="92568CA6">
      <w:start w:val="1"/>
      <w:numFmt w:val="decimal"/>
      <w:lvlText w:val="Chapter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C9B43A7"/>
    <w:multiLevelType w:val="multilevel"/>
    <w:tmpl w:val="0930D22A"/>
    <w:lvl w:ilvl="0">
      <w:start w:val="1"/>
      <w:numFmt w:val="decimal"/>
      <w:lvlText w:val="%1)"/>
      <w:lvlJc w:val="left"/>
      <w:pPr>
        <w:ind w:left="360" w:hanging="360"/>
      </w:pPr>
      <w:rPr>
        <w:rFonts w:hint="default"/>
        <w:b w:val="0"/>
        <w:i w:val="0"/>
      </w:rPr>
    </w:lvl>
    <w:lvl w:ilvl="1">
      <w:start w:val="1"/>
      <w:numFmt w:val="lowerLetter"/>
      <w:lvlText w:val="%2)"/>
      <w:lvlJc w:val="left"/>
      <w:pPr>
        <w:ind w:left="720" w:hanging="360"/>
      </w:pPr>
      <w:rPr>
        <w:rFonts w:hint="default"/>
        <w:b w:val="0"/>
        <w:i/>
        <w:sz w:val="24"/>
        <w:szCs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4117406D"/>
    <w:multiLevelType w:val="hybridMultilevel"/>
    <w:tmpl w:val="A0BE1240"/>
    <w:lvl w:ilvl="0" w:tplc="A9940200">
      <w:start w:val="1"/>
      <w:numFmt w:val="lowerRoman"/>
      <w:lvlText w:val="%1."/>
      <w:lvlJc w:val="left"/>
      <w:pPr>
        <w:ind w:left="720" w:hanging="360"/>
      </w:pPr>
      <w:rPr>
        <w:rFonts w:hint="default"/>
      </w:rPr>
    </w:lvl>
    <w:lvl w:ilvl="1" w:tplc="2A8A40AA" w:tentative="1">
      <w:start w:val="1"/>
      <w:numFmt w:val="lowerLetter"/>
      <w:lvlText w:val="%2."/>
      <w:lvlJc w:val="left"/>
      <w:pPr>
        <w:ind w:left="1440" w:hanging="360"/>
      </w:pPr>
    </w:lvl>
    <w:lvl w:ilvl="2" w:tplc="124097F0" w:tentative="1">
      <w:start w:val="1"/>
      <w:numFmt w:val="lowerRoman"/>
      <w:lvlText w:val="%3."/>
      <w:lvlJc w:val="right"/>
      <w:pPr>
        <w:ind w:left="2160" w:hanging="180"/>
      </w:pPr>
    </w:lvl>
    <w:lvl w:ilvl="3" w:tplc="696A5F26" w:tentative="1">
      <w:start w:val="1"/>
      <w:numFmt w:val="decimal"/>
      <w:lvlText w:val="%4."/>
      <w:lvlJc w:val="left"/>
      <w:pPr>
        <w:ind w:left="2880" w:hanging="360"/>
      </w:pPr>
    </w:lvl>
    <w:lvl w:ilvl="4" w:tplc="8F1C92EE" w:tentative="1">
      <w:start w:val="1"/>
      <w:numFmt w:val="lowerLetter"/>
      <w:lvlText w:val="%5."/>
      <w:lvlJc w:val="left"/>
      <w:pPr>
        <w:ind w:left="3600" w:hanging="360"/>
      </w:pPr>
    </w:lvl>
    <w:lvl w:ilvl="5" w:tplc="2BA82B04" w:tentative="1">
      <w:start w:val="1"/>
      <w:numFmt w:val="lowerRoman"/>
      <w:lvlText w:val="%6."/>
      <w:lvlJc w:val="right"/>
      <w:pPr>
        <w:ind w:left="4320" w:hanging="180"/>
      </w:pPr>
    </w:lvl>
    <w:lvl w:ilvl="6" w:tplc="7DE8C3F6" w:tentative="1">
      <w:start w:val="1"/>
      <w:numFmt w:val="decimal"/>
      <w:lvlText w:val="%7."/>
      <w:lvlJc w:val="left"/>
      <w:pPr>
        <w:ind w:left="5040" w:hanging="360"/>
      </w:pPr>
    </w:lvl>
    <w:lvl w:ilvl="7" w:tplc="3F9485B4" w:tentative="1">
      <w:start w:val="1"/>
      <w:numFmt w:val="lowerLetter"/>
      <w:lvlText w:val="%8."/>
      <w:lvlJc w:val="left"/>
      <w:pPr>
        <w:ind w:left="5760" w:hanging="360"/>
      </w:pPr>
    </w:lvl>
    <w:lvl w:ilvl="8" w:tplc="DD08FCDC" w:tentative="1">
      <w:start w:val="1"/>
      <w:numFmt w:val="lowerRoman"/>
      <w:lvlText w:val="%9."/>
      <w:lvlJc w:val="right"/>
      <w:pPr>
        <w:ind w:left="6480" w:hanging="180"/>
      </w:pPr>
    </w:lvl>
  </w:abstractNum>
  <w:abstractNum w:abstractNumId="12">
    <w:nsid w:val="41563C42"/>
    <w:multiLevelType w:val="hybridMultilevel"/>
    <w:tmpl w:val="FA645F0C"/>
    <w:lvl w:ilvl="0" w:tplc="EF5EA518">
      <w:start w:val="1"/>
      <w:numFmt w:val="lowerRoman"/>
      <w:lvlText w:val="%1."/>
      <w:lvlJc w:val="right"/>
      <w:pPr>
        <w:ind w:left="1440" w:hanging="360"/>
      </w:pPr>
    </w:lvl>
    <w:lvl w:ilvl="1" w:tplc="22429288" w:tentative="1">
      <w:start w:val="1"/>
      <w:numFmt w:val="lowerLetter"/>
      <w:lvlText w:val="%2."/>
      <w:lvlJc w:val="left"/>
      <w:pPr>
        <w:ind w:left="2160" w:hanging="360"/>
      </w:pPr>
    </w:lvl>
    <w:lvl w:ilvl="2" w:tplc="D25A6CBE" w:tentative="1">
      <w:start w:val="1"/>
      <w:numFmt w:val="lowerRoman"/>
      <w:lvlText w:val="%3."/>
      <w:lvlJc w:val="right"/>
      <w:pPr>
        <w:ind w:left="2880" w:hanging="180"/>
      </w:pPr>
    </w:lvl>
    <w:lvl w:ilvl="3" w:tplc="45064E2A" w:tentative="1">
      <w:start w:val="1"/>
      <w:numFmt w:val="decimal"/>
      <w:lvlText w:val="%4."/>
      <w:lvlJc w:val="left"/>
      <w:pPr>
        <w:ind w:left="3600" w:hanging="360"/>
      </w:pPr>
    </w:lvl>
    <w:lvl w:ilvl="4" w:tplc="050266C0" w:tentative="1">
      <w:start w:val="1"/>
      <w:numFmt w:val="lowerLetter"/>
      <w:lvlText w:val="%5."/>
      <w:lvlJc w:val="left"/>
      <w:pPr>
        <w:ind w:left="4320" w:hanging="360"/>
      </w:pPr>
    </w:lvl>
    <w:lvl w:ilvl="5" w:tplc="3F483D6A" w:tentative="1">
      <w:start w:val="1"/>
      <w:numFmt w:val="lowerRoman"/>
      <w:lvlText w:val="%6."/>
      <w:lvlJc w:val="right"/>
      <w:pPr>
        <w:ind w:left="5040" w:hanging="180"/>
      </w:pPr>
    </w:lvl>
    <w:lvl w:ilvl="6" w:tplc="82403AF6" w:tentative="1">
      <w:start w:val="1"/>
      <w:numFmt w:val="decimal"/>
      <w:lvlText w:val="%7."/>
      <w:lvlJc w:val="left"/>
      <w:pPr>
        <w:ind w:left="5760" w:hanging="360"/>
      </w:pPr>
    </w:lvl>
    <w:lvl w:ilvl="7" w:tplc="5A8635E0" w:tentative="1">
      <w:start w:val="1"/>
      <w:numFmt w:val="lowerLetter"/>
      <w:lvlText w:val="%8."/>
      <w:lvlJc w:val="left"/>
      <w:pPr>
        <w:ind w:left="6480" w:hanging="360"/>
      </w:pPr>
    </w:lvl>
    <w:lvl w:ilvl="8" w:tplc="52D62DF2" w:tentative="1">
      <w:start w:val="1"/>
      <w:numFmt w:val="lowerRoman"/>
      <w:lvlText w:val="%9."/>
      <w:lvlJc w:val="right"/>
      <w:pPr>
        <w:ind w:left="7200" w:hanging="180"/>
      </w:pPr>
    </w:lvl>
  </w:abstractNum>
  <w:abstractNum w:abstractNumId="13">
    <w:nsid w:val="41BE6365"/>
    <w:multiLevelType w:val="multilevel"/>
    <w:tmpl w:val="0930D22A"/>
    <w:lvl w:ilvl="0">
      <w:start w:val="1"/>
      <w:numFmt w:val="decimal"/>
      <w:lvlText w:val="%1)"/>
      <w:lvlJc w:val="left"/>
      <w:pPr>
        <w:ind w:left="360" w:hanging="360"/>
      </w:pPr>
      <w:rPr>
        <w:rFonts w:hint="default"/>
        <w:b w:val="0"/>
        <w:i w:val="0"/>
      </w:rPr>
    </w:lvl>
    <w:lvl w:ilvl="1">
      <w:start w:val="1"/>
      <w:numFmt w:val="lowerLetter"/>
      <w:lvlText w:val="%2)"/>
      <w:lvlJc w:val="left"/>
      <w:pPr>
        <w:ind w:left="720" w:hanging="360"/>
      </w:pPr>
      <w:rPr>
        <w:rFonts w:hint="default"/>
        <w:b w:val="0"/>
        <w:i/>
        <w:sz w:val="24"/>
        <w:szCs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485071EE"/>
    <w:multiLevelType w:val="hybridMultilevel"/>
    <w:tmpl w:val="5EAE9088"/>
    <w:lvl w:ilvl="0" w:tplc="F7BEBFB0">
      <w:start w:val="1"/>
      <w:numFmt w:val="decimal"/>
      <w:lvlText w:val="Chapter %1"/>
      <w:lvlJc w:val="left"/>
      <w:pPr>
        <w:ind w:left="2061" w:hanging="360"/>
      </w:pPr>
      <w:rPr>
        <w:rFonts w:hint="default"/>
      </w:rPr>
    </w:lvl>
    <w:lvl w:ilvl="1" w:tplc="52840B20" w:tentative="1">
      <w:start w:val="1"/>
      <w:numFmt w:val="lowerLetter"/>
      <w:lvlText w:val="%2."/>
      <w:lvlJc w:val="left"/>
      <w:pPr>
        <w:ind w:left="1440" w:hanging="360"/>
      </w:pPr>
    </w:lvl>
    <w:lvl w:ilvl="2" w:tplc="3C8AE7A8" w:tentative="1">
      <w:start w:val="1"/>
      <w:numFmt w:val="lowerRoman"/>
      <w:lvlText w:val="%3."/>
      <w:lvlJc w:val="right"/>
      <w:pPr>
        <w:ind w:left="2160" w:hanging="180"/>
      </w:pPr>
    </w:lvl>
    <w:lvl w:ilvl="3" w:tplc="B938120A" w:tentative="1">
      <w:start w:val="1"/>
      <w:numFmt w:val="decimal"/>
      <w:lvlText w:val="%4."/>
      <w:lvlJc w:val="left"/>
      <w:pPr>
        <w:ind w:left="2880" w:hanging="360"/>
      </w:pPr>
    </w:lvl>
    <w:lvl w:ilvl="4" w:tplc="849018F8" w:tentative="1">
      <w:start w:val="1"/>
      <w:numFmt w:val="lowerLetter"/>
      <w:lvlText w:val="%5."/>
      <w:lvlJc w:val="left"/>
      <w:pPr>
        <w:ind w:left="3600" w:hanging="360"/>
      </w:pPr>
    </w:lvl>
    <w:lvl w:ilvl="5" w:tplc="4C84CDC4" w:tentative="1">
      <w:start w:val="1"/>
      <w:numFmt w:val="lowerRoman"/>
      <w:lvlText w:val="%6."/>
      <w:lvlJc w:val="right"/>
      <w:pPr>
        <w:ind w:left="4320" w:hanging="180"/>
      </w:pPr>
    </w:lvl>
    <w:lvl w:ilvl="6" w:tplc="74A2E9AA" w:tentative="1">
      <w:start w:val="1"/>
      <w:numFmt w:val="decimal"/>
      <w:lvlText w:val="%7."/>
      <w:lvlJc w:val="left"/>
      <w:pPr>
        <w:ind w:left="5040" w:hanging="360"/>
      </w:pPr>
    </w:lvl>
    <w:lvl w:ilvl="7" w:tplc="C91EFFBC" w:tentative="1">
      <w:start w:val="1"/>
      <w:numFmt w:val="lowerLetter"/>
      <w:lvlText w:val="%8."/>
      <w:lvlJc w:val="left"/>
      <w:pPr>
        <w:ind w:left="5760" w:hanging="360"/>
      </w:pPr>
    </w:lvl>
    <w:lvl w:ilvl="8" w:tplc="95D69920" w:tentative="1">
      <w:start w:val="1"/>
      <w:numFmt w:val="lowerRoman"/>
      <w:lvlText w:val="%9."/>
      <w:lvlJc w:val="right"/>
      <w:pPr>
        <w:ind w:left="6480" w:hanging="180"/>
      </w:pPr>
    </w:lvl>
  </w:abstractNum>
  <w:abstractNum w:abstractNumId="15">
    <w:nsid w:val="50452ABA"/>
    <w:multiLevelType w:val="hybridMultilevel"/>
    <w:tmpl w:val="C8A631CE"/>
    <w:lvl w:ilvl="0" w:tplc="3BEC6136">
      <w:start w:val="3"/>
      <w:numFmt w:val="decimal"/>
      <w:lvlText w:val="1.1.%1"/>
      <w:lvlJc w:val="left"/>
      <w:pPr>
        <w:ind w:left="1440" w:hanging="360"/>
      </w:pPr>
      <w:rPr>
        <w:rFonts w:hint="default"/>
      </w:rPr>
    </w:lvl>
    <w:lvl w:ilvl="1" w:tplc="D78C979C" w:tentative="1">
      <w:start w:val="1"/>
      <w:numFmt w:val="lowerLetter"/>
      <w:lvlText w:val="%2."/>
      <w:lvlJc w:val="left"/>
      <w:pPr>
        <w:ind w:left="1440" w:hanging="360"/>
      </w:pPr>
    </w:lvl>
    <w:lvl w:ilvl="2" w:tplc="A93E5320" w:tentative="1">
      <w:start w:val="1"/>
      <w:numFmt w:val="lowerRoman"/>
      <w:lvlText w:val="%3."/>
      <w:lvlJc w:val="right"/>
      <w:pPr>
        <w:ind w:left="2160" w:hanging="180"/>
      </w:pPr>
    </w:lvl>
    <w:lvl w:ilvl="3" w:tplc="55701416" w:tentative="1">
      <w:start w:val="1"/>
      <w:numFmt w:val="decimal"/>
      <w:lvlText w:val="%4."/>
      <w:lvlJc w:val="left"/>
      <w:pPr>
        <w:ind w:left="2880" w:hanging="360"/>
      </w:pPr>
    </w:lvl>
    <w:lvl w:ilvl="4" w:tplc="DE4489F4" w:tentative="1">
      <w:start w:val="1"/>
      <w:numFmt w:val="lowerLetter"/>
      <w:lvlText w:val="%5."/>
      <w:lvlJc w:val="left"/>
      <w:pPr>
        <w:ind w:left="3600" w:hanging="360"/>
      </w:pPr>
    </w:lvl>
    <w:lvl w:ilvl="5" w:tplc="DDAC9FD4" w:tentative="1">
      <w:start w:val="1"/>
      <w:numFmt w:val="lowerRoman"/>
      <w:lvlText w:val="%6."/>
      <w:lvlJc w:val="right"/>
      <w:pPr>
        <w:ind w:left="4320" w:hanging="180"/>
      </w:pPr>
    </w:lvl>
    <w:lvl w:ilvl="6" w:tplc="1032A47E" w:tentative="1">
      <w:start w:val="1"/>
      <w:numFmt w:val="decimal"/>
      <w:lvlText w:val="%7."/>
      <w:lvlJc w:val="left"/>
      <w:pPr>
        <w:ind w:left="5040" w:hanging="360"/>
      </w:pPr>
    </w:lvl>
    <w:lvl w:ilvl="7" w:tplc="FECEB282" w:tentative="1">
      <w:start w:val="1"/>
      <w:numFmt w:val="lowerLetter"/>
      <w:lvlText w:val="%8."/>
      <w:lvlJc w:val="left"/>
      <w:pPr>
        <w:ind w:left="5760" w:hanging="360"/>
      </w:pPr>
    </w:lvl>
    <w:lvl w:ilvl="8" w:tplc="CAC20E48" w:tentative="1">
      <w:start w:val="1"/>
      <w:numFmt w:val="lowerRoman"/>
      <w:lvlText w:val="%9."/>
      <w:lvlJc w:val="right"/>
      <w:pPr>
        <w:ind w:left="6480" w:hanging="180"/>
      </w:pPr>
    </w:lvl>
  </w:abstractNum>
  <w:abstractNum w:abstractNumId="16">
    <w:nsid w:val="50587D1F"/>
    <w:multiLevelType w:val="hybridMultilevel"/>
    <w:tmpl w:val="5874C154"/>
    <w:lvl w:ilvl="0" w:tplc="F4D097C4">
      <w:start w:val="1"/>
      <w:numFmt w:val="lowerRoman"/>
      <w:lvlText w:val="%1."/>
      <w:lvlJc w:val="right"/>
      <w:pPr>
        <w:ind w:left="1440" w:hanging="360"/>
      </w:pPr>
      <w:rPr>
        <w:b w:val="0"/>
      </w:rPr>
    </w:lvl>
    <w:lvl w:ilvl="1" w:tplc="D17408C6" w:tentative="1">
      <w:start w:val="1"/>
      <w:numFmt w:val="lowerLetter"/>
      <w:lvlText w:val="%2."/>
      <w:lvlJc w:val="left"/>
      <w:pPr>
        <w:ind w:left="2160" w:hanging="360"/>
      </w:pPr>
    </w:lvl>
    <w:lvl w:ilvl="2" w:tplc="0F3E32D2" w:tentative="1">
      <w:start w:val="1"/>
      <w:numFmt w:val="lowerRoman"/>
      <w:lvlText w:val="%3."/>
      <w:lvlJc w:val="right"/>
      <w:pPr>
        <w:ind w:left="2880" w:hanging="180"/>
      </w:pPr>
    </w:lvl>
    <w:lvl w:ilvl="3" w:tplc="F3222050" w:tentative="1">
      <w:start w:val="1"/>
      <w:numFmt w:val="decimal"/>
      <w:lvlText w:val="%4."/>
      <w:lvlJc w:val="left"/>
      <w:pPr>
        <w:ind w:left="3600" w:hanging="360"/>
      </w:pPr>
    </w:lvl>
    <w:lvl w:ilvl="4" w:tplc="18C21A0E" w:tentative="1">
      <w:start w:val="1"/>
      <w:numFmt w:val="lowerLetter"/>
      <w:lvlText w:val="%5."/>
      <w:lvlJc w:val="left"/>
      <w:pPr>
        <w:ind w:left="4320" w:hanging="360"/>
      </w:pPr>
    </w:lvl>
    <w:lvl w:ilvl="5" w:tplc="04323C30" w:tentative="1">
      <w:start w:val="1"/>
      <w:numFmt w:val="lowerRoman"/>
      <w:lvlText w:val="%6."/>
      <w:lvlJc w:val="right"/>
      <w:pPr>
        <w:ind w:left="5040" w:hanging="180"/>
      </w:pPr>
    </w:lvl>
    <w:lvl w:ilvl="6" w:tplc="844E1E2C" w:tentative="1">
      <w:start w:val="1"/>
      <w:numFmt w:val="decimal"/>
      <w:lvlText w:val="%7."/>
      <w:lvlJc w:val="left"/>
      <w:pPr>
        <w:ind w:left="5760" w:hanging="360"/>
      </w:pPr>
    </w:lvl>
    <w:lvl w:ilvl="7" w:tplc="CE1EF63A" w:tentative="1">
      <w:start w:val="1"/>
      <w:numFmt w:val="lowerLetter"/>
      <w:lvlText w:val="%8."/>
      <w:lvlJc w:val="left"/>
      <w:pPr>
        <w:ind w:left="6480" w:hanging="360"/>
      </w:pPr>
    </w:lvl>
    <w:lvl w:ilvl="8" w:tplc="BCCA1EA6" w:tentative="1">
      <w:start w:val="1"/>
      <w:numFmt w:val="lowerRoman"/>
      <w:lvlText w:val="%9."/>
      <w:lvlJc w:val="right"/>
      <w:pPr>
        <w:ind w:left="7200" w:hanging="180"/>
      </w:pPr>
    </w:lvl>
  </w:abstractNum>
  <w:abstractNum w:abstractNumId="17">
    <w:nsid w:val="532B6428"/>
    <w:multiLevelType w:val="hybridMultilevel"/>
    <w:tmpl w:val="93D60C66"/>
    <w:lvl w:ilvl="0" w:tplc="BA0E38A2">
      <w:start w:val="1"/>
      <w:numFmt w:val="decimal"/>
      <w:lvlText w:val="1.%1"/>
      <w:lvlJc w:val="left"/>
      <w:pPr>
        <w:ind w:left="360" w:hanging="360"/>
      </w:pPr>
      <w:rPr>
        <w:rFonts w:hint="default"/>
      </w:rPr>
    </w:lvl>
    <w:lvl w:ilvl="1" w:tplc="19EA8228">
      <w:start w:val="1"/>
      <w:numFmt w:val="decimal"/>
      <w:lvlText w:val="1.1.%2"/>
      <w:lvlJc w:val="left"/>
      <w:pPr>
        <w:ind w:left="1211" w:hanging="360"/>
      </w:pPr>
      <w:rPr>
        <w:rFonts w:hint="default"/>
      </w:rPr>
    </w:lvl>
    <w:lvl w:ilvl="2" w:tplc="969ECA4C" w:tentative="1">
      <w:start w:val="1"/>
      <w:numFmt w:val="lowerRoman"/>
      <w:lvlText w:val="%3."/>
      <w:lvlJc w:val="right"/>
      <w:pPr>
        <w:ind w:left="2160" w:hanging="180"/>
      </w:pPr>
    </w:lvl>
    <w:lvl w:ilvl="3" w:tplc="6DBC2556" w:tentative="1">
      <w:start w:val="1"/>
      <w:numFmt w:val="decimal"/>
      <w:lvlText w:val="%4."/>
      <w:lvlJc w:val="left"/>
      <w:pPr>
        <w:ind w:left="2880" w:hanging="360"/>
      </w:pPr>
    </w:lvl>
    <w:lvl w:ilvl="4" w:tplc="A878B002" w:tentative="1">
      <w:start w:val="1"/>
      <w:numFmt w:val="lowerLetter"/>
      <w:lvlText w:val="%5."/>
      <w:lvlJc w:val="left"/>
      <w:pPr>
        <w:ind w:left="3600" w:hanging="360"/>
      </w:pPr>
    </w:lvl>
    <w:lvl w:ilvl="5" w:tplc="B6FA1FD2" w:tentative="1">
      <w:start w:val="1"/>
      <w:numFmt w:val="lowerRoman"/>
      <w:lvlText w:val="%6."/>
      <w:lvlJc w:val="right"/>
      <w:pPr>
        <w:ind w:left="4320" w:hanging="180"/>
      </w:pPr>
    </w:lvl>
    <w:lvl w:ilvl="6" w:tplc="3BDE26D8" w:tentative="1">
      <w:start w:val="1"/>
      <w:numFmt w:val="decimal"/>
      <w:lvlText w:val="%7."/>
      <w:lvlJc w:val="left"/>
      <w:pPr>
        <w:ind w:left="5040" w:hanging="360"/>
      </w:pPr>
    </w:lvl>
    <w:lvl w:ilvl="7" w:tplc="71ECEC54" w:tentative="1">
      <w:start w:val="1"/>
      <w:numFmt w:val="lowerLetter"/>
      <w:lvlText w:val="%8."/>
      <w:lvlJc w:val="left"/>
      <w:pPr>
        <w:ind w:left="5760" w:hanging="360"/>
      </w:pPr>
    </w:lvl>
    <w:lvl w:ilvl="8" w:tplc="D22A37F4" w:tentative="1">
      <w:start w:val="1"/>
      <w:numFmt w:val="lowerRoman"/>
      <w:lvlText w:val="%9."/>
      <w:lvlJc w:val="right"/>
      <w:pPr>
        <w:ind w:left="6480" w:hanging="180"/>
      </w:pPr>
    </w:lvl>
  </w:abstractNum>
  <w:abstractNum w:abstractNumId="18">
    <w:nsid w:val="53E375F9"/>
    <w:multiLevelType w:val="hybridMultilevel"/>
    <w:tmpl w:val="6A022A4E"/>
    <w:lvl w:ilvl="0" w:tplc="51CC88BE">
      <w:start w:val="1"/>
      <w:numFmt w:val="bullet"/>
      <w:lvlText w:val=""/>
      <w:lvlJc w:val="left"/>
      <w:pPr>
        <w:ind w:left="720" w:hanging="360"/>
      </w:pPr>
      <w:rPr>
        <w:rFonts w:ascii="Wingdings" w:hAnsi="Wingdings" w:hint="default"/>
      </w:rPr>
    </w:lvl>
    <w:lvl w:ilvl="1" w:tplc="08090019">
      <w:start w:val="1"/>
      <w:numFmt w:val="bullet"/>
      <w:lvlText w:val="o"/>
      <w:lvlJc w:val="left"/>
      <w:pPr>
        <w:ind w:left="1440" w:hanging="360"/>
      </w:pPr>
      <w:rPr>
        <w:rFonts w:ascii="Courier New" w:hAnsi="Courier New" w:cs="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cs="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cs="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19">
    <w:nsid w:val="589A475D"/>
    <w:multiLevelType w:val="hybridMultilevel"/>
    <w:tmpl w:val="03B46F8E"/>
    <w:lvl w:ilvl="0" w:tplc="1158C4CA">
      <w:start w:val="2"/>
      <w:numFmt w:val="decimal"/>
      <w:lvlText w:val="1.1.%1"/>
      <w:lvlJc w:val="left"/>
      <w:pPr>
        <w:ind w:left="1440" w:hanging="360"/>
      </w:pPr>
      <w:rPr>
        <w:rFonts w:hint="default"/>
      </w:rPr>
    </w:lvl>
    <w:lvl w:ilvl="1" w:tplc="F31E50F0" w:tentative="1">
      <w:start w:val="1"/>
      <w:numFmt w:val="lowerLetter"/>
      <w:lvlText w:val="%2."/>
      <w:lvlJc w:val="left"/>
      <w:pPr>
        <w:ind w:left="1440" w:hanging="360"/>
      </w:pPr>
    </w:lvl>
    <w:lvl w:ilvl="2" w:tplc="6E0E6B2A" w:tentative="1">
      <w:start w:val="1"/>
      <w:numFmt w:val="lowerRoman"/>
      <w:lvlText w:val="%3."/>
      <w:lvlJc w:val="right"/>
      <w:pPr>
        <w:ind w:left="2160" w:hanging="180"/>
      </w:pPr>
    </w:lvl>
    <w:lvl w:ilvl="3" w:tplc="8E106382" w:tentative="1">
      <w:start w:val="1"/>
      <w:numFmt w:val="decimal"/>
      <w:lvlText w:val="%4."/>
      <w:lvlJc w:val="left"/>
      <w:pPr>
        <w:ind w:left="2880" w:hanging="360"/>
      </w:pPr>
    </w:lvl>
    <w:lvl w:ilvl="4" w:tplc="DC12577C" w:tentative="1">
      <w:start w:val="1"/>
      <w:numFmt w:val="lowerLetter"/>
      <w:lvlText w:val="%5."/>
      <w:lvlJc w:val="left"/>
      <w:pPr>
        <w:ind w:left="3600" w:hanging="360"/>
      </w:pPr>
    </w:lvl>
    <w:lvl w:ilvl="5" w:tplc="85069956" w:tentative="1">
      <w:start w:val="1"/>
      <w:numFmt w:val="lowerRoman"/>
      <w:lvlText w:val="%6."/>
      <w:lvlJc w:val="right"/>
      <w:pPr>
        <w:ind w:left="4320" w:hanging="180"/>
      </w:pPr>
    </w:lvl>
    <w:lvl w:ilvl="6" w:tplc="FA285E74" w:tentative="1">
      <w:start w:val="1"/>
      <w:numFmt w:val="decimal"/>
      <w:lvlText w:val="%7."/>
      <w:lvlJc w:val="left"/>
      <w:pPr>
        <w:ind w:left="5040" w:hanging="360"/>
      </w:pPr>
    </w:lvl>
    <w:lvl w:ilvl="7" w:tplc="FDD0A274" w:tentative="1">
      <w:start w:val="1"/>
      <w:numFmt w:val="lowerLetter"/>
      <w:lvlText w:val="%8."/>
      <w:lvlJc w:val="left"/>
      <w:pPr>
        <w:ind w:left="5760" w:hanging="360"/>
      </w:pPr>
    </w:lvl>
    <w:lvl w:ilvl="8" w:tplc="CF6022F8" w:tentative="1">
      <w:start w:val="1"/>
      <w:numFmt w:val="lowerRoman"/>
      <w:lvlText w:val="%9."/>
      <w:lvlJc w:val="right"/>
      <w:pPr>
        <w:ind w:left="6480" w:hanging="180"/>
      </w:pPr>
    </w:lvl>
  </w:abstractNum>
  <w:abstractNum w:abstractNumId="20">
    <w:nsid w:val="5F0C2786"/>
    <w:multiLevelType w:val="hybridMultilevel"/>
    <w:tmpl w:val="031A7792"/>
    <w:lvl w:ilvl="0" w:tplc="65C23C8E">
      <w:start w:val="1"/>
      <w:numFmt w:val="decimal"/>
      <w:lvlText w:val="1.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5FE80D97"/>
    <w:multiLevelType w:val="hybridMultilevel"/>
    <w:tmpl w:val="191EF60E"/>
    <w:lvl w:ilvl="0" w:tplc="0809001B">
      <w:start w:val="1"/>
      <w:numFmt w:val="bullet"/>
      <w:lvlText w:val=""/>
      <w:lvlJc w:val="left"/>
      <w:pPr>
        <w:tabs>
          <w:tab w:val="num" w:pos="360"/>
        </w:tabs>
        <w:ind w:left="360" w:hanging="360"/>
      </w:pPr>
      <w:rPr>
        <w:rFonts w:ascii="Wingdings" w:hAnsi="Wingdings" w:hint="default"/>
      </w:rPr>
    </w:lvl>
    <w:lvl w:ilvl="1" w:tplc="08090019" w:tentative="1">
      <w:start w:val="1"/>
      <w:numFmt w:val="bullet"/>
      <w:lvlText w:val="o"/>
      <w:lvlJc w:val="left"/>
      <w:pPr>
        <w:tabs>
          <w:tab w:val="num" w:pos="1080"/>
        </w:tabs>
        <w:ind w:left="1080" w:hanging="360"/>
      </w:pPr>
      <w:rPr>
        <w:rFonts w:ascii="Courier New" w:hAnsi="Courier New" w:cs="Courier New" w:hint="default"/>
      </w:rPr>
    </w:lvl>
    <w:lvl w:ilvl="2" w:tplc="0809001B">
      <w:start w:val="1"/>
      <w:numFmt w:val="bullet"/>
      <w:lvlText w:val=""/>
      <w:lvlJc w:val="left"/>
      <w:pPr>
        <w:tabs>
          <w:tab w:val="num" w:pos="1800"/>
        </w:tabs>
        <w:ind w:left="1800" w:hanging="360"/>
      </w:pPr>
      <w:rPr>
        <w:rFonts w:ascii="Wingdings" w:hAnsi="Wingdings" w:hint="default"/>
      </w:rPr>
    </w:lvl>
    <w:lvl w:ilvl="3" w:tplc="0809000F" w:tentative="1">
      <w:start w:val="1"/>
      <w:numFmt w:val="bullet"/>
      <w:lvlText w:val=""/>
      <w:lvlJc w:val="left"/>
      <w:pPr>
        <w:tabs>
          <w:tab w:val="num" w:pos="2520"/>
        </w:tabs>
        <w:ind w:left="2520" w:hanging="360"/>
      </w:pPr>
      <w:rPr>
        <w:rFonts w:ascii="Symbol" w:hAnsi="Symbol" w:hint="default"/>
      </w:rPr>
    </w:lvl>
    <w:lvl w:ilvl="4" w:tplc="08090019" w:tentative="1">
      <w:start w:val="1"/>
      <w:numFmt w:val="bullet"/>
      <w:lvlText w:val="o"/>
      <w:lvlJc w:val="left"/>
      <w:pPr>
        <w:tabs>
          <w:tab w:val="num" w:pos="3240"/>
        </w:tabs>
        <w:ind w:left="3240" w:hanging="360"/>
      </w:pPr>
      <w:rPr>
        <w:rFonts w:ascii="Courier New" w:hAnsi="Courier New" w:cs="Courier New" w:hint="default"/>
      </w:rPr>
    </w:lvl>
    <w:lvl w:ilvl="5" w:tplc="0809001B" w:tentative="1">
      <w:start w:val="1"/>
      <w:numFmt w:val="bullet"/>
      <w:lvlText w:val=""/>
      <w:lvlJc w:val="left"/>
      <w:pPr>
        <w:tabs>
          <w:tab w:val="num" w:pos="3960"/>
        </w:tabs>
        <w:ind w:left="3960" w:hanging="360"/>
      </w:pPr>
      <w:rPr>
        <w:rFonts w:ascii="Wingdings" w:hAnsi="Wingdings" w:hint="default"/>
      </w:rPr>
    </w:lvl>
    <w:lvl w:ilvl="6" w:tplc="0809000F" w:tentative="1">
      <w:start w:val="1"/>
      <w:numFmt w:val="bullet"/>
      <w:lvlText w:val=""/>
      <w:lvlJc w:val="left"/>
      <w:pPr>
        <w:tabs>
          <w:tab w:val="num" w:pos="4680"/>
        </w:tabs>
        <w:ind w:left="4680" w:hanging="360"/>
      </w:pPr>
      <w:rPr>
        <w:rFonts w:ascii="Symbol" w:hAnsi="Symbol" w:hint="default"/>
      </w:rPr>
    </w:lvl>
    <w:lvl w:ilvl="7" w:tplc="08090019" w:tentative="1">
      <w:start w:val="1"/>
      <w:numFmt w:val="bullet"/>
      <w:lvlText w:val="o"/>
      <w:lvlJc w:val="left"/>
      <w:pPr>
        <w:tabs>
          <w:tab w:val="num" w:pos="5400"/>
        </w:tabs>
        <w:ind w:left="5400" w:hanging="360"/>
      </w:pPr>
      <w:rPr>
        <w:rFonts w:ascii="Courier New" w:hAnsi="Courier New" w:cs="Courier New" w:hint="default"/>
      </w:rPr>
    </w:lvl>
    <w:lvl w:ilvl="8" w:tplc="0809001B" w:tentative="1">
      <w:start w:val="1"/>
      <w:numFmt w:val="bullet"/>
      <w:lvlText w:val=""/>
      <w:lvlJc w:val="left"/>
      <w:pPr>
        <w:tabs>
          <w:tab w:val="num" w:pos="6120"/>
        </w:tabs>
        <w:ind w:left="6120" w:hanging="360"/>
      </w:pPr>
      <w:rPr>
        <w:rFonts w:ascii="Wingdings" w:hAnsi="Wingdings" w:hint="default"/>
      </w:rPr>
    </w:lvl>
  </w:abstractNum>
  <w:abstractNum w:abstractNumId="22">
    <w:nsid w:val="5FE93290"/>
    <w:multiLevelType w:val="hybridMultilevel"/>
    <w:tmpl w:val="D3EA3308"/>
    <w:lvl w:ilvl="0" w:tplc="48AA33CA">
      <w:start w:val="1"/>
      <w:numFmt w:val="lowerRoman"/>
      <w:lvlText w:val="%1."/>
      <w:lvlJc w:val="right"/>
      <w:pPr>
        <w:ind w:left="1440" w:hanging="360"/>
      </w:pPr>
    </w:lvl>
    <w:lvl w:ilvl="1" w:tplc="5B484ECE" w:tentative="1">
      <w:start w:val="1"/>
      <w:numFmt w:val="lowerLetter"/>
      <w:lvlText w:val="%2."/>
      <w:lvlJc w:val="left"/>
      <w:pPr>
        <w:ind w:left="2160" w:hanging="360"/>
      </w:pPr>
    </w:lvl>
    <w:lvl w:ilvl="2" w:tplc="C2D03320" w:tentative="1">
      <w:start w:val="1"/>
      <w:numFmt w:val="lowerRoman"/>
      <w:lvlText w:val="%3."/>
      <w:lvlJc w:val="right"/>
      <w:pPr>
        <w:ind w:left="2880" w:hanging="180"/>
      </w:pPr>
    </w:lvl>
    <w:lvl w:ilvl="3" w:tplc="D75A59EA" w:tentative="1">
      <w:start w:val="1"/>
      <w:numFmt w:val="decimal"/>
      <w:lvlText w:val="%4."/>
      <w:lvlJc w:val="left"/>
      <w:pPr>
        <w:ind w:left="3600" w:hanging="360"/>
      </w:pPr>
    </w:lvl>
    <w:lvl w:ilvl="4" w:tplc="F5C885AA" w:tentative="1">
      <w:start w:val="1"/>
      <w:numFmt w:val="lowerLetter"/>
      <w:lvlText w:val="%5."/>
      <w:lvlJc w:val="left"/>
      <w:pPr>
        <w:ind w:left="4320" w:hanging="360"/>
      </w:pPr>
    </w:lvl>
    <w:lvl w:ilvl="5" w:tplc="708E9B70" w:tentative="1">
      <w:start w:val="1"/>
      <w:numFmt w:val="lowerRoman"/>
      <w:lvlText w:val="%6."/>
      <w:lvlJc w:val="right"/>
      <w:pPr>
        <w:ind w:left="5040" w:hanging="180"/>
      </w:pPr>
    </w:lvl>
    <w:lvl w:ilvl="6" w:tplc="A1524F7A" w:tentative="1">
      <w:start w:val="1"/>
      <w:numFmt w:val="decimal"/>
      <w:lvlText w:val="%7."/>
      <w:lvlJc w:val="left"/>
      <w:pPr>
        <w:ind w:left="5760" w:hanging="360"/>
      </w:pPr>
    </w:lvl>
    <w:lvl w:ilvl="7" w:tplc="644AE1F6" w:tentative="1">
      <w:start w:val="1"/>
      <w:numFmt w:val="lowerLetter"/>
      <w:lvlText w:val="%8."/>
      <w:lvlJc w:val="left"/>
      <w:pPr>
        <w:ind w:left="6480" w:hanging="360"/>
      </w:pPr>
    </w:lvl>
    <w:lvl w:ilvl="8" w:tplc="2C30B5BC" w:tentative="1">
      <w:start w:val="1"/>
      <w:numFmt w:val="lowerRoman"/>
      <w:lvlText w:val="%9."/>
      <w:lvlJc w:val="right"/>
      <w:pPr>
        <w:ind w:left="7200" w:hanging="180"/>
      </w:pPr>
    </w:lvl>
  </w:abstractNum>
  <w:abstractNum w:abstractNumId="23">
    <w:nsid w:val="6BA96DD3"/>
    <w:multiLevelType w:val="multilevel"/>
    <w:tmpl w:val="9810351C"/>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decimal"/>
      <w:lvlText w:val="%1.%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785647C3"/>
    <w:multiLevelType w:val="multilevel"/>
    <w:tmpl w:val="0930D22A"/>
    <w:lvl w:ilvl="0">
      <w:start w:val="1"/>
      <w:numFmt w:val="decimal"/>
      <w:lvlText w:val="%1)"/>
      <w:lvlJc w:val="left"/>
      <w:pPr>
        <w:ind w:left="360" w:hanging="360"/>
      </w:pPr>
      <w:rPr>
        <w:rFonts w:hint="default"/>
        <w:b w:val="0"/>
        <w:i w:val="0"/>
      </w:rPr>
    </w:lvl>
    <w:lvl w:ilvl="1">
      <w:start w:val="1"/>
      <w:numFmt w:val="lowerLetter"/>
      <w:lvlText w:val="%2)"/>
      <w:lvlJc w:val="left"/>
      <w:pPr>
        <w:ind w:left="720" w:hanging="360"/>
      </w:pPr>
      <w:rPr>
        <w:rFonts w:hint="default"/>
        <w:b w:val="0"/>
        <w:i/>
        <w:sz w:val="24"/>
        <w:szCs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7F3D0860"/>
    <w:multiLevelType w:val="multilevel"/>
    <w:tmpl w:val="E9A03368"/>
    <w:lvl w:ilvl="0">
      <w:start w:val="1"/>
      <w:numFmt w:val="decimal"/>
      <w:pStyle w:val="Heading1"/>
      <w:lvlText w:val="Chapter %1"/>
      <w:lvlJc w:val="left"/>
      <w:pPr>
        <w:ind w:left="360" w:hanging="360"/>
      </w:pPr>
      <w:rPr>
        <w:rFonts w:ascii="Times New Roman" w:hAnsi="Times New Roman"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start w:val="1"/>
      <w:numFmt w:val="decimal"/>
      <w:pStyle w:val="Heading2"/>
      <w:lvlText w:val="%1.%2"/>
      <w:lvlJc w:val="left"/>
      <w:pPr>
        <w:ind w:left="720" w:hanging="360"/>
      </w:pPr>
      <w:rPr>
        <w:rFonts w:hint="default"/>
      </w:rPr>
    </w:lvl>
    <w:lvl w:ilvl="2">
      <w:start w:val="1"/>
      <w:numFmt w:val="decimal"/>
      <w:pStyle w:val="Heading3"/>
      <w:lvlText w:val="%1.%2.%3"/>
      <w:lvlJc w:val="left"/>
      <w:pPr>
        <w:ind w:left="1080" w:hanging="360"/>
      </w:pPr>
      <w:rPr>
        <w:rFonts w:hint="default"/>
      </w:rPr>
    </w:lvl>
    <w:lvl w:ilvl="3">
      <w:start w:val="1"/>
      <w:numFmt w:val="decimal"/>
      <w:pStyle w:val="Heading4"/>
      <w:lvlText w:val="%1.%2.%3.%4"/>
      <w:lvlJc w:val="left"/>
      <w:pPr>
        <w:ind w:left="1440" w:hanging="360"/>
      </w:pPr>
      <w:rPr>
        <w:rFonts w:hint="default"/>
      </w:rPr>
    </w:lvl>
    <w:lvl w:ilvl="4">
      <w:start w:val="1"/>
      <w:numFmt w:val="decimal"/>
      <w:lvlText w:val="%1.%2.%3.%4.%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7"/>
  </w:num>
  <w:num w:numId="2">
    <w:abstractNumId w:val="20"/>
  </w:num>
  <w:num w:numId="3">
    <w:abstractNumId w:val="19"/>
  </w:num>
  <w:num w:numId="4">
    <w:abstractNumId w:val="4"/>
  </w:num>
  <w:num w:numId="5">
    <w:abstractNumId w:val="15"/>
  </w:num>
  <w:num w:numId="6">
    <w:abstractNumId w:val="14"/>
  </w:num>
  <w:num w:numId="7">
    <w:abstractNumId w:val="9"/>
  </w:num>
  <w:num w:numId="8">
    <w:abstractNumId w:val="17"/>
    <w:lvlOverride w:ilvl="0">
      <w:lvl w:ilvl="0" w:tplc="BA0E38A2">
        <w:start w:val="1"/>
        <w:numFmt w:val="decimal"/>
        <w:lvlText w:val="1.%1"/>
        <w:lvlJc w:val="left"/>
        <w:pPr>
          <w:ind w:left="360" w:hanging="360"/>
        </w:pPr>
        <w:rPr>
          <w:rFonts w:hint="default"/>
        </w:rPr>
      </w:lvl>
    </w:lvlOverride>
    <w:lvlOverride w:ilvl="1">
      <w:lvl w:ilvl="1" w:tplc="19EA8228">
        <w:start w:val="1"/>
        <w:numFmt w:val="decimal"/>
        <w:lvlText w:val="1.%1.%2"/>
        <w:lvlJc w:val="left"/>
        <w:pPr>
          <w:ind w:left="1211" w:hanging="360"/>
        </w:pPr>
        <w:rPr>
          <w:rFonts w:hint="default"/>
        </w:rPr>
      </w:lvl>
    </w:lvlOverride>
    <w:lvlOverride w:ilvl="2">
      <w:lvl w:ilvl="2" w:tplc="969ECA4C">
        <w:start w:val="1"/>
        <w:numFmt w:val="lowerRoman"/>
        <w:lvlText w:val="%3."/>
        <w:lvlJc w:val="right"/>
        <w:pPr>
          <w:ind w:left="2160" w:hanging="180"/>
        </w:pPr>
        <w:rPr>
          <w:rFonts w:hint="default"/>
        </w:rPr>
      </w:lvl>
    </w:lvlOverride>
    <w:lvlOverride w:ilvl="3">
      <w:lvl w:ilvl="3" w:tplc="6DBC2556">
        <w:start w:val="1"/>
        <w:numFmt w:val="decimal"/>
        <w:lvlText w:val="%4."/>
        <w:lvlJc w:val="left"/>
        <w:pPr>
          <w:ind w:left="2880" w:hanging="360"/>
        </w:pPr>
        <w:rPr>
          <w:rFonts w:hint="default"/>
        </w:rPr>
      </w:lvl>
    </w:lvlOverride>
    <w:lvlOverride w:ilvl="4">
      <w:lvl w:ilvl="4" w:tplc="A878B002">
        <w:start w:val="1"/>
        <w:numFmt w:val="lowerLetter"/>
        <w:lvlText w:val="%5."/>
        <w:lvlJc w:val="left"/>
        <w:pPr>
          <w:ind w:left="3600" w:hanging="360"/>
        </w:pPr>
        <w:rPr>
          <w:rFonts w:hint="default"/>
        </w:rPr>
      </w:lvl>
    </w:lvlOverride>
    <w:lvlOverride w:ilvl="5">
      <w:lvl w:ilvl="5" w:tplc="B6FA1FD2">
        <w:start w:val="1"/>
        <w:numFmt w:val="lowerRoman"/>
        <w:lvlText w:val="%6."/>
        <w:lvlJc w:val="right"/>
        <w:pPr>
          <w:ind w:left="4320" w:hanging="180"/>
        </w:pPr>
        <w:rPr>
          <w:rFonts w:hint="default"/>
        </w:rPr>
      </w:lvl>
    </w:lvlOverride>
    <w:lvlOverride w:ilvl="6">
      <w:lvl w:ilvl="6" w:tplc="3BDE26D8">
        <w:start w:val="1"/>
        <w:numFmt w:val="decimal"/>
        <w:lvlText w:val="%7."/>
        <w:lvlJc w:val="left"/>
        <w:pPr>
          <w:ind w:left="5040" w:hanging="360"/>
        </w:pPr>
        <w:rPr>
          <w:rFonts w:hint="default"/>
        </w:rPr>
      </w:lvl>
    </w:lvlOverride>
    <w:lvlOverride w:ilvl="7">
      <w:lvl w:ilvl="7" w:tplc="71ECEC54">
        <w:start w:val="1"/>
        <w:numFmt w:val="lowerLetter"/>
        <w:lvlText w:val="%8."/>
        <w:lvlJc w:val="left"/>
        <w:pPr>
          <w:ind w:left="5760" w:hanging="360"/>
        </w:pPr>
        <w:rPr>
          <w:rFonts w:hint="default"/>
        </w:rPr>
      </w:lvl>
    </w:lvlOverride>
    <w:lvlOverride w:ilvl="8">
      <w:lvl w:ilvl="8" w:tplc="D22A37F4">
        <w:start w:val="1"/>
        <w:numFmt w:val="lowerRoman"/>
        <w:lvlText w:val="%9."/>
        <w:lvlJc w:val="right"/>
        <w:pPr>
          <w:ind w:left="6480" w:hanging="180"/>
        </w:pPr>
        <w:rPr>
          <w:rFonts w:hint="default"/>
        </w:rPr>
      </w:lvl>
    </w:lvlOverride>
  </w:num>
  <w:num w:numId="9">
    <w:abstractNumId w:val="17"/>
    <w:lvlOverride w:ilvl="0">
      <w:startOverride w:val="1"/>
      <w:lvl w:ilvl="0" w:tplc="BA0E38A2">
        <w:start w:val="1"/>
        <w:numFmt w:val="decimal"/>
        <w:lvlText w:val="1.%1"/>
        <w:lvlJc w:val="left"/>
        <w:pPr>
          <w:ind w:left="360" w:hanging="360"/>
        </w:pPr>
        <w:rPr>
          <w:rFonts w:hint="default"/>
        </w:rPr>
      </w:lvl>
    </w:lvlOverride>
    <w:lvlOverride w:ilvl="1">
      <w:startOverride w:val="1"/>
      <w:lvl w:ilvl="1" w:tplc="19EA8228">
        <w:start w:val="1"/>
        <w:numFmt w:val="decimal"/>
        <w:lvlText w:val="1.%1.%2"/>
        <w:lvlJc w:val="left"/>
        <w:pPr>
          <w:ind w:left="1211"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Override>
    <w:lvlOverride w:ilvl="2">
      <w:startOverride w:val="1"/>
      <w:lvl w:ilvl="2" w:tplc="969ECA4C">
        <w:start w:val="1"/>
        <w:numFmt w:val="lowerRoman"/>
        <w:lvlText w:val="%3."/>
        <w:lvlJc w:val="right"/>
        <w:pPr>
          <w:ind w:left="2160" w:hanging="180"/>
        </w:pPr>
        <w:rPr>
          <w:rFonts w:hint="default"/>
        </w:rPr>
      </w:lvl>
    </w:lvlOverride>
    <w:lvlOverride w:ilvl="3">
      <w:startOverride w:val="1"/>
      <w:lvl w:ilvl="3" w:tplc="6DBC2556">
        <w:start w:val="1"/>
        <w:numFmt w:val="decimal"/>
        <w:lvlText w:val="%4."/>
        <w:lvlJc w:val="left"/>
        <w:pPr>
          <w:ind w:left="2880" w:hanging="360"/>
        </w:pPr>
        <w:rPr>
          <w:rFonts w:hint="default"/>
        </w:rPr>
      </w:lvl>
    </w:lvlOverride>
    <w:lvlOverride w:ilvl="4">
      <w:startOverride w:val="1"/>
      <w:lvl w:ilvl="4" w:tplc="A878B002">
        <w:start w:val="1"/>
        <w:numFmt w:val="lowerLetter"/>
        <w:lvlText w:val="%5."/>
        <w:lvlJc w:val="left"/>
        <w:pPr>
          <w:ind w:left="3600" w:hanging="360"/>
        </w:pPr>
        <w:rPr>
          <w:rFonts w:hint="default"/>
        </w:rPr>
      </w:lvl>
    </w:lvlOverride>
    <w:lvlOverride w:ilvl="5">
      <w:startOverride w:val="1"/>
      <w:lvl w:ilvl="5" w:tplc="B6FA1FD2">
        <w:start w:val="1"/>
        <w:numFmt w:val="lowerRoman"/>
        <w:lvlText w:val="%6."/>
        <w:lvlJc w:val="right"/>
        <w:pPr>
          <w:ind w:left="4320" w:hanging="180"/>
        </w:pPr>
        <w:rPr>
          <w:rFonts w:hint="default"/>
        </w:rPr>
      </w:lvl>
    </w:lvlOverride>
    <w:lvlOverride w:ilvl="6">
      <w:startOverride w:val="1"/>
      <w:lvl w:ilvl="6" w:tplc="3BDE26D8">
        <w:start w:val="1"/>
        <w:numFmt w:val="decimal"/>
        <w:lvlText w:val="%7."/>
        <w:lvlJc w:val="left"/>
        <w:pPr>
          <w:ind w:left="5040" w:hanging="360"/>
        </w:pPr>
        <w:rPr>
          <w:rFonts w:hint="default"/>
        </w:rPr>
      </w:lvl>
    </w:lvlOverride>
    <w:lvlOverride w:ilvl="7">
      <w:startOverride w:val="1"/>
      <w:lvl w:ilvl="7" w:tplc="71ECEC54">
        <w:start w:val="1"/>
        <w:numFmt w:val="lowerLetter"/>
        <w:lvlText w:val="%8."/>
        <w:lvlJc w:val="left"/>
        <w:pPr>
          <w:ind w:left="5760" w:hanging="360"/>
        </w:pPr>
        <w:rPr>
          <w:rFonts w:hint="default"/>
        </w:rPr>
      </w:lvl>
    </w:lvlOverride>
    <w:lvlOverride w:ilvl="8">
      <w:startOverride w:val="1"/>
      <w:lvl w:ilvl="8" w:tplc="D22A37F4">
        <w:start w:val="1"/>
        <w:numFmt w:val="lowerRoman"/>
        <w:lvlText w:val="%9."/>
        <w:lvlJc w:val="right"/>
        <w:pPr>
          <w:ind w:left="6480" w:hanging="180"/>
        </w:pPr>
        <w:rPr>
          <w:rFonts w:hint="default"/>
        </w:rPr>
      </w:lvl>
    </w:lvlOverride>
  </w:num>
  <w:num w:numId="10">
    <w:abstractNumId w:val="23"/>
  </w:num>
  <w:num w:numId="11">
    <w:abstractNumId w:val="25"/>
  </w:num>
  <w:num w:numId="12">
    <w:abstractNumId w:val="11"/>
  </w:num>
  <w:num w:numId="13">
    <w:abstractNumId w:val="13"/>
  </w:num>
  <w:num w:numId="14">
    <w:abstractNumId w:val="21"/>
  </w:num>
  <w:num w:numId="15">
    <w:abstractNumId w:val="18"/>
  </w:num>
  <w:num w:numId="16">
    <w:abstractNumId w:val="1"/>
  </w:num>
  <w:num w:numId="17">
    <w:abstractNumId w:val="10"/>
  </w:num>
  <w:num w:numId="18">
    <w:abstractNumId w:val="7"/>
  </w:num>
  <w:num w:numId="19">
    <w:abstractNumId w:val="24"/>
  </w:num>
  <w:num w:numId="20">
    <w:abstractNumId w:val="16"/>
  </w:num>
  <w:num w:numId="21">
    <w:abstractNumId w:val="22"/>
  </w:num>
  <w:num w:numId="22">
    <w:abstractNumId w:val="12"/>
  </w:num>
  <w:num w:numId="23">
    <w:abstractNumId w:val="2"/>
  </w:num>
  <w:num w:numId="24">
    <w:abstractNumId w:val="0"/>
  </w:num>
  <w:num w:numId="25">
    <w:abstractNumId w:val="0"/>
    <w:lvlOverride w:ilvl="0">
      <w:lvl w:ilvl="0" w:tplc="60B2FE7A">
        <w:start w:val="2"/>
        <w:numFmt w:val="decimal"/>
        <w:lvlText w:val="Chapter %1"/>
        <w:lvlJc w:val="left"/>
        <w:pPr>
          <w:ind w:left="720" w:hanging="360"/>
        </w:pPr>
        <w:rPr>
          <w:rFonts w:hint="default"/>
        </w:rPr>
      </w:lvl>
    </w:lvlOverride>
    <w:lvlOverride w:ilvl="1">
      <w:lvl w:ilvl="1" w:tplc="08090019">
        <w:start w:val="1"/>
        <w:numFmt w:val="decimal"/>
        <w:lvlText w:val="%1.%2"/>
        <w:lvlJc w:val="left"/>
        <w:pPr>
          <w:ind w:left="1440" w:hanging="360"/>
        </w:pPr>
        <w:rPr>
          <w:rFonts w:hint="default"/>
        </w:rPr>
      </w:lvl>
    </w:lvlOverride>
    <w:lvlOverride w:ilvl="2">
      <w:lvl w:ilvl="2" w:tplc="0809001B">
        <w:start w:val="1"/>
        <w:numFmt w:val="lowerRoman"/>
        <w:lvlText w:val="%3."/>
        <w:lvlJc w:val="right"/>
        <w:pPr>
          <w:ind w:left="2160" w:hanging="180"/>
        </w:pPr>
        <w:rPr>
          <w:rFonts w:hint="default"/>
        </w:rPr>
      </w:lvl>
    </w:lvlOverride>
    <w:lvlOverride w:ilvl="3">
      <w:lvl w:ilvl="3" w:tplc="0809000F">
        <w:start w:val="1"/>
        <w:numFmt w:val="decimal"/>
        <w:lvlText w:val="%4."/>
        <w:lvlJc w:val="left"/>
        <w:pPr>
          <w:ind w:left="2880" w:hanging="360"/>
        </w:pPr>
        <w:rPr>
          <w:rFonts w:hint="default"/>
        </w:rPr>
      </w:lvl>
    </w:lvlOverride>
    <w:lvlOverride w:ilvl="4">
      <w:lvl w:ilvl="4" w:tplc="08090019">
        <w:start w:val="1"/>
        <w:numFmt w:val="lowerLetter"/>
        <w:lvlText w:val="%5."/>
        <w:lvlJc w:val="left"/>
        <w:pPr>
          <w:ind w:left="3600" w:hanging="360"/>
        </w:pPr>
        <w:rPr>
          <w:rFonts w:hint="default"/>
        </w:rPr>
      </w:lvl>
    </w:lvlOverride>
    <w:lvlOverride w:ilvl="5">
      <w:lvl w:ilvl="5" w:tplc="0809001B">
        <w:start w:val="1"/>
        <w:numFmt w:val="lowerRoman"/>
        <w:lvlText w:val="%6."/>
        <w:lvlJc w:val="right"/>
        <w:pPr>
          <w:ind w:left="4320" w:hanging="180"/>
        </w:pPr>
        <w:rPr>
          <w:rFonts w:hint="default"/>
        </w:rPr>
      </w:lvl>
    </w:lvlOverride>
    <w:lvlOverride w:ilvl="6">
      <w:lvl w:ilvl="6" w:tplc="0809000F">
        <w:start w:val="1"/>
        <w:numFmt w:val="decimal"/>
        <w:lvlText w:val="%7."/>
        <w:lvlJc w:val="left"/>
        <w:pPr>
          <w:ind w:left="5040" w:hanging="360"/>
        </w:pPr>
        <w:rPr>
          <w:rFonts w:hint="default"/>
        </w:rPr>
      </w:lvl>
    </w:lvlOverride>
    <w:lvlOverride w:ilvl="7">
      <w:lvl w:ilvl="7" w:tplc="08090019">
        <w:start w:val="1"/>
        <w:numFmt w:val="lowerLetter"/>
        <w:lvlText w:val="%8."/>
        <w:lvlJc w:val="left"/>
        <w:pPr>
          <w:ind w:left="5760" w:hanging="360"/>
        </w:pPr>
        <w:rPr>
          <w:rFonts w:hint="default"/>
        </w:rPr>
      </w:lvl>
    </w:lvlOverride>
    <w:lvlOverride w:ilvl="8">
      <w:lvl w:ilvl="8" w:tplc="0809001B">
        <w:start w:val="1"/>
        <w:numFmt w:val="lowerRoman"/>
        <w:lvlText w:val="%9."/>
        <w:lvlJc w:val="right"/>
        <w:pPr>
          <w:ind w:left="6480" w:hanging="180"/>
        </w:pPr>
        <w:rPr>
          <w:rFonts w:hint="default"/>
        </w:rPr>
      </w:lvl>
    </w:lvlOverride>
  </w:num>
  <w:num w:numId="26">
    <w:abstractNumId w:val="8"/>
  </w:num>
  <w:num w:numId="27">
    <w:abstractNumId w:val="3"/>
  </w:num>
  <w:num w:numId="28">
    <w:abstractNumId w:val="3"/>
    <w:lvlOverride w:ilvl="0">
      <w:startOverride w:val="2"/>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
  </w:num>
  <w:num w:numId="30">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0"/>
  <w:proofState w:grammar="clean"/>
  <w:defaultTabStop w:val="720"/>
  <w:characterSpacingControl w:val="doNotCompress"/>
  <w:hdrShapeDefaults>
    <o:shapedefaults v:ext="edit" spidmax="124930"/>
    <o:shapelayout v:ext="edit">
      <o:idmap v:ext="edit" data="55"/>
      <o:rules v:ext="edit">
        <o:r id="V:Rule14" type="connector" idref="#_x0000_s56326"/>
        <o:r id="V:Rule15" type="connector" idref="#_x0000_s56322"/>
        <o:r id="V:Rule16" type="connector" idref="#_x0000_s56330"/>
        <o:r id="V:Rule17" type="connector" idref="#_x0000_s56321"/>
        <o:r id="V:Rule18" type="connector" idref="#_x0000_s56332"/>
        <o:r id="V:Rule19" type="connector" idref="#_x0000_s56323"/>
        <o:r id="V:Rule20" type="connector" idref="#_x0000_s56324"/>
        <o:r id="V:Rule21" type="connector" idref="#_x0000_s56334"/>
        <o:r id="V:Rule22" type="connector" idref="#_x0000_s56325"/>
        <o:r id="V:Rule23" type="connector" idref="#_x0000_s56336"/>
        <o:r id="V:Rule24" type="connector" idref="#_x0000_s56333"/>
        <o:r id="V:Rule25" type="connector" idref="#_x0000_s56328"/>
        <o:r id="V:Rule26" type="connector" idref="#_x0000_s56335"/>
      </o:rules>
    </o:shapelayout>
  </w:hdrShapeDefaults>
  <w:footnotePr>
    <w:footnote w:id="-1"/>
    <w:footnote w:id="0"/>
  </w:footnotePr>
  <w:endnotePr>
    <w:endnote w:id="-1"/>
    <w:endnote w:id="0"/>
  </w:endnotePr>
  <w:compat/>
  <w:rsids>
    <w:rsidRoot w:val="0063585C"/>
    <w:rsid w:val="00000C9B"/>
    <w:rsid w:val="0000156A"/>
    <w:rsid w:val="00007DF1"/>
    <w:rsid w:val="000122B6"/>
    <w:rsid w:val="00016D57"/>
    <w:rsid w:val="00016DB9"/>
    <w:rsid w:val="000225BA"/>
    <w:rsid w:val="00023C1B"/>
    <w:rsid w:val="00024600"/>
    <w:rsid w:val="00027508"/>
    <w:rsid w:val="00027BC8"/>
    <w:rsid w:val="00027C88"/>
    <w:rsid w:val="000325CB"/>
    <w:rsid w:val="00034D87"/>
    <w:rsid w:val="00036006"/>
    <w:rsid w:val="00037890"/>
    <w:rsid w:val="000407AD"/>
    <w:rsid w:val="00040B7E"/>
    <w:rsid w:val="00041734"/>
    <w:rsid w:val="00041F06"/>
    <w:rsid w:val="0004345E"/>
    <w:rsid w:val="00045099"/>
    <w:rsid w:val="000469D1"/>
    <w:rsid w:val="0005043E"/>
    <w:rsid w:val="00051280"/>
    <w:rsid w:val="0005148D"/>
    <w:rsid w:val="00055369"/>
    <w:rsid w:val="00061900"/>
    <w:rsid w:val="00061B26"/>
    <w:rsid w:val="000627AA"/>
    <w:rsid w:val="00064BB2"/>
    <w:rsid w:val="00066034"/>
    <w:rsid w:val="00070158"/>
    <w:rsid w:val="00070ED7"/>
    <w:rsid w:val="00071AFF"/>
    <w:rsid w:val="00073144"/>
    <w:rsid w:val="00077159"/>
    <w:rsid w:val="0008194C"/>
    <w:rsid w:val="00081F2E"/>
    <w:rsid w:val="00083C18"/>
    <w:rsid w:val="00087085"/>
    <w:rsid w:val="000903C3"/>
    <w:rsid w:val="0009193F"/>
    <w:rsid w:val="00091D29"/>
    <w:rsid w:val="00092F34"/>
    <w:rsid w:val="00092FDE"/>
    <w:rsid w:val="00095260"/>
    <w:rsid w:val="000A1679"/>
    <w:rsid w:val="000A2682"/>
    <w:rsid w:val="000A42A2"/>
    <w:rsid w:val="000A4AC8"/>
    <w:rsid w:val="000A5B4C"/>
    <w:rsid w:val="000B0610"/>
    <w:rsid w:val="000B1E0C"/>
    <w:rsid w:val="000B203B"/>
    <w:rsid w:val="000B28DF"/>
    <w:rsid w:val="000B2985"/>
    <w:rsid w:val="000B52A1"/>
    <w:rsid w:val="000B6020"/>
    <w:rsid w:val="000B72A6"/>
    <w:rsid w:val="000C04C8"/>
    <w:rsid w:val="000C140C"/>
    <w:rsid w:val="000C33B4"/>
    <w:rsid w:val="000C3A9E"/>
    <w:rsid w:val="000C63BB"/>
    <w:rsid w:val="000C6BD5"/>
    <w:rsid w:val="000D12AF"/>
    <w:rsid w:val="000D1853"/>
    <w:rsid w:val="000D709B"/>
    <w:rsid w:val="000D7B4D"/>
    <w:rsid w:val="000E03AC"/>
    <w:rsid w:val="000E299D"/>
    <w:rsid w:val="000E6C51"/>
    <w:rsid w:val="000F461B"/>
    <w:rsid w:val="000F4A2B"/>
    <w:rsid w:val="000F56B0"/>
    <w:rsid w:val="000F6E12"/>
    <w:rsid w:val="00101B87"/>
    <w:rsid w:val="00103036"/>
    <w:rsid w:val="00105623"/>
    <w:rsid w:val="0010615E"/>
    <w:rsid w:val="0010646A"/>
    <w:rsid w:val="00106F45"/>
    <w:rsid w:val="00107652"/>
    <w:rsid w:val="00110E98"/>
    <w:rsid w:val="001112F6"/>
    <w:rsid w:val="00111408"/>
    <w:rsid w:val="00113BBF"/>
    <w:rsid w:val="001209B9"/>
    <w:rsid w:val="00120C57"/>
    <w:rsid w:val="00121283"/>
    <w:rsid w:val="00126529"/>
    <w:rsid w:val="0012716A"/>
    <w:rsid w:val="0012773B"/>
    <w:rsid w:val="00130A51"/>
    <w:rsid w:val="00133B57"/>
    <w:rsid w:val="00134389"/>
    <w:rsid w:val="00134BD6"/>
    <w:rsid w:val="0013597E"/>
    <w:rsid w:val="001364DB"/>
    <w:rsid w:val="001402CC"/>
    <w:rsid w:val="001412AD"/>
    <w:rsid w:val="00142134"/>
    <w:rsid w:val="00144DD5"/>
    <w:rsid w:val="0014545F"/>
    <w:rsid w:val="00145972"/>
    <w:rsid w:val="001510E3"/>
    <w:rsid w:val="00153027"/>
    <w:rsid w:val="0015355B"/>
    <w:rsid w:val="00153AC1"/>
    <w:rsid w:val="00154331"/>
    <w:rsid w:val="00155191"/>
    <w:rsid w:val="001602A5"/>
    <w:rsid w:val="00162D2B"/>
    <w:rsid w:val="00163BDD"/>
    <w:rsid w:val="00165B95"/>
    <w:rsid w:val="0016691B"/>
    <w:rsid w:val="00167065"/>
    <w:rsid w:val="00171C55"/>
    <w:rsid w:val="00171CC0"/>
    <w:rsid w:val="00172879"/>
    <w:rsid w:val="00172C0C"/>
    <w:rsid w:val="00173346"/>
    <w:rsid w:val="00175478"/>
    <w:rsid w:val="00176734"/>
    <w:rsid w:val="00177743"/>
    <w:rsid w:val="0018103D"/>
    <w:rsid w:val="00182B5C"/>
    <w:rsid w:val="00182D9C"/>
    <w:rsid w:val="0018528B"/>
    <w:rsid w:val="001857D6"/>
    <w:rsid w:val="00190C35"/>
    <w:rsid w:val="00192D22"/>
    <w:rsid w:val="001934AF"/>
    <w:rsid w:val="0019403E"/>
    <w:rsid w:val="001952DC"/>
    <w:rsid w:val="00195CC4"/>
    <w:rsid w:val="0019727D"/>
    <w:rsid w:val="00197E62"/>
    <w:rsid w:val="001A41B8"/>
    <w:rsid w:val="001A4D11"/>
    <w:rsid w:val="001B2782"/>
    <w:rsid w:val="001B3C2C"/>
    <w:rsid w:val="001B3D2E"/>
    <w:rsid w:val="001B5333"/>
    <w:rsid w:val="001B5E20"/>
    <w:rsid w:val="001B6C44"/>
    <w:rsid w:val="001B7246"/>
    <w:rsid w:val="001B7A77"/>
    <w:rsid w:val="001C11B9"/>
    <w:rsid w:val="001C377C"/>
    <w:rsid w:val="001C58E6"/>
    <w:rsid w:val="001C7E68"/>
    <w:rsid w:val="001D05E7"/>
    <w:rsid w:val="001D0EC4"/>
    <w:rsid w:val="001D128B"/>
    <w:rsid w:val="001D3F4C"/>
    <w:rsid w:val="001D3FEE"/>
    <w:rsid w:val="001D5097"/>
    <w:rsid w:val="001D522D"/>
    <w:rsid w:val="001D549F"/>
    <w:rsid w:val="001D5A67"/>
    <w:rsid w:val="001E1FC3"/>
    <w:rsid w:val="001E2CFD"/>
    <w:rsid w:val="001E4BCE"/>
    <w:rsid w:val="001E51D9"/>
    <w:rsid w:val="001E5AB8"/>
    <w:rsid w:val="001E71A6"/>
    <w:rsid w:val="001F0601"/>
    <w:rsid w:val="0020000A"/>
    <w:rsid w:val="002040E7"/>
    <w:rsid w:val="002047BF"/>
    <w:rsid w:val="00204FE3"/>
    <w:rsid w:val="0021135B"/>
    <w:rsid w:val="0021341A"/>
    <w:rsid w:val="00213580"/>
    <w:rsid w:val="00214BA1"/>
    <w:rsid w:val="00214E79"/>
    <w:rsid w:val="00216480"/>
    <w:rsid w:val="00217DB9"/>
    <w:rsid w:val="00222A00"/>
    <w:rsid w:val="00222E83"/>
    <w:rsid w:val="00223381"/>
    <w:rsid w:val="002301AE"/>
    <w:rsid w:val="00231B5E"/>
    <w:rsid w:val="00233CCA"/>
    <w:rsid w:val="0023782A"/>
    <w:rsid w:val="00240CB9"/>
    <w:rsid w:val="002415BD"/>
    <w:rsid w:val="00242E33"/>
    <w:rsid w:val="002454F7"/>
    <w:rsid w:val="00245516"/>
    <w:rsid w:val="0024579B"/>
    <w:rsid w:val="00251DAA"/>
    <w:rsid w:val="00255BA9"/>
    <w:rsid w:val="00257595"/>
    <w:rsid w:val="00260E87"/>
    <w:rsid w:val="00265045"/>
    <w:rsid w:val="0026524C"/>
    <w:rsid w:val="0026681D"/>
    <w:rsid w:val="002708FC"/>
    <w:rsid w:val="0027241A"/>
    <w:rsid w:val="00275E53"/>
    <w:rsid w:val="0027742D"/>
    <w:rsid w:val="00277EF6"/>
    <w:rsid w:val="00280DD8"/>
    <w:rsid w:val="00281B46"/>
    <w:rsid w:val="00282C55"/>
    <w:rsid w:val="00282E11"/>
    <w:rsid w:val="00284049"/>
    <w:rsid w:val="00285150"/>
    <w:rsid w:val="002860A5"/>
    <w:rsid w:val="00291971"/>
    <w:rsid w:val="00293155"/>
    <w:rsid w:val="00293B13"/>
    <w:rsid w:val="00294781"/>
    <w:rsid w:val="00295A96"/>
    <w:rsid w:val="002A0CEB"/>
    <w:rsid w:val="002A563A"/>
    <w:rsid w:val="002A57CF"/>
    <w:rsid w:val="002A5F1E"/>
    <w:rsid w:val="002A5F4F"/>
    <w:rsid w:val="002B01E4"/>
    <w:rsid w:val="002B0759"/>
    <w:rsid w:val="002B5529"/>
    <w:rsid w:val="002B6773"/>
    <w:rsid w:val="002B6E93"/>
    <w:rsid w:val="002C08AC"/>
    <w:rsid w:val="002C18EE"/>
    <w:rsid w:val="002C1BBD"/>
    <w:rsid w:val="002C2E36"/>
    <w:rsid w:val="002C5381"/>
    <w:rsid w:val="002C5DC8"/>
    <w:rsid w:val="002D2DFC"/>
    <w:rsid w:val="002D5579"/>
    <w:rsid w:val="002D5EFB"/>
    <w:rsid w:val="002E1909"/>
    <w:rsid w:val="002F158A"/>
    <w:rsid w:val="002F2594"/>
    <w:rsid w:val="002F473C"/>
    <w:rsid w:val="002F4997"/>
    <w:rsid w:val="002F5564"/>
    <w:rsid w:val="002F75BF"/>
    <w:rsid w:val="002F7DA4"/>
    <w:rsid w:val="003071AA"/>
    <w:rsid w:val="00307929"/>
    <w:rsid w:val="00307BAB"/>
    <w:rsid w:val="00310F7B"/>
    <w:rsid w:val="003114F9"/>
    <w:rsid w:val="003121F5"/>
    <w:rsid w:val="00312E2D"/>
    <w:rsid w:val="00314142"/>
    <w:rsid w:val="0031480C"/>
    <w:rsid w:val="003157B4"/>
    <w:rsid w:val="00315A67"/>
    <w:rsid w:val="00317252"/>
    <w:rsid w:val="00320F40"/>
    <w:rsid w:val="00322268"/>
    <w:rsid w:val="003227B8"/>
    <w:rsid w:val="00323F30"/>
    <w:rsid w:val="00324C9B"/>
    <w:rsid w:val="003263CF"/>
    <w:rsid w:val="003300C1"/>
    <w:rsid w:val="00330780"/>
    <w:rsid w:val="003318E8"/>
    <w:rsid w:val="00331DA5"/>
    <w:rsid w:val="00332613"/>
    <w:rsid w:val="00333C37"/>
    <w:rsid w:val="00334207"/>
    <w:rsid w:val="003363FB"/>
    <w:rsid w:val="00336FBD"/>
    <w:rsid w:val="0034012C"/>
    <w:rsid w:val="00340706"/>
    <w:rsid w:val="00341643"/>
    <w:rsid w:val="0034303B"/>
    <w:rsid w:val="0034531B"/>
    <w:rsid w:val="0034618B"/>
    <w:rsid w:val="003463CD"/>
    <w:rsid w:val="0034667E"/>
    <w:rsid w:val="00346A76"/>
    <w:rsid w:val="003500E8"/>
    <w:rsid w:val="00351740"/>
    <w:rsid w:val="00356EF1"/>
    <w:rsid w:val="00357AAA"/>
    <w:rsid w:val="00360CE3"/>
    <w:rsid w:val="00360D34"/>
    <w:rsid w:val="00363C38"/>
    <w:rsid w:val="003643FA"/>
    <w:rsid w:val="003649D4"/>
    <w:rsid w:val="00366550"/>
    <w:rsid w:val="00370DEB"/>
    <w:rsid w:val="0037179B"/>
    <w:rsid w:val="003719A2"/>
    <w:rsid w:val="003723C6"/>
    <w:rsid w:val="00372D67"/>
    <w:rsid w:val="00373CF2"/>
    <w:rsid w:val="00374ACA"/>
    <w:rsid w:val="003831E3"/>
    <w:rsid w:val="003834B9"/>
    <w:rsid w:val="003861BF"/>
    <w:rsid w:val="003870C0"/>
    <w:rsid w:val="00390A46"/>
    <w:rsid w:val="00392991"/>
    <w:rsid w:val="00393A04"/>
    <w:rsid w:val="0039768C"/>
    <w:rsid w:val="003A03B5"/>
    <w:rsid w:val="003A276E"/>
    <w:rsid w:val="003A5870"/>
    <w:rsid w:val="003A5F15"/>
    <w:rsid w:val="003B2282"/>
    <w:rsid w:val="003B29A9"/>
    <w:rsid w:val="003B38E9"/>
    <w:rsid w:val="003B59D1"/>
    <w:rsid w:val="003B63EE"/>
    <w:rsid w:val="003B6558"/>
    <w:rsid w:val="003C0D90"/>
    <w:rsid w:val="003C2395"/>
    <w:rsid w:val="003C2B64"/>
    <w:rsid w:val="003C336C"/>
    <w:rsid w:val="003C34C2"/>
    <w:rsid w:val="003D1C54"/>
    <w:rsid w:val="003D2339"/>
    <w:rsid w:val="003D2EDC"/>
    <w:rsid w:val="003D60E9"/>
    <w:rsid w:val="003D69EA"/>
    <w:rsid w:val="003D7BAA"/>
    <w:rsid w:val="003E130C"/>
    <w:rsid w:val="003E16C0"/>
    <w:rsid w:val="003E17A6"/>
    <w:rsid w:val="003E387F"/>
    <w:rsid w:val="003E3E9C"/>
    <w:rsid w:val="003E429A"/>
    <w:rsid w:val="003E5D56"/>
    <w:rsid w:val="003F0F7E"/>
    <w:rsid w:val="003F1B1F"/>
    <w:rsid w:val="003F2E33"/>
    <w:rsid w:val="003F5EBE"/>
    <w:rsid w:val="003F68E7"/>
    <w:rsid w:val="0040001E"/>
    <w:rsid w:val="0040062F"/>
    <w:rsid w:val="00400F29"/>
    <w:rsid w:val="00400FB3"/>
    <w:rsid w:val="00402CD9"/>
    <w:rsid w:val="00405418"/>
    <w:rsid w:val="00410784"/>
    <w:rsid w:val="00410C23"/>
    <w:rsid w:val="00415AFA"/>
    <w:rsid w:val="00423896"/>
    <w:rsid w:val="00427982"/>
    <w:rsid w:val="00430DF3"/>
    <w:rsid w:val="00435BB2"/>
    <w:rsid w:val="00440E27"/>
    <w:rsid w:val="004443B4"/>
    <w:rsid w:val="0044456E"/>
    <w:rsid w:val="00446FE9"/>
    <w:rsid w:val="00447A0E"/>
    <w:rsid w:val="00452EF3"/>
    <w:rsid w:val="00454ED0"/>
    <w:rsid w:val="00455CF6"/>
    <w:rsid w:val="00456F73"/>
    <w:rsid w:val="0045711C"/>
    <w:rsid w:val="004613BA"/>
    <w:rsid w:val="004622F8"/>
    <w:rsid w:val="00463142"/>
    <w:rsid w:val="00464FE9"/>
    <w:rsid w:val="0046629A"/>
    <w:rsid w:val="004665D9"/>
    <w:rsid w:val="00466D69"/>
    <w:rsid w:val="00467782"/>
    <w:rsid w:val="00471D18"/>
    <w:rsid w:val="00472262"/>
    <w:rsid w:val="00472A2F"/>
    <w:rsid w:val="00472D61"/>
    <w:rsid w:val="004732B6"/>
    <w:rsid w:val="004739CC"/>
    <w:rsid w:val="00473A74"/>
    <w:rsid w:val="00477854"/>
    <w:rsid w:val="00477B16"/>
    <w:rsid w:val="00477BD0"/>
    <w:rsid w:val="00480037"/>
    <w:rsid w:val="00480F63"/>
    <w:rsid w:val="00481EA2"/>
    <w:rsid w:val="004843C1"/>
    <w:rsid w:val="00484400"/>
    <w:rsid w:val="00491C5B"/>
    <w:rsid w:val="004946DA"/>
    <w:rsid w:val="00494AEA"/>
    <w:rsid w:val="00494C7C"/>
    <w:rsid w:val="0049577F"/>
    <w:rsid w:val="00495B5A"/>
    <w:rsid w:val="00496156"/>
    <w:rsid w:val="004A0B6B"/>
    <w:rsid w:val="004A104D"/>
    <w:rsid w:val="004A4926"/>
    <w:rsid w:val="004A5CBE"/>
    <w:rsid w:val="004A782F"/>
    <w:rsid w:val="004A796B"/>
    <w:rsid w:val="004B1E93"/>
    <w:rsid w:val="004B25BF"/>
    <w:rsid w:val="004B38C4"/>
    <w:rsid w:val="004B43E4"/>
    <w:rsid w:val="004B65DD"/>
    <w:rsid w:val="004B713B"/>
    <w:rsid w:val="004C247B"/>
    <w:rsid w:val="004C294B"/>
    <w:rsid w:val="004C2C43"/>
    <w:rsid w:val="004C3429"/>
    <w:rsid w:val="004C4B4C"/>
    <w:rsid w:val="004D0647"/>
    <w:rsid w:val="004D2C7F"/>
    <w:rsid w:val="004D428C"/>
    <w:rsid w:val="004D495E"/>
    <w:rsid w:val="004D7711"/>
    <w:rsid w:val="004E1914"/>
    <w:rsid w:val="004E3E7C"/>
    <w:rsid w:val="004E60EC"/>
    <w:rsid w:val="004E6BEA"/>
    <w:rsid w:val="004F1A64"/>
    <w:rsid w:val="004F1D48"/>
    <w:rsid w:val="004F2838"/>
    <w:rsid w:val="004F2C97"/>
    <w:rsid w:val="004F43B8"/>
    <w:rsid w:val="004F6DB1"/>
    <w:rsid w:val="005006E3"/>
    <w:rsid w:val="00500CE5"/>
    <w:rsid w:val="00503D0E"/>
    <w:rsid w:val="00504C42"/>
    <w:rsid w:val="00505879"/>
    <w:rsid w:val="005061C8"/>
    <w:rsid w:val="00507244"/>
    <w:rsid w:val="005076C9"/>
    <w:rsid w:val="0051096C"/>
    <w:rsid w:val="005110A0"/>
    <w:rsid w:val="00511FF2"/>
    <w:rsid w:val="00515688"/>
    <w:rsid w:val="0051767F"/>
    <w:rsid w:val="005252E2"/>
    <w:rsid w:val="00525765"/>
    <w:rsid w:val="00526A4F"/>
    <w:rsid w:val="00527875"/>
    <w:rsid w:val="005279DB"/>
    <w:rsid w:val="005309BF"/>
    <w:rsid w:val="00532E88"/>
    <w:rsid w:val="00536758"/>
    <w:rsid w:val="0054026D"/>
    <w:rsid w:val="00540AAA"/>
    <w:rsid w:val="00540AB7"/>
    <w:rsid w:val="00541838"/>
    <w:rsid w:val="0054187C"/>
    <w:rsid w:val="00541936"/>
    <w:rsid w:val="00543277"/>
    <w:rsid w:val="005434C7"/>
    <w:rsid w:val="00546AB4"/>
    <w:rsid w:val="005472C5"/>
    <w:rsid w:val="00553591"/>
    <w:rsid w:val="005548CD"/>
    <w:rsid w:val="005564BB"/>
    <w:rsid w:val="00556EF3"/>
    <w:rsid w:val="00557B14"/>
    <w:rsid w:val="005621F0"/>
    <w:rsid w:val="00564E9C"/>
    <w:rsid w:val="00566EB1"/>
    <w:rsid w:val="00567225"/>
    <w:rsid w:val="00577EA5"/>
    <w:rsid w:val="00580401"/>
    <w:rsid w:val="005808A6"/>
    <w:rsid w:val="00581401"/>
    <w:rsid w:val="005822DE"/>
    <w:rsid w:val="005867F2"/>
    <w:rsid w:val="00590C69"/>
    <w:rsid w:val="005922AD"/>
    <w:rsid w:val="00593B52"/>
    <w:rsid w:val="00594401"/>
    <w:rsid w:val="005960E0"/>
    <w:rsid w:val="005969F1"/>
    <w:rsid w:val="005A1A6D"/>
    <w:rsid w:val="005A1EA7"/>
    <w:rsid w:val="005A40B3"/>
    <w:rsid w:val="005A6206"/>
    <w:rsid w:val="005A7ACE"/>
    <w:rsid w:val="005A7C03"/>
    <w:rsid w:val="005B06CC"/>
    <w:rsid w:val="005B1535"/>
    <w:rsid w:val="005B27DE"/>
    <w:rsid w:val="005B2995"/>
    <w:rsid w:val="005B29AF"/>
    <w:rsid w:val="005B4AFA"/>
    <w:rsid w:val="005B6219"/>
    <w:rsid w:val="005C02EA"/>
    <w:rsid w:val="005C0B06"/>
    <w:rsid w:val="005C5082"/>
    <w:rsid w:val="005C587A"/>
    <w:rsid w:val="005C5C8B"/>
    <w:rsid w:val="005D2E6C"/>
    <w:rsid w:val="005D66F1"/>
    <w:rsid w:val="005D6877"/>
    <w:rsid w:val="005E1F33"/>
    <w:rsid w:val="005E387D"/>
    <w:rsid w:val="005E3E41"/>
    <w:rsid w:val="005E4EF7"/>
    <w:rsid w:val="005E53F6"/>
    <w:rsid w:val="005F0AAB"/>
    <w:rsid w:val="005F170E"/>
    <w:rsid w:val="005F5B5A"/>
    <w:rsid w:val="005F5F0F"/>
    <w:rsid w:val="005F61C5"/>
    <w:rsid w:val="005F7502"/>
    <w:rsid w:val="005F7FCD"/>
    <w:rsid w:val="00602935"/>
    <w:rsid w:val="00602AD5"/>
    <w:rsid w:val="00603DBD"/>
    <w:rsid w:val="0060454F"/>
    <w:rsid w:val="006057C5"/>
    <w:rsid w:val="006062F6"/>
    <w:rsid w:val="00607223"/>
    <w:rsid w:val="006119E3"/>
    <w:rsid w:val="0061297D"/>
    <w:rsid w:val="0061355C"/>
    <w:rsid w:val="0061367C"/>
    <w:rsid w:val="00614CE3"/>
    <w:rsid w:val="00616319"/>
    <w:rsid w:val="006215BF"/>
    <w:rsid w:val="00621850"/>
    <w:rsid w:val="00621B02"/>
    <w:rsid w:val="00624E80"/>
    <w:rsid w:val="00625AAC"/>
    <w:rsid w:val="006262DB"/>
    <w:rsid w:val="0062722E"/>
    <w:rsid w:val="006305BD"/>
    <w:rsid w:val="00631978"/>
    <w:rsid w:val="00631B9A"/>
    <w:rsid w:val="0063485B"/>
    <w:rsid w:val="006348E4"/>
    <w:rsid w:val="0063573D"/>
    <w:rsid w:val="0063585C"/>
    <w:rsid w:val="0063749A"/>
    <w:rsid w:val="00637C4E"/>
    <w:rsid w:val="00640D09"/>
    <w:rsid w:val="0064164B"/>
    <w:rsid w:val="0064210A"/>
    <w:rsid w:val="00642F3D"/>
    <w:rsid w:val="00644626"/>
    <w:rsid w:val="00644679"/>
    <w:rsid w:val="00644A8C"/>
    <w:rsid w:val="006459B8"/>
    <w:rsid w:val="00651A19"/>
    <w:rsid w:val="006524B7"/>
    <w:rsid w:val="00653403"/>
    <w:rsid w:val="00653C1B"/>
    <w:rsid w:val="00657EA7"/>
    <w:rsid w:val="00663625"/>
    <w:rsid w:val="00665360"/>
    <w:rsid w:val="006663BD"/>
    <w:rsid w:val="0067212C"/>
    <w:rsid w:val="006768C4"/>
    <w:rsid w:val="00676F58"/>
    <w:rsid w:val="0068062A"/>
    <w:rsid w:val="00680A37"/>
    <w:rsid w:val="00680C9B"/>
    <w:rsid w:val="006832EF"/>
    <w:rsid w:val="00684DC9"/>
    <w:rsid w:val="0068514D"/>
    <w:rsid w:val="00685A61"/>
    <w:rsid w:val="00686301"/>
    <w:rsid w:val="00686B17"/>
    <w:rsid w:val="00687CE8"/>
    <w:rsid w:val="006904F8"/>
    <w:rsid w:val="00691E3A"/>
    <w:rsid w:val="00693277"/>
    <w:rsid w:val="00693833"/>
    <w:rsid w:val="00695957"/>
    <w:rsid w:val="006A580C"/>
    <w:rsid w:val="006A6A71"/>
    <w:rsid w:val="006A6F57"/>
    <w:rsid w:val="006A77DE"/>
    <w:rsid w:val="006B083B"/>
    <w:rsid w:val="006B12B6"/>
    <w:rsid w:val="006B2135"/>
    <w:rsid w:val="006B2E3D"/>
    <w:rsid w:val="006B3CC2"/>
    <w:rsid w:val="006B4827"/>
    <w:rsid w:val="006C0100"/>
    <w:rsid w:val="006C0E97"/>
    <w:rsid w:val="006C183B"/>
    <w:rsid w:val="006D0090"/>
    <w:rsid w:val="006D05FD"/>
    <w:rsid w:val="006D1933"/>
    <w:rsid w:val="006D1A09"/>
    <w:rsid w:val="006D2466"/>
    <w:rsid w:val="006D7F88"/>
    <w:rsid w:val="006E0BC5"/>
    <w:rsid w:val="006E2676"/>
    <w:rsid w:val="006E2861"/>
    <w:rsid w:val="006E3C88"/>
    <w:rsid w:val="006E4C2C"/>
    <w:rsid w:val="006E4CFF"/>
    <w:rsid w:val="006E6F48"/>
    <w:rsid w:val="006E70B1"/>
    <w:rsid w:val="006F0B11"/>
    <w:rsid w:val="006F1223"/>
    <w:rsid w:val="006F16EC"/>
    <w:rsid w:val="006F23CB"/>
    <w:rsid w:val="006F33F0"/>
    <w:rsid w:val="006F475F"/>
    <w:rsid w:val="006F795D"/>
    <w:rsid w:val="00700099"/>
    <w:rsid w:val="00700888"/>
    <w:rsid w:val="007035EB"/>
    <w:rsid w:val="00703D89"/>
    <w:rsid w:val="007044FD"/>
    <w:rsid w:val="00711817"/>
    <w:rsid w:val="00711BF9"/>
    <w:rsid w:val="0071440F"/>
    <w:rsid w:val="00714C1A"/>
    <w:rsid w:val="0071516B"/>
    <w:rsid w:val="007154DD"/>
    <w:rsid w:val="00715A48"/>
    <w:rsid w:val="007163F2"/>
    <w:rsid w:val="00717CBE"/>
    <w:rsid w:val="007225C2"/>
    <w:rsid w:val="0072305B"/>
    <w:rsid w:val="00724E72"/>
    <w:rsid w:val="007272E3"/>
    <w:rsid w:val="00730545"/>
    <w:rsid w:val="00735680"/>
    <w:rsid w:val="00741039"/>
    <w:rsid w:val="0074197F"/>
    <w:rsid w:val="00741FD3"/>
    <w:rsid w:val="007443AB"/>
    <w:rsid w:val="007449D7"/>
    <w:rsid w:val="0074564B"/>
    <w:rsid w:val="00745829"/>
    <w:rsid w:val="00746E45"/>
    <w:rsid w:val="00746E68"/>
    <w:rsid w:val="0074746A"/>
    <w:rsid w:val="00751296"/>
    <w:rsid w:val="00752221"/>
    <w:rsid w:val="00753887"/>
    <w:rsid w:val="00753E8B"/>
    <w:rsid w:val="0075419D"/>
    <w:rsid w:val="00756F00"/>
    <w:rsid w:val="0076127A"/>
    <w:rsid w:val="007623BD"/>
    <w:rsid w:val="00763345"/>
    <w:rsid w:val="00766956"/>
    <w:rsid w:val="00767EC9"/>
    <w:rsid w:val="0077077D"/>
    <w:rsid w:val="0077110C"/>
    <w:rsid w:val="0077241E"/>
    <w:rsid w:val="007724FB"/>
    <w:rsid w:val="0078128C"/>
    <w:rsid w:val="0078537C"/>
    <w:rsid w:val="00786C59"/>
    <w:rsid w:val="00791F96"/>
    <w:rsid w:val="00792D1D"/>
    <w:rsid w:val="00792FA0"/>
    <w:rsid w:val="00793D58"/>
    <w:rsid w:val="007951E1"/>
    <w:rsid w:val="007967F1"/>
    <w:rsid w:val="00797FB4"/>
    <w:rsid w:val="007A1441"/>
    <w:rsid w:val="007A532F"/>
    <w:rsid w:val="007A672D"/>
    <w:rsid w:val="007B093E"/>
    <w:rsid w:val="007B0CB2"/>
    <w:rsid w:val="007B34D8"/>
    <w:rsid w:val="007B44B9"/>
    <w:rsid w:val="007B6838"/>
    <w:rsid w:val="007B6E32"/>
    <w:rsid w:val="007C041B"/>
    <w:rsid w:val="007C5C56"/>
    <w:rsid w:val="007C7777"/>
    <w:rsid w:val="007D0EFC"/>
    <w:rsid w:val="007D44CF"/>
    <w:rsid w:val="007D529C"/>
    <w:rsid w:val="007D5E25"/>
    <w:rsid w:val="007D78AE"/>
    <w:rsid w:val="007E019C"/>
    <w:rsid w:val="007E35FF"/>
    <w:rsid w:val="007E40B7"/>
    <w:rsid w:val="007F0EA7"/>
    <w:rsid w:val="007F1538"/>
    <w:rsid w:val="007F27FC"/>
    <w:rsid w:val="007F3004"/>
    <w:rsid w:val="007F6DA1"/>
    <w:rsid w:val="00801582"/>
    <w:rsid w:val="008048FD"/>
    <w:rsid w:val="0081198B"/>
    <w:rsid w:val="008135EF"/>
    <w:rsid w:val="008146D4"/>
    <w:rsid w:val="00822684"/>
    <w:rsid w:val="00825CD1"/>
    <w:rsid w:val="00826D06"/>
    <w:rsid w:val="008279F8"/>
    <w:rsid w:val="00830811"/>
    <w:rsid w:val="0083098E"/>
    <w:rsid w:val="0083371A"/>
    <w:rsid w:val="00833F1B"/>
    <w:rsid w:val="00834C72"/>
    <w:rsid w:val="00836393"/>
    <w:rsid w:val="00837040"/>
    <w:rsid w:val="008417DA"/>
    <w:rsid w:val="00843249"/>
    <w:rsid w:val="0084338F"/>
    <w:rsid w:val="008443B8"/>
    <w:rsid w:val="00844F2B"/>
    <w:rsid w:val="00845AF6"/>
    <w:rsid w:val="00851B9D"/>
    <w:rsid w:val="008644E0"/>
    <w:rsid w:val="00864858"/>
    <w:rsid w:val="00865FFB"/>
    <w:rsid w:val="0087040F"/>
    <w:rsid w:val="00871145"/>
    <w:rsid w:val="00871C15"/>
    <w:rsid w:val="0087205E"/>
    <w:rsid w:val="0087268B"/>
    <w:rsid w:val="00872F9A"/>
    <w:rsid w:val="008749CD"/>
    <w:rsid w:val="00875E6C"/>
    <w:rsid w:val="008769D7"/>
    <w:rsid w:val="00881576"/>
    <w:rsid w:val="00881867"/>
    <w:rsid w:val="00883934"/>
    <w:rsid w:val="00883AF7"/>
    <w:rsid w:val="00891044"/>
    <w:rsid w:val="008926EA"/>
    <w:rsid w:val="00893CDE"/>
    <w:rsid w:val="00894B0A"/>
    <w:rsid w:val="008A70BC"/>
    <w:rsid w:val="008B12FB"/>
    <w:rsid w:val="008B366A"/>
    <w:rsid w:val="008B36A9"/>
    <w:rsid w:val="008B5459"/>
    <w:rsid w:val="008B5547"/>
    <w:rsid w:val="008B5672"/>
    <w:rsid w:val="008B5B1C"/>
    <w:rsid w:val="008B72BE"/>
    <w:rsid w:val="008B7B04"/>
    <w:rsid w:val="008C2A5A"/>
    <w:rsid w:val="008C3C01"/>
    <w:rsid w:val="008C3EA6"/>
    <w:rsid w:val="008C5E41"/>
    <w:rsid w:val="008C6A44"/>
    <w:rsid w:val="008C7936"/>
    <w:rsid w:val="008D1D73"/>
    <w:rsid w:val="008D23F7"/>
    <w:rsid w:val="008D2E44"/>
    <w:rsid w:val="008D4B7A"/>
    <w:rsid w:val="008D4DE7"/>
    <w:rsid w:val="008D705A"/>
    <w:rsid w:val="008D759D"/>
    <w:rsid w:val="008E09D3"/>
    <w:rsid w:val="008E15FE"/>
    <w:rsid w:val="008E1F91"/>
    <w:rsid w:val="008E2919"/>
    <w:rsid w:val="008E4B75"/>
    <w:rsid w:val="008E5B09"/>
    <w:rsid w:val="008E6BD1"/>
    <w:rsid w:val="008E70B3"/>
    <w:rsid w:val="008F3157"/>
    <w:rsid w:val="008F36F4"/>
    <w:rsid w:val="008F4328"/>
    <w:rsid w:val="008F4BD7"/>
    <w:rsid w:val="008F69FA"/>
    <w:rsid w:val="008F706B"/>
    <w:rsid w:val="0090081A"/>
    <w:rsid w:val="00901B50"/>
    <w:rsid w:val="00902269"/>
    <w:rsid w:val="0090280C"/>
    <w:rsid w:val="00902FFB"/>
    <w:rsid w:val="0090387B"/>
    <w:rsid w:val="009103DE"/>
    <w:rsid w:val="00910E47"/>
    <w:rsid w:val="00911F52"/>
    <w:rsid w:val="009121B0"/>
    <w:rsid w:val="009125CD"/>
    <w:rsid w:val="0091670A"/>
    <w:rsid w:val="00916AF9"/>
    <w:rsid w:val="009209CD"/>
    <w:rsid w:val="009212F8"/>
    <w:rsid w:val="00923ED8"/>
    <w:rsid w:val="009245A1"/>
    <w:rsid w:val="00924E6A"/>
    <w:rsid w:val="009312F4"/>
    <w:rsid w:val="009331BB"/>
    <w:rsid w:val="00933376"/>
    <w:rsid w:val="00934E46"/>
    <w:rsid w:val="00935588"/>
    <w:rsid w:val="009379AB"/>
    <w:rsid w:val="00937F02"/>
    <w:rsid w:val="0094028D"/>
    <w:rsid w:val="009402DE"/>
    <w:rsid w:val="0094216C"/>
    <w:rsid w:val="00944186"/>
    <w:rsid w:val="009457E3"/>
    <w:rsid w:val="00947DA5"/>
    <w:rsid w:val="00951D39"/>
    <w:rsid w:val="00952804"/>
    <w:rsid w:val="00955759"/>
    <w:rsid w:val="00956885"/>
    <w:rsid w:val="009570D5"/>
    <w:rsid w:val="00957568"/>
    <w:rsid w:val="0095794A"/>
    <w:rsid w:val="00957AB8"/>
    <w:rsid w:val="00962561"/>
    <w:rsid w:val="00963C3A"/>
    <w:rsid w:val="009661CB"/>
    <w:rsid w:val="009677D0"/>
    <w:rsid w:val="00967FAF"/>
    <w:rsid w:val="00970B75"/>
    <w:rsid w:val="00974EFF"/>
    <w:rsid w:val="009767DD"/>
    <w:rsid w:val="00977C24"/>
    <w:rsid w:val="009801AF"/>
    <w:rsid w:val="00980433"/>
    <w:rsid w:val="00982080"/>
    <w:rsid w:val="00982103"/>
    <w:rsid w:val="00984EA8"/>
    <w:rsid w:val="009916E7"/>
    <w:rsid w:val="0099278F"/>
    <w:rsid w:val="00994F0F"/>
    <w:rsid w:val="009972D6"/>
    <w:rsid w:val="009A011E"/>
    <w:rsid w:val="009A1153"/>
    <w:rsid w:val="009A5359"/>
    <w:rsid w:val="009A5677"/>
    <w:rsid w:val="009A7722"/>
    <w:rsid w:val="009B0F2C"/>
    <w:rsid w:val="009B1187"/>
    <w:rsid w:val="009B1E0A"/>
    <w:rsid w:val="009B2658"/>
    <w:rsid w:val="009B2C70"/>
    <w:rsid w:val="009C11ED"/>
    <w:rsid w:val="009C175B"/>
    <w:rsid w:val="009C274F"/>
    <w:rsid w:val="009C285C"/>
    <w:rsid w:val="009C3B3B"/>
    <w:rsid w:val="009C4732"/>
    <w:rsid w:val="009C4BCD"/>
    <w:rsid w:val="009C5530"/>
    <w:rsid w:val="009C69B1"/>
    <w:rsid w:val="009D0E3F"/>
    <w:rsid w:val="009D7F8E"/>
    <w:rsid w:val="009E0D71"/>
    <w:rsid w:val="009E1D7C"/>
    <w:rsid w:val="009E3E35"/>
    <w:rsid w:val="009E6F88"/>
    <w:rsid w:val="009E7672"/>
    <w:rsid w:val="009E7E57"/>
    <w:rsid w:val="009F13FD"/>
    <w:rsid w:val="009F479C"/>
    <w:rsid w:val="009F60FC"/>
    <w:rsid w:val="009F7573"/>
    <w:rsid w:val="00A018D1"/>
    <w:rsid w:val="00A01CF6"/>
    <w:rsid w:val="00A025CF"/>
    <w:rsid w:val="00A03A7A"/>
    <w:rsid w:val="00A03E77"/>
    <w:rsid w:val="00A04AB8"/>
    <w:rsid w:val="00A04B25"/>
    <w:rsid w:val="00A04DEF"/>
    <w:rsid w:val="00A111FE"/>
    <w:rsid w:val="00A119F3"/>
    <w:rsid w:val="00A121E7"/>
    <w:rsid w:val="00A1220D"/>
    <w:rsid w:val="00A12A89"/>
    <w:rsid w:val="00A14249"/>
    <w:rsid w:val="00A14A75"/>
    <w:rsid w:val="00A14FAF"/>
    <w:rsid w:val="00A15559"/>
    <w:rsid w:val="00A2079E"/>
    <w:rsid w:val="00A21156"/>
    <w:rsid w:val="00A23848"/>
    <w:rsid w:val="00A26532"/>
    <w:rsid w:val="00A26FAA"/>
    <w:rsid w:val="00A30778"/>
    <w:rsid w:val="00A33519"/>
    <w:rsid w:val="00A33C1A"/>
    <w:rsid w:val="00A34CAF"/>
    <w:rsid w:val="00A40113"/>
    <w:rsid w:val="00A405E5"/>
    <w:rsid w:val="00A4070B"/>
    <w:rsid w:val="00A41A3E"/>
    <w:rsid w:val="00A430D9"/>
    <w:rsid w:val="00A462DA"/>
    <w:rsid w:val="00A47121"/>
    <w:rsid w:val="00A47190"/>
    <w:rsid w:val="00A476A5"/>
    <w:rsid w:val="00A5017A"/>
    <w:rsid w:val="00A514D1"/>
    <w:rsid w:val="00A52E6E"/>
    <w:rsid w:val="00A553C2"/>
    <w:rsid w:val="00A5598F"/>
    <w:rsid w:val="00A56200"/>
    <w:rsid w:val="00A61655"/>
    <w:rsid w:val="00A61E65"/>
    <w:rsid w:val="00A62829"/>
    <w:rsid w:val="00A63115"/>
    <w:rsid w:val="00A6439C"/>
    <w:rsid w:val="00A706B3"/>
    <w:rsid w:val="00A70C1F"/>
    <w:rsid w:val="00A76682"/>
    <w:rsid w:val="00A76C65"/>
    <w:rsid w:val="00A76EEA"/>
    <w:rsid w:val="00A83A01"/>
    <w:rsid w:val="00A8494E"/>
    <w:rsid w:val="00A867FD"/>
    <w:rsid w:val="00A86A79"/>
    <w:rsid w:val="00A87F40"/>
    <w:rsid w:val="00A901EA"/>
    <w:rsid w:val="00A95108"/>
    <w:rsid w:val="00A95B30"/>
    <w:rsid w:val="00A9607A"/>
    <w:rsid w:val="00A97753"/>
    <w:rsid w:val="00AA044A"/>
    <w:rsid w:val="00AA265E"/>
    <w:rsid w:val="00AB0D8D"/>
    <w:rsid w:val="00AB23C3"/>
    <w:rsid w:val="00AB3603"/>
    <w:rsid w:val="00AB3646"/>
    <w:rsid w:val="00AB4A1D"/>
    <w:rsid w:val="00AC0AB5"/>
    <w:rsid w:val="00AC3DA3"/>
    <w:rsid w:val="00AC3DAC"/>
    <w:rsid w:val="00AC4538"/>
    <w:rsid w:val="00AC47AB"/>
    <w:rsid w:val="00AC62D1"/>
    <w:rsid w:val="00AC704C"/>
    <w:rsid w:val="00AD0B2B"/>
    <w:rsid w:val="00AD31F7"/>
    <w:rsid w:val="00AD3855"/>
    <w:rsid w:val="00AD3F64"/>
    <w:rsid w:val="00AD7C9C"/>
    <w:rsid w:val="00AE02F7"/>
    <w:rsid w:val="00AE199E"/>
    <w:rsid w:val="00AE74DB"/>
    <w:rsid w:val="00AF0372"/>
    <w:rsid w:val="00AF7863"/>
    <w:rsid w:val="00B00784"/>
    <w:rsid w:val="00B01FA2"/>
    <w:rsid w:val="00B02EDA"/>
    <w:rsid w:val="00B036EA"/>
    <w:rsid w:val="00B0370E"/>
    <w:rsid w:val="00B038D4"/>
    <w:rsid w:val="00B03AE3"/>
    <w:rsid w:val="00B12483"/>
    <w:rsid w:val="00B12B92"/>
    <w:rsid w:val="00B131C0"/>
    <w:rsid w:val="00B136F2"/>
    <w:rsid w:val="00B1693D"/>
    <w:rsid w:val="00B175AD"/>
    <w:rsid w:val="00B17E84"/>
    <w:rsid w:val="00B20DB2"/>
    <w:rsid w:val="00B21A85"/>
    <w:rsid w:val="00B24F91"/>
    <w:rsid w:val="00B31FDA"/>
    <w:rsid w:val="00B32C2C"/>
    <w:rsid w:val="00B402A8"/>
    <w:rsid w:val="00B42627"/>
    <w:rsid w:val="00B45DAC"/>
    <w:rsid w:val="00B47778"/>
    <w:rsid w:val="00B501B1"/>
    <w:rsid w:val="00B54E71"/>
    <w:rsid w:val="00B57D21"/>
    <w:rsid w:val="00B57DC4"/>
    <w:rsid w:val="00B601B4"/>
    <w:rsid w:val="00B63E29"/>
    <w:rsid w:val="00B65BF4"/>
    <w:rsid w:val="00B66603"/>
    <w:rsid w:val="00B7112D"/>
    <w:rsid w:val="00B71FC3"/>
    <w:rsid w:val="00B75047"/>
    <w:rsid w:val="00B75798"/>
    <w:rsid w:val="00B77100"/>
    <w:rsid w:val="00B81DB3"/>
    <w:rsid w:val="00B83E1F"/>
    <w:rsid w:val="00B84677"/>
    <w:rsid w:val="00B8528C"/>
    <w:rsid w:val="00B9134D"/>
    <w:rsid w:val="00B94A1E"/>
    <w:rsid w:val="00B954F2"/>
    <w:rsid w:val="00B96F25"/>
    <w:rsid w:val="00B97F76"/>
    <w:rsid w:val="00BA036E"/>
    <w:rsid w:val="00BA18AB"/>
    <w:rsid w:val="00BA2132"/>
    <w:rsid w:val="00BB1516"/>
    <w:rsid w:val="00BB2CC4"/>
    <w:rsid w:val="00BB31CC"/>
    <w:rsid w:val="00BB335A"/>
    <w:rsid w:val="00BB368C"/>
    <w:rsid w:val="00BB530F"/>
    <w:rsid w:val="00BC2356"/>
    <w:rsid w:val="00BD0BA8"/>
    <w:rsid w:val="00BD0E40"/>
    <w:rsid w:val="00BD2443"/>
    <w:rsid w:val="00BD33F3"/>
    <w:rsid w:val="00BD5EA4"/>
    <w:rsid w:val="00BD6FA8"/>
    <w:rsid w:val="00BD7892"/>
    <w:rsid w:val="00BD7D8C"/>
    <w:rsid w:val="00BE2075"/>
    <w:rsid w:val="00BE4854"/>
    <w:rsid w:val="00BE524A"/>
    <w:rsid w:val="00BE6880"/>
    <w:rsid w:val="00BE6E38"/>
    <w:rsid w:val="00BF3EFC"/>
    <w:rsid w:val="00C060F8"/>
    <w:rsid w:val="00C14F3C"/>
    <w:rsid w:val="00C14F55"/>
    <w:rsid w:val="00C15753"/>
    <w:rsid w:val="00C20085"/>
    <w:rsid w:val="00C20E5D"/>
    <w:rsid w:val="00C24150"/>
    <w:rsid w:val="00C244BE"/>
    <w:rsid w:val="00C24FD2"/>
    <w:rsid w:val="00C2525A"/>
    <w:rsid w:val="00C2617F"/>
    <w:rsid w:val="00C26FBA"/>
    <w:rsid w:val="00C274D5"/>
    <w:rsid w:val="00C27519"/>
    <w:rsid w:val="00C27816"/>
    <w:rsid w:val="00C27E34"/>
    <w:rsid w:val="00C307C6"/>
    <w:rsid w:val="00C32AB0"/>
    <w:rsid w:val="00C331E9"/>
    <w:rsid w:val="00C34ABA"/>
    <w:rsid w:val="00C34FF2"/>
    <w:rsid w:val="00C359F1"/>
    <w:rsid w:val="00C36B8A"/>
    <w:rsid w:val="00C42568"/>
    <w:rsid w:val="00C432F6"/>
    <w:rsid w:val="00C43C81"/>
    <w:rsid w:val="00C43FB5"/>
    <w:rsid w:val="00C44E1D"/>
    <w:rsid w:val="00C45032"/>
    <w:rsid w:val="00C452D7"/>
    <w:rsid w:val="00C456FC"/>
    <w:rsid w:val="00C46CC2"/>
    <w:rsid w:val="00C52482"/>
    <w:rsid w:val="00C556CC"/>
    <w:rsid w:val="00C55761"/>
    <w:rsid w:val="00C56E28"/>
    <w:rsid w:val="00C5771F"/>
    <w:rsid w:val="00C647B9"/>
    <w:rsid w:val="00C66315"/>
    <w:rsid w:val="00C674F3"/>
    <w:rsid w:val="00C679A4"/>
    <w:rsid w:val="00C67AB9"/>
    <w:rsid w:val="00C706EC"/>
    <w:rsid w:val="00C75F25"/>
    <w:rsid w:val="00C76BDD"/>
    <w:rsid w:val="00C81C13"/>
    <w:rsid w:val="00C826D6"/>
    <w:rsid w:val="00C853FD"/>
    <w:rsid w:val="00C876FE"/>
    <w:rsid w:val="00C90B55"/>
    <w:rsid w:val="00C9222E"/>
    <w:rsid w:val="00C934BC"/>
    <w:rsid w:val="00C942B7"/>
    <w:rsid w:val="00C9591E"/>
    <w:rsid w:val="00C965A9"/>
    <w:rsid w:val="00CA1CAC"/>
    <w:rsid w:val="00CA2EF7"/>
    <w:rsid w:val="00CA78A0"/>
    <w:rsid w:val="00CB075E"/>
    <w:rsid w:val="00CB1431"/>
    <w:rsid w:val="00CB1E6B"/>
    <w:rsid w:val="00CB3897"/>
    <w:rsid w:val="00CB4A5B"/>
    <w:rsid w:val="00CB4C9A"/>
    <w:rsid w:val="00CC0FBD"/>
    <w:rsid w:val="00CC1A2E"/>
    <w:rsid w:val="00CC6604"/>
    <w:rsid w:val="00CD2053"/>
    <w:rsid w:val="00CD2397"/>
    <w:rsid w:val="00CD5C0E"/>
    <w:rsid w:val="00CE0F06"/>
    <w:rsid w:val="00CE2075"/>
    <w:rsid w:val="00CE2FAD"/>
    <w:rsid w:val="00CE30FB"/>
    <w:rsid w:val="00CE6110"/>
    <w:rsid w:val="00CE7066"/>
    <w:rsid w:val="00CF0513"/>
    <w:rsid w:val="00CF16C3"/>
    <w:rsid w:val="00CF1DE6"/>
    <w:rsid w:val="00CF2533"/>
    <w:rsid w:val="00CF6CB7"/>
    <w:rsid w:val="00D00141"/>
    <w:rsid w:val="00D01BA9"/>
    <w:rsid w:val="00D03498"/>
    <w:rsid w:val="00D05C3F"/>
    <w:rsid w:val="00D05D59"/>
    <w:rsid w:val="00D06489"/>
    <w:rsid w:val="00D0689C"/>
    <w:rsid w:val="00D101D9"/>
    <w:rsid w:val="00D1106D"/>
    <w:rsid w:val="00D1164C"/>
    <w:rsid w:val="00D12221"/>
    <w:rsid w:val="00D13836"/>
    <w:rsid w:val="00D13A5F"/>
    <w:rsid w:val="00D17265"/>
    <w:rsid w:val="00D17F88"/>
    <w:rsid w:val="00D230B3"/>
    <w:rsid w:val="00D2403D"/>
    <w:rsid w:val="00D24B52"/>
    <w:rsid w:val="00D250E9"/>
    <w:rsid w:val="00D25138"/>
    <w:rsid w:val="00D25B88"/>
    <w:rsid w:val="00D26932"/>
    <w:rsid w:val="00D27B7C"/>
    <w:rsid w:val="00D302E3"/>
    <w:rsid w:val="00D31070"/>
    <w:rsid w:val="00D31759"/>
    <w:rsid w:val="00D40E80"/>
    <w:rsid w:val="00D418C6"/>
    <w:rsid w:val="00D42450"/>
    <w:rsid w:val="00D43A4E"/>
    <w:rsid w:val="00D45002"/>
    <w:rsid w:val="00D45391"/>
    <w:rsid w:val="00D50E63"/>
    <w:rsid w:val="00D5104F"/>
    <w:rsid w:val="00D51926"/>
    <w:rsid w:val="00D53813"/>
    <w:rsid w:val="00D546C1"/>
    <w:rsid w:val="00D54F26"/>
    <w:rsid w:val="00D557E8"/>
    <w:rsid w:val="00D55D43"/>
    <w:rsid w:val="00D56DB6"/>
    <w:rsid w:val="00D576EC"/>
    <w:rsid w:val="00D622BA"/>
    <w:rsid w:val="00D650C1"/>
    <w:rsid w:val="00D657E4"/>
    <w:rsid w:val="00D6591E"/>
    <w:rsid w:val="00D674B1"/>
    <w:rsid w:val="00D679D4"/>
    <w:rsid w:val="00D71A57"/>
    <w:rsid w:val="00D736FA"/>
    <w:rsid w:val="00D7495A"/>
    <w:rsid w:val="00D7660B"/>
    <w:rsid w:val="00D76EEB"/>
    <w:rsid w:val="00D776C7"/>
    <w:rsid w:val="00D80926"/>
    <w:rsid w:val="00D8148B"/>
    <w:rsid w:val="00D83409"/>
    <w:rsid w:val="00D846A8"/>
    <w:rsid w:val="00D85554"/>
    <w:rsid w:val="00D8597A"/>
    <w:rsid w:val="00D85C6D"/>
    <w:rsid w:val="00D9001A"/>
    <w:rsid w:val="00D924EE"/>
    <w:rsid w:val="00D94477"/>
    <w:rsid w:val="00D94668"/>
    <w:rsid w:val="00D9527E"/>
    <w:rsid w:val="00D974B6"/>
    <w:rsid w:val="00DA0D88"/>
    <w:rsid w:val="00DA1ADB"/>
    <w:rsid w:val="00DA23AA"/>
    <w:rsid w:val="00DA55C6"/>
    <w:rsid w:val="00DA6C48"/>
    <w:rsid w:val="00DA6E78"/>
    <w:rsid w:val="00DB2B55"/>
    <w:rsid w:val="00DB3E5C"/>
    <w:rsid w:val="00DB4DA6"/>
    <w:rsid w:val="00DB4DE9"/>
    <w:rsid w:val="00DC47B4"/>
    <w:rsid w:val="00DC59F6"/>
    <w:rsid w:val="00DC6CDE"/>
    <w:rsid w:val="00DC75CD"/>
    <w:rsid w:val="00DC7C68"/>
    <w:rsid w:val="00DD11BB"/>
    <w:rsid w:val="00DD1CE8"/>
    <w:rsid w:val="00DD791B"/>
    <w:rsid w:val="00DD7AE8"/>
    <w:rsid w:val="00DE0F07"/>
    <w:rsid w:val="00DE1D9D"/>
    <w:rsid w:val="00DE1E29"/>
    <w:rsid w:val="00DE202B"/>
    <w:rsid w:val="00DE284C"/>
    <w:rsid w:val="00DE2C0F"/>
    <w:rsid w:val="00DE6666"/>
    <w:rsid w:val="00DF0100"/>
    <w:rsid w:val="00DF0186"/>
    <w:rsid w:val="00DF051D"/>
    <w:rsid w:val="00DF0665"/>
    <w:rsid w:val="00DF0680"/>
    <w:rsid w:val="00DF21AA"/>
    <w:rsid w:val="00DF403C"/>
    <w:rsid w:val="00DF5398"/>
    <w:rsid w:val="00DF58CA"/>
    <w:rsid w:val="00E00E5E"/>
    <w:rsid w:val="00E05377"/>
    <w:rsid w:val="00E07067"/>
    <w:rsid w:val="00E07A5D"/>
    <w:rsid w:val="00E12149"/>
    <w:rsid w:val="00E1283F"/>
    <w:rsid w:val="00E136DB"/>
    <w:rsid w:val="00E1605E"/>
    <w:rsid w:val="00E1608C"/>
    <w:rsid w:val="00E16477"/>
    <w:rsid w:val="00E166E4"/>
    <w:rsid w:val="00E176FD"/>
    <w:rsid w:val="00E1791A"/>
    <w:rsid w:val="00E246DE"/>
    <w:rsid w:val="00E257E9"/>
    <w:rsid w:val="00E268B2"/>
    <w:rsid w:val="00E26A90"/>
    <w:rsid w:val="00E30BDC"/>
    <w:rsid w:val="00E30D55"/>
    <w:rsid w:val="00E31EAC"/>
    <w:rsid w:val="00E32E99"/>
    <w:rsid w:val="00E33624"/>
    <w:rsid w:val="00E35539"/>
    <w:rsid w:val="00E41AC5"/>
    <w:rsid w:val="00E43E7C"/>
    <w:rsid w:val="00E43F43"/>
    <w:rsid w:val="00E441EC"/>
    <w:rsid w:val="00E442CF"/>
    <w:rsid w:val="00E44C6F"/>
    <w:rsid w:val="00E459D0"/>
    <w:rsid w:val="00E4751C"/>
    <w:rsid w:val="00E52A8D"/>
    <w:rsid w:val="00E52DD8"/>
    <w:rsid w:val="00E55931"/>
    <w:rsid w:val="00E55A30"/>
    <w:rsid w:val="00E57AC1"/>
    <w:rsid w:val="00E60EE4"/>
    <w:rsid w:val="00E62050"/>
    <w:rsid w:val="00E64279"/>
    <w:rsid w:val="00E664FC"/>
    <w:rsid w:val="00E700DB"/>
    <w:rsid w:val="00E71661"/>
    <w:rsid w:val="00E7222A"/>
    <w:rsid w:val="00E75D8F"/>
    <w:rsid w:val="00E77795"/>
    <w:rsid w:val="00E77926"/>
    <w:rsid w:val="00E77AD1"/>
    <w:rsid w:val="00E822B4"/>
    <w:rsid w:val="00E83544"/>
    <w:rsid w:val="00E8385A"/>
    <w:rsid w:val="00E84CF8"/>
    <w:rsid w:val="00E874AB"/>
    <w:rsid w:val="00E879FB"/>
    <w:rsid w:val="00E90BBA"/>
    <w:rsid w:val="00E91CCB"/>
    <w:rsid w:val="00E96B4C"/>
    <w:rsid w:val="00EA127E"/>
    <w:rsid w:val="00EA1B48"/>
    <w:rsid w:val="00EA4D55"/>
    <w:rsid w:val="00EA523F"/>
    <w:rsid w:val="00EA537D"/>
    <w:rsid w:val="00EA5498"/>
    <w:rsid w:val="00EA5D65"/>
    <w:rsid w:val="00EA7BA0"/>
    <w:rsid w:val="00EB056B"/>
    <w:rsid w:val="00EB1D60"/>
    <w:rsid w:val="00EB2410"/>
    <w:rsid w:val="00EB2BB4"/>
    <w:rsid w:val="00EB2E9A"/>
    <w:rsid w:val="00EB5E01"/>
    <w:rsid w:val="00EC1AF3"/>
    <w:rsid w:val="00EC4C58"/>
    <w:rsid w:val="00EC5541"/>
    <w:rsid w:val="00EC56A5"/>
    <w:rsid w:val="00EC7584"/>
    <w:rsid w:val="00ED0083"/>
    <w:rsid w:val="00ED1852"/>
    <w:rsid w:val="00ED595E"/>
    <w:rsid w:val="00ED61B8"/>
    <w:rsid w:val="00ED644B"/>
    <w:rsid w:val="00ED6AD6"/>
    <w:rsid w:val="00ED778C"/>
    <w:rsid w:val="00EE17FA"/>
    <w:rsid w:val="00EE1BDC"/>
    <w:rsid w:val="00EE4453"/>
    <w:rsid w:val="00F00A32"/>
    <w:rsid w:val="00F00E91"/>
    <w:rsid w:val="00F106C3"/>
    <w:rsid w:val="00F14457"/>
    <w:rsid w:val="00F15010"/>
    <w:rsid w:val="00F15BB8"/>
    <w:rsid w:val="00F16ACD"/>
    <w:rsid w:val="00F177C4"/>
    <w:rsid w:val="00F20AEE"/>
    <w:rsid w:val="00F20EC0"/>
    <w:rsid w:val="00F21481"/>
    <w:rsid w:val="00F24123"/>
    <w:rsid w:val="00F2586D"/>
    <w:rsid w:val="00F3028D"/>
    <w:rsid w:val="00F30A4C"/>
    <w:rsid w:val="00F33E1F"/>
    <w:rsid w:val="00F34C01"/>
    <w:rsid w:val="00F36519"/>
    <w:rsid w:val="00F40669"/>
    <w:rsid w:val="00F40949"/>
    <w:rsid w:val="00F40FC7"/>
    <w:rsid w:val="00F45F54"/>
    <w:rsid w:val="00F46AEF"/>
    <w:rsid w:val="00F46E0B"/>
    <w:rsid w:val="00F50791"/>
    <w:rsid w:val="00F50D84"/>
    <w:rsid w:val="00F51AEA"/>
    <w:rsid w:val="00F51D8E"/>
    <w:rsid w:val="00F62555"/>
    <w:rsid w:val="00F72F5A"/>
    <w:rsid w:val="00F73A8F"/>
    <w:rsid w:val="00F74D9F"/>
    <w:rsid w:val="00F74FD6"/>
    <w:rsid w:val="00F77DC7"/>
    <w:rsid w:val="00F80457"/>
    <w:rsid w:val="00F80D0E"/>
    <w:rsid w:val="00F81977"/>
    <w:rsid w:val="00F820EE"/>
    <w:rsid w:val="00F8445A"/>
    <w:rsid w:val="00F84676"/>
    <w:rsid w:val="00F855B3"/>
    <w:rsid w:val="00F8586E"/>
    <w:rsid w:val="00F860C3"/>
    <w:rsid w:val="00F86543"/>
    <w:rsid w:val="00F865C9"/>
    <w:rsid w:val="00F91073"/>
    <w:rsid w:val="00F91236"/>
    <w:rsid w:val="00F92BCF"/>
    <w:rsid w:val="00F936F8"/>
    <w:rsid w:val="00F9589E"/>
    <w:rsid w:val="00F97358"/>
    <w:rsid w:val="00F97842"/>
    <w:rsid w:val="00FA00E0"/>
    <w:rsid w:val="00FA0B22"/>
    <w:rsid w:val="00FA1C3F"/>
    <w:rsid w:val="00FA65CB"/>
    <w:rsid w:val="00FB2920"/>
    <w:rsid w:val="00FB2DB2"/>
    <w:rsid w:val="00FB34DE"/>
    <w:rsid w:val="00FB788D"/>
    <w:rsid w:val="00FC1D71"/>
    <w:rsid w:val="00FC27C7"/>
    <w:rsid w:val="00FC2C30"/>
    <w:rsid w:val="00FC45B3"/>
    <w:rsid w:val="00FC469E"/>
    <w:rsid w:val="00FC607D"/>
    <w:rsid w:val="00FC690E"/>
    <w:rsid w:val="00FC7CC1"/>
    <w:rsid w:val="00FD072E"/>
    <w:rsid w:val="00FD0BB1"/>
    <w:rsid w:val="00FD4F6C"/>
    <w:rsid w:val="00FD725E"/>
    <w:rsid w:val="00FD7B1A"/>
    <w:rsid w:val="00FE1124"/>
    <w:rsid w:val="00FE1298"/>
    <w:rsid w:val="00FE1B5A"/>
    <w:rsid w:val="00FE2CDA"/>
    <w:rsid w:val="00FE2D06"/>
    <w:rsid w:val="00FE3028"/>
    <w:rsid w:val="00FE400F"/>
    <w:rsid w:val="00FE53C9"/>
    <w:rsid w:val="00FE547D"/>
    <w:rsid w:val="00FE61A2"/>
    <w:rsid w:val="00FE63F5"/>
    <w:rsid w:val="00FE701D"/>
    <w:rsid w:val="00FF0791"/>
    <w:rsid w:val="00FF1D91"/>
    <w:rsid w:val="00FF2CAE"/>
    <w:rsid w:val="00FF3198"/>
    <w:rsid w:val="00FF524D"/>
    <w:rsid w:val="00FF66FE"/>
    <w:rsid w:val="00FF6B8D"/>
    <w:rsid w:val="00FF7A3E"/>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49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1EA7"/>
    <w:pPr>
      <w:spacing w:line="360" w:lineRule="auto"/>
      <w:jc w:val="both"/>
    </w:pPr>
    <w:rPr>
      <w:rFonts w:ascii="Times New Roman" w:eastAsia="Times New Roman" w:hAnsi="Times New Roman" w:cs="Arial"/>
      <w:color w:val="000000"/>
      <w:sz w:val="24"/>
      <w:lang w:eastAsia="en-GB"/>
    </w:rPr>
  </w:style>
  <w:style w:type="paragraph" w:styleId="Heading1">
    <w:name w:val="heading 1"/>
    <w:basedOn w:val="Normal"/>
    <w:link w:val="Heading1Char"/>
    <w:uiPriority w:val="9"/>
    <w:qFormat/>
    <w:rsid w:val="00E664FC"/>
    <w:pPr>
      <w:numPr>
        <w:numId w:val="11"/>
      </w:numPr>
      <w:spacing w:before="100" w:beforeAutospacing="1" w:after="100" w:afterAutospacing="1" w:line="240" w:lineRule="auto"/>
      <w:outlineLvl w:val="0"/>
    </w:pPr>
    <w:rPr>
      <w:rFonts w:cs="Times New Roman"/>
      <w:b/>
      <w:bCs/>
      <w:kern w:val="36"/>
      <w:sz w:val="32"/>
      <w:szCs w:val="48"/>
    </w:rPr>
  </w:style>
  <w:style w:type="paragraph" w:styleId="Heading2">
    <w:name w:val="heading 2"/>
    <w:basedOn w:val="Heading1"/>
    <w:next w:val="Normal"/>
    <w:link w:val="Heading2Char"/>
    <w:uiPriority w:val="9"/>
    <w:unhideWhenUsed/>
    <w:qFormat/>
    <w:rsid w:val="00ED0083"/>
    <w:pPr>
      <w:keepNext/>
      <w:numPr>
        <w:ilvl w:val="1"/>
      </w:numPr>
      <w:spacing w:before="0" w:beforeAutospacing="0" w:after="0" w:afterAutospacing="0" w:line="360" w:lineRule="auto"/>
      <w:ind w:left="0" w:firstLine="0"/>
      <w:outlineLvl w:val="1"/>
    </w:pPr>
  </w:style>
  <w:style w:type="paragraph" w:styleId="Heading3">
    <w:name w:val="heading 3"/>
    <w:basedOn w:val="Heading2"/>
    <w:next w:val="Normal"/>
    <w:link w:val="Heading3Char"/>
    <w:uiPriority w:val="9"/>
    <w:unhideWhenUsed/>
    <w:qFormat/>
    <w:rsid w:val="00ED0083"/>
    <w:pPr>
      <w:numPr>
        <w:ilvl w:val="2"/>
      </w:numPr>
      <w:ind w:left="992" w:hanging="992"/>
      <w:outlineLvl w:val="2"/>
    </w:pPr>
    <w:rPr>
      <w:sz w:val="28"/>
    </w:rPr>
  </w:style>
  <w:style w:type="paragraph" w:styleId="Heading4">
    <w:name w:val="heading 4"/>
    <w:basedOn w:val="Heading3"/>
    <w:next w:val="Normal"/>
    <w:link w:val="Heading4Char"/>
    <w:uiPriority w:val="9"/>
    <w:unhideWhenUsed/>
    <w:qFormat/>
    <w:rsid w:val="00ED0083"/>
    <w:pPr>
      <w:numPr>
        <w:ilvl w:val="3"/>
      </w:numPr>
      <w:ind w:left="992" w:hanging="992"/>
      <w:outlineLvl w:val="3"/>
    </w:pPr>
    <w:rPr>
      <w:sz w:val="24"/>
    </w:rPr>
  </w:style>
  <w:style w:type="paragraph" w:styleId="Heading5">
    <w:name w:val="heading 5"/>
    <w:basedOn w:val="Normal"/>
    <w:next w:val="Normal"/>
    <w:link w:val="Heading5Char"/>
    <w:uiPriority w:val="9"/>
    <w:unhideWhenUsed/>
    <w:qFormat/>
    <w:rsid w:val="00ED0083"/>
    <w:pPr>
      <w:keepNext/>
      <w:keepLines/>
      <w:numPr>
        <w:ilvl w:val="4"/>
      </w:numPr>
      <w:spacing w:before="200" w:after="0"/>
      <w:ind w:left="992" w:hanging="992"/>
      <w:outlineLvl w:val="4"/>
    </w:pPr>
    <w:rPr>
      <w:rFonts w:eastAsiaTheme="majorEastAsia" w:cstheme="majorBidi"/>
      <w:i/>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64FC"/>
    <w:rPr>
      <w:rFonts w:ascii="Times New Roman" w:eastAsia="Times New Roman" w:hAnsi="Times New Roman" w:cs="Times New Roman"/>
      <w:b/>
      <w:bCs/>
      <w:color w:val="000000"/>
      <w:kern w:val="36"/>
      <w:sz w:val="32"/>
      <w:szCs w:val="48"/>
      <w:lang w:eastAsia="en-GB"/>
    </w:rPr>
  </w:style>
  <w:style w:type="character" w:customStyle="1" w:styleId="Heading2Char">
    <w:name w:val="Heading 2 Char"/>
    <w:basedOn w:val="DefaultParagraphFont"/>
    <w:link w:val="Heading2"/>
    <w:uiPriority w:val="9"/>
    <w:rsid w:val="00ED0083"/>
    <w:rPr>
      <w:rFonts w:ascii="Times New Roman" w:eastAsia="Times New Roman" w:hAnsi="Times New Roman" w:cs="Times New Roman"/>
      <w:b/>
      <w:bCs/>
      <w:color w:val="000000"/>
      <w:kern w:val="36"/>
      <w:sz w:val="32"/>
      <w:szCs w:val="48"/>
      <w:lang w:eastAsia="en-GB"/>
    </w:rPr>
  </w:style>
  <w:style w:type="character" w:customStyle="1" w:styleId="Heading3Char">
    <w:name w:val="Heading 3 Char"/>
    <w:basedOn w:val="DefaultParagraphFont"/>
    <w:link w:val="Heading3"/>
    <w:uiPriority w:val="9"/>
    <w:rsid w:val="00ED0083"/>
    <w:rPr>
      <w:rFonts w:ascii="Times New Roman" w:eastAsia="Times New Roman" w:hAnsi="Times New Roman" w:cs="Times New Roman"/>
      <w:b/>
      <w:bCs/>
      <w:color w:val="000000"/>
      <w:kern w:val="36"/>
      <w:sz w:val="28"/>
      <w:szCs w:val="48"/>
      <w:lang w:eastAsia="en-GB"/>
    </w:rPr>
  </w:style>
  <w:style w:type="character" w:customStyle="1" w:styleId="Heading4Char">
    <w:name w:val="Heading 4 Char"/>
    <w:basedOn w:val="DefaultParagraphFont"/>
    <w:link w:val="Heading4"/>
    <w:uiPriority w:val="9"/>
    <w:rsid w:val="00ED0083"/>
    <w:rPr>
      <w:rFonts w:ascii="Times New Roman" w:eastAsia="Times New Roman" w:hAnsi="Times New Roman" w:cs="Times New Roman"/>
      <w:b/>
      <w:bCs/>
      <w:color w:val="000000"/>
      <w:kern w:val="36"/>
      <w:sz w:val="24"/>
      <w:szCs w:val="48"/>
      <w:lang w:eastAsia="en-GB"/>
    </w:rPr>
  </w:style>
  <w:style w:type="character" w:customStyle="1" w:styleId="Heading5Char">
    <w:name w:val="Heading 5 Char"/>
    <w:basedOn w:val="DefaultParagraphFont"/>
    <w:link w:val="Heading5"/>
    <w:uiPriority w:val="9"/>
    <w:rsid w:val="00ED0083"/>
    <w:rPr>
      <w:rFonts w:ascii="Times New Roman" w:eastAsiaTheme="majorEastAsia" w:hAnsi="Times New Roman" w:cstheme="majorBidi"/>
      <w:i/>
      <w:sz w:val="24"/>
      <w:lang w:eastAsia="en-GB"/>
    </w:rPr>
  </w:style>
  <w:style w:type="character" w:styleId="Hyperlink">
    <w:name w:val="Hyperlink"/>
    <w:basedOn w:val="DefaultParagraphFont"/>
    <w:uiPriority w:val="99"/>
    <w:unhideWhenUsed/>
    <w:rsid w:val="0063585C"/>
    <w:rPr>
      <w:color w:val="0000FF"/>
      <w:u w:val="single"/>
    </w:rPr>
  </w:style>
  <w:style w:type="character" w:customStyle="1" w:styleId="apple-converted-space">
    <w:name w:val="apple-converted-space"/>
    <w:basedOn w:val="DefaultParagraphFont"/>
    <w:rsid w:val="0063585C"/>
  </w:style>
  <w:style w:type="character" w:customStyle="1" w:styleId="highlight">
    <w:name w:val="highlight"/>
    <w:basedOn w:val="DefaultParagraphFont"/>
    <w:rsid w:val="0063585C"/>
  </w:style>
  <w:style w:type="character" w:customStyle="1" w:styleId="titleseparator">
    <w:name w:val="titleseparator"/>
    <w:basedOn w:val="DefaultParagraphFont"/>
    <w:rsid w:val="00484400"/>
  </w:style>
  <w:style w:type="character" w:customStyle="1" w:styleId="subtitle">
    <w:name w:val="subtitle"/>
    <w:basedOn w:val="DefaultParagraphFont"/>
    <w:rsid w:val="00484400"/>
  </w:style>
  <w:style w:type="character" w:customStyle="1" w:styleId="hithilite">
    <w:name w:val="hithilite"/>
    <w:basedOn w:val="DefaultParagraphFont"/>
    <w:rsid w:val="00484400"/>
  </w:style>
  <w:style w:type="paragraph" w:styleId="EndnoteText">
    <w:name w:val="endnote text"/>
    <w:basedOn w:val="Normal"/>
    <w:link w:val="EndnoteTextChar"/>
    <w:uiPriority w:val="99"/>
    <w:semiHidden/>
    <w:unhideWhenUsed/>
    <w:rsid w:val="006A77D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A77DE"/>
    <w:rPr>
      <w:sz w:val="20"/>
      <w:szCs w:val="20"/>
    </w:rPr>
  </w:style>
  <w:style w:type="character" w:styleId="EndnoteReference">
    <w:name w:val="endnote reference"/>
    <w:basedOn w:val="DefaultParagraphFont"/>
    <w:uiPriority w:val="99"/>
    <w:semiHidden/>
    <w:unhideWhenUsed/>
    <w:rsid w:val="006A77DE"/>
    <w:rPr>
      <w:vertAlign w:val="superscript"/>
    </w:rPr>
  </w:style>
  <w:style w:type="paragraph" w:styleId="NormalWeb">
    <w:name w:val="Normal (Web)"/>
    <w:basedOn w:val="Normal"/>
    <w:uiPriority w:val="99"/>
    <w:unhideWhenUsed/>
    <w:rsid w:val="00B84677"/>
    <w:pPr>
      <w:spacing w:before="100" w:beforeAutospacing="1" w:after="100" w:afterAutospacing="1" w:line="240" w:lineRule="auto"/>
    </w:pPr>
    <w:rPr>
      <w:rFonts w:eastAsiaTheme="minorEastAsia" w:cs="Times New Roman"/>
      <w:szCs w:val="24"/>
    </w:rPr>
  </w:style>
  <w:style w:type="paragraph" w:styleId="BalloonText">
    <w:name w:val="Balloon Text"/>
    <w:basedOn w:val="Normal"/>
    <w:link w:val="BalloonTextChar"/>
    <w:uiPriority w:val="99"/>
    <w:semiHidden/>
    <w:unhideWhenUsed/>
    <w:rsid w:val="00A335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3519"/>
    <w:rPr>
      <w:rFonts w:ascii="Tahoma" w:hAnsi="Tahoma" w:cs="Tahoma"/>
      <w:sz w:val="16"/>
      <w:szCs w:val="16"/>
    </w:rPr>
  </w:style>
  <w:style w:type="paragraph" w:styleId="FootnoteText">
    <w:name w:val="footnote text"/>
    <w:basedOn w:val="Normal"/>
    <w:link w:val="FootnoteTextChar"/>
    <w:uiPriority w:val="99"/>
    <w:semiHidden/>
    <w:unhideWhenUsed/>
    <w:rsid w:val="0067212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7212C"/>
    <w:rPr>
      <w:sz w:val="20"/>
      <w:szCs w:val="20"/>
    </w:rPr>
  </w:style>
  <w:style w:type="character" w:styleId="FootnoteReference">
    <w:name w:val="footnote reference"/>
    <w:basedOn w:val="DefaultParagraphFont"/>
    <w:uiPriority w:val="99"/>
    <w:semiHidden/>
    <w:unhideWhenUsed/>
    <w:rsid w:val="0067212C"/>
    <w:rPr>
      <w:vertAlign w:val="superscript"/>
    </w:rPr>
  </w:style>
  <w:style w:type="paragraph" w:styleId="ListParagraph">
    <w:name w:val="List Paragraph"/>
    <w:basedOn w:val="Normal"/>
    <w:uiPriority w:val="34"/>
    <w:qFormat/>
    <w:rsid w:val="00F9589E"/>
    <w:pPr>
      <w:ind w:left="720"/>
      <w:contextualSpacing/>
    </w:pPr>
  </w:style>
  <w:style w:type="paragraph" w:styleId="NoSpacing">
    <w:name w:val="No Spacing"/>
    <w:uiPriority w:val="1"/>
    <w:qFormat/>
    <w:rsid w:val="007B093E"/>
    <w:pPr>
      <w:spacing w:after="0" w:line="240" w:lineRule="auto"/>
      <w:jc w:val="both"/>
    </w:pPr>
    <w:rPr>
      <w:rFonts w:ascii="Arial" w:eastAsia="Times New Roman" w:hAnsi="Arial" w:cs="Arial"/>
      <w:color w:val="000000"/>
      <w:lang w:eastAsia="en-GB"/>
    </w:rPr>
  </w:style>
  <w:style w:type="character" w:styleId="Emphasis">
    <w:name w:val="Emphasis"/>
    <w:basedOn w:val="DefaultParagraphFont"/>
    <w:uiPriority w:val="20"/>
    <w:qFormat/>
    <w:rsid w:val="006832EF"/>
    <w:rPr>
      <w:i/>
      <w:iCs/>
    </w:rPr>
  </w:style>
  <w:style w:type="paragraph" w:styleId="TOCHeading">
    <w:name w:val="TOC Heading"/>
    <w:basedOn w:val="Heading1"/>
    <w:next w:val="Normal"/>
    <w:uiPriority w:val="39"/>
    <w:unhideWhenUsed/>
    <w:qFormat/>
    <w:rsid w:val="00BE6880"/>
    <w:pPr>
      <w:keepNext/>
      <w:keepLines/>
      <w:spacing w:before="480" w:beforeAutospacing="0" w:after="0" w:afterAutospacing="0" w:line="276" w:lineRule="auto"/>
      <w:jc w:val="left"/>
      <w:outlineLvl w:val="9"/>
    </w:pPr>
    <w:rPr>
      <w:rFonts w:asciiTheme="majorHAnsi" w:eastAsiaTheme="majorEastAsia" w:hAnsiTheme="majorHAnsi" w:cstheme="majorBidi"/>
      <w:color w:val="365F91" w:themeColor="accent1" w:themeShade="BF"/>
      <w:kern w:val="0"/>
      <w:sz w:val="28"/>
      <w:szCs w:val="28"/>
      <w:lang w:val="en-US" w:eastAsia="en-US"/>
    </w:rPr>
  </w:style>
  <w:style w:type="paragraph" w:styleId="TOC1">
    <w:name w:val="toc 1"/>
    <w:basedOn w:val="Normal"/>
    <w:next w:val="Normal"/>
    <w:autoRedefine/>
    <w:uiPriority w:val="39"/>
    <w:unhideWhenUsed/>
    <w:qFormat/>
    <w:rsid w:val="00577EA5"/>
    <w:pPr>
      <w:keepNext/>
      <w:tabs>
        <w:tab w:val="left" w:pos="1320"/>
        <w:tab w:val="right" w:leader="dot" w:pos="8494"/>
      </w:tabs>
      <w:spacing w:after="100"/>
    </w:pPr>
    <w:rPr>
      <w:b/>
      <w:noProof/>
    </w:rPr>
  </w:style>
  <w:style w:type="paragraph" w:styleId="TOC2">
    <w:name w:val="toc 2"/>
    <w:basedOn w:val="Normal"/>
    <w:next w:val="Normal"/>
    <w:autoRedefine/>
    <w:uiPriority w:val="39"/>
    <w:unhideWhenUsed/>
    <w:qFormat/>
    <w:rsid w:val="00E43E7C"/>
    <w:pPr>
      <w:tabs>
        <w:tab w:val="left" w:pos="709"/>
        <w:tab w:val="right" w:leader="dot" w:pos="8494"/>
      </w:tabs>
      <w:spacing w:after="100"/>
      <w:ind w:left="284"/>
    </w:pPr>
    <w:rPr>
      <w:noProof/>
    </w:rPr>
  </w:style>
  <w:style w:type="paragraph" w:styleId="TOC3">
    <w:name w:val="toc 3"/>
    <w:basedOn w:val="Normal"/>
    <w:next w:val="Normal"/>
    <w:autoRedefine/>
    <w:uiPriority w:val="39"/>
    <w:unhideWhenUsed/>
    <w:qFormat/>
    <w:rsid w:val="009E3E35"/>
    <w:pPr>
      <w:tabs>
        <w:tab w:val="left" w:pos="1134"/>
        <w:tab w:val="right" w:leader="dot" w:pos="8494"/>
      </w:tabs>
      <w:spacing w:after="100"/>
      <w:ind w:left="440"/>
    </w:pPr>
  </w:style>
  <w:style w:type="paragraph" w:styleId="Header">
    <w:name w:val="header"/>
    <w:basedOn w:val="Normal"/>
    <w:link w:val="HeaderChar"/>
    <w:uiPriority w:val="99"/>
    <w:unhideWhenUsed/>
    <w:rsid w:val="00281B46"/>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1B46"/>
    <w:rPr>
      <w:rFonts w:ascii="Arial" w:eastAsia="Times New Roman" w:hAnsi="Arial" w:cs="Arial"/>
      <w:color w:val="000000"/>
      <w:lang w:eastAsia="en-GB"/>
    </w:rPr>
  </w:style>
  <w:style w:type="paragraph" w:styleId="Footer">
    <w:name w:val="footer"/>
    <w:basedOn w:val="Normal"/>
    <w:link w:val="FooterChar"/>
    <w:uiPriority w:val="99"/>
    <w:unhideWhenUsed/>
    <w:rsid w:val="00281B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1B46"/>
    <w:rPr>
      <w:rFonts w:ascii="Arial" w:eastAsia="Times New Roman" w:hAnsi="Arial" w:cs="Arial"/>
      <w:color w:val="000000"/>
      <w:lang w:eastAsia="en-GB"/>
    </w:rPr>
  </w:style>
  <w:style w:type="paragraph" w:styleId="Caption">
    <w:name w:val="caption"/>
    <w:basedOn w:val="Normal"/>
    <w:next w:val="Normal"/>
    <w:uiPriority w:val="35"/>
    <w:unhideWhenUsed/>
    <w:qFormat/>
    <w:rsid w:val="00D94477"/>
    <w:pPr>
      <w:spacing w:line="276" w:lineRule="auto"/>
    </w:pPr>
    <w:rPr>
      <w:b/>
      <w:bCs/>
      <w:color w:val="auto"/>
      <w:szCs w:val="18"/>
    </w:rPr>
  </w:style>
  <w:style w:type="paragraph" w:styleId="TableofFigures">
    <w:name w:val="table of figures"/>
    <w:basedOn w:val="Normal"/>
    <w:next w:val="Normal"/>
    <w:uiPriority w:val="99"/>
    <w:unhideWhenUsed/>
    <w:rsid w:val="00B03AE3"/>
    <w:pPr>
      <w:spacing w:after="0"/>
    </w:pPr>
  </w:style>
  <w:style w:type="paragraph" w:styleId="TOC4">
    <w:name w:val="toc 4"/>
    <w:basedOn w:val="Normal"/>
    <w:next w:val="Normal"/>
    <w:autoRedefine/>
    <w:uiPriority w:val="39"/>
    <w:unhideWhenUsed/>
    <w:rsid w:val="00F40669"/>
    <w:pPr>
      <w:tabs>
        <w:tab w:val="left" w:pos="1560"/>
        <w:tab w:val="right" w:leader="dot" w:pos="8494"/>
      </w:tabs>
      <w:spacing w:after="100"/>
      <w:ind w:left="720"/>
    </w:pPr>
  </w:style>
  <w:style w:type="paragraph" w:styleId="Subtitle0">
    <w:name w:val="Subtitle"/>
    <w:basedOn w:val="Normal"/>
    <w:next w:val="Normal"/>
    <w:link w:val="SubtitleChar"/>
    <w:uiPriority w:val="11"/>
    <w:qFormat/>
    <w:rsid w:val="003F0F7E"/>
    <w:pPr>
      <w:numPr>
        <w:ilvl w:val="1"/>
      </w:numPr>
      <w:spacing w:after="0"/>
    </w:pPr>
    <w:rPr>
      <w:rFonts w:eastAsiaTheme="majorEastAsia" w:cs="Times New Roman"/>
      <w:b/>
      <w:iCs/>
      <w:color w:val="auto"/>
      <w:spacing w:val="15"/>
      <w:sz w:val="32"/>
      <w:szCs w:val="24"/>
      <w:lang w:eastAsia="en-US"/>
    </w:rPr>
  </w:style>
  <w:style w:type="character" w:customStyle="1" w:styleId="SubtitleChar">
    <w:name w:val="Subtitle Char"/>
    <w:basedOn w:val="DefaultParagraphFont"/>
    <w:link w:val="Subtitle0"/>
    <w:uiPriority w:val="11"/>
    <w:rsid w:val="003F0F7E"/>
    <w:rPr>
      <w:rFonts w:ascii="Times New Roman" w:eastAsiaTheme="majorEastAsia" w:hAnsi="Times New Roman" w:cs="Times New Roman"/>
      <w:b/>
      <w:iCs/>
      <w:spacing w:val="15"/>
      <w:sz w:val="32"/>
      <w:szCs w:val="24"/>
    </w:rPr>
  </w:style>
  <w:style w:type="paragraph" w:customStyle="1" w:styleId="StyleHeading1TimesNewRoman14pt">
    <w:name w:val="Style Heading 1 + Times New Roman 14 pt"/>
    <w:basedOn w:val="Heading3"/>
    <w:rsid w:val="003F0F7E"/>
    <w:pPr>
      <w:numPr>
        <w:ilvl w:val="0"/>
        <w:numId w:val="0"/>
      </w:numPr>
      <w:spacing w:after="240" w:line="240" w:lineRule="auto"/>
      <w:jc w:val="center"/>
    </w:pPr>
    <w:rPr>
      <w:rFonts w:cs="Arial"/>
      <w:color w:val="auto"/>
      <w:kern w:val="0"/>
      <w:szCs w:val="26"/>
    </w:rPr>
  </w:style>
  <w:style w:type="table" w:styleId="TableGrid">
    <w:name w:val="Table Grid"/>
    <w:basedOn w:val="TableNormal"/>
    <w:uiPriority w:val="59"/>
    <w:rsid w:val="003F1B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3F1B1F"/>
  </w:style>
  <w:style w:type="character" w:styleId="PlaceholderText">
    <w:name w:val="Placeholder Text"/>
    <w:basedOn w:val="DefaultParagraphFont"/>
    <w:uiPriority w:val="99"/>
    <w:semiHidden/>
    <w:rsid w:val="003F1B1F"/>
    <w:rPr>
      <w:color w:val="808080"/>
    </w:rPr>
  </w:style>
  <w:style w:type="paragraph" w:styleId="TOC5">
    <w:name w:val="toc 5"/>
    <w:basedOn w:val="Normal"/>
    <w:next w:val="Normal"/>
    <w:autoRedefine/>
    <w:uiPriority w:val="39"/>
    <w:unhideWhenUsed/>
    <w:rsid w:val="00077159"/>
    <w:pPr>
      <w:spacing w:after="100" w:line="276" w:lineRule="auto"/>
      <w:ind w:left="880"/>
      <w:jc w:val="left"/>
    </w:pPr>
    <w:rPr>
      <w:rFonts w:asciiTheme="minorHAnsi" w:eastAsiaTheme="minorEastAsia" w:hAnsiTheme="minorHAnsi" w:cstheme="minorBidi"/>
      <w:color w:val="auto"/>
      <w:sz w:val="22"/>
    </w:rPr>
  </w:style>
  <w:style w:type="paragraph" w:styleId="TOC6">
    <w:name w:val="toc 6"/>
    <w:basedOn w:val="Normal"/>
    <w:next w:val="Normal"/>
    <w:autoRedefine/>
    <w:uiPriority w:val="39"/>
    <w:unhideWhenUsed/>
    <w:rsid w:val="00077159"/>
    <w:pPr>
      <w:spacing w:after="100" w:line="276" w:lineRule="auto"/>
      <w:ind w:left="1100"/>
      <w:jc w:val="left"/>
    </w:pPr>
    <w:rPr>
      <w:rFonts w:asciiTheme="minorHAnsi" w:eastAsiaTheme="minorEastAsia" w:hAnsiTheme="minorHAnsi" w:cstheme="minorBidi"/>
      <w:color w:val="auto"/>
      <w:sz w:val="22"/>
    </w:rPr>
  </w:style>
  <w:style w:type="paragraph" w:styleId="TOC7">
    <w:name w:val="toc 7"/>
    <w:basedOn w:val="Normal"/>
    <w:next w:val="Normal"/>
    <w:autoRedefine/>
    <w:uiPriority w:val="39"/>
    <w:unhideWhenUsed/>
    <w:rsid w:val="00077159"/>
    <w:pPr>
      <w:spacing w:after="100" w:line="276" w:lineRule="auto"/>
      <w:ind w:left="1320"/>
      <w:jc w:val="left"/>
    </w:pPr>
    <w:rPr>
      <w:rFonts w:asciiTheme="minorHAnsi" w:eastAsiaTheme="minorEastAsia" w:hAnsiTheme="minorHAnsi" w:cstheme="minorBidi"/>
      <w:color w:val="auto"/>
      <w:sz w:val="22"/>
    </w:rPr>
  </w:style>
  <w:style w:type="paragraph" w:styleId="TOC8">
    <w:name w:val="toc 8"/>
    <w:basedOn w:val="Normal"/>
    <w:next w:val="Normal"/>
    <w:autoRedefine/>
    <w:uiPriority w:val="39"/>
    <w:unhideWhenUsed/>
    <w:rsid w:val="00077159"/>
    <w:pPr>
      <w:spacing w:after="100" w:line="276" w:lineRule="auto"/>
      <w:ind w:left="1540"/>
      <w:jc w:val="left"/>
    </w:pPr>
    <w:rPr>
      <w:rFonts w:asciiTheme="minorHAnsi" w:eastAsiaTheme="minorEastAsia" w:hAnsiTheme="minorHAnsi" w:cstheme="minorBidi"/>
      <w:color w:val="auto"/>
      <w:sz w:val="22"/>
    </w:rPr>
  </w:style>
  <w:style w:type="paragraph" w:styleId="TOC9">
    <w:name w:val="toc 9"/>
    <w:basedOn w:val="Normal"/>
    <w:next w:val="Normal"/>
    <w:autoRedefine/>
    <w:uiPriority w:val="39"/>
    <w:unhideWhenUsed/>
    <w:rsid w:val="00077159"/>
    <w:pPr>
      <w:spacing w:after="100" w:line="276" w:lineRule="auto"/>
      <w:ind w:left="1760"/>
      <w:jc w:val="left"/>
    </w:pPr>
    <w:rPr>
      <w:rFonts w:asciiTheme="minorHAnsi" w:eastAsiaTheme="minorEastAsia" w:hAnsiTheme="minorHAnsi" w:cstheme="minorBidi"/>
      <w:color w:val="auto"/>
      <w:sz w:val="22"/>
    </w:rPr>
  </w:style>
  <w:style w:type="paragraph" w:styleId="DocumentMap">
    <w:name w:val="Document Map"/>
    <w:basedOn w:val="Normal"/>
    <w:link w:val="DocumentMapChar"/>
    <w:uiPriority w:val="99"/>
    <w:semiHidden/>
    <w:unhideWhenUsed/>
    <w:rsid w:val="00F177C4"/>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F177C4"/>
    <w:rPr>
      <w:rFonts w:ascii="Tahoma" w:eastAsia="Times New Roman" w:hAnsi="Tahoma" w:cs="Tahoma"/>
      <w:color w:val="000000"/>
      <w:sz w:val="16"/>
      <w:szCs w:val="16"/>
      <w:lang w:eastAsia="en-GB"/>
    </w:rPr>
  </w:style>
</w:styles>
</file>

<file path=word/webSettings.xml><?xml version="1.0" encoding="utf-8"?>
<w:webSettings xmlns:r="http://schemas.openxmlformats.org/officeDocument/2006/relationships" xmlns:w="http://schemas.openxmlformats.org/wordprocessingml/2006/main">
  <w:divs>
    <w:div w:id="160121437">
      <w:bodyDiv w:val="1"/>
      <w:marLeft w:val="0"/>
      <w:marRight w:val="0"/>
      <w:marTop w:val="0"/>
      <w:marBottom w:val="0"/>
      <w:divBdr>
        <w:top w:val="none" w:sz="0" w:space="0" w:color="auto"/>
        <w:left w:val="none" w:sz="0" w:space="0" w:color="auto"/>
        <w:bottom w:val="none" w:sz="0" w:space="0" w:color="auto"/>
        <w:right w:val="none" w:sz="0" w:space="0" w:color="auto"/>
      </w:divBdr>
    </w:div>
    <w:div w:id="237640128">
      <w:bodyDiv w:val="1"/>
      <w:marLeft w:val="0"/>
      <w:marRight w:val="0"/>
      <w:marTop w:val="0"/>
      <w:marBottom w:val="0"/>
      <w:divBdr>
        <w:top w:val="none" w:sz="0" w:space="0" w:color="auto"/>
        <w:left w:val="none" w:sz="0" w:space="0" w:color="auto"/>
        <w:bottom w:val="none" w:sz="0" w:space="0" w:color="auto"/>
        <w:right w:val="none" w:sz="0" w:space="0" w:color="auto"/>
      </w:divBdr>
    </w:div>
    <w:div w:id="271715503">
      <w:bodyDiv w:val="1"/>
      <w:marLeft w:val="0"/>
      <w:marRight w:val="0"/>
      <w:marTop w:val="0"/>
      <w:marBottom w:val="0"/>
      <w:divBdr>
        <w:top w:val="none" w:sz="0" w:space="0" w:color="auto"/>
        <w:left w:val="none" w:sz="0" w:space="0" w:color="auto"/>
        <w:bottom w:val="none" w:sz="0" w:space="0" w:color="auto"/>
        <w:right w:val="none" w:sz="0" w:space="0" w:color="auto"/>
      </w:divBdr>
    </w:div>
    <w:div w:id="617952010">
      <w:bodyDiv w:val="1"/>
      <w:marLeft w:val="0"/>
      <w:marRight w:val="0"/>
      <w:marTop w:val="0"/>
      <w:marBottom w:val="0"/>
      <w:divBdr>
        <w:top w:val="none" w:sz="0" w:space="0" w:color="auto"/>
        <w:left w:val="none" w:sz="0" w:space="0" w:color="auto"/>
        <w:bottom w:val="none" w:sz="0" w:space="0" w:color="auto"/>
        <w:right w:val="none" w:sz="0" w:space="0" w:color="auto"/>
      </w:divBdr>
    </w:div>
    <w:div w:id="857349256">
      <w:bodyDiv w:val="1"/>
      <w:marLeft w:val="0"/>
      <w:marRight w:val="0"/>
      <w:marTop w:val="0"/>
      <w:marBottom w:val="0"/>
      <w:divBdr>
        <w:top w:val="none" w:sz="0" w:space="0" w:color="auto"/>
        <w:left w:val="none" w:sz="0" w:space="0" w:color="auto"/>
        <w:bottom w:val="none" w:sz="0" w:space="0" w:color="auto"/>
        <w:right w:val="none" w:sz="0" w:space="0" w:color="auto"/>
      </w:divBdr>
    </w:div>
    <w:div w:id="886989833">
      <w:bodyDiv w:val="1"/>
      <w:marLeft w:val="0"/>
      <w:marRight w:val="0"/>
      <w:marTop w:val="0"/>
      <w:marBottom w:val="0"/>
      <w:divBdr>
        <w:top w:val="none" w:sz="0" w:space="0" w:color="auto"/>
        <w:left w:val="none" w:sz="0" w:space="0" w:color="auto"/>
        <w:bottom w:val="none" w:sz="0" w:space="0" w:color="auto"/>
        <w:right w:val="none" w:sz="0" w:space="0" w:color="auto"/>
      </w:divBdr>
      <w:divsChild>
        <w:div w:id="152187938">
          <w:marLeft w:val="0"/>
          <w:marRight w:val="0"/>
          <w:marTop w:val="0"/>
          <w:marBottom w:val="0"/>
          <w:divBdr>
            <w:top w:val="none" w:sz="0" w:space="0" w:color="auto"/>
            <w:left w:val="none" w:sz="0" w:space="0" w:color="auto"/>
            <w:bottom w:val="none" w:sz="0" w:space="0" w:color="auto"/>
            <w:right w:val="none" w:sz="0" w:space="0" w:color="auto"/>
          </w:divBdr>
          <w:divsChild>
            <w:div w:id="1886601147">
              <w:marLeft w:val="0"/>
              <w:marRight w:val="0"/>
              <w:marTop w:val="0"/>
              <w:marBottom w:val="0"/>
              <w:divBdr>
                <w:top w:val="none" w:sz="0" w:space="0" w:color="auto"/>
                <w:left w:val="none" w:sz="0" w:space="0" w:color="auto"/>
                <w:bottom w:val="none" w:sz="0" w:space="0" w:color="auto"/>
                <w:right w:val="none" w:sz="0" w:space="0" w:color="auto"/>
              </w:divBdr>
              <w:divsChild>
                <w:div w:id="1614897349">
                  <w:marLeft w:val="0"/>
                  <w:marRight w:val="0"/>
                  <w:marTop w:val="0"/>
                  <w:marBottom w:val="0"/>
                  <w:divBdr>
                    <w:top w:val="none" w:sz="0" w:space="0" w:color="auto"/>
                    <w:left w:val="none" w:sz="0" w:space="0" w:color="auto"/>
                    <w:bottom w:val="none" w:sz="0" w:space="0" w:color="auto"/>
                    <w:right w:val="none" w:sz="0" w:space="0" w:color="auto"/>
                  </w:divBdr>
                  <w:divsChild>
                    <w:div w:id="534074372">
                      <w:marLeft w:val="0"/>
                      <w:marRight w:val="0"/>
                      <w:marTop w:val="0"/>
                      <w:marBottom w:val="0"/>
                      <w:divBdr>
                        <w:top w:val="none" w:sz="0" w:space="0" w:color="auto"/>
                        <w:left w:val="none" w:sz="0" w:space="0" w:color="auto"/>
                        <w:bottom w:val="none" w:sz="0" w:space="0" w:color="auto"/>
                        <w:right w:val="none" w:sz="0" w:space="0" w:color="auto"/>
                      </w:divBdr>
                      <w:divsChild>
                        <w:div w:id="710694664">
                          <w:marLeft w:val="0"/>
                          <w:marRight w:val="0"/>
                          <w:marTop w:val="0"/>
                          <w:marBottom w:val="0"/>
                          <w:divBdr>
                            <w:top w:val="none" w:sz="0" w:space="0" w:color="auto"/>
                            <w:left w:val="none" w:sz="0" w:space="0" w:color="auto"/>
                            <w:bottom w:val="none" w:sz="0" w:space="0" w:color="auto"/>
                            <w:right w:val="none" w:sz="0" w:space="0" w:color="auto"/>
                          </w:divBdr>
                          <w:divsChild>
                            <w:div w:id="1347901440">
                              <w:marLeft w:val="0"/>
                              <w:marRight w:val="0"/>
                              <w:marTop w:val="0"/>
                              <w:marBottom w:val="0"/>
                              <w:divBdr>
                                <w:top w:val="none" w:sz="0" w:space="0" w:color="auto"/>
                                <w:left w:val="none" w:sz="0" w:space="0" w:color="auto"/>
                                <w:bottom w:val="none" w:sz="0" w:space="0" w:color="auto"/>
                                <w:right w:val="none" w:sz="0" w:space="0" w:color="auto"/>
                              </w:divBdr>
                              <w:divsChild>
                                <w:div w:id="1867401645">
                                  <w:marLeft w:val="0"/>
                                  <w:marRight w:val="0"/>
                                  <w:marTop w:val="0"/>
                                  <w:marBottom w:val="0"/>
                                  <w:divBdr>
                                    <w:top w:val="none" w:sz="0" w:space="0" w:color="auto"/>
                                    <w:left w:val="none" w:sz="0" w:space="0" w:color="auto"/>
                                    <w:bottom w:val="none" w:sz="0" w:space="0" w:color="auto"/>
                                    <w:right w:val="none" w:sz="0" w:space="0" w:color="auto"/>
                                  </w:divBdr>
                                  <w:divsChild>
                                    <w:div w:id="1021321995">
                                      <w:marLeft w:val="0"/>
                                      <w:marRight w:val="0"/>
                                      <w:marTop w:val="0"/>
                                      <w:marBottom w:val="0"/>
                                      <w:divBdr>
                                        <w:top w:val="none" w:sz="0" w:space="0" w:color="auto"/>
                                        <w:left w:val="none" w:sz="0" w:space="0" w:color="auto"/>
                                        <w:bottom w:val="none" w:sz="0" w:space="0" w:color="auto"/>
                                        <w:right w:val="none" w:sz="0" w:space="0" w:color="auto"/>
                                      </w:divBdr>
                                      <w:divsChild>
                                        <w:div w:id="1014188471">
                                          <w:marLeft w:val="0"/>
                                          <w:marRight w:val="0"/>
                                          <w:marTop w:val="0"/>
                                          <w:marBottom w:val="0"/>
                                          <w:divBdr>
                                            <w:top w:val="none" w:sz="0" w:space="0" w:color="auto"/>
                                            <w:left w:val="none" w:sz="0" w:space="0" w:color="auto"/>
                                            <w:bottom w:val="none" w:sz="0" w:space="0" w:color="auto"/>
                                            <w:right w:val="none" w:sz="0" w:space="0" w:color="auto"/>
                                          </w:divBdr>
                                          <w:divsChild>
                                            <w:div w:id="94981734">
                                              <w:marLeft w:val="0"/>
                                              <w:marRight w:val="0"/>
                                              <w:marTop w:val="0"/>
                                              <w:marBottom w:val="0"/>
                                              <w:divBdr>
                                                <w:top w:val="none" w:sz="0" w:space="0" w:color="auto"/>
                                                <w:left w:val="none" w:sz="0" w:space="0" w:color="auto"/>
                                                <w:bottom w:val="none" w:sz="0" w:space="0" w:color="auto"/>
                                                <w:right w:val="none" w:sz="0" w:space="0" w:color="auto"/>
                                              </w:divBdr>
                                              <w:divsChild>
                                                <w:div w:id="2091804434">
                                                  <w:marLeft w:val="0"/>
                                                  <w:marRight w:val="0"/>
                                                  <w:marTop w:val="0"/>
                                                  <w:marBottom w:val="0"/>
                                                  <w:divBdr>
                                                    <w:top w:val="none" w:sz="0" w:space="0" w:color="auto"/>
                                                    <w:left w:val="none" w:sz="0" w:space="0" w:color="auto"/>
                                                    <w:bottom w:val="none" w:sz="0" w:space="0" w:color="auto"/>
                                                    <w:right w:val="none" w:sz="0" w:space="0" w:color="auto"/>
                                                  </w:divBdr>
                                                  <w:divsChild>
                                                    <w:div w:id="1105078125">
                                                      <w:marLeft w:val="0"/>
                                                      <w:marRight w:val="0"/>
                                                      <w:marTop w:val="0"/>
                                                      <w:marBottom w:val="0"/>
                                                      <w:divBdr>
                                                        <w:top w:val="none" w:sz="0" w:space="0" w:color="auto"/>
                                                        <w:left w:val="none" w:sz="0" w:space="0" w:color="auto"/>
                                                        <w:bottom w:val="none" w:sz="0" w:space="0" w:color="auto"/>
                                                        <w:right w:val="none" w:sz="0" w:space="0" w:color="auto"/>
                                                      </w:divBdr>
                                                      <w:divsChild>
                                                        <w:div w:id="994726563">
                                                          <w:marLeft w:val="0"/>
                                                          <w:marRight w:val="0"/>
                                                          <w:marTop w:val="0"/>
                                                          <w:marBottom w:val="0"/>
                                                          <w:divBdr>
                                                            <w:top w:val="none" w:sz="0" w:space="0" w:color="auto"/>
                                                            <w:left w:val="none" w:sz="0" w:space="0" w:color="auto"/>
                                                            <w:bottom w:val="none" w:sz="0" w:space="0" w:color="auto"/>
                                                            <w:right w:val="none" w:sz="0" w:space="0" w:color="auto"/>
                                                          </w:divBdr>
                                                          <w:divsChild>
                                                            <w:div w:id="1929267094">
                                                              <w:marLeft w:val="0"/>
                                                              <w:marRight w:val="0"/>
                                                              <w:marTop w:val="0"/>
                                                              <w:marBottom w:val="0"/>
                                                              <w:divBdr>
                                                                <w:top w:val="none" w:sz="0" w:space="0" w:color="auto"/>
                                                                <w:left w:val="none" w:sz="0" w:space="0" w:color="auto"/>
                                                                <w:bottom w:val="none" w:sz="0" w:space="0" w:color="auto"/>
                                                                <w:right w:val="none" w:sz="0" w:space="0" w:color="auto"/>
                                                              </w:divBdr>
                                                              <w:divsChild>
                                                                <w:div w:id="844248361">
                                                                  <w:marLeft w:val="0"/>
                                                                  <w:marRight w:val="0"/>
                                                                  <w:marTop w:val="0"/>
                                                                  <w:marBottom w:val="0"/>
                                                                  <w:divBdr>
                                                                    <w:top w:val="none" w:sz="0" w:space="0" w:color="auto"/>
                                                                    <w:left w:val="none" w:sz="0" w:space="0" w:color="auto"/>
                                                                    <w:bottom w:val="none" w:sz="0" w:space="0" w:color="auto"/>
                                                                    <w:right w:val="none" w:sz="0" w:space="0" w:color="auto"/>
                                                                  </w:divBdr>
                                                                  <w:divsChild>
                                                                    <w:div w:id="100956276">
                                                                      <w:marLeft w:val="0"/>
                                                                      <w:marRight w:val="0"/>
                                                                      <w:marTop w:val="0"/>
                                                                      <w:marBottom w:val="0"/>
                                                                      <w:divBdr>
                                                                        <w:top w:val="none" w:sz="0" w:space="0" w:color="auto"/>
                                                                        <w:left w:val="none" w:sz="0" w:space="0" w:color="auto"/>
                                                                        <w:bottom w:val="none" w:sz="0" w:space="0" w:color="auto"/>
                                                                        <w:right w:val="none" w:sz="0" w:space="0" w:color="auto"/>
                                                                      </w:divBdr>
                                                                      <w:divsChild>
                                                                        <w:div w:id="1214386098">
                                                                          <w:marLeft w:val="0"/>
                                                                          <w:marRight w:val="0"/>
                                                                          <w:marTop w:val="0"/>
                                                                          <w:marBottom w:val="0"/>
                                                                          <w:divBdr>
                                                                            <w:top w:val="none" w:sz="0" w:space="0" w:color="auto"/>
                                                                            <w:left w:val="none" w:sz="0" w:space="0" w:color="auto"/>
                                                                            <w:bottom w:val="none" w:sz="0" w:space="0" w:color="auto"/>
                                                                            <w:right w:val="none" w:sz="0" w:space="0" w:color="auto"/>
                                                                          </w:divBdr>
                                                                          <w:divsChild>
                                                                            <w:div w:id="878470985">
                                                                              <w:marLeft w:val="0"/>
                                                                              <w:marRight w:val="0"/>
                                                                              <w:marTop w:val="0"/>
                                                                              <w:marBottom w:val="0"/>
                                                                              <w:divBdr>
                                                                                <w:top w:val="none" w:sz="0" w:space="0" w:color="auto"/>
                                                                                <w:left w:val="none" w:sz="0" w:space="0" w:color="auto"/>
                                                                                <w:bottom w:val="none" w:sz="0" w:space="0" w:color="auto"/>
                                                                                <w:right w:val="none" w:sz="0" w:space="0" w:color="auto"/>
                                                                              </w:divBdr>
                                                                              <w:divsChild>
                                                                                <w:div w:id="1456633543">
                                                                                  <w:marLeft w:val="0"/>
                                                                                  <w:marRight w:val="0"/>
                                                                                  <w:marTop w:val="0"/>
                                                                                  <w:marBottom w:val="0"/>
                                                                                  <w:divBdr>
                                                                                    <w:top w:val="none" w:sz="0" w:space="0" w:color="auto"/>
                                                                                    <w:left w:val="none" w:sz="0" w:space="0" w:color="auto"/>
                                                                                    <w:bottom w:val="none" w:sz="0" w:space="0" w:color="auto"/>
                                                                                    <w:right w:val="none" w:sz="0" w:space="0" w:color="auto"/>
                                                                                  </w:divBdr>
                                                                                  <w:divsChild>
                                                                                    <w:div w:id="1062406940">
                                                                                      <w:marLeft w:val="0"/>
                                                                                      <w:marRight w:val="0"/>
                                                                                      <w:marTop w:val="0"/>
                                                                                      <w:marBottom w:val="0"/>
                                                                                      <w:divBdr>
                                                                                        <w:top w:val="none" w:sz="0" w:space="0" w:color="auto"/>
                                                                                        <w:left w:val="none" w:sz="0" w:space="0" w:color="auto"/>
                                                                                        <w:bottom w:val="none" w:sz="0" w:space="0" w:color="auto"/>
                                                                                        <w:right w:val="none" w:sz="0" w:space="0" w:color="auto"/>
                                                                                      </w:divBdr>
                                                                                      <w:divsChild>
                                                                                        <w:div w:id="203564389">
                                                                                          <w:marLeft w:val="0"/>
                                                                                          <w:marRight w:val="0"/>
                                                                                          <w:marTop w:val="0"/>
                                                                                          <w:marBottom w:val="0"/>
                                                                                          <w:divBdr>
                                                                                            <w:top w:val="none" w:sz="0" w:space="0" w:color="auto"/>
                                                                                            <w:left w:val="none" w:sz="0" w:space="0" w:color="auto"/>
                                                                                            <w:bottom w:val="none" w:sz="0" w:space="0" w:color="auto"/>
                                                                                            <w:right w:val="none" w:sz="0" w:space="0" w:color="auto"/>
                                                                                          </w:divBdr>
                                                                                          <w:divsChild>
                                                                                            <w:div w:id="1074472416">
                                                                                              <w:marLeft w:val="0"/>
                                                                                              <w:marRight w:val="0"/>
                                                                                              <w:marTop w:val="0"/>
                                                                                              <w:marBottom w:val="0"/>
                                                                                              <w:divBdr>
                                                                                                <w:top w:val="none" w:sz="0" w:space="0" w:color="auto"/>
                                                                                                <w:left w:val="none" w:sz="0" w:space="0" w:color="auto"/>
                                                                                                <w:bottom w:val="none" w:sz="0" w:space="0" w:color="auto"/>
                                                                                                <w:right w:val="none" w:sz="0" w:space="0" w:color="auto"/>
                                                                                              </w:divBdr>
                                                                                              <w:divsChild>
                                                                                                <w:div w:id="991829978">
                                                                                                  <w:marLeft w:val="0"/>
                                                                                                  <w:marRight w:val="0"/>
                                                                                                  <w:marTop w:val="0"/>
                                                                                                  <w:marBottom w:val="0"/>
                                                                                                  <w:divBdr>
                                                                                                    <w:top w:val="none" w:sz="0" w:space="0" w:color="auto"/>
                                                                                                    <w:left w:val="none" w:sz="0" w:space="0" w:color="auto"/>
                                                                                                    <w:bottom w:val="none" w:sz="0" w:space="0" w:color="auto"/>
                                                                                                    <w:right w:val="none" w:sz="0" w:space="0" w:color="auto"/>
                                                                                                  </w:divBdr>
                                                                                                  <w:divsChild>
                                                                                                    <w:div w:id="273103011">
                                                                                                      <w:marLeft w:val="0"/>
                                                                                                      <w:marRight w:val="0"/>
                                                                                                      <w:marTop w:val="0"/>
                                                                                                      <w:marBottom w:val="0"/>
                                                                                                      <w:divBdr>
                                                                                                        <w:top w:val="none" w:sz="0" w:space="0" w:color="auto"/>
                                                                                                        <w:left w:val="none" w:sz="0" w:space="0" w:color="auto"/>
                                                                                                        <w:bottom w:val="none" w:sz="0" w:space="0" w:color="auto"/>
                                                                                                        <w:right w:val="none" w:sz="0" w:space="0" w:color="auto"/>
                                                                                                      </w:divBdr>
                                                                                                      <w:divsChild>
                                                                                                        <w:div w:id="1938056830">
                                                                                                          <w:marLeft w:val="0"/>
                                                                                                          <w:marRight w:val="0"/>
                                                                                                          <w:marTop w:val="0"/>
                                                                                                          <w:marBottom w:val="0"/>
                                                                                                          <w:divBdr>
                                                                                                            <w:top w:val="none" w:sz="0" w:space="0" w:color="auto"/>
                                                                                                            <w:left w:val="none" w:sz="0" w:space="0" w:color="auto"/>
                                                                                                            <w:bottom w:val="none" w:sz="0" w:space="0" w:color="auto"/>
                                                                                                            <w:right w:val="none" w:sz="0" w:space="0" w:color="auto"/>
                                                                                                          </w:divBdr>
                                                                                                          <w:divsChild>
                                                                                                            <w:div w:id="375929318">
                                                                                                              <w:marLeft w:val="0"/>
                                                                                                              <w:marRight w:val="0"/>
                                                                                                              <w:marTop w:val="0"/>
                                                                                                              <w:marBottom w:val="0"/>
                                                                                                              <w:divBdr>
                                                                                                                <w:top w:val="none" w:sz="0" w:space="0" w:color="auto"/>
                                                                                                                <w:left w:val="none" w:sz="0" w:space="0" w:color="auto"/>
                                                                                                                <w:bottom w:val="none" w:sz="0" w:space="0" w:color="auto"/>
                                                                                                                <w:right w:val="none" w:sz="0" w:space="0" w:color="auto"/>
                                                                                                              </w:divBdr>
                                                                                                              <w:divsChild>
                                                                                                                <w:div w:id="1726640743">
                                                                                                                  <w:marLeft w:val="0"/>
                                                                                                                  <w:marRight w:val="0"/>
                                                                                                                  <w:marTop w:val="0"/>
                                                                                                                  <w:marBottom w:val="0"/>
                                                                                                                  <w:divBdr>
                                                                                                                    <w:top w:val="none" w:sz="0" w:space="0" w:color="auto"/>
                                                                                                                    <w:left w:val="none" w:sz="0" w:space="0" w:color="auto"/>
                                                                                                                    <w:bottom w:val="none" w:sz="0" w:space="0" w:color="auto"/>
                                                                                                                    <w:right w:val="none" w:sz="0" w:space="0" w:color="auto"/>
                                                                                                                  </w:divBdr>
                                                                                                                  <w:divsChild>
                                                                                                                    <w:div w:id="1110248147">
                                                                                                                      <w:marLeft w:val="0"/>
                                                                                                                      <w:marRight w:val="0"/>
                                                                                                                      <w:marTop w:val="0"/>
                                                                                                                      <w:marBottom w:val="0"/>
                                                                                                                      <w:divBdr>
                                                                                                                        <w:top w:val="none" w:sz="0" w:space="0" w:color="auto"/>
                                                                                                                        <w:left w:val="none" w:sz="0" w:space="0" w:color="auto"/>
                                                                                                                        <w:bottom w:val="none" w:sz="0" w:space="0" w:color="auto"/>
                                                                                                                        <w:right w:val="none" w:sz="0" w:space="0" w:color="auto"/>
                                                                                                                      </w:divBdr>
                                                                                                                      <w:divsChild>
                                                                                                                        <w:div w:id="1112557211">
                                                                                                                          <w:marLeft w:val="0"/>
                                                                                                                          <w:marRight w:val="0"/>
                                                                                                                          <w:marTop w:val="0"/>
                                                                                                                          <w:marBottom w:val="0"/>
                                                                                                                          <w:divBdr>
                                                                                                                            <w:top w:val="none" w:sz="0" w:space="0" w:color="auto"/>
                                                                                                                            <w:left w:val="none" w:sz="0" w:space="0" w:color="auto"/>
                                                                                                                            <w:bottom w:val="none" w:sz="0" w:space="0" w:color="auto"/>
                                                                                                                            <w:right w:val="none" w:sz="0" w:space="0" w:color="auto"/>
                                                                                                                          </w:divBdr>
                                                                                                                          <w:divsChild>
                                                                                                                            <w:div w:id="2055082846">
                                                                                                                              <w:marLeft w:val="0"/>
                                                                                                                              <w:marRight w:val="0"/>
                                                                                                                              <w:marTop w:val="0"/>
                                                                                                                              <w:marBottom w:val="0"/>
                                                                                                                              <w:divBdr>
                                                                                                                                <w:top w:val="none" w:sz="0" w:space="0" w:color="auto"/>
                                                                                                                                <w:left w:val="none" w:sz="0" w:space="0" w:color="auto"/>
                                                                                                                                <w:bottom w:val="none" w:sz="0" w:space="0" w:color="auto"/>
                                                                                                                                <w:right w:val="none" w:sz="0" w:space="0" w:color="auto"/>
                                                                                                                              </w:divBdr>
                                                                                                                              <w:divsChild>
                                                                                                                                <w:div w:id="185876349">
                                                                                                                                  <w:marLeft w:val="0"/>
                                                                                                                                  <w:marRight w:val="0"/>
                                                                                                                                  <w:marTop w:val="0"/>
                                                                                                                                  <w:marBottom w:val="0"/>
                                                                                                                                  <w:divBdr>
                                                                                                                                    <w:top w:val="none" w:sz="0" w:space="0" w:color="auto"/>
                                                                                                                                    <w:left w:val="none" w:sz="0" w:space="0" w:color="auto"/>
                                                                                                                                    <w:bottom w:val="none" w:sz="0" w:space="0" w:color="auto"/>
                                                                                                                                    <w:right w:val="none" w:sz="0" w:space="0" w:color="auto"/>
                                                                                                                                  </w:divBdr>
                                                                                                                                  <w:divsChild>
                                                                                                                                    <w:div w:id="1132674311">
                                                                                                                                      <w:marLeft w:val="0"/>
                                                                                                                                      <w:marRight w:val="0"/>
                                                                                                                                      <w:marTop w:val="0"/>
                                                                                                                                      <w:marBottom w:val="0"/>
                                                                                                                                      <w:divBdr>
                                                                                                                                        <w:top w:val="none" w:sz="0" w:space="0" w:color="auto"/>
                                                                                                                                        <w:left w:val="none" w:sz="0" w:space="0" w:color="auto"/>
                                                                                                                                        <w:bottom w:val="none" w:sz="0" w:space="0" w:color="auto"/>
                                                                                                                                        <w:right w:val="none" w:sz="0" w:space="0" w:color="auto"/>
                                                                                                                                      </w:divBdr>
                                                                                                                                      <w:divsChild>
                                                                                                                                        <w:div w:id="93077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36912458">
      <w:bodyDiv w:val="1"/>
      <w:marLeft w:val="0"/>
      <w:marRight w:val="0"/>
      <w:marTop w:val="0"/>
      <w:marBottom w:val="0"/>
      <w:divBdr>
        <w:top w:val="none" w:sz="0" w:space="0" w:color="auto"/>
        <w:left w:val="none" w:sz="0" w:space="0" w:color="auto"/>
        <w:bottom w:val="none" w:sz="0" w:space="0" w:color="auto"/>
        <w:right w:val="none" w:sz="0" w:space="0" w:color="auto"/>
      </w:divBdr>
    </w:div>
    <w:div w:id="1131363847">
      <w:bodyDiv w:val="1"/>
      <w:marLeft w:val="0"/>
      <w:marRight w:val="0"/>
      <w:marTop w:val="0"/>
      <w:marBottom w:val="0"/>
      <w:divBdr>
        <w:top w:val="none" w:sz="0" w:space="0" w:color="auto"/>
        <w:left w:val="none" w:sz="0" w:space="0" w:color="auto"/>
        <w:bottom w:val="none" w:sz="0" w:space="0" w:color="auto"/>
        <w:right w:val="none" w:sz="0" w:space="0" w:color="auto"/>
      </w:divBdr>
    </w:div>
    <w:div w:id="1253853027">
      <w:bodyDiv w:val="1"/>
      <w:marLeft w:val="0"/>
      <w:marRight w:val="0"/>
      <w:marTop w:val="0"/>
      <w:marBottom w:val="0"/>
      <w:divBdr>
        <w:top w:val="none" w:sz="0" w:space="0" w:color="auto"/>
        <w:left w:val="none" w:sz="0" w:space="0" w:color="auto"/>
        <w:bottom w:val="none" w:sz="0" w:space="0" w:color="auto"/>
        <w:right w:val="none" w:sz="0" w:space="0" w:color="auto"/>
      </w:divBdr>
    </w:div>
    <w:div w:id="1477994432">
      <w:bodyDiv w:val="1"/>
      <w:marLeft w:val="0"/>
      <w:marRight w:val="0"/>
      <w:marTop w:val="0"/>
      <w:marBottom w:val="0"/>
      <w:divBdr>
        <w:top w:val="none" w:sz="0" w:space="0" w:color="auto"/>
        <w:left w:val="none" w:sz="0" w:space="0" w:color="auto"/>
        <w:bottom w:val="none" w:sz="0" w:space="0" w:color="auto"/>
        <w:right w:val="none" w:sz="0" w:space="0" w:color="auto"/>
      </w:divBdr>
    </w:div>
    <w:div w:id="1617325099">
      <w:bodyDiv w:val="1"/>
      <w:marLeft w:val="0"/>
      <w:marRight w:val="0"/>
      <w:marTop w:val="0"/>
      <w:marBottom w:val="0"/>
      <w:divBdr>
        <w:top w:val="none" w:sz="0" w:space="0" w:color="auto"/>
        <w:left w:val="none" w:sz="0" w:space="0" w:color="auto"/>
        <w:bottom w:val="none" w:sz="0" w:space="0" w:color="auto"/>
        <w:right w:val="none" w:sz="0" w:space="0" w:color="auto"/>
      </w:divBdr>
    </w:div>
    <w:div w:id="1912502581">
      <w:bodyDiv w:val="1"/>
      <w:marLeft w:val="0"/>
      <w:marRight w:val="0"/>
      <w:marTop w:val="0"/>
      <w:marBottom w:val="0"/>
      <w:divBdr>
        <w:top w:val="none" w:sz="0" w:space="0" w:color="auto"/>
        <w:left w:val="none" w:sz="0" w:space="0" w:color="auto"/>
        <w:bottom w:val="none" w:sz="0" w:space="0" w:color="auto"/>
        <w:right w:val="none" w:sz="0" w:space="0" w:color="auto"/>
      </w:divBdr>
    </w:div>
    <w:div w:id="1977449651">
      <w:bodyDiv w:val="1"/>
      <w:marLeft w:val="0"/>
      <w:marRight w:val="0"/>
      <w:marTop w:val="0"/>
      <w:marBottom w:val="0"/>
      <w:divBdr>
        <w:top w:val="none" w:sz="0" w:space="0" w:color="auto"/>
        <w:left w:val="none" w:sz="0" w:space="0" w:color="auto"/>
        <w:bottom w:val="none" w:sz="0" w:space="0" w:color="auto"/>
        <w:right w:val="none" w:sz="0" w:space="0" w:color="auto"/>
      </w:divBdr>
    </w:div>
    <w:div w:id="2048480140">
      <w:bodyDiv w:val="1"/>
      <w:marLeft w:val="0"/>
      <w:marRight w:val="0"/>
      <w:marTop w:val="0"/>
      <w:marBottom w:val="0"/>
      <w:divBdr>
        <w:top w:val="none" w:sz="0" w:space="0" w:color="auto"/>
        <w:left w:val="none" w:sz="0" w:space="0" w:color="auto"/>
        <w:bottom w:val="none" w:sz="0" w:space="0" w:color="auto"/>
        <w:right w:val="none" w:sz="0" w:space="0" w:color="auto"/>
      </w:divBdr>
    </w:div>
    <w:div w:id="2051957801">
      <w:bodyDiv w:val="1"/>
      <w:marLeft w:val="0"/>
      <w:marRight w:val="0"/>
      <w:marTop w:val="0"/>
      <w:marBottom w:val="0"/>
      <w:divBdr>
        <w:top w:val="none" w:sz="0" w:space="0" w:color="auto"/>
        <w:left w:val="none" w:sz="0" w:space="0" w:color="auto"/>
        <w:bottom w:val="none" w:sz="0" w:space="0" w:color="auto"/>
        <w:right w:val="none" w:sz="0" w:space="0" w:color="auto"/>
      </w:divBdr>
      <w:divsChild>
        <w:div w:id="4237679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wiki/Phenyl" TargetMode="External"/><Relationship Id="rId21" Type="http://schemas.openxmlformats.org/officeDocument/2006/relationships/image" Target="media/image8.emf"/><Relationship Id="rId34" Type="http://schemas.openxmlformats.org/officeDocument/2006/relationships/image" Target="media/image15.emf"/><Relationship Id="rId42" Type="http://schemas.openxmlformats.org/officeDocument/2006/relationships/image" Target="media/image23.emf"/><Relationship Id="rId47" Type="http://schemas.openxmlformats.org/officeDocument/2006/relationships/image" Target="media/image26.emf"/><Relationship Id="rId50" Type="http://schemas.openxmlformats.org/officeDocument/2006/relationships/image" Target="media/image29.emf"/><Relationship Id="rId55" Type="http://schemas.openxmlformats.org/officeDocument/2006/relationships/image" Target="media/image34.emf"/><Relationship Id="rId63" Type="http://schemas.openxmlformats.org/officeDocument/2006/relationships/header" Target="header9.xml"/><Relationship Id="rId68" Type="http://schemas.openxmlformats.org/officeDocument/2006/relationships/image" Target="media/image45.emf"/><Relationship Id="rId76" Type="http://schemas.openxmlformats.org/officeDocument/2006/relationships/image" Target="media/image53.emf"/><Relationship Id="rId84" Type="http://schemas.openxmlformats.org/officeDocument/2006/relationships/image" Target="media/image59.emf"/><Relationship Id="rId89" Type="http://schemas.openxmlformats.org/officeDocument/2006/relationships/image" Target="media/image61.tiff"/><Relationship Id="rId97" Type="http://schemas.openxmlformats.org/officeDocument/2006/relationships/header" Target="header14.xml"/><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image" Target="media/image64.emf"/><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0.emf"/><Relationship Id="rId11" Type="http://schemas.openxmlformats.org/officeDocument/2006/relationships/footer" Target="footer1.xml"/><Relationship Id="rId24" Type="http://schemas.openxmlformats.org/officeDocument/2006/relationships/hyperlink" Target="http://en.wikipedia.org/wiki/Methyl" TargetMode="External"/><Relationship Id="rId32" Type="http://schemas.openxmlformats.org/officeDocument/2006/relationships/image" Target="media/image13.emf"/><Relationship Id="rId37" Type="http://schemas.openxmlformats.org/officeDocument/2006/relationships/image" Target="media/image18.emf"/><Relationship Id="rId40" Type="http://schemas.openxmlformats.org/officeDocument/2006/relationships/image" Target="media/image21.emf"/><Relationship Id="rId45" Type="http://schemas.openxmlformats.org/officeDocument/2006/relationships/image" Target="media/image24.emf"/><Relationship Id="rId53" Type="http://schemas.openxmlformats.org/officeDocument/2006/relationships/image" Target="media/image32.emf"/><Relationship Id="rId58" Type="http://schemas.openxmlformats.org/officeDocument/2006/relationships/image" Target="media/image37.emf"/><Relationship Id="rId66" Type="http://schemas.openxmlformats.org/officeDocument/2006/relationships/image" Target="media/image43.emf"/><Relationship Id="rId74" Type="http://schemas.openxmlformats.org/officeDocument/2006/relationships/image" Target="media/image51.emf"/><Relationship Id="rId79" Type="http://schemas.openxmlformats.org/officeDocument/2006/relationships/image" Target="media/image54.emf"/><Relationship Id="rId87" Type="http://schemas.openxmlformats.org/officeDocument/2006/relationships/header" Target="header13.xml"/><Relationship Id="rId5" Type="http://schemas.openxmlformats.org/officeDocument/2006/relationships/webSettings" Target="webSettings.xml"/><Relationship Id="rId61" Type="http://schemas.openxmlformats.org/officeDocument/2006/relationships/image" Target="media/image40.emf"/><Relationship Id="rId82" Type="http://schemas.openxmlformats.org/officeDocument/2006/relationships/image" Target="media/image57.emf"/><Relationship Id="rId90" Type="http://schemas.openxmlformats.org/officeDocument/2006/relationships/image" Target="media/image62.tiff"/><Relationship Id="rId95" Type="http://schemas.openxmlformats.org/officeDocument/2006/relationships/image" Target="media/image67.emf"/><Relationship Id="rId19" Type="http://schemas.openxmlformats.org/officeDocument/2006/relationships/image" Target="media/image6.emf"/><Relationship Id="rId14" Type="http://schemas.openxmlformats.org/officeDocument/2006/relationships/header" Target="header5.xml"/><Relationship Id="rId22" Type="http://schemas.openxmlformats.org/officeDocument/2006/relationships/header" Target="header6.xml"/><Relationship Id="rId27" Type="http://schemas.openxmlformats.org/officeDocument/2006/relationships/header" Target="header7.xml"/><Relationship Id="rId30" Type="http://schemas.openxmlformats.org/officeDocument/2006/relationships/image" Target="media/image11.emf"/><Relationship Id="rId35" Type="http://schemas.openxmlformats.org/officeDocument/2006/relationships/image" Target="media/image16.emf"/><Relationship Id="rId43" Type="http://schemas.openxmlformats.org/officeDocument/2006/relationships/header" Target="header8.xml"/><Relationship Id="rId48" Type="http://schemas.openxmlformats.org/officeDocument/2006/relationships/image" Target="media/image27.emf"/><Relationship Id="rId56" Type="http://schemas.openxmlformats.org/officeDocument/2006/relationships/image" Target="media/image35.emf"/><Relationship Id="rId64" Type="http://schemas.openxmlformats.org/officeDocument/2006/relationships/footer" Target="footer3.xml"/><Relationship Id="rId69" Type="http://schemas.openxmlformats.org/officeDocument/2006/relationships/image" Target="media/image46.emf"/><Relationship Id="rId77" Type="http://schemas.openxmlformats.org/officeDocument/2006/relationships/header" Target="header10.xml"/><Relationship Id="rId8" Type="http://schemas.openxmlformats.org/officeDocument/2006/relationships/image" Target="media/image1.emf"/><Relationship Id="rId51" Type="http://schemas.openxmlformats.org/officeDocument/2006/relationships/image" Target="media/image30.emf"/><Relationship Id="rId72" Type="http://schemas.openxmlformats.org/officeDocument/2006/relationships/image" Target="media/image49.emf"/><Relationship Id="rId80" Type="http://schemas.openxmlformats.org/officeDocument/2006/relationships/image" Target="media/image55.emf"/><Relationship Id="rId85" Type="http://schemas.openxmlformats.org/officeDocument/2006/relationships/header" Target="header11.xml"/><Relationship Id="rId93" Type="http://schemas.openxmlformats.org/officeDocument/2006/relationships/image" Target="media/image65.emf"/><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emf"/><Relationship Id="rId25" Type="http://schemas.openxmlformats.org/officeDocument/2006/relationships/hyperlink" Target="http://en.wikipedia.org/wiki/Thiazole" TargetMode="External"/><Relationship Id="rId33" Type="http://schemas.openxmlformats.org/officeDocument/2006/relationships/image" Target="media/image14.emf"/><Relationship Id="rId38" Type="http://schemas.openxmlformats.org/officeDocument/2006/relationships/image" Target="media/image19.emf"/><Relationship Id="rId46" Type="http://schemas.openxmlformats.org/officeDocument/2006/relationships/image" Target="media/image25.emf"/><Relationship Id="rId59" Type="http://schemas.openxmlformats.org/officeDocument/2006/relationships/image" Target="media/image38.emf"/><Relationship Id="rId67" Type="http://schemas.openxmlformats.org/officeDocument/2006/relationships/image" Target="media/image44.emf"/><Relationship Id="rId20" Type="http://schemas.openxmlformats.org/officeDocument/2006/relationships/image" Target="media/image7.emf"/><Relationship Id="rId41" Type="http://schemas.openxmlformats.org/officeDocument/2006/relationships/image" Target="media/image22.emf"/><Relationship Id="rId54" Type="http://schemas.openxmlformats.org/officeDocument/2006/relationships/image" Target="media/image33.emf"/><Relationship Id="rId62" Type="http://schemas.openxmlformats.org/officeDocument/2006/relationships/image" Target="media/image41.emf"/><Relationship Id="rId70" Type="http://schemas.openxmlformats.org/officeDocument/2006/relationships/image" Target="media/image47.emf"/><Relationship Id="rId75" Type="http://schemas.openxmlformats.org/officeDocument/2006/relationships/image" Target="media/image52.emf"/><Relationship Id="rId83" Type="http://schemas.openxmlformats.org/officeDocument/2006/relationships/image" Target="media/image58.emf"/><Relationship Id="rId88" Type="http://schemas.openxmlformats.org/officeDocument/2006/relationships/image" Target="media/image60.tiff"/><Relationship Id="rId91" Type="http://schemas.openxmlformats.org/officeDocument/2006/relationships/image" Target="media/image63.tiff"/><Relationship Id="rId96" Type="http://schemas.openxmlformats.org/officeDocument/2006/relationships/image" Target="media/image6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hyperlink" Target="http://en.wikipedia.org/wiki/Di-" TargetMode="External"/><Relationship Id="rId28" Type="http://schemas.openxmlformats.org/officeDocument/2006/relationships/image" Target="media/image9.emf"/><Relationship Id="rId36" Type="http://schemas.openxmlformats.org/officeDocument/2006/relationships/image" Target="media/image17.emf"/><Relationship Id="rId49" Type="http://schemas.openxmlformats.org/officeDocument/2006/relationships/image" Target="media/image28.emf"/><Relationship Id="rId57" Type="http://schemas.openxmlformats.org/officeDocument/2006/relationships/image" Target="media/image36.emf"/><Relationship Id="rId10" Type="http://schemas.openxmlformats.org/officeDocument/2006/relationships/header" Target="header2.xml"/><Relationship Id="rId31" Type="http://schemas.openxmlformats.org/officeDocument/2006/relationships/image" Target="media/image12.emf"/><Relationship Id="rId44" Type="http://schemas.openxmlformats.org/officeDocument/2006/relationships/footer" Target="footer2.xml"/><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image" Target="media/image42.emf"/><Relationship Id="rId73" Type="http://schemas.openxmlformats.org/officeDocument/2006/relationships/image" Target="media/image50.emf"/><Relationship Id="rId78" Type="http://schemas.openxmlformats.org/officeDocument/2006/relationships/footer" Target="footer4.xml"/><Relationship Id="rId81" Type="http://schemas.openxmlformats.org/officeDocument/2006/relationships/image" Target="media/image56.emf"/><Relationship Id="rId86" Type="http://schemas.openxmlformats.org/officeDocument/2006/relationships/header" Target="header12.xml"/><Relationship Id="rId94" Type="http://schemas.openxmlformats.org/officeDocument/2006/relationships/image" Target="media/image66.emf"/><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5.emf"/><Relationship Id="rId39" Type="http://schemas.openxmlformats.org/officeDocument/2006/relationships/image" Target="media/image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DA50B708-407C-4077-8E73-2784A3EB02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1832</TotalTime>
  <Pages>262</Pages>
  <Words>358804</Words>
  <Characters>2045185</Characters>
  <Application>Microsoft Office Word</Application>
  <DocSecurity>0</DocSecurity>
  <Lines>17043</Lines>
  <Paragraphs>4798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2399191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Karl</dc:creator>
  <cp:lastModifiedBy>Karl</cp:lastModifiedBy>
  <cp:revision>160</cp:revision>
  <cp:lastPrinted>2015-03-17T19:36:00Z</cp:lastPrinted>
  <dcterms:created xsi:type="dcterms:W3CDTF">2015-04-11T09:40:00Z</dcterms:created>
  <dcterms:modified xsi:type="dcterms:W3CDTF">2015-05-30T11:02:00Z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karl.patterson@sheffield.ac.uk@www.mendeley.com</vt:lpwstr>
  </property>
  <property fmtid="{D5CDD505-2E9C-101B-9397-08002B2CF9AE}" pid="4" name="Mendeley Citation Style_1">
    <vt:lpwstr>http://csl.mendeley.com/styles/20850281/harvard1</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16th edition (author-date)</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(author-date)</vt:lpwstr>
  </property>
  <property fmtid="{D5CDD505-2E9C-101B-9397-08002B2CF9AE}" pid="15" name="Mendeley Recent Style Id 5_1">
    <vt:lpwstr>http://csl.mendeley.com/styles/20850281/harvard1</vt:lpwstr>
  </property>
  <property fmtid="{D5CDD505-2E9C-101B-9397-08002B2CF9AE}" pid="16" name="Mendeley Recent Style Name 5_1">
    <vt:lpwstr>Harvard Reference format 1 (author-date) - Karl Patterson</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7th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