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1F749" w14:textId="77777777" w:rsidR="00846343" w:rsidRPr="007F3D5A" w:rsidRDefault="00846343" w:rsidP="00846343">
      <w:pPr>
        <w:spacing w:line="360" w:lineRule="auto"/>
        <w:jc w:val="center"/>
        <w:rPr>
          <w:rFonts w:ascii="Times New Roman" w:hAnsi="Times New Roman" w:cs="Times New Roman"/>
          <w:b/>
          <w:sz w:val="48"/>
          <w:szCs w:val="48"/>
        </w:rPr>
      </w:pPr>
      <w:bookmarkStart w:id="0" w:name="_top"/>
      <w:bookmarkStart w:id="1" w:name="_Toc389208784"/>
      <w:bookmarkEnd w:id="0"/>
      <w:r w:rsidRPr="007F3D5A">
        <w:rPr>
          <w:rFonts w:ascii="Times New Roman" w:hAnsi="Times New Roman" w:cs="Times New Roman"/>
          <w:b/>
          <w:sz w:val="48"/>
          <w:szCs w:val="48"/>
        </w:rPr>
        <w:t>Disengagement and De-Radicalisation in the Irish Republican Movement</w:t>
      </w:r>
    </w:p>
    <w:p w14:paraId="21089D6A" w14:textId="77777777" w:rsidR="00846343" w:rsidRDefault="00846343" w:rsidP="00846343">
      <w:pPr>
        <w:spacing w:line="360" w:lineRule="auto"/>
      </w:pPr>
    </w:p>
    <w:p w14:paraId="628BA294" w14:textId="77777777" w:rsidR="00846343" w:rsidRDefault="00846343" w:rsidP="00846343">
      <w:pPr>
        <w:spacing w:line="360" w:lineRule="auto"/>
      </w:pPr>
    </w:p>
    <w:p w14:paraId="21E8F503" w14:textId="77777777" w:rsidR="00846343" w:rsidRDefault="00846343" w:rsidP="00846343">
      <w:pPr>
        <w:spacing w:line="360" w:lineRule="auto"/>
      </w:pPr>
    </w:p>
    <w:p w14:paraId="010C477D" w14:textId="77777777" w:rsidR="00846343" w:rsidRPr="00D1120A" w:rsidRDefault="00846343" w:rsidP="00846343">
      <w:pPr>
        <w:spacing w:line="360" w:lineRule="auto"/>
        <w:jc w:val="center"/>
        <w:rPr>
          <w:rFonts w:ascii="Times New Roman" w:hAnsi="Times New Roman" w:cs="Times New Roman"/>
          <w:sz w:val="40"/>
          <w:szCs w:val="40"/>
        </w:rPr>
      </w:pPr>
      <w:r w:rsidRPr="00D1120A">
        <w:rPr>
          <w:rFonts w:ascii="Times New Roman" w:hAnsi="Times New Roman" w:cs="Times New Roman"/>
          <w:sz w:val="40"/>
          <w:szCs w:val="40"/>
        </w:rPr>
        <w:t>Gordon Clubb</w:t>
      </w:r>
    </w:p>
    <w:p w14:paraId="4F1F4041" w14:textId="77777777" w:rsidR="00846343" w:rsidRPr="0050554F" w:rsidRDefault="00846343" w:rsidP="00846343">
      <w:pPr>
        <w:spacing w:line="360" w:lineRule="auto"/>
        <w:jc w:val="center"/>
        <w:rPr>
          <w:rFonts w:ascii="Times New Roman" w:hAnsi="Times New Roman" w:cs="Times New Roman"/>
          <w:sz w:val="28"/>
          <w:szCs w:val="28"/>
        </w:rPr>
      </w:pPr>
    </w:p>
    <w:p w14:paraId="7CF0E024" w14:textId="77777777" w:rsidR="00846343" w:rsidRPr="0050554F" w:rsidRDefault="00846343" w:rsidP="00846343">
      <w:pPr>
        <w:spacing w:line="360" w:lineRule="auto"/>
        <w:jc w:val="center"/>
        <w:rPr>
          <w:rFonts w:ascii="Times New Roman" w:hAnsi="Times New Roman" w:cs="Times New Roman"/>
          <w:sz w:val="28"/>
          <w:szCs w:val="28"/>
        </w:rPr>
      </w:pPr>
      <w:r w:rsidRPr="0050554F">
        <w:rPr>
          <w:rFonts w:ascii="Times New Roman" w:hAnsi="Times New Roman" w:cs="Times New Roman"/>
          <w:sz w:val="28"/>
          <w:szCs w:val="28"/>
        </w:rPr>
        <w:t>Submitted in accordance with the requirements for the degree of</w:t>
      </w:r>
    </w:p>
    <w:p w14:paraId="3FD3CB46" w14:textId="77777777" w:rsidR="00846343" w:rsidRPr="0050554F" w:rsidRDefault="00846343" w:rsidP="00846343">
      <w:pPr>
        <w:spacing w:line="360" w:lineRule="auto"/>
        <w:jc w:val="center"/>
        <w:rPr>
          <w:rFonts w:ascii="Times New Roman" w:hAnsi="Times New Roman" w:cs="Times New Roman"/>
          <w:sz w:val="28"/>
          <w:szCs w:val="28"/>
        </w:rPr>
      </w:pPr>
      <w:r w:rsidRPr="0050554F">
        <w:rPr>
          <w:rFonts w:ascii="Times New Roman" w:hAnsi="Times New Roman" w:cs="Times New Roman"/>
          <w:sz w:val="28"/>
          <w:szCs w:val="28"/>
        </w:rPr>
        <w:t>Doctor of Philosophy (PhD)</w:t>
      </w:r>
    </w:p>
    <w:p w14:paraId="3B2A228F" w14:textId="77777777" w:rsidR="00846343" w:rsidRPr="0050554F" w:rsidRDefault="00846343" w:rsidP="00846343">
      <w:pPr>
        <w:spacing w:line="360" w:lineRule="auto"/>
        <w:rPr>
          <w:rFonts w:ascii="Times New Roman" w:hAnsi="Times New Roman" w:cs="Times New Roman"/>
          <w:sz w:val="28"/>
          <w:szCs w:val="28"/>
        </w:rPr>
      </w:pPr>
    </w:p>
    <w:p w14:paraId="5A7C9187" w14:textId="77777777" w:rsidR="00846343" w:rsidRPr="0050554F" w:rsidRDefault="00846343" w:rsidP="00846343">
      <w:pPr>
        <w:spacing w:line="360" w:lineRule="auto"/>
        <w:rPr>
          <w:rFonts w:ascii="Times New Roman" w:hAnsi="Times New Roman" w:cs="Times New Roman"/>
          <w:sz w:val="28"/>
          <w:szCs w:val="28"/>
        </w:rPr>
      </w:pPr>
    </w:p>
    <w:p w14:paraId="77E7D01E" w14:textId="77777777" w:rsidR="00846343" w:rsidRPr="0050554F" w:rsidRDefault="00846343" w:rsidP="00846343">
      <w:pPr>
        <w:spacing w:line="360" w:lineRule="auto"/>
        <w:rPr>
          <w:rFonts w:ascii="Times New Roman" w:hAnsi="Times New Roman" w:cs="Times New Roman"/>
          <w:sz w:val="28"/>
          <w:szCs w:val="28"/>
        </w:rPr>
      </w:pPr>
    </w:p>
    <w:p w14:paraId="1327F434" w14:textId="77777777" w:rsidR="00846343" w:rsidRPr="0050554F" w:rsidRDefault="00846343" w:rsidP="00846343">
      <w:pPr>
        <w:spacing w:line="360" w:lineRule="auto"/>
        <w:rPr>
          <w:rFonts w:ascii="Times New Roman" w:hAnsi="Times New Roman" w:cs="Times New Roman"/>
          <w:sz w:val="28"/>
          <w:szCs w:val="28"/>
        </w:rPr>
      </w:pPr>
    </w:p>
    <w:p w14:paraId="7ED0388B" w14:textId="77777777" w:rsidR="00846343" w:rsidRPr="0050554F" w:rsidRDefault="00846343" w:rsidP="00846343">
      <w:pPr>
        <w:spacing w:line="360" w:lineRule="auto"/>
        <w:rPr>
          <w:rFonts w:ascii="Times New Roman" w:hAnsi="Times New Roman" w:cs="Times New Roman"/>
          <w:sz w:val="28"/>
          <w:szCs w:val="28"/>
        </w:rPr>
      </w:pPr>
    </w:p>
    <w:p w14:paraId="15161B8B" w14:textId="77777777" w:rsidR="00846343" w:rsidRPr="0050554F" w:rsidRDefault="00846343" w:rsidP="00846343">
      <w:pPr>
        <w:spacing w:line="360" w:lineRule="auto"/>
        <w:rPr>
          <w:rFonts w:ascii="Times New Roman" w:hAnsi="Times New Roman" w:cs="Times New Roman"/>
          <w:sz w:val="28"/>
          <w:szCs w:val="28"/>
        </w:rPr>
      </w:pPr>
    </w:p>
    <w:p w14:paraId="0C2B5E51" w14:textId="77777777" w:rsidR="00846343" w:rsidRPr="0050554F" w:rsidRDefault="00846343" w:rsidP="00846343">
      <w:pPr>
        <w:spacing w:line="360" w:lineRule="auto"/>
        <w:rPr>
          <w:rFonts w:ascii="Times New Roman" w:hAnsi="Times New Roman" w:cs="Times New Roman"/>
          <w:sz w:val="28"/>
          <w:szCs w:val="28"/>
        </w:rPr>
      </w:pPr>
    </w:p>
    <w:p w14:paraId="76CE1374" w14:textId="77777777" w:rsidR="00846343" w:rsidRPr="0050554F" w:rsidRDefault="00846343" w:rsidP="00846343">
      <w:pPr>
        <w:spacing w:line="360" w:lineRule="auto"/>
        <w:rPr>
          <w:rFonts w:ascii="Times New Roman" w:hAnsi="Times New Roman" w:cs="Times New Roman"/>
          <w:sz w:val="28"/>
          <w:szCs w:val="28"/>
        </w:rPr>
      </w:pPr>
    </w:p>
    <w:p w14:paraId="5ACD34A9" w14:textId="77777777" w:rsidR="00846343" w:rsidRPr="0050554F" w:rsidRDefault="00846343" w:rsidP="00846343">
      <w:pPr>
        <w:spacing w:line="360" w:lineRule="auto"/>
        <w:rPr>
          <w:rFonts w:ascii="Times New Roman" w:hAnsi="Times New Roman" w:cs="Times New Roman"/>
          <w:sz w:val="28"/>
          <w:szCs w:val="28"/>
        </w:rPr>
      </w:pPr>
    </w:p>
    <w:p w14:paraId="0D6A2A6A" w14:textId="77777777" w:rsidR="00846343" w:rsidRPr="0050554F" w:rsidRDefault="00846343" w:rsidP="00846343">
      <w:pPr>
        <w:spacing w:line="360" w:lineRule="auto"/>
        <w:jc w:val="center"/>
        <w:rPr>
          <w:rFonts w:ascii="Times New Roman" w:hAnsi="Times New Roman" w:cs="Times New Roman"/>
          <w:sz w:val="28"/>
          <w:szCs w:val="28"/>
        </w:rPr>
      </w:pPr>
      <w:r w:rsidRPr="0050554F">
        <w:rPr>
          <w:rFonts w:ascii="Times New Roman" w:hAnsi="Times New Roman" w:cs="Times New Roman"/>
          <w:sz w:val="28"/>
          <w:szCs w:val="28"/>
        </w:rPr>
        <w:t>The University of Leeds,</w:t>
      </w:r>
    </w:p>
    <w:p w14:paraId="3CE9D104" w14:textId="77777777" w:rsidR="00846343" w:rsidRPr="0050554F" w:rsidRDefault="00846343" w:rsidP="00846343">
      <w:pPr>
        <w:spacing w:line="360" w:lineRule="auto"/>
        <w:jc w:val="center"/>
        <w:rPr>
          <w:rFonts w:ascii="Times New Roman" w:hAnsi="Times New Roman" w:cs="Times New Roman"/>
          <w:sz w:val="28"/>
          <w:szCs w:val="28"/>
        </w:rPr>
      </w:pPr>
      <w:r w:rsidRPr="0050554F">
        <w:rPr>
          <w:rFonts w:ascii="Times New Roman" w:hAnsi="Times New Roman" w:cs="Times New Roman"/>
          <w:sz w:val="28"/>
          <w:szCs w:val="28"/>
        </w:rPr>
        <w:t>School of Politics and International Studies</w:t>
      </w:r>
    </w:p>
    <w:p w14:paraId="71045C3E" w14:textId="77777777" w:rsidR="00846343" w:rsidRPr="0050554F" w:rsidRDefault="00846343" w:rsidP="00846343">
      <w:pPr>
        <w:spacing w:line="360" w:lineRule="auto"/>
        <w:jc w:val="center"/>
        <w:rPr>
          <w:rFonts w:ascii="Times New Roman" w:hAnsi="Times New Roman" w:cs="Times New Roman"/>
          <w:sz w:val="28"/>
          <w:szCs w:val="28"/>
        </w:rPr>
      </w:pPr>
      <w:r w:rsidRPr="0050554F">
        <w:rPr>
          <w:rFonts w:ascii="Times New Roman" w:hAnsi="Times New Roman" w:cs="Times New Roman"/>
          <w:sz w:val="28"/>
          <w:szCs w:val="28"/>
        </w:rPr>
        <w:t>June 2014</w:t>
      </w:r>
    </w:p>
    <w:p w14:paraId="4F53B5E7" w14:textId="77777777" w:rsidR="00846343" w:rsidRDefault="00846343" w:rsidP="00846343">
      <w:pPr>
        <w:spacing w:line="360" w:lineRule="auto"/>
      </w:pPr>
    </w:p>
    <w:p w14:paraId="597630AA" w14:textId="77777777" w:rsidR="00846343" w:rsidRPr="00D1120A" w:rsidRDefault="00846343" w:rsidP="00846343">
      <w:pPr>
        <w:spacing w:line="360" w:lineRule="auto"/>
        <w:jc w:val="both"/>
        <w:rPr>
          <w:rFonts w:ascii="Times New Roman" w:hAnsi="Times New Roman" w:cs="Times New Roman"/>
        </w:rPr>
      </w:pPr>
      <w:r w:rsidRPr="00D1120A">
        <w:rPr>
          <w:rFonts w:ascii="Times New Roman" w:hAnsi="Times New Roman" w:cs="Times New Roman"/>
        </w:rPr>
        <w:lastRenderedPageBreak/>
        <w:t>The candidate confirms that the work submitted is his own and that appropriate credit has been given where reference has been made to the work of others.</w:t>
      </w:r>
    </w:p>
    <w:p w14:paraId="2635CA1E" w14:textId="77777777" w:rsidR="00846343" w:rsidRPr="00D1120A" w:rsidRDefault="00846343" w:rsidP="00846343">
      <w:pPr>
        <w:spacing w:line="360" w:lineRule="auto"/>
        <w:jc w:val="both"/>
        <w:rPr>
          <w:rFonts w:ascii="Times New Roman" w:hAnsi="Times New Roman" w:cs="Times New Roman"/>
        </w:rPr>
      </w:pPr>
    </w:p>
    <w:p w14:paraId="7897AB00" w14:textId="77777777" w:rsidR="00846343" w:rsidRPr="00D1120A" w:rsidRDefault="00846343" w:rsidP="00846343">
      <w:pPr>
        <w:spacing w:line="360" w:lineRule="auto"/>
        <w:jc w:val="both"/>
        <w:rPr>
          <w:rFonts w:ascii="Times New Roman" w:hAnsi="Times New Roman" w:cs="Times New Roman"/>
        </w:rPr>
      </w:pPr>
      <w:r w:rsidRPr="00D1120A">
        <w:rPr>
          <w:rFonts w:ascii="Times New Roman" w:hAnsi="Times New Roman" w:cs="Times New Roman"/>
        </w:rPr>
        <w:t>This copy has been supplied on the understanding that it is copyright material and that no quotation from the thesis may be published without proper acknowledgement.</w:t>
      </w:r>
    </w:p>
    <w:p w14:paraId="6D88117D" w14:textId="77777777" w:rsidR="00846343" w:rsidRPr="00D1120A" w:rsidRDefault="00846343" w:rsidP="00846343">
      <w:pPr>
        <w:spacing w:line="360" w:lineRule="auto"/>
        <w:jc w:val="both"/>
        <w:rPr>
          <w:rFonts w:ascii="Times New Roman" w:hAnsi="Times New Roman" w:cs="Times New Roman"/>
        </w:rPr>
      </w:pPr>
    </w:p>
    <w:p w14:paraId="1813D73B" w14:textId="77777777" w:rsidR="00846343" w:rsidRPr="00D1120A" w:rsidRDefault="00846343" w:rsidP="00846343">
      <w:pPr>
        <w:spacing w:line="360" w:lineRule="auto"/>
        <w:jc w:val="both"/>
        <w:rPr>
          <w:rFonts w:ascii="Times New Roman" w:hAnsi="Times New Roman" w:cs="Times New Roman"/>
        </w:rPr>
      </w:pPr>
      <w:r w:rsidRPr="00D1120A">
        <w:rPr>
          <w:rFonts w:ascii="Times New Roman" w:hAnsi="Times New Roman" w:cs="Times New Roman"/>
        </w:rPr>
        <w:t>© 201</w:t>
      </w:r>
      <w:r>
        <w:rPr>
          <w:rFonts w:ascii="Times New Roman" w:hAnsi="Times New Roman" w:cs="Times New Roman"/>
        </w:rPr>
        <w:t>4</w:t>
      </w:r>
      <w:r w:rsidRPr="00D1120A">
        <w:rPr>
          <w:rFonts w:ascii="Times New Roman" w:hAnsi="Times New Roman" w:cs="Times New Roman"/>
        </w:rPr>
        <w:t xml:space="preserve"> The University of Leeds and Gordon Clubb</w:t>
      </w:r>
    </w:p>
    <w:p w14:paraId="7A1E47A2" w14:textId="77777777" w:rsidR="005A37A6" w:rsidRDefault="005A37A6" w:rsidP="00B57C7F">
      <w:pPr>
        <w:pStyle w:val="Heading2"/>
        <w:spacing w:before="120" w:line="360" w:lineRule="auto"/>
        <w:sectPr w:rsidR="005A37A6" w:rsidSect="00BE3349">
          <w:footerReference w:type="default" r:id="rId9"/>
          <w:footnotePr>
            <w:numRestart w:val="eachSect"/>
          </w:footnotePr>
          <w:pgSz w:w="11906" w:h="16838"/>
          <w:pgMar w:top="1440" w:right="1440" w:bottom="1440" w:left="2268" w:header="709" w:footer="709" w:gutter="0"/>
          <w:cols w:space="708"/>
          <w:docGrid w:linePitch="360"/>
        </w:sectPr>
      </w:pPr>
    </w:p>
    <w:p w14:paraId="13687726" w14:textId="680DF288" w:rsidR="00CD606E" w:rsidRPr="00CD606E" w:rsidRDefault="00CD606E" w:rsidP="00B57C7F">
      <w:pPr>
        <w:pStyle w:val="Heading2"/>
        <w:spacing w:before="120" w:line="360" w:lineRule="auto"/>
      </w:pPr>
      <w:r w:rsidRPr="00CD606E">
        <w:lastRenderedPageBreak/>
        <w:t>Acknowledgements</w:t>
      </w:r>
      <w:bookmarkEnd w:id="1"/>
    </w:p>
    <w:p w14:paraId="29AFAC6C" w14:textId="77777777" w:rsidR="00CD606E" w:rsidRDefault="00CD606E" w:rsidP="00B57C7F">
      <w:pPr>
        <w:spacing w:line="360" w:lineRule="auto"/>
      </w:pPr>
    </w:p>
    <w:p w14:paraId="537666E0" w14:textId="3B786ECB" w:rsidR="00CD606E" w:rsidRDefault="007057DB" w:rsidP="00B57C7F">
      <w:pPr>
        <w:spacing w:line="360" w:lineRule="auto"/>
        <w:ind w:firstLine="720"/>
        <w:jc w:val="both"/>
        <w:rPr>
          <w:rFonts w:ascii="Times New Roman" w:hAnsi="Times New Roman" w:cs="Times New Roman"/>
        </w:rPr>
      </w:pPr>
      <w:r>
        <w:rPr>
          <w:rFonts w:ascii="Times New Roman" w:hAnsi="Times New Roman" w:cs="Times New Roman"/>
        </w:rPr>
        <w:t>I would like to thank my supervisors, Clive Jones</w:t>
      </w:r>
      <w:r w:rsidR="006845E2" w:rsidRPr="006845E2">
        <w:rPr>
          <w:rFonts w:ascii="Times New Roman" w:hAnsi="Times New Roman" w:cs="Times New Roman"/>
        </w:rPr>
        <w:t xml:space="preserve"> </w:t>
      </w:r>
      <w:r w:rsidR="006845E2">
        <w:rPr>
          <w:rFonts w:ascii="Times New Roman" w:hAnsi="Times New Roman" w:cs="Times New Roman"/>
        </w:rPr>
        <w:t>and Graeme Davies</w:t>
      </w:r>
      <w:r>
        <w:rPr>
          <w:rFonts w:ascii="Times New Roman" w:hAnsi="Times New Roman" w:cs="Times New Roman"/>
        </w:rPr>
        <w:t>, who ha</w:t>
      </w:r>
      <w:r w:rsidR="006845E2">
        <w:rPr>
          <w:rFonts w:ascii="Times New Roman" w:hAnsi="Times New Roman" w:cs="Times New Roman"/>
        </w:rPr>
        <w:t>ve</w:t>
      </w:r>
      <w:r>
        <w:rPr>
          <w:rFonts w:ascii="Times New Roman" w:hAnsi="Times New Roman" w:cs="Times New Roman"/>
        </w:rPr>
        <w:t xml:space="preserve"> been supportive of the project from the beginning</w:t>
      </w:r>
      <w:r w:rsidR="00E27672">
        <w:rPr>
          <w:rFonts w:ascii="Times New Roman" w:hAnsi="Times New Roman" w:cs="Times New Roman"/>
        </w:rPr>
        <w:t>.</w:t>
      </w:r>
      <w:r>
        <w:rPr>
          <w:rFonts w:ascii="Times New Roman" w:hAnsi="Times New Roman" w:cs="Times New Roman"/>
        </w:rPr>
        <w:t xml:space="preserve"> </w:t>
      </w:r>
      <w:r w:rsidR="00E27672">
        <w:rPr>
          <w:rFonts w:ascii="Times New Roman" w:hAnsi="Times New Roman" w:cs="Times New Roman"/>
        </w:rPr>
        <w:t xml:space="preserve">They </w:t>
      </w:r>
      <w:r>
        <w:rPr>
          <w:rFonts w:ascii="Times New Roman" w:hAnsi="Times New Roman" w:cs="Times New Roman"/>
        </w:rPr>
        <w:t>ha</w:t>
      </w:r>
      <w:r w:rsidR="006845E2">
        <w:rPr>
          <w:rFonts w:ascii="Times New Roman" w:hAnsi="Times New Roman" w:cs="Times New Roman"/>
        </w:rPr>
        <w:t>ve</w:t>
      </w:r>
      <w:r>
        <w:rPr>
          <w:rFonts w:ascii="Times New Roman" w:hAnsi="Times New Roman" w:cs="Times New Roman"/>
        </w:rPr>
        <w:t xml:space="preserve"> always </w:t>
      </w:r>
      <w:r w:rsidR="00E27672">
        <w:rPr>
          <w:rFonts w:ascii="Times New Roman" w:hAnsi="Times New Roman" w:cs="Times New Roman"/>
        </w:rPr>
        <w:t xml:space="preserve">been patient when I went on explorative tangents, they have been excellent at given me </w:t>
      </w:r>
      <w:r>
        <w:rPr>
          <w:rFonts w:ascii="Times New Roman" w:hAnsi="Times New Roman" w:cs="Times New Roman"/>
        </w:rPr>
        <w:t>motivation</w:t>
      </w:r>
      <w:r w:rsidR="00E27672">
        <w:rPr>
          <w:rFonts w:ascii="Times New Roman" w:hAnsi="Times New Roman" w:cs="Times New Roman"/>
        </w:rPr>
        <w:t xml:space="preserve"> when needed,</w:t>
      </w:r>
      <w:r>
        <w:rPr>
          <w:rFonts w:ascii="Times New Roman" w:hAnsi="Times New Roman" w:cs="Times New Roman"/>
        </w:rPr>
        <w:t xml:space="preserve"> and </w:t>
      </w:r>
      <w:r w:rsidR="00E27672">
        <w:rPr>
          <w:rFonts w:ascii="Times New Roman" w:hAnsi="Times New Roman" w:cs="Times New Roman"/>
        </w:rPr>
        <w:t>their</w:t>
      </w:r>
      <w:r>
        <w:rPr>
          <w:rFonts w:ascii="Times New Roman" w:hAnsi="Times New Roman" w:cs="Times New Roman"/>
        </w:rPr>
        <w:t xml:space="preserve"> advice</w:t>
      </w:r>
      <w:r w:rsidR="00E27672">
        <w:rPr>
          <w:rFonts w:ascii="Times New Roman" w:hAnsi="Times New Roman" w:cs="Times New Roman"/>
        </w:rPr>
        <w:t xml:space="preserve"> has always been insightful</w:t>
      </w:r>
      <w:r>
        <w:rPr>
          <w:rFonts w:ascii="Times New Roman" w:hAnsi="Times New Roman" w:cs="Times New Roman"/>
        </w:rPr>
        <w:t xml:space="preserve">, </w:t>
      </w:r>
      <w:r w:rsidR="006845E2">
        <w:rPr>
          <w:rFonts w:ascii="Times New Roman" w:hAnsi="Times New Roman" w:cs="Times New Roman"/>
        </w:rPr>
        <w:t>whether on the PhD or in academia in general.</w:t>
      </w:r>
      <w:r w:rsidR="007F3D5A">
        <w:rPr>
          <w:rFonts w:ascii="Times New Roman" w:hAnsi="Times New Roman" w:cs="Times New Roman"/>
        </w:rPr>
        <w:t xml:space="preserve"> I would also like to thank Alex Schmid who has </w:t>
      </w:r>
      <w:r w:rsidR="005060DA">
        <w:rPr>
          <w:rFonts w:ascii="Times New Roman" w:hAnsi="Times New Roman" w:cs="Times New Roman"/>
        </w:rPr>
        <w:t xml:space="preserve">kindly </w:t>
      </w:r>
      <w:r w:rsidR="007F3D5A">
        <w:rPr>
          <w:rFonts w:ascii="Times New Roman" w:hAnsi="Times New Roman" w:cs="Times New Roman"/>
        </w:rPr>
        <w:t>supporte</w:t>
      </w:r>
      <w:r w:rsidR="00E27672">
        <w:rPr>
          <w:rFonts w:ascii="Times New Roman" w:hAnsi="Times New Roman" w:cs="Times New Roman"/>
        </w:rPr>
        <w:t xml:space="preserve">d me </w:t>
      </w:r>
      <w:r w:rsidR="005060DA">
        <w:rPr>
          <w:rFonts w:ascii="Times New Roman" w:hAnsi="Times New Roman" w:cs="Times New Roman"/>
        </w:rPr>
        <w:t>in my research and projects over the few years</w:t>
      </w:r>
      <w:r w:rsidR="007F3D5A">
        <w:rPr>
          <w:rFonts w:ascii="Times New Roman" w:hAnsi="Times New Roman" w:cs="Times New Roman"/>
        </w:rPr>
        <w:t xml:space="preserve">.  </w:t>
      </w:r>
      <w:r w:rsidR="00D1120A">
        <w:rPr>
          <w:rFonts w:ascii="Times New Roman" w:hAnsi="Times New Roman" w:cs="Times New Roman"/>
        </w:rPr>
        <w:t xml:space="preserve"> </w:t>
      </w:r>
    </w:p>
    <w:p w14:paraId="00558FB2" w14:textId="297CB080" w:rsidR="007F3D5A" w:rsidRDefault="00D1120A" w:rsidP="00B57C7F">
      <w:pPr>
        <w:spacing w:line="360" w:lineRule="auto"/>
        <w:jc w:val="both"/>
        <w:rPr>
          <w:rFonts w:ascii="Times New Roman" w:hAnsi="Times New Roman" w:cs="Times New Roman"/>
        </w:rPr>
      </w:pPr>
      <w:r>
        <w:rPr>
          <w:rFonts w:ascii="Times New Roman" w:hAnsi="Times New Roman" w:cs="Times New Roman"/>
        </w:rPr>
        <w:tab/>
        <w:t xml:space="preserve">The Stirling Education Trust fund and the McGlashan Charitable Fund have been especially kind in providing me financial support over the years, and without them and the kindness of family and friends, this amazing opportunity I had would not have been possible. My </w:t>
      </w:r>
      <w:r w:rsidR="00203C04">
        <w:rPr>
          <w:rFonts w:ascii="Times New Roman" w:hAnsi="Times New Roman" w:cs="Times New Roman"/>
        </w:rPr>
        <w:t>family deserve a special thank you for being supportive of me doing a PhD</w:t>
      </w:r>
      <w:r w:rsidR="00E27672">
        <w:rPr>
          <w:rFonts w:ascii="Times New Roman" w:hAnsi="Times New Roman" w:cs="Times New Roman"/>
        </w:rPr>
        <w:t>,</w:t>
      </w:r>
      <w:r w:rsidR="00754FA6">
        <w:rPr>
          <w:rFonts w:ascii="Times New Roman" w:hAnsi="Times New Roman" w:cs="Times New Roman"/>
        </w:rPr>
        <w:t xml:space="preserve"> which they always have been</w:t>
      </w:r>
      <w:r w:rsidR="00203C04">
        <w:rPr>
          <w:rFonts w:ascii="Times New Roman" w:hAnsi="Times New Roman" w:cs="Times New Roman"/>
        </w:rPr>
        <w:t>, especially once they realised that ‘</w:t>
      </w:r>
      <w:r w:rsidR="00617C65">
        <w:rPr>
          <w:rFonts w:ascii="Times New Roman" w:hAnsi="Times New Roman" w:cs="Times New Roman"/>
        </w:rPr>
        <w:t>doing</w:t>
      </w:r>
      <w:r w:rsidR="00203C04">
        <w:rPr>
          <w:rFonts w:ascii="Times New Roman" w:hAnsi="Times New Roman" w:cs="Times New Roman"/>
        </w:rPr>
        <w:t xml:space="preserve"> terrorism’ did not mean that I had joined al-Qaeda. Their constant faith, encouragement and backing throughout the last four years made it possible to keep going. </w:t>
      </w:r>
    </w:p>
    <w:p w14:paraId="6D765DDA" w14:textId="5701B225" w:rsidR="00D1120A" w:rsidRDefault="007F3D5A" w:rsidP="00B57C7F">
      <w:pPr>
        <w:spacing w:line="360" w:lineRule="auto"/>
        <w:jc w:val="both"/>
        <w:rPr>
          <w:rFonts w:ascii="Times New Roman" w:hAnsi="Times New Roman" w:cs="Times New Roman"/>
        </w:rPr>
      </w:pPr>
      <w:r>
        <w:rPr>
          <w:rFonts w:ascii="Times New Roman" w:hAnsi="Times New Roman" w:cs="Times New Roman"/>
        </w:rPr>
        <w:tab/>
        <w:t>I have had the fortune of being surrounded by great friends and colleagues who have made the last four years go by faster and more smoothly. I deeply appreciate their advice, encouragement and motivation, particularly through bad times, so acknowledgement goes to</w:t>
      </w:r>
      <w:r w:rsidR="00212986">
        <w:rPr>
          <w:rFonts w:ascii="Times New Roman" w:hAnsi="Times New Roman" w:cs="Times New Roman"/>
        </w:rPr>
        <w:t xml:space="preserve"> (in no particular order)</w:t>
      </w:r>
      <w:r>
        <w:rPr>
          <w:rFonts w:ascii="Times New Roman" w:hAnsi="Times New Roman" w:cs="Times New Roman"/>
        </w:rPr>
        <w:t xml:space="preserve"> Andy Stewart, Ben Cislaghi, </w:t>
      </w:r>
      <w:r w:rsidR="00B70395">
        <w:rPr>
          <w:rFonts w:ascii="Times New Roman" w:hAnsi="Times New Roman" w:cs="Times New Roman"/>
        </w:rPr>
        <w:t xml:space="preserve">Alessandro Medici, </w:t>
      </w:r>
      <w:r w:rsidR="00CE6A46">
        <w:rPr>
          <w:rFonts w:ascii="Times New Roman" w:hAnsi="Times New Roman" w:cs="Times New Roman"/>
        </w:rPr>
        <w:t xml:space="preserve">Alice Jowett, </w:t>
      </w:r>
      <w:r w:rsidR="00212986">
        <w:rPr>
          <w:rFonts w:ascii="Times New Roman" w:hAnsi="Times New Roman" w:cs="Times New Roman"/>
        </w:rPr>
        <w:t xml:space="preserve">Aijan Sharshenova, </w:t>
      </w:r>
      <w:r w:rsidR="00B70395">
        <w:rPr>
          <w:rFonts w:ascii="Times New Roman" w:hAnsi="Times New Roman" w:cs="Times New Roman"/>
        </w:rPr>
        <w:t xml:space="preserve">Martin Allan, </w:t>
      </w:r>
      <w:r w:rsidR="00212986">
        <w:rPr>
          <w:rFonts w:ascii="Times New Roman" w:hAnsi="Times New Roman" w:cs="Times New Roman"/>
        </w:rPr>
        <w:t xml:space="preserve">Stefan Pedersen, Greg </w:t>
      </w:r>
      <w:r w:rsidR="00CE6A46">
        <w:rPr>
          <w:rFonts w:ascii="Times New Roman" w:hAnsi="Times New Roman" w:cs="Times New Roman"/>
        </w:rPr>
        <w:t>Barnes, Stelios Moshonas, Egle Cesnulyte,</w:t>
      </w:r>
      <w:r w:rsidR="00212986">
        <w:rPr>
          <w:rFonts w:ascii="Times New Roman" w:hAnsi="Times New Roman" w:cs="Times New Roman"/>
        </w:rPr>
        <w:t xml:space="preserve"> </w:t>
      </w:r>
      <w:r>
        <w:rPr>
          <w:rFonts w:ascii="Times New Roman" w:hAnsi="Times New Roman" w:cs="Times New Roman"/>
        </w:rPr>
        <w:t>Ben Docherty, Faiz Sheikh, James Wo</w:t>
      </w:r>
      <w:r w:rsidR="00B57216">
        <w:rPr>
          <w:rFonts w:ascii="Times New Roman" w:hAnsi="Times New Roman" w:cs="Times New Roman"/>
        </w:rPr>
        <w:t>r</w:t>
      </w:r>
      <w:r>
        <w:rPr>
          <w:rFonts w:ascii="Times New Roman" w:hAnsi="Times New Roman" w:cs="Times New Roman"/>
        </w:rPr>
        <w:t>rall, Lev Ouzounian,</w:t>
      </w:r>
      <w:r w:rsidR="00CE6A46">
        <w:rPr>
          <w:rFonts w:ascii="Times New Roman" w:hAnsi="Times New Roman" w:cs="Times New Roman"/>
        </w:rPr>
        <w:t xml:space="preserve"> Alice Dougall,</w:t>
      </w:r>
      <w:r>
        <w:rPr>
          <w:rFonts w:ascii="Times New Roman" w:hAnsi="Times New Roman" w:cs="Times New Roman"/>
        </w:rPr>
        <w:t xml:space="preserve"> Nick Loubere, Simon Mabon,</w:t>
      </w:r>
      <w:r w:rsidR="00CE6A46">
        <w:rPr>
          <w:rFonts w:ascii="Times New Roman" w:hAnsi="Times New Roman" w:cs="Times New Roman"/>
        </w:rPr>
        <w:t xml:space="preserve"> Cema Beysoylu, Lea Pilsner, </w:t>
      </w:r>
      <w:r>
        <w:rPr>
          <w:rFonts w:ascii="Times New Roman" w:hAnsi="Times New Roman" w:cs="Times New Roman"/>
        </w:rPr>
        <w:t xml:space="preserve">Terry Hathaway and </w:t>
      </w:r>
      <w:r w:rsidR="00CE6A46">
        <w:rPr>
          <w:rFonts w:ascii="Times New Roman" w:hAnsi="Times New Roman" w:cs="Times New Roman"/>
        </w:rPr>
        <w:t xml:space="preserve">the </w:t>
      </w:r>
      <w:r>
        <w:rPr>
          <w:rFonts w:ascii="Times New Roman" w:hAnsi="Times New Roman" w:cs="Times New Roman"/>
        </w:rPr>
        <w:t xml:space="preserve">many of the other people I have had the pleasure to meet on the way. The POLIS staff has been exceptionally friendly and kind, particularly Caroline Wise who has always been helpful when it came to finding </w:t>
      </w:r>
      <w:r w:rsidR="00CE6A46">
        <w:rPr>
          <w:rFonts w:ascii="Times New Roman" w:hAnsi="Times New Roman" w:cs="Times New Roman"/>
        </w:rPr>
        <w:t xml:space="preserve">me </w:t>
      </w:r>
      <w:r>
        <w:rPr>
          <w:rFonts w:ascii="Times New Roman" w:hAnsi="Times New Roman" w:cs="Times New Roman"/>
        </w:rPr>
        <w:t>work and much-appreciated opportunities to fund my studies.</w:t>
      </w:r>
    </w:p>
    <w:p w14:paraId="70FB6B41" w14:textId="77777777" w:rsidR="007F3D5A" w:rsidRDefault="007F3D5A" w:rsidP="00B57C7F">
      <w:pPr>
        <w:spacing w:line="360" w:lineRule="auto"/>
        <w:jc w:val="both"/>
        <w:rPr>
          <w:rFonts w:ascii="Times New Roman" w:hAnsi="Times New Roman" w:cs="Times New Roman"/>
        </w:rPr>
      </w:pPr>
      <w:r>
        <w:rPr>
          <w:rFonts w:ascii="Times New Roman" w:hAnsi="Times New Roman" w:cs="Times New Roman"/>
        </w:rPr>
        <w:tab/>
        <w:t xml:space="preserve">Finally, I have a huge sense of gratitude to those in Belfast who spared their time to be interviewed. The work that many of them are engaged in is pivotal for the future of the region, but with such inspirational and genuine figures working at the coal-face, it is a future that is in safe hands. </w:t>
      </w:r>
    </w:p>
    <w:p w14:paraId="784E9CF6" w14:textId="77777777" w:rsidR="00CD606E" w:rsidRDefault="00D1120A" w:rsidP="00B57C7F">
      <w:pPr>
        <w:spacing w:line="360" w:lineRule="auto"/>
      </w:pPr>
      <w:r>
        <w:tab/>
      </w:r>
    </w:p>
    <w:p w14:paraId="17FC1372" w14:textId="77777777" w:rsidR="00801059" w:rsidRPr="009E3DF5" w:rsidRDefault="009E3DF5" w:rsidP="00B57C7F">
      <w:pPr>
        <w:pStyle w:val="Heading2"/>
        <w:spacing w:before="120" w:line="360" w:lineRule="auto"/>
      </w:pPr>
      <w:bookmarkStart w:id="2" w:name="_Toc389208785"/>
      <w:r>
        <w:lastRenderedPageBreak/>
        <w:t>ABSTRACT</w:t>
      </w:r>
      <w:bookmarkEnd w:id="2"/>
    </w:p>
    <w:p w14:paraId="3C82BDD4" w14:textId="77777777" w:rsidR="00AE1CB9" w:rsidRDefault="00AE1CB9" w:rsidP="00B57C7F">
      <w:pPr>
        <w:spacing w:line="360" w:lineRule="auto"/>
        <w:jc w:val="both"/>
        <w:rPr>
          <w:rFonts w:ascii="Times New Roman" w:hAnsi="Times New Roman" w:cs="Times New Roman"/>
        </w:rPr>
      </w:pPr>
    </w:p>
    <w:p w14:paraId="069911AC" w14:textId="2B3AA629" w:rsidR="004612F0" w:rsidRDefault="004612F0" w:rsidP="00B57C7F">
      <w:pPr>
        <w:spacing w:line="360" w:lineRule="auto"/>
        <w:jc w:val="both"/>
        <w:rPr>
          <w:rFonts w:ascii="Times New Roman" w:hAnsi="Times New Roman" w:cs="Times New Roman"/>
        </w:rPr>
      </w:pPr>
      <w:r w:rsidRPr="004C599E">
        <w:rPr>
          <w:rFonts w:ascii="Times New Roman" w:hAnsi="Times New Roman" w:cs="Times New Roman"/>
        </w:rPr>
        <w:t xml:space="preserve">The thesis explains how terrorism campaigns end, </w:t>
      </w:r>
      <w:r>
        <w:rPr>
          <w:rFonts w:ascii="Times New Roman" w:hAnsi="Times New Roman" w:cs="Times New Roman"/>
        </w:rPr>
        <w:t>using</w:t>
      </w:r>
      <w:r w:rsidRPr="004C599E">
        <w:rPr>
          <w:rFonts w:ascii="Times New Roman" w:hAnsi="Times New Roman" w:cs="Times New Roman"/>
        </w:rPr>
        <w:t xml:space="preserve"> social movement </w:t>
      </w:r>
      <w:r>
        <w:rPr>
          <w:rFonts w:ascii="Times New Roman" w:hAnsi="Times New Roman" w:cs="Times New Roman"/>
        </w:rPr>
        <w:t>theory</w:t>
      </w:r>
      <w:r w:rsidRPr="004C599E">
        <w:rPr>
          <w:rFonts w:ascii="Times New Roman" w:hAnsi="Times New Roman" w:cs="Times New Roman"/>
        </w:rPr>
        <w:t xml:space="preserve"> to analyse </w:t>
      </w:r>
      <w:r>
        <w:rPr>
          <w:rFonts w:ascii="Times New Roman" w:hAnsi="Times New Roman" w:cs="Times New Roman"/>
        </w:rPr>
        <w:t xml:space="preserve">the </w:t>
      </w:r>
      <w:r w:rsidRPr="004C599E">
        <w:rPr>
          <w:rFonts w:ascii="Times New Roman" w:hAnsi="Times New Roman" w:cs="Times New Roman"/>
        </w:rPr>
        <w:t>Provisional IRA</w:t>
      </w:r>
      <w:r>
        <w:rPr>
          <w:rFonts w:ascii="Times New Roman" w:hAnsi="Times New Roman" w:cs="Times New Roman"/>
        </w:rPr>
        <w:t>’s</w:t>
      </w:r>
      <w:r w:rsidRPr="004C599E">
        <w:rPr>
          <w:rFonts w:ascii="Times New Roman" w:hAnsi="Times New Roman" w:cs="Times New Roman"/>
        </w:rPr>
        <w:t xml:space="preserve"> disengage</w:t>
      </w:r>
      <w:r>
        <w:rPr>
          <w:rFonts w:ascii="Times New Roman" w:hAnsi="Times New Roman" w:cs="Times New Roman"/>
        </w:rPr>
        <w:t>ment</w:t>
      </w:r>
      <w:r w:rsidRPr="004C599E">
        <w:rPr>
          <w:rFonts w:ascii="Times New Roman" w:hAnsi="Times New Roman" w:cs="Times New Roman"/>
        </w:rPr>
        <w:t xml:space="preserve"> from armed violence and how this led others in the Irish Republican movement to move away from violence</w:t>
      </w:r>
      <w:r>
        <w:rPr>
          <w:rFonts w:ascii="Times New Roman" w:hAnsi="Times New Roman" w:cs="Times New Roman"/>
        </w:rPr>
        <w:t xml:space="preserve"> and remain so</w:t>
      </w:r>
      <w:r w:rsidRPr="004C599E">
        <w:rPr>
          <w:rFonts w:ascii="Times New Roman" w:hAnsi="Times New Roman" w:cs="Times New Roman"/>
        </w:rPr>
        <w:t>.</w:t>
      </w:r>
      <w:r>
        <w:rPr>
          <w:rFonts w:ascii="Times New Roman" w:hAnsi="Times New Roman" w:cs="Times New Roman"/>
        </w:rPr>
        <w:t xml:space="preserve"> The thesis argues that successful </w:t>
      </w:r>
      <w:r w:rsidRPr="004C599E">
        <w:rPr>
          <w:rFonts w:ascii="Times New Roman" w:hAnsi="Times New Roman" w:cs="Times New Roman"/>
        </w:rPr>
        <w:t>disengagement is</w:t>
      </w:r>
      <w:r>
        <w:rPr>
          <w:rFonts w:ascii="Times New Roman" w:hAnsi="Times New Roman" w:cs="Times New Roman"/>
        </w:rPr>
        <w:t xml:space="preserve"> dependent on how it is</w:t>
      </w:r>
      <w:r w:rsidRPr="004C599E">
        <w:rPr>
          <w:rFonts w:ascii="Times New Roman" w:hAnsi="Times New Roman" w:cs="Times New Roman"/>
        </w:rPr>
        <w:t xml:space="preserve"> framed and the extent to which it resonates within the movement. </w:t>
      </w:r>
      <w:r>
        <w:rPr>
          <w:rFonts w:ascii="Times New Roman" w:hAnsi="Times New Roman" w:cs="Times New Roman"/>
        </w:rPr>
        <w:t>F</w:t>
      </w:r>
      <w:r w:rsidRPr="004C599E">
        <w:rPr>
          <w:rFonts w:ascii="Times New Roman" w:hAnsi="Times New Roman" w:cs="Times New Roman"/>
        </w:rPr>
        <w:t>rame resonance is shaped by the extent it is consistent with the group’s goals, the presence of linkages</w:t>
      </w:r>
      <w:r>
        <w:rPr>
          <w:rFonts w:ascii="Times New Roman" w:hAnsi="Times New Roman" w:cs="Times New Roman"/>
        </w:rPr>
        <w:t xml:space="preserve"> in order to diffuse the frame, and </w:t>
      </w:r>
      <w:r w:rsidR="006C0273">
        <w:rPr>
          <w:rFonts w:ascii="Times New Roman" w:hAnsi="Times New Roman" w:cs="Times New Roman"/>
        </w:rPr>
        <w:t xml:space="preserve">the </w:t>
      </w:r>
      <w:r>
        <w:rPr>
          <w:rFonts w:ascii="Times New Roman" w:hAnsi="Times New Roman" w:cs="Times New Roman"/>
        </w:rPr>
        <w:t xml:space="preserve">perceived credibility of those advocating it. This process ensured that most of the Provisional IRA supported disengagement, which then began to organisationally disengage as part of the peace process. Subsequently, linkages were built up with the Irish Republican movement, leading to the disengagement frame to become de-radicalised, thus providing stronger barriers against violence. The disengagement frame’s resonance in the Irish Republican movement, underpinned by political/structural change, has led to a durable decline in terrorism and political violence. </w:t>
      </w:r>
    </w:p>
    <w:p w14:paraId="2290EA8E" w14:textId="3947B19A" w:rsidR="00CD606E" w:rsidRDefault="004612F0" w:rsidP="00B57C7F">
      <w:pPr>
        <w:spacing w:line="360" w:lineRule="auto"/>
        <w:ind w:firstLine="720"/>
        <w:jc w:val="both"/>
        <w:rPr>
          <w:rFonts w:ascii="Times New Roman" w:hAnsi="Times New Roman" w:cs="Times New Roman"/>
        </w:rPr>
      </w:pPr>
      <w:r w:rsidRPr="004C599E">
        <w:rPr>
          <w:rFonts w:ascii="Times New Roman" w:hAnsi="Times New Roman" w:cs="Times New Roman"/>
        </w:rPr>
        <w:t xml:space="preserve">The thesis’ original contribution has five dimensions: 1) the thesis draws on interviews with a broader range of actors typically found in terrorism studies; 2) the </w:t>
      </w:r>
      <w:r>
        <w:rPr>
          <w:rFonts w:ascii="Times New Roman" w:hAnsi="Times New Roman" w:cs="Times New Roman"/>
        </w:rPr>
        <w:t>re-</w:t>
      </w:r>
      <w:r w:rsidRPr="004C599E">
        <w:rPr>
          <w:rFonts w:ascii="Times New Roman" w:hAnsi="Times New Roman" w:cs="Times New Roman"/>
        </w:rPr>
        <w:t>concept</w:t>
      </w:r>
      <w:r>
        <w:rPr>
          <w:rFonts w:ascii="Times New Roman" w:hAnsi="Times New Roman" w:cs="Times New Roman"/>
        </w:rPr>
        <w:t>ualisation</w:t>
      </w:r>
      <w:r w:rsidRPr="004C599E">
        <w:rPr>
          <w:rFonts w:ascii="Times New Roman" w:hAnsi="Times New Roman" w:cs="Times New Roman"/>
        </w:rPr>
        <w:t xml:space="preserve"> of de-radicalisation provide</w:t>
      </w:r>
      <w:r>
        <w:rPr>
          <w:rFonts w:ascii="Times New Roman" w:hAnsi="Times New Roman" w:cs="Times New Roman"/>
        </w:rPr>
        <w:t>s</w:t>
      </w:r>
      <w:r w:rsidRPr="004C599E">
        <w:rPr>
          <w:rFonts w:ascii="Times New Roman" w:hAnsi="Times New Roman" w:cs="Times New Roman"/>
        </w:rPr>
        <w:t xml:space="preserve"> nuanced explanation</w:t>
      </w:r>
      <w:r>
        <w:rPr>
          <w:rFonts w:ascii="Times New Roman" w:hAnsi="Times New Roman" w:cs="Times New Roman"/>
        </w:rPr>
        <w:t>s of why attitudinal change is</w:t>
      </w:r>
      <w:r w:rsidRPr="004C599E">
        <w:rPr>
          <w:rFonts w:ascii="Times New Roman" w:hAnsi="Times New Roman" w:cs="Times New Roman"/>
        </w:rPr>
        <w:t xml:space="preserve"> important for ending terrorism; 3) the thesis provides the first multi-level analysis of how terrorism ends by using a social movement approach, thus providing a more comprehensive explanation; 4) while many have recognised the ‘next generation’ as a crucial factor, the thesis is the first to analyse the interaction between generations and how the break in inter-generational support for violence emerges; and 5) the thesis challenges many assumptions on organisational disengagement by outlining how informal networks of combatants continue to exist, but shows how this can actually prevent terrorism rather than just pose a risk to recidivism.</w:t>
      </w:r>
    </w:p>
    <w:p w14:paraId="2186D375" w14:textId="77777777" w:rsidR="004612F0" w:rsidRDefault="004612F0" w:rsidP="00B57C7F">
      <w:pPr>
        <w:spacing w:line="360" w:lineRule="auto"/>
        <w:jc w:val="both"/>
        <w:rPr>
          <w:rFonts w:ascii="Times New Roman" w:hAnsi="Times New Roman" w:cs="Times New Roman"/>
        </w:rPr>
      </w:pPr>
    </w:p>
    <w:p w14:paraId="4C6B061F" w14:textId="77777777" w:rsidR="004612F0" w:rsidRDefault="004612F0" w:rsidP="00B57C7F">
      <w:pPr>
        <w:spacing w:line="360" w:lineRule="auto"/>
        <w:jc w:val="both"/>
        <w:rPr>
          <w:rFonts w:ascii="Times New Roman" w:hAnsi="Times New Roman" w:cs="Times New Roman"/>
        </w:rPr>
      </w:pPr>
    </w:p>
    <w:p w14:paraId="40D6AC34" w14:textId="77777777" w:rsidR="004612F0" w:rsidRDefault="004612F0" w:rsidP="00B57C7F">
      <w:pPr>
        <w:spacing w:line="360" w:lineRule="auto"/>
        <w:jc w:val="both"/>
        <w:rPr>
          <w:rFonts w:ascii="Times New Roman" w:hAnsi="Times New Roman" w:cs="Times New Roman"/>
        </w:rPr>
      </w:pPr>
    </w:p>
    <w:p w14:paraId="550F4192" w14:textId="77777777" w:rsidR="00CD606E" w:rsidRDefault="00CD606E" w:rsidP="00B57C7F">
      <w:pPr>
        <w:pStyle w:val="Heading2"/>
        <w:spacing w:before="120" w:line="360" w:lineRule="auto"/>
      </w:pPr>
      <w:bookmarkStart w:id="3" w:name="_Toc389208786"/>
      <w:r>
        <w:lastRenderedPageBreak/>
        <w:t>Glossary of Terms</w:t>
      </w:r>
      <w:bookmarkEnd w:id="3"/>
    </w:p>
    <w:p w14:paraId="45536271" w14:textId="77777777" w:rsidR="00CD606E" w:rsidRDefault="00CD606E" w:rsidP="00B57C7F">
      <w:pPr>
        <w:spacing w:line="360" w:lineRule="auto"/>
      </w:pPr>
    </w:p>
    <w:p w14:paraId="2AF4722D"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32 CSM</w:t>
      </w:r>
      <w:r>
        <w:rPr>
          <w:rFonts w:ascii="Times New Roman" w:hAnsi="Times New Roman" w:cs="Times New Roman"/>
        </w:rPr>
        <w:tab/>
        <w:t>32 County Sovereignty Movement</w:t>
      </w:r>
    </w:p>
    <w:p w14:paraId="7ECCFC1D"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ANC</w:t>
      </w:r>
      <w:r>
        <w:rPr>
          <w:rFonts w:ascii="Times New Roman" w:hAnsi="Times New Roman" w:cs="Times New Roman"/>
        </w:rPr>
        <w:tab/>
      </w:r>
      <w:r>
        <w:rPr>
          <w:rFonts w:ascii="Times New Roman" w:hAnsi="Times New Roman" w:cs="Times New Roman"/>
        </w:rPr>
        <w:tab/>
        <w:t>African National Congress</w:t>
      </w:r>
    </w:p>
    <w:p w14:paraId="18F0E796"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DDR</w:t>
      </w:r>
      <w:r>
        <w:rPr>
          <w:rFonts w:ascii="Times New Roman" w:hAnsi="Times New Roman" w:cs="Times New Roman"/>
        </w:rPr>
        <w:tab/>
      </w:r>
      <w:r>
        <w:rPr>
          <w:rFonts w:ascii="Times New Roman" w:hAnsi="Times New Roman" w:cs="Times New Roman"/>
        </w:rPr>
        <w:tab/>
        <w:t>Disarmament, Demobilisation and Reintegration</w:t>
      </w:r>
    </w:p>
    <w:p w14:paraId="6CF1337D"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DUP</w:t>
      </w:r>
      <w:r>
        <w:rPr>
          <w:rFonts w:ascii="Times New Roman" w:hAnsi="Times New Roman" w:cs="Times New Roman"/>
        </w:rPr>
        <w:tab/>
      </w:r>
      <w:r>
        <w:rPr>
          <w:rFonts w:ascii="Times New Roman" w:hAnsi="Times New Roman" w:cs="Times New Roman"/>
        </w:rPr>
        <w:tab/>
        <w:t>Democratic Unionist Party</w:t>
      </w:r>
    </w:p>
    <w:p w14:paraId="7C5145FB"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EU</w:t>
      </w:r>
      <w:r>
        <w:rPr>
          <w:rFonts w:ascii="Times New Roman" w:hAnsi="Times New Roman" w:cs="Times New Roman"/>
        </w:rPr>
        <w:tab/>
      </w:r>
      <w:r>
        <w:rPr>
          <w:rFonts w:ascii="Times New Roman" w:hAnsi="Times New Roman" w:cs="Times New Roman"/>
        </w:rPr>
        <w:tab/>
        <w:t>European Union</w:t>
      </w:r>
    </w:p>
    <w:p w14:paraId="54F6ACE3"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GFA</w:t>
      </w:r>
      <w:r>
        <w:rPr>
          <w:rFonts w:ascii="Times New Roman" w:hAnsi="Times New Roman" w:cs="Times New Roman"/>
        </w:rPr>
        <w:tab/>
      </w:r>
      <w:r>
        <w:rPr>
          <w:rFonts w:ascii="Times New Roman" w:hAnsi="Times New Roman" w:cs="Times New Roman"/>
        </w:rPr>
        <w:tab/>
        <w:t>Good Friday Agreement</w:t>
      </w:r>
    </w:p>
    <w:p w14:paraId="1653604D" w14:textId="77777777" w:rsidR="00340617" w:rsidRDefault="00340617" w:rsidP="00B57C7F">
      <w:pPr>
        <w:spacing w:line="360" w:lineRule="auto"/>
        <w:rPr>
          <w:rFonts w:ascii="Times New Roman" w:hAnsi="Times New Roman" w:cs="Times New Roman"/>
        </w:rPr>
      </w:pPr>
      <w:r>
        <w:rPr>
          <w:rFonts w:ascii="Times New Roman" w:hAnsi="Times New Roman" w:cs="Times New Roman"/>
        </w:rPr>
        <w:t>IRA</w:t>
      </w:r>
      <w:r>
        <w:rPr>
          <w:rFonts w:ascii="Times New Roman" w:hAnsi="Times New Roman" w:cs="Times New Roman"/>
        </w:rPr>
        <w:tab/>
      </w:r>
      <w:r>
        <w:rPr>
          <w:rFonts w:ascii="Times New Roman" w:hAnsi="Times New Roman" w:cs="Times New Roman"/>
        </w:rPr>
        <w:tab/>
        <w:t>Irish Republican Army</w:t>
      </w:r>
    </w:p>
    <w:p w14:paraId="17A229AA" w14:textId="77777777" w:rsidR="00340617" w:rsidRDefault="00340617" w:rsidP="00B57C7F">
      <w:pPr>
        <w:spacing w:line="360" w:lineRule="auto"/>
        <w:rPr>
          <w:rFonts w:ascii="Times New Roman" w:hAnsi="Times New Roman" w:cs="Times New Roman"/>
        </w:rPr>
      </w:pPr>
      <w:r>
        <w:rPr>
          <w:rFonts w:ascii="Times New Roman" w:hAnsi="Times New Roman" w:cs="Times New Roman"/>
        </w:rPr>
        <w:t>INLA</w:t>
      </w:r>
      <w:r>
        <w:rPr>
          <w:rFonts w:ascii="Times New Roman" w:hAnsi="Times New Roman" w:cs="Times New Roman"/>
        </w:rPr>
        <w:tab/>
      </w:r>
      <w:r>
        <w:rPr>
          <w:rFonts w:ascii="Times New Roman" w:hAnsi="Times New Roman" w:cs="Times New Roman"/>
        </w:rPr>
        <w:tab/>
        <w:t>Irish National Liberation Army</w:t>
      </w:r>
    </w:p>
    <w:p w14:paraId="4325215F" w14:textId="77777777" w:rsidR="00340617" w:rsidRDefault="00340617" w:rsidP="00B57C7F">
      <w:pPr>
        <w:spacing w:line="360" w:lineRule="auto"/>
        <w:rPr>
          <w:rFonts w:ascii="Times New Roman" w:hAnsi="Times New Roman" w:cs="Times New Roman"/>
        </w:rPr>
      </w:pPr>
      <w:r>
        <w:rPr>
          <w:rFonts w:ascii="Times New Roman" w:hAnsi="Times New Roman" w:cs="Times New Roman"/>
        </w:rPr>
        <w:t>MLA</w:t>
      </w:r>
      <w:r>
        <w:rPr>
          <w:rFonts w:ascii="Times New Roman" w:hAnsi="Times New Roman" w:cs="Times New Roman"/>
        </w:rPr>
        <w:tab/>
      </w:r>
      <w:r>
        <w:rPr>
          <w:rFonts w:ascii="Times New Roman" w:hAnsi="Times New Roman" w:cs="Times New Roman"/>
        </w:rPr>
        <w:tab/>
        <w:t>Member of the Legislative Assembly</w:t>
      </w:r>
    </w:p>
    <w:p w14:paraId="027DFF59" w14:textId="77777777" w:rsidR="00340617" w:rsidRDefault="00340617" w:rsidP="00B57C7F">
      <w:pPr>
        <w:spacing w:line="360" w:lineRule="auto"/>
        <w:rPr>
          <w:rFonts w:ascii="Times New Roman" w:hAnsi="Times New Roman" w:cs="Times New Roman"/>
        </w:rPr>
      </w:pPr>
      <w:r>
        <w:rPr>
          <w:rFonts w:ascii="Times New Roman" w:hAnsi="Times New Roman" w:cs="Times New Roman"/>
        </w:rPr>
        <w:t>OFMDFM</w:t>
      </w:r>
      <w:r>
        <w:rPr>
          <w:rFonts w:ascii="Times New Roman" w:hAnsi="Times New Roman" w:cs="Times New Roman"/>
        </w:rPr>
        <w:tab/>
        <w:t>Office of the First Minister and Deputy First Minister</w:t>
      </w:r>
    </w:p>
    <w:p w14:paraId="36B9B7E6"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PLO</w:t>
      </w:r>
      <w:r>
        <w:rPr>
          <w:rFonts w:ascii="Times New Roman" w:hAnsi="Times New Roman" w:cs="Times New Roman"/>
        </w:rPr>
        <w:tab/>
      </w:r>
      <w:r>
        <w:rPr>
          <w:rFonts w:ascii="Times New Roman" w:hAnsi="Times New Roman" w:cs="Times New Roman"/>
        </w:rPr>
        <w:tab/>
        <w:t>Palestine Liberation Organisation</w:t>
      </w:r>
    </w:p>
    <w:p w14:paraId="0DD0BFBD" w14:textId="77777777" w:rsidR="00CD606E" w:rsidRDefault="00CD606E" w:rsidP="00B57C7F">
      <w:pPr>
        <w:spacing w:line="360" w:lineRule="auto"/>
        <w:rPr>
          <w:rFonts w:ascii="Times New Roman" w:hAnsi="Times New Roman" w:cs="Times New Roman"/>
        </w:rPr>
      </w:pPr>
      <w:r>
        <w:rPr>
          <w:rFonts w:ascii="Times New Roman" w:hAnsi="Times New Roman" w:cs="Times New Roman"/>
        </w:rPr>
        <w:t>PSNI</w:t>
      </w:r>
      <w:r>
        <w:rPr>
          <w:rFonts w:ascii="Times New Roman" w:hAnsi="Times New Roman" w:cs="Times New Roman"/>
        </w:rPr>
        <w:tab/>
      </w:r>
      <w:r>
        <w:rPr>
          <w:rFonts w:ascii="Times New Roman" w:hAnsi="Times New Roman" w:cs="Times New Roman"/>
        </w:rPr>
        <w:tab/>
        <w:t>Police Service Northern Ireland</w:t>
      </w:r>
    </w:p>
    <w:p w14:paraId="1C585D3A" w14:textId="77777777" w:rsidR="00D51325" w:rsidRDefault="00D51325" w:rsidP="00B57C7F">
      <w:pPr>
        <w:spacing w:line="360" w:lineRule="auto"/>
        <w:rPr>
          <w:rFonts w:ascii="Times New Roman" w:hAnsi="Times New Roman" w:cs="Times New Roman"/>
        </w:rPr>
      </w:pPr>
      <w:r>
        <w:rPr>
          <w:rFonts w:ascii="Times New Roman" w:hAnsi="Times New Roman" w:cs="Times New Roman"/>
        </w:rPr>
        <w:t>PUL</w:t>
      </w:r>
      <w:r>
        <w:rPr>
          <w:rFonts w:ascii="Times New Roman" w:hAnsi="Times New Roman" w:cs="Times New Roman"/>
        </w:rPr>
        <w:tab/>
      </w:r>
      <w:r>
        <w:rPr>
          <w:rFonts w:ascii="Times New Roman" w:hAnsi="Times New Roman" w:cs="Times New Roman"/>
        </w:rPr>
        <w:tab/>
        <w:t>Protestant, Unionist, Loyalist</w:t>
      </w:r>
    </w:p>
    <w:p w14:paraId="04FD29F4" w14:textId="77777777" w:rsidR="00CD606E" w:rsidRDefault="00CD606E" w:rsidP="00B57C7F">
      <w:pPr>
        <w:spacing w:line="360" w:lineRule="auto"/>
        <w:rPr>
          <w:rFonts w:ascii="Times New Roman" w:hAnsi="Times New Roman" w:cs="Times New Roman"/>
        </w:rPr>
      </w:pPr>
      <w:r>
        <w:rPr>
          <w:rFonts w:ascii="Times New Roman" w:hAnsi="Times New Roman" w:cs="Times New Roman"/>
        </w:rPr>
        <w:t>RUC</w:t>
      </w:r>
      <w:r>
        <w:rPr>
          <w:rFonts w:ascii="Times New Roman" w:hAnsi="Times New Roman" w:cs="Times New Roman"/>
        </w:rPr>
        <w:tab/>
      </w:r>
      <w:r>
        <w:rPr>
          <w:rFonts w:ascii="Times New Roman" w:hAnsi="Times New Roman" w:cs="Times New Roman"/>
        </w:rPr>
        <w:tab/>
        <w:t>Royal Ulster Constabulary</w:t>
      </w:r>
    </w:p>
    <w:p w14:paraId="7F3F2BBC" w14:textId="77777777" w:rsidR="00340617" w:rsidRDefault="00340617" w:rsidP="00B57C7F">
      <w:pPr>
        <w:spacing w:line="360" w:lineRule="auto"/>
        <w:rPr>
          <w:rFonts w:ascii="Times New Roman" w:hAnsi="Times New Roman" w:cs="Times New Roman"/>
        </w:rPr>
      </w:pPr>
      <w:r>
        <w:rPr>
          <w:rFonts w:ascii="Times New Roman" w:hAnsi="Times New Roman" w:cs="Times New Roman"/>
        </w:rPr>
        <w:t>SDLP</w:t>
      </w:r>
      <w:r>
        <w:rPr>
          <w:rFonts w:ascii="Times New Roman" w:hAnsi="Times New Roman" w:cs="Times New Roman"/>
        </w:rPr>
        <w:tab/>
      </w:r>
      <w:r>
        <w:rPr>
          <w:rFonts w:ascii="Times New Roman" w:hAnsi="Times New Roman" w:cs="Times New Roman"/>
        </w:rPr>
        <w:tab/>
        <w:t>Social Democratic Labour Party</w:t>
      </w:r>
    </w:p>
    <w:p w14:paraId="357DD10B" w14:textId="77777777" w:rsidR="00B011A7" w:rsidRDefault="00B011A7" w:rsidP="00B57C7F">
      <w:pPr>
        <w:spacing w:line="360" w:lineRule="auto"/>
        <w:rPr>
          <w:rFonts w:ascii="Times New Roman" w:hAnsi="Times New Roman" w:cs="Times New Roman"/>
        </w:rPr>
      </w:pPr>
      <w:r>
        <w:rPr>
          <w:rFonts w:ascii="Times New Roman" w:hAnsi="Times New Roman" w:cs="Times New Roman"/>
        </w:rPr>
        <w:t>TPV</w:t>
      </w:r>
      <w:r>
        <w:rPr>
          <w:rFonts w:ascii="Times New Roman" w:hAnsi="Times New Roman" w:cs="Times New Roman"/>
        </w:rPr>
        <w:tab/>
      </w:r>
      <w:r>
        <w:rPr>
          <w:rFonts w:ascii="Times New Roman" w:hAnsi="Times New Roman" w:cs="Times New Roman"/>
        </w:rPr>
        <w:tab/>
        <w:t>Terrorism and Political Violence</w:t>
      </w:r>
    </w:p>
    <w:p w14:paraId="36C975AD" w14:textId="77777777" w:rsidR="0086387B" w:rsidRDefault="0086387B" w:rsidP="00B57C7F">
      <w:pPr>
        <w:spacing w:line="360" w:lineRule="auto"/>
        <w:rPr>
          <w:rFonts w:ascii="Times New Roman" w:hAnsi="Times New Roman" w:cs="Times New Roman"/>
        </w:rPr>
      </w:pPr>
      <w:r>
        <w:rPr>
          <w:rFonts w:ascii="Times New Roman" w:hAnsi="Times New Roman" w:cs="Times New Roman"/>
        </w:rPr>
        <w:t>TUAS</w:t>
      </w:r>
      <w:r>
        <w:rPr>
          <w:rFonts w:ascii="Times New Roman" w:hAnsi="Times New Roman" w:cs="Times New Roman"/>
        </w:rPr>
        <w:tab/>
      </w:r>
      <w:r>
        <w:rPr>
          <w:rFonts w:ascii="Times New Roman" w:hAnsi="Times New Roman" w:cs="Times New Roman"/>
        </w:rPr>
        <w:tab/>
        <w:t>Tactical Use of Armed Struggle</w:t>
      </w:r>
    </w:p>
    <w:p w14:paraId="69B45027" w14:textId="77777777" w:rsidR="00CD606E" w:rsidRDefault="00CD606E" w:rsidP="00B57C7F">
      <w:pPr>
        <w:spacing w:line="360" w:lineRule="auto"/>
        <w:rPr>
          <w:rFonts w:ascii="Times New Roman" w:hAnsi="Times New Roman" w:cs="Times New Roman"/>
        </w:rPr>
      </w:pPr>
      <w:r>
        <w:rPr>
          <w:rFonts w:ascii="Times New Roman" w:hAnsi="Times New Roman" w:cs="Times New Roman"/>
        </w:rPr>
        <w:t>UVF</w:t>
      </w:r>
      <w:r>
        <w:rPr>
          <w:rFonts w:ascii="Times New Roman" w:hAnsi="Times New Roman" w:cs="Times New Roman"/>
        </w:rPr>
        <w:tab/>
      </w:r>
      <w:r>
        <w:rPr>
          <w:rFonts w:ascii="Times New Roman" w:hAnsi="Times New Roman" w:cs="Times New Roman"/>
        </w:rPr>
        <w:tab/>
        <w:t>Ulster Volunteer Force</w:t>
      </w:r>
    </w:p>
    <w:p w14:paraId="4573CDFF" w14:textId="77777777" w:rsidR="00CD606E" w:rsidRDefault="00CD606E" w:rsidP="00B57C7F">
      <w:pPr>
        <w:spacing w:line="360" w:lineRule="auto"/>
        <w:rPr>
          <w:rFonts w:ascii="Times New Roman" w:hAnsi="Times New Roman" w:cs="Times New Roman"/>
        </w:rPr>
      </w:pPr>
      <w:r>
        <w:rPr>
          <w:rFonts w:ascii="Times New Roman" w:hAnsi="Times New Roman" w:cs="Times New Roman"/>
        </w:rPr>
        <w:t>UDA</w:t>
      </w:r>
      <w:r>
        <w:rPr>
          <w:rFonts w:ascii="Times New Roman" w:hAnsi="Times New Roman" w:cs="Times New Roman"/>
        </w:rPr>
        <w:tab/>
      </w:r>
      <w:r>
        <w:rPr>
          <w:rFonts w:ascii="Times New Roman" w:hAnsi="Times New Roman" w:cs="Times New Roman"/>
        </w:rPr>
        <w:tab/>
        <w:t>Ulster Defence Association</w:t>
      </w:r>
    </w:p>
    <w:p w14:paraId="06B283B6" w14:textId="77777777" w:rsidR="00CD606E" w:rsidRDefault="00CD606E" w:rsidP="00B57C7F">
      <w:pPr>
        <w:spacing w:line="360" w:lineRule="auto"/>
        <w:rPr>
          <w:rFonts w:ascii="Times New Roman" w:hAnsi="Times New Roman" w:cs="Times New Roman"/>
        </w:rPr>
      </w:pPr>
      <w:r>
        <w:rPr>
          <w:rFonts w:ascii="Times New Roman" w:hAnsi="Times New Roman" w:cs="Times New Roman"/>
        </w:rPr>
        <w:t>UK</w:t>
      </w:r>
      <w:r>
        <w:rPr>
          <w:rFonts w:ascii="Times New Roman" w:hAnsi="Times New Roman" w:cs="Times New Roman"/>
        </w:rPr>
        <w:tab/>
      </w:r>
      <w:r>
        <w:rPr>
          <w:rFonts w:ascii="Times New Roman" w:hAnsi="Times New Roman" w:cs="Times New Roman"/>
        </w:rPr>
        <w:tab/>
        <w:t>United Kingdom</w:t>
      </w:r>
    </w:p>
    <w:p w14:paraId="097388F4" w14:textId="77777777" w:rsidR="00CD606E" w:rsidRPr="00CD606E" w:rsidRDefault="00CD606E" w:rsidP="00B57C7F">
      <w:pPr>
        <w:spacing w:line="360" w:lineRule="auto"/>
        <w:rPr>
          <w:rFonts w:ascii="Times New Roman" w:hAnsi="Times New Roman" w:cs="Times New Roman"/>
        </w:rPr>
      </w:pPr>
    </w:p>
    <w:p w14:paraId="3059B615" w14:textId="77777777" w:rsidR="00CD606E" w:rsidRDefault="00CD606E" w:rsidP="00B57C7F">
      <w:pPr>
        <w:spacing w:line="360" w:lineRule="auto"/>
      </w:pPr>
    </w:p>
    <w:p w14:paraId="7CAB1B5E" w14:textId="77777777" w:rsidR="00CD606E" w:rsidRDefault="00CD606E" w:rsidP="00B57C7F">
      <w:pPr>
        <w:spacing w:line="360" w:lineRule="auto"/>
      </w:pPr>
    </w:p>
    <w:p w14:paraId="4B45D9E3" w14:textId="77777777" w:rsidR="00CD606E" w:rsidRDefault="00CD606E" w:rsidP="00B57C7F">
      <w:pPr>
        <w:spacing w:line="360" w:lineRule="auto"/>
      </w:pPr>
    </w:p>
    <w:p w14:paraId="5BEC230D" w14:textId="77777777" w:rsidR="00744862" w:rsidRPr="00BC105E" w:rsidRDefault="005603DA" w:rsidP="00B57C7F">
      <w:pPr>
        <w:pStyle w:val="Heading2"/>
        <w:spacing w:before="120" w:line="360" w:lineRule="auto"/>
      </w:pPr>
      <w:bookmarkStart w:id="4" w:name="_Toc389208787"/>
      <w:r>
        <w:lastRenderedPageBreak/>
        <w:t>Co</w:t>
      </w:r>
      <w:r w:rsidR="00843C58" w:rsidRPr="00BC105E">
        <w:t>ntents</w:t>
      </w:r>
      <w:bookmarkEnd w:id="4"/>
    </w:p>
    <w:p w14:paraId="0D099EC4" w14:textId="77777777" w:rsidR="00BC105E" w:rsidRPr="00BC105E" w:rsidRDefault="00BC105E" w:rsidP="00B57C7F">
      <w:pPr>
        <w:spacing w:line="360" w:lineRule="auto"/>
        <w:rPr>
          <w:rFonts w:ascii="Times New Roman" w:hAnsi="Times New Roman" w:cs="Times New Roman"/>
        </w:rPr>
      </w:pPr>
    </w:p>
    <w:p w14:paraId="10CF5BAE" w14:textId="77777777" w:rsidR="00007D71" w:rsidRPr="006C0273" w:rsidRDefault="00BC105E">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sz w:val="24"/>
          <w:szCs w:val="24"/>
        </w:rPr>
        <w:fldChar w:fldCharType="begin"/>
      </w:r>
      <w:r w:rsidRPr="006C0273">
        <w:rPr>
          <w:rFonts w:ascii="Times New Roman" w:hAnsi="Times New Roman" w:cs="Times New Roman"/>
          <w:sz w:val="24"/>
          <w:szCs w:val="24"/>
        </w:rPr>
        <w:instrText xml:space="preserve"> TOC \o "1-4" \u </w:instrText>
      </w:r>
      <w:r w:rsidRPr="006C0273">
        <w:rPr>
          <w:rFonts w:ascii="Times New Roman" w:hAnsi="Times New Roman" w:cs="Times New Roman"/>
          <w:sz w:val="24"/>
          <w:szCs w:val="24"/>
        </w:rPr>
        <w:fldChar w:fldCharType="separate"/>
      </w:r>
      <w:r w:rsidR="00007D71" w:rsidRPr="006C0273">
        <w:rPr>
          <w:rFonts w:ascii="Times New Roman" w:hAnsi="Times New Roman" w:cs="Times New Roman"/>
          <w:noProof/>
          <w:sz w:val="24"/>
          <w:szCs w:val="24"/>
        </w:rPr>
        <w:t>Acknowledgements</w:t>
      </w:r>
      <w:r w:rsidR="00007D71" w:rsidRPr="006C0273">
        <w:rPr>
          <w:rFonts w:ascii="Times New Roman" w:hAnsi="Times New Roman" w:cs="Times New Roman"/>
          <w:noProof/>
          <w:sz w:val="24"/>
          <w:szCs w:val="24"/>
        </w:rPr>
        <w:tab/>
      </w:r>
      <w:r w:rsidR="00007D71" w:rsidRPr="006C0273">
        <w:rPr>
          <w:rFonts w:ascii="Times New Roman" w:hAnsi="Times New Roman" w:cs="Times New Roman"/>
          <w:noProof/>
          <w:sz w:val="24"/>
          <w:szCs w:val="24"/>
        </w:rPr>
        <w:fldChar w:fldCharType="begin"/>
      </w:r>
      <w:r w:rsidR="00007D71" w:rsidRPr="006C0273">
        <w:rPr>
          <w:rFonts w:ascii="Times New Roman" w:hAnsi="Times New Roman" w:cs="Times New Roman"/>
          <w:noProof/>
          <w:sz w:val="24"/>
          <w:szCs w:val="24"/>
        </w:rPr>
        <w:instrText xml:space="preserve"> PAGEREF _Toc389208784 \h </w:instrText>
      </w:r>
      <w:r w:rsidR="00007D71" w:rsidRPr="006C0273">
        <w:rPr>
          <w:rFonts w:ascii="Times New Roman" w:hAnsi="Times New Roman" w:cs="Times New Roman"/>
          <w:noProof/>
          <w:sz w:val="24"/>
          <w:szCs w:val="24"/>
        </w:rPr>
      </w:r>
      <w:r w:rsidR="00007D71"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w:t>
      </w:r>
      <w:r w:rsidR="00007D71" w:rsidRPr="006C0273">
        <w:rPr>
          <w:rFonts w:ascii="Times New Roman" w:hAnsi="Times New Roman" w:cs="Times New Roman"/>
          <w:noProof/>
          <w:sz w:val="24"/>
          <w:szCs w:val="24"/>
        </w:rPr>
        <w:fldChar w:fldCharType="end"/>
      </w:r>
    </w:p>
    <w:p w14:paraId="7DFCEBC9" w14:textId="77F999D0" w:rsidR="00007D71" w:rsidRPr="006C0273" w:rsidRDefault="006C0273">
      <w:pPr>
        <w:pStyle w:val="TOC2"/>
        <w:tabs>
          <w:tab w:val="right" w:leader="dot" w:pos="8188"/>
        </w:tabs>
        <w:rPr>
          <w:rFonts w:ascii="Times New Roman" w:hAnsi="Times New Roman" w:cs="Times New Roman"/>
          <w:noProof/>
          <w:sz w:val="24"/>
          <w:szCs w:val="24"/>
          <w:lang w:val="en-GB" w:eastAsia="zh-CN" w:bidi="hi-IN"/>
        </w:rPr>
      </w:pPr>
      <w:r>
        <w:rPr>
          <w:rFonts w:ascii="Times New Roman" w:hAnsi="Times New Roman" w:cs="Times New Roman"/>
          <w:noProof/>
          <w:sz w:val="24"/>
          <w:szCs w:val="24"/>
        </w:rPr>
        <w:t>Abstract</w:t>
      </w:r>
      <w:r w:rsidR="00007D71" w:rsidRPr="006C0273">
        <w:rPr>
          <w:rFonts w:ascii="Times New Roman" w:hAnsi="Times New Roman" w:cs="Times New Roman"/>
          <w:noProof/>
          <w:sz w:val="24"/>
          <w:szCs w:val="24"/>
        </w:rPr>
        <w:tab/>
      </w:r>
      <w:r w:rsidR="00007D71" w:rsidRPr="006C0273">
        <w:rPr>
          <w:rFonts w:ascii="Times New Roman" w:hAnsi="Times New Roman" w:cs="Times New Roman"/>
          <w:noProof/>
          <w:sz w:val="24"/>
          <w:szCs w:val="24"/>
        </w:rPr>
        <w:fldChar w:fldCharType="begin"/>
      </w:r>
      <w:r w:rsidR="00007D71" w:rsidRPr="006C0273">
        <w:rPr>
          <w:rFonts w:ascii="Times New Roman" w:hAnsi="Times New Roman" w:cs="Times New Roman"/>
          <w:noProof/>
          <w:sz w:val="24"/>
          <w:szCs w:val="24"/>
        </w:rPr>
        <w:instrText xml:space="preserve"> PAGEREF _Toc389208785 \h </w:instrText>
      </w:r>
      <w:r w:rsidR="00007D71" w:rsidRPr="006C0273">
        <w:rPr>
          <w:rFonts w:ascii="Times New Roman" w:hAnsi="Times New Roman" w:cs="Times New Roman"/>
          <w:noProof/>
          <w:sz w:val="24"/>
          <w:szCs w:val="24"/>
        </w:rPr>
      </w:r>
      <w:r w:rsidR="00007D71"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w:t>
      </w:r>
      <w:r w:rsidR="00007D71" w:rsidRPr="006C0273">
        <w:rPr>
          <w:rFonts w:ascii="Times New Roman" w:hAnsi="Times New Roman" w:cs="Times New Roman"/>
          <w:noProof/>
          <w:sz w:val="24"/>
          <w:szCs w:val="24"/>
        </w:rPr>
        <w:fldChar w:fldCharType="end"/>
      </w:r>
    </w:p>
    <w:p w14:paraId="6AEE8C75"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Glossary of Terms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_Toc389208786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3</w:t>
      </w:r>
      <w:r w:rsidRPr="006C0273">
        <w:rPr>
          <w:rFonts w:ascii="Times New Roman" w:hAnsi="Times New Roman" w:cs="Times New Roman"/>
          <w:noProof/>
          <w:sz w:val="24"/>
          <w:szCs w:val="24"/>
        </w:rPr>
        <w:fldChar w:fldCharType="end"/>
      </w:r>
    </w:p>
    <w:p w14:paraId="5C8F49E1"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Contents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_Toc389208787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4</w:t>
      </w:r>
      <w:r w:rsidRPr="006C0273">
        <w:rPr>
          <w:rFonts w:ascii="Times New Roman" w:hAnsi="Times New Roman" w:cs="Times New Roman"/>
          <w:noProof/>
          <w:sz w:val="24"/>
          <w:szCs w:val="24"/>
        </w:rPr>
        <w:fldChar w:fldCharType="end"/>
      </w:r>
    </w:p>
    <w:p w14:paraId="001233CE"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CHAPTER ONE</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_Toc389208788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7</w:t>
      </w:r>
      <w:r w:rsidRPr="006C0273">
        <w:rPr>
          <w:rFonts w:ascii="Times New Roman" w:hAnsi="Times New Roman" w:cs="Times New Roman"/>
          <w:noProof/>
          <w:sz w:val="24"/>
          <w:szCs w:val="24"/>
        </w:rPr>
        <w:fldChar w:fldCharType="end"/>
      </w:r>
    </w:p>
    <w:p w14:paraId="555A0B00"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Ending Terrorism and Reducing Recidivism</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_Toc389208789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11</w:t>
      </w:r>
      <w:r w:rsidRPr="006C0273">
        <w:rPr>
          <w:rFonts w:ascii="Times New Roman" w:hAnsi="Times New Roman" w:cs="Times New Roman"/>
          <w:noProof/>
          <w:sz w:val="24"/>
          <w:szCs w:val="24"/>
        </w:rPr>
        <w:fldChar w:fldCharType="end"/>
      </w:r>
    </w:p>
    <w:p w14:paraId="7A64DC6F"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Individual Explanations: Disengagement or De-Radicalisation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_Toc389208790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12</w:t>
      </w:r>
      <w:r w:rsidRPr="006C0273">
        <w:rPr>
          <w:rFonts w:ascii="Times New Roman" w:hAnsi="Times New Roman" w:cs="Times New Roman"/>
          <w:noProof/>
          <w:sz w:val="24"/>
          <w:szCs w:val="24"/>
        </w:rPr>
        <w:fldChar w:fldCharType="end"/>
      </w:r>
    </w:p>
    <w:p w14:paraId="0A698936"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Organisational Explanations: Group Disengagement</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_Toc389208791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20</w:t>
      </w:r>
      <w:r w:rsidRPr="006C0273">
        <w:rPr>
          <w:rFonts w:ascii="Times New Roman" w:hAnsi="Times New Roman" w:cs="Times New Roman"/>
          <w:noProof/>
          <w:sz w:val="24"/>
          <w:szCs w:val="24"/>
        </w:rPr>
        <w:fldChar w:fldCharType="end"/>
      </w:r>
    </w:p>
    <w:p w14:paraId="0DC18BE6"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Repression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_Toc389208792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22</w:t>
      </w:r>
      <w:r w:rsidRPr="006C0273">
        <w:rPr>
          <w:rFonts w:ascii="Times New Roman" w:hAnsi="Times New Roman" w:cs="Times New Roman"/>
          <w:noProof/>
        </w:rPr>
        <w:fldChar w:fldCharType="end"/>
      </w:r>
    </w:p>
    <w:p w14:paraId="5520C1A2"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Popular Support and Negotiations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_Toc389208793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24</w:t>
      </w:r>
      <w:r w:rsidRPr="006C0273">
        <w:rPr>
          <w:rFonts w:ascii="Times New Roman" w:hAnsi="Times New Roman" w:cs="Times New Roman"/>
          <w:noProof/>
        </w:rPr>
        <w:fldChar w:fldCharType="end"/>
      </w:r>
    </w:p>
    <w:p w14:paraId="64B13DD7" w14:textId="2701E256"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Problems in the Group Level Analysis: Explaining the Proces</w:t>
      </w:r>
      <w:r w:rsidR="006C0273">
        <w:rPr>
          <w:rFonts w:ascii="Times New Roman" w:hAnsi="Times New Roman" w:cs="Times New Roman"/>
          <w:i/>
          <w:iCs/>
          <w:noProof/>
        </w:rPr>
        <w:t>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_Toc389208794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26</w:t>
      </w:r>
      <w:r w:rsidRPr="006C0273">
        <w:rPr>
          <w:rFonts w:ascii="Times New Roman" w:hAnsi="Times New Roman" w:cs="Times New Roman"/>
          <w:noProof/>
        </w:rPr>
        <w:fldChar w:fldCharType="end"/>
      </w:r>
    </w:p>
    <w:p w14:paraId="7E9E40B6"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Structural Explanations: Root Causes and Waves of Terrorism</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_Toc389208795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28</w:t>
      </w:r>
      <w:r w:rsidRPr="006C0273">
        <w:rPr>
          <w:rFonts w:ascii="Times New Roman" w:hAnsi="Times New Roman" w:cs="Times New Roman"/>
          <w:noProof/>
          <w:sz w:val="24"/>
          <w:szCs w:val="24"/>
        </w:rPr>
        <w:fldChar w:fldCharType="end"/>
      </w:r>
    </w:p>
    <w:p w14:paraId="18257DA1"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Root Causes and Preventing Terrorism</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_Toc389208796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29</w:t>
      </w:r>
      <w:r w:rsidRPr="006C0273">
        <w:rPr>
          <w:rFonts w:ascii="Times New Roman" w:hAnsi="Times New Roman" w:cs="Times New Roman"/>
          <w:noProof/>
        </w:rPr>
        <w:fldChar w:fldCharType="end"/>
      </w:r>
    </w:p>
    <w:p w14:paraId="71515889"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Waves of Terrorism Theory</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_Toc389208797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31</w:t>
      </w:r>
      <w:r w:rsidRPr="006C0273">
        <w:rPr>
          <w:rFonts w:ascii="Times New Roman" w:hAnsi="Times New Roman" w:cs="Times New Roman"/>
          <w:noProof/>
        </w:rPr>
        <w:fldChar w:fldCharType="end"/>
      </w:r>
    </w:p>
    <w:p w14:paraId="58BE71CF"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Disengagement and De-Radicalisation of the Irish Republican Movement</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_Toc389208798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35</w:t>
      </w:r>
      <w:r w:rsidRPr="006C0273">
        <w:rPr>
          <w:rFonts w:ascii="Times New Roman" w:hAnsi="Times New Roman" w:cs="Times New Roman"/>
          <w:noProof/>
          <w:sz w:val="24"/>
          <w:szCs w:val="24"/>
        </w:rPr>
        <w:fldChar w:fldCharType="end"/>
      </w:r>
    </w:p>
    <w:p w14:paraId="1D20FD93"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noProof/>
        </w:rPr>
        <w:t>Research Questions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_Toc389208799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36</w:t>
      </w:r>
      <w:r w:rsidRPr="006C0273">
        <w:rPr>
          <w:rFonts w:ascii="Times New Roman" w:hAnsi="Times New Roman" w:cs="Times New Roman"/>
          <w:noProof/>
        </w:rPr>
        <w:fldChar w:fldCharType="end"/>
      </w:r>
    </w:p>
    <w:p w14:paraId="15ACAF0C"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Originality and Contribution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_Toc389208800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38</w:t>
      </w:r>
      <w:r w:rsidRPr="006C0273">
        <w:rPr>
          <w:rFonts w:ascii="Times New Roman" w:hAnsi="Times New Roman" w:cs="Times New Roman"/>
          <w:noProof/>
          <w:sz w:val="24"/>
          <w:szCs w:val="24"/>
        </w:rPr>
        <w:fldChar w:fldCharType="end"/>
      </w:r>
    </w:p>
    <w:p w14:paraId="1CC40D25"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Empirical Originality</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_Toc389208801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39</w:t>
      </w:r>
      <w:r w:rsidRPr="006C0273">
        <w:rPr>
          <w:rFonts w:ascii="Times New Roman" w:hAnsi="Times New Roman" w:cs="Times New Roman"/>
          <w:noProof/>
        </w:rPr>
        <w:fldChar w:fldCharType="end"/>
      </w:r>
    </w:p>
    <w:p w14:paraId="2838F73F"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Conceptual Originality: De-Radicalisation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_Toc389208802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39</w:t>
      </w:r>
      <w:r w:rsidRPr="006C0273">
        <w:rPr>
          <w:rFonts w:ascii="Times New Roman" w:hAnsi="Times New Roman" w:cs="Times New Roman"/>
          <w:noProof/>
        </w:rPr>
        <w:fldChar w:fldCharType="end"/>
      </w:r>
    </w:p>
    <w:p w14:paraId="2C71E535"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Theoretical Contribution: a Social Movement Approach</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_Toc389208803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40</w:t>
      </w:r>
      <w:r w:rsidRPr="006C0273">
        <w:rPr>
          <w:rFonts w:ascii="Times New Roman" w:hAnsi="Times New Roman" w:cs="Times New Roman"/>
          <w:noProof/>
        </w:rPr>
        <w:fldChar w:fldCharType="end"/>
      </w:r>
    </w:p>
    <w:p w14:paraId="2872FA5F"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Analytical Contribution: the Next Generation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_Toc389208804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41</w:t>
      </w:r>
      <w:r w:rsidRPr="006C0273">
        <w:rPr>
          <w:rFonts w:ascii="Times New Roman" w:hAnsi="Times New Roman" w:cs="Times New Roman"/>
          <w:noProof/>
        </w:rPr>
        <w:fldChar w:fldCharType="end"/>
      </w:r>
    </w:p>
    <w:p w14:paraId="5DFBD95D"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Analytical Contribution: Networks of Former Combatants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_Toc389208805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42</w:t>
      </w:r>
      <w:r w:rsidRPr="006C0273">
        <w:rPr>
          <w:rFonts w:ascii="Times New Roman" w:hAnsi="Times New Roman" w:cs="Times New Roman"/>
          <w:noProof/>
        </w:rPr>
        <w:fldChar w:fldCharType="end"/>
      </w:r>
    </w:p>
    <w:p w14:paraId="21CEB03C"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Thesis Outline</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_Toc389208806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43</w:t>
      </w:r>
      <w:r w:rsidRPr="006C0273">
        <w:rPr>
          <w:rFonts w:ascii="Times New Roman" w:hAnsi="Times New Roman" w:cs="Times New Roman"/>
          <w:noProof/>
          <w:sz w:val="24"/>
          <w:szCs w:val="24"/>
        </w:rPr>
        <w:fldChar w:fldCharType="end"/>
      </w:r>
    </w:p>
    <w:p w14:paraId="114BB369"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CHAPTER TWO</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_Toc389208807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47</w:t>
      </w:r>
      <w:r w:rsidRPr="006C0273">
        <w:rPr>
          <w:rFonts w:ascii="Times New Roman" w:hAnsi="Times New Roman" w:cs="Times New Roman"/>
          <w:noProof/>
          <w:sz w:val="24"/>
          <w:szCs w:val="24"/>
        </w:rPr>
        <w:fldChar w:fldCharType="end"/>
      </w:r>
    </w:p>
    <w:p w14:paraId="202E6CCF"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Terminology: Terrorism and the Problem with the Ex’s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_Toc389208808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52</w:t>
      </w:r>
      <w:r w:rsidRPr="006C0273">
        <w:rPr>
          <w:rFonts w:ascii="Times New Roman" w:hAnsi="Times New Roman" w:cs="Times New Roman"/>
          <w:noProof/>
          <w:sz w:val="24"/>
          <w:szCs w:val="24"/>
        </w:rPr>
        <w:fldChar w:fldCharType="end"/>
      </w:r>
    </w:p>
    <w:p w14:paraId="3010F460"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A Social Movement Approach</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_Toc389208809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55</w:t>
      </w:r>
      <w:r w:rsidRPr="006C0273">
        <w:rPr>
          <w:rFonts w:ascii="Times New Roman" w:hAnsi="Times New Roman" w:cs="Times New Roman"/>
          <w:noProof/>
          <w:sz w:val="24"/>
          <w:szCs w:val="24"/>
        </w:rPr>
        <w:fldChar w:fldCharType="end"/>
      </w:r>
    </w:p>
    <w:p w14:paraId="157BE30A"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Attitudinal Change and Frames Analysis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_Toc389208810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61</w:t>
      </w:r>
      <w:r w:rsidRPr="006C0273">
        <w:rPr>
          <w:rFonts w:ascii="Times New Roman" w:hAnsi="Times New Roman" w:cs="Times New Roman"/>
          <w:noProof/>
          <w:sz w:val="24"/>
          <w:szCs w:val="24"/>
        </w:rPr>
        <w:fldChar w:fldCharType="end"/>
      </w:r>
    </w:p>
    <w:p w14:paraId="4CC1BA25"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Organisational Disengagement and Networks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_Toc389208811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72</w:t>
      </w:r>
      <w:r w:rsidRPr="006C0273">
        <w:rPr>
          <w:rFonts w:ascii="Times New Roman" w:hAnsi="Times New Roman" w:cs="Times New Roman"/>
          <w:noProof/>
          <w:sz w:val="24"/>
          <w:szCs w:val="24"/>
        </w:rPr>
        <w:fldChar w:fldCharType="end"/>
      </w:r>
    </w:p>
    <w:p w14:paraId="3F0EEA2B"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Structural Change and the Next Generation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_Toc389208812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75</w:t>
      </w:r>
      <w:r w:rsidRPr="006C0273">
        <w:rPr>
          <w:rFonts w:ascii="Times New Roman" w:hAnsi="Times New Roman" w:cs="Times New Roman"/>
          <w:noProof/>
          <w:sz w:val="24"/>
          <w:szCs w:val="24"/>
        </w:rPr>
        <w:fldChar w:fldCharType="end"/>
      </w:r>
    </w:p>
    <w:p w14:paraId="3A3A4D76"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Methodology</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_Toc389208813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79</w:t>
      </w:r>
      <w:r w:rsidRPr="006C0273">
        <w:rPr>
          <w:rFonts w:ascii="Times New Roman" w:hAnsi="Times New Roman" w:cs="Times New Roman"/>
          <w:noProof/>
          <w:sz w:val="24"/>
          <w:szCs w:val="24"/>
        </w:rPr>
        <w:fldChar w:fldCharType="end"/>
      </w:r>
    </w:p>
    <w:p w14:paraId="69BA7989"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Case Selection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_Toc389208814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80</w:t>
      </w:r>
      <w:r w:rsidRPr="006C0273">
        <w:rPr>
          <w:rFonts w:ascii="Times New Roman" w:hAnsi="Times New Roman" w:cs="Times New Roman"/>
          <w:noProof/>
          <w:sz w:val="24"/>
          <w:szCs w:val="24"/>
        </w:rPr>
        <w:fldChar w:fldCharType="end"/>
      </w:r>
    </w:p>
    <w:p w14:paraId="31D57C86"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Sampling</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_Toc389208815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83</w:t>
      </w:r>
      <w:r w:rsidRPr="006C0273">
        <w:rPr>
          <w:rFonts w:ascii="Times New Roman" w:hAnsi="Times New Roman" w:cs="Times New Roman"/>
          <w:noProof/>
          <w:sz w:val="24"/>
          <w:szCs w:val="24"/>
        </w:rPr>
        <w:fldChar w:fldCharType="end"/>
      </w:r>
    </w:p>
    <w:p w14:paraId="6616EEE7"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Methods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88</w:t>
      </w:r>
      <w:r w:rsidRPr="006C0273">
        <w:rPr>
          <w:rFonts w:ascii="Times New Roman" w:hAnsi="Times New Roman" w:cs="Times New Roman"/>
          <w:noProof/>
          <w:sz w:val="24"/>
          <w:szCs w:val="24"/>
        </w:rPr>
        <w:fldChar w:fldCharType="end"/>
      </w:r>
    </w:p>
    <w:p w14:paraId="18D80609"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CHAPTER THREE</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94</w:t>
      </w:r>
      <w:r w:rsidRPr="006C0273">
        <w:rPr>
          <w:rFonts w:ascii="Times New Roman" w:hAnsi="Times New Roman" w:cs="Times New Roman"/>
          <w:noProof/>
          <w:sz w:val="24"/>
          <w:szCs w:val="24"/>
        </w:rPr>
        <w:fldChar w:fldCharType="end"/>
      </w:r>
    </w:p>
    <w:p w14:paraId="326C533F"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The Rise of the Irish Republican Movement and Partition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95</w:t>
      </w:r>
      <w:r w:rsidRPr="006C0273">
        <w:rPr>
          <w:rFonts w:ascii="Times New Roman" w:hAnsi="Times New Roman" w:cs="Times New Roman"/>
          <w:noProof/>
          <w:sz w:val="24"/>
          <w:szCs w:val="24"/>
        </w:rPr>
        <w:fldChar w:fldCharType="end"/>
      </w:r>
    </w:p>
    <w:p w14:paraId="00C278C6"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Partition and Disengagement: 1920s to the 1960s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_Toc389208819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98</w:t>
      </w:r>
      <w:r w:rsidRPr="006C0273">
        <w:rPr>
          <w:rFonts w:ascii="Times New Roman" w:hAnsi="Times New Roman" w:cs="Times New Roman"/>
          <w:noProof/>
          <w:sz w:val="24"/>
          <w:szCs w:val="24"/>
        </w:rPr>
        <w:fldChar w:fldCharType="end"/>
      </w:r>
    </w:p>
    <w:p w14:paraId="3F9FF216"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Emergence of the Troubles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_Toc389208820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103</w:t>
      </w:r>
      <w:r w:rsidRPr="006C0273">
        <w:rPr>
          <w:rFonts w:ascii="Times New Roman" w:hAnsi="Times New Roman" w:cs="Times New Roman"/>
          <w:noProof/>
          <w:sz w:val="24"/>
          <w:szCs w:val="24"/>
        </w:rPr>
        <w:fldChar w:fldCharType="end"/>
      </w:r>
    </w:p>
    <w:p w14:paraId="76170BA2"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Failed Disengagement in 1975 and Generational Transition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_Toc389208821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110</w:t>
      </w:r>
      <w:r w:rsidRPr="006C0273">
        <w:rPr>
          <w:rFonts w:ascii="Times New Roman" w:hAnsi="Times New Roman" w:cs="Times New Roman"/>
          <w:noProof/>
          <w:sz w:val="24"/>
          <w:szCs w:val="24"/>
        </w:rPr>
        <w:fldChar w:fldCharType="end"/>
      </w:r>
    </w:p>
    <w:p w14:paraId="6D2642C1"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The Provisional IRA’s Disengagement: an Overview</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_Toc389208822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113</w:t>
      </w:r>
      <w:r w:rsidRPr="006C0273">
        <w:rPr>
          <w:rFonts w:ascii="Times New Roman" w:hAnsi="Times New Roman" w:cs="Times New Roman"/>
          <w:noProof/>
          <w:sz w:val="24"/>
          <w:szCs w:val="24"/>
        </w:rPr>
        <w:fldChar w:fldCharType="end"/>
      </w:r>
    </w:p>
    <w:p w14:paraId="6FDBDE85"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Conclusions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_Toc389208823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115</w:t>
      </w:r>
      <w:r w:rsidRPr="006C0273">
        <w:rPr>
          <w:rFonts w:ascii="Times New Roman" w:hAnsi="Times New Roman" w:cs="Times New Roman"/>
          <w:noProof/>
          <w:sz w:val="24"/>
          <w:szCs w:val="24"/>
        </w:rPr>
        <w:fldChar w:fldCharType="end"/>
      </w:r>
    </w:p>
    <w:p w14:paraId="60F4909F"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CHAPTER FOUR</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_Toc389208824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118</w:t>
      </w:r>
      <w:r w:rsidRPr="006C0273">
        <w:rPr>
          <w:rFonts w:ascii="Times New Roman" w:hAnsi="Times New Roman" w:cs="Times New Roman"/>
          <w:noProof/>
          <w:sz w:val="24"/>
          <w:szCs w:val="24"/>
        </w:rPr>
        <w:fldChar w:fldCharType="end"/>
      </w:r>
    </w:p>
    <w:p w14:paraId="215D0ACA"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Disengagement Frames and De-Radicalisation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_Toc389208825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122</w:t>
      </w:r>
      <w:r w:rsidRPr="006C0273">
        <w:rPr>
          <w:rFonts w:ascii="Times New Roman" w:hAnsi="Times New Roman" w:cs="Times New Roman"/>
          <w:noProof/>
          <w:sz w:val="24"/>
          <w:szCs w:val="24"/>
        </w:rPr>
        <w:fldChar w:fldCharType="end"/>
      </w:r>
    </w:p>
    <w:p w14:paraId="0973B7DC"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Narrative Fidelity: from Armed Violence to Politics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129</w:t>
      </w:r>
      <w:r w:rsidRPr="006C0273">
        <w:rPr>
          <w:rFonts w:ascii="Times New Roman" w:hAnsi="Times New Roman" w:cs="Times New Roman"/>
          <w:noProof/>
          <w:sz w:val="24"/>
          <w:szCs w:val="24"/>
        </w:rPr>
        <w:fldChar w:fldCharType="end"/>
      </w:r>
    </w:p>
    <w:p w14:paraId="3761298C"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Credibility and Internal Interaction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_Toc389208827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138</w:t>
      </w:r>
      <w:r w:rsidRPr="006C0273">
        <w:rPr>
          <w:rFonts w:ascii="Times New Roman" w:hAnsi="Times New Roman" w:cs="Times New Roman"/>
          <w:noProof/>
          <w:sz w:val="24"/>
          <w:szCs w:val="24"/>
        </w:rPr>
        <w:fldChar w:fldCharType="end"/>
      </w:r>
    </w:p>
    <w:p w14:paraId="2583A34C"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Internal Dialogue Outside of Prison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_Toc389208828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140</w:t>
      </w:r>
      <w:r w:rsidRPr="006C0273">
        <w:rPr>
          <w:rFonts w:ascii="Times New Roman" w:hAnsi="Times New Roman" w:cs="Times New Roman"/>
          <w:noProof/>
        </w:rPr>
        <w:fldChar w:fldCharType="end"/>
      </w:r>
    </w:p>
    <w:p w14:paraId="461C605E"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The Role of Prisons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_Toc389208829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146</w:t>
      </w:r>
      <w:r w:rsidRPr="006C0273">
        <w:rPr>
          <w:rFonts w:ascii="Times New Roman" w:hAnsi="Times New Roman" w:cs="Times New Roman"/>
          <w:noProof/>
        </w:rPr>
        <w:fldChar w:fldCharType="end"/>
      </w:r>
    </w:p>
    <w:p w14:paraId="49A9D41C"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Selling Disengagement after the Good Friday Agreement</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_Toc389208830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153</w:t>
      </w:r>
      <w:r w:rsidRPr="006C0273">
        <w:rPr>
          <w:rFonts w:ascii="Times New Roman" w:hAnsi="Times New Roman" w:cs="Times New Roman"/>
          <w:noProof/>
          <w:sz w:val="24"/>
          <w:szCs w:val="24"/>
        </w:rPr>
        <w:fldChar w:fldCharType="end"/>
      </w:r>
    </w:p>
    <w:p w14:paraId="133B0779"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Re-Evaluating the Disengagement Process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_Toc389208831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156</w:t>
      </w:r>
      <w:r w:rsidRPr="006C0273">
        <w:rPr>
          <w:rFonts w:ascii="Times New Roman" w:hAnsi="Times New Roman" w:cs="Times New Roman"/>
          <w:noProof/>
          <w:sz w:val="24"/>
          <w:szCs w:val="24"/>
        </w:rPr>
        <w:fldChar w:fldCharType="end"/>
      </w:r>
    </w:p>
    <w:p w14:paraId="5A9A6381"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Negotiations and Popular Support</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_Toc389208832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157</w:t>
      </w:r>
      <w:r w:rsidRPr="006C0273">
        <w:rPr>
          <w:rFonts w:ascii="Times New Roman" w:hAnsi="Times New Roman" w:cs="Times New Roman"/>
          <w:noProof/>
        </w:rPr>
        <w:fldChar w:fldCharType="end"/>
      </w:r>
    </w:p>
    <w:p w14:paraId="6FE82EB1"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The Role of Repression, De-Capitation and Prisons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_Toc389208833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159</w:t>
      </w:r>
      <w:r w:rsidRPr="006C0273">
        <w:rPr>
          <w:rFonts w:ascii="Times New Roman" w:hAnsi="Times New Roman" w:cs="Times New Roman"/>
          <w:noProof/>
        </w:rPr>
        <w:fldChar w:fldCharType="end"/>
      </w:r>
    </w:p>
    <w:p w14:paraId="39542C8B"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De-Radicalisation: Nuanced Frames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_Toc389208834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161</w:t>
      </w:r>
      <w:r w:rsidRPr="006C0273">
        <w:rPr>
          <w:rFonts w:ascii="Times New Roman" w:hAnsi="Times New Roman" w:cs="Times New Roman"/>
          <w:noProof/>
        </w:rPr>
        <w:fldChar w:fldCharType="end"/>
      </w:r>
    </w:p>
    <w:p w14:paraId="6D3DAE14"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Conclusion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_Toc389208835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163</w:t>
      </w:r>
      <w:r w:rsidRPr="006C0273">
        <w:rPr>
          <w:rFonts w:ascii="Times New Roman" w:hAnsi="Times New Roman" w:cs="Times New Roman"/>
          <w:noProof/>
          <w:sz w:val="24"/>
          <w:szCs w:val="24"/>
        </w:rPr>
        <w:fldChar w:fldCharType="end"/>
      </w:r>
    </w:p>
    <w:p w14:paraId="724C3072"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CHAPTER FIVE</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_Toc389208836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166</w:t>
      </w:r>
      <w:r w:rsidRPr="006C0273">
        <w:rPr>
          <w:rFonts w:ascii="Times New Roman" w:hAnsi="Times New Roman" w:cs="Times New Roman"/>
          <w:noProof/>
          <w:sz w:val="24"/>
          <w:szCs w:val="24"/>
        </w:rPr>
        <w:fldChar w:fldCharType="end"/>
      </w:r>
    </w:p>
    <w:p w14:paraId="6FEB76EE"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Social Movement Disengagement</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_Toc389208837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168</w:t>
      </w:r>
      <w:r w:rsidRPr="006C0273">
        <w:rPr>
          <w:rFonts w:ascii="Times New Roman" w:hAnsi="Times New Roman" w:cs="Times New Roman"/>
          <w:noProof/>
          <w:sz w:val="24"/>
          <w:szCs w:val="24"/>
        </w:rPr>
        <w:fldChar w:fldCharType="end"/>
      </w:r>
    </w:p>
    <w:p w14:paraId="373E697E"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Organisational Disengagement: the Mobile Phones Network</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_Toc389208838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172</w:t>
      </w:r>
      <w:r w:rsidRPr="006C0273">
        <w:rPr>
          <w:rFonts w:ascii="Times New Roman" w:hAnsi="Times New Roman" w:cs="Times New Roman"/>
          <w:noProof/>
          <w:sz w:val="24"/>
          <w:szCs w:val="24"/>
        </w:rPr>
        <w:fldChar w:fldCharType="end"/>
      </w:r>
    </w:p>
    <w:p w14:paraId="7061E94D"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Disarmament, Demobilisation and Re-Integration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_Toc389208839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173</w:t>
      </w:r>
      <w:r w:rsidRPr="006C0273">
        <w:rPr>
          <w:rFonts w:ascii="Times New Roman" w:hAnsi="Times New Roman" w:cs="Times New Roman"/>
          <w:noProof/>
        </w:rPr>
        <w:fldChar w:fldCharType="end"/>
      </w:r>
    </w:p>
    <w:p w14:paraId="774029B4"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Mobile Phone Networks and Interface Violence</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_Toc389208840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177</w:t>
      </w:r>
      <w:r w:rsidRPr="006C0273">
        <w:rPr>
          <w:rFonts w:ascii="Times New Roman" w:hAnsi="Times New Roman" w:cs="Times New Roman"/>
          <w:noProof/>
        </w:rPr>
        <w:fldChar w:fldCharType="end"/>
      </w:r>
    </w:p>
    <w:p w14:paraId="738CCC75"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Interaction and the ‘Domino-Effect’</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_Toc389208841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186</w:t>
      </w:r>
      <w:r w:rsidRPr="006C0273">
        <w:rPr>
          <w:rFonts w:ascii="Times New Roman" w:hAnsi="Times New Roman" w:cs="Times New Roman"/>
          <w:noProof/>
        </w:rPr>
        <w:fldChar w:fldCharType="end"/>
      </w:r>
    </w:p>
    <w:p w14:paraId="7B8C9E42"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The Political System: Consociationalism and Conflict</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_Toc389208842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191</w:t>
      </w:r>
      <w:r w:rsidRPr="006C0273">
        <w:rPr>
          <w:rFonts w:ascii="Times New Roman" w:hAnsi="Times New Roman" w:cs="Times New Roman"/>
          <w:noProof/>
          <w:sz w:val="24"/>
          <w:szCs w:val="24"/>
        </w:rPr>
        <w:fldChar w:fldCharType="end"/>
      </w:r>
    </w:p>
    <w:p w14:paraId="5CA0509F"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De-Radicalisation and the Limits of Frame Diffusion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_Toc389208843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204</w:t>
      </w:r>
      <w:r w:rsidRPr="006C0273">
        <w:rPr>
          <w:rFonts w:ascii="Times New Roman" w:hAnsi="Times New Roman" w:cs="Times New Roman"/>
          <w:noProof/>
          <w:sz w:val="24"/>
          <w:szCs w:val="24"/>
        </w:rPr>
        <w:fldChar w:fldCharType="end"/>
      </w:r>
    </w:p>
    <w:p w14:paraId="0D41CD57"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Conclusion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_Toc389208844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211</w:t>
      </w:r>
      <w:r w:rsidRPr="006C0273">
        <w:rPr>
          <w:rFonts w:ascii="Times New Roman" w:hAnsi="Times New Roman" w:cs="Times New Roman"/>
          <w:noProof/>
          <w:sz w:val="24"/>
          <w:szCs w:val="24"/>
        </w:rPr>
        <w:fldChar w:fldCharType="end"/>
      </w:r>
    </w:p>
    <w:p w14:paraId="306F3376"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CHAPTER SIX</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_Toc389208845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214</w:t>
      </w:r>
      <w:r w:rsidRPr="006C0273">
        <w:rPr>
          <w:rFonts w:ascii="Times New Roman" w:hAnsi="Times New Roman" w:cs="Times New Roman"/>
          <w:noProof/>
          <w:sz w:val="24"/>
          <w:szCs w:val="24"/>
        </w:rPr>
        <w:fldChar w:fldCharType="end"/>
      </w:r>
    </w:p>
    <w:p w14:paraId="3515F9D4"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Disengagement Frames and the Next Generation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217</w:t>
      </w:r>
      <w:r w:rsidRPr="006C0273">
        <w:rPr>
          <w:rFonts w:ascii="Times New Roman" w:hAnsi="Times New Roman" w:cs="Times New Roman"/>
          <w:noProof/>
          <w:sz w:val="24"/>
          <w:szCs w:val="24"/>
        </w:rPr>
        <w:fldChar w:fldCharType="end"/>
      </w:r>
    </w:p>
    <w:p w14:paraId="271E0A31"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Lost in Translation: mixed signals and the glamourisation of violence</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221</w:t>
      </w:r>
      <w:r w:rsidRPr="006C0273">
        <w:rPr>
          <w:rFonts w:ascii="Times New Roman" w:hAnsi="Times New Roman" w:cs="Times New Roman"/>
          <w:noProof/>
          <w:sz w:val="24"/>
          <w:szCs w:val="24"/>
        </w:rPr>
        <w:fldChar w:fldCharType="end"/>
      </w:r>
    </w:p>
    <w:p w14:paraId="4679BAEA"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Frame Diffusion and Networks: Sinn Fein Youth</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_Toc389208848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226</w:t>
      </w:r>
      <w:r w:rsidRPr="006C0273">
        <w:rPr>
          <w:rFonts w:ascii="Times New Roman" w:hAnsi="Times New Roman" w:cs="Times New Roman"/>
          <w:noProof/>
          <w:sz w:val="24"/>
          <w:szCs w:val="24"/>
        </w:rPr>
        <w:fldChar w:fldCharType="end"/>
      </w:r>
    </w:p>
    <w:p w14:paraId="470476ED"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Frames, Stories and Networks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_Toc389208849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228</w:t>
      </w:r>
      <w:r w:rsidRPr="006C0273">
        <w:rPr>
          <w:rFonts w:ascii="Times New Roman" w:hAnsi="Times New Roman" w:cs="Times New Roman"/>
          <w:noProof/>
        </w:rPr>
        <w:fldChar w:fldCharType="end"/>
      </w:r>
    </w:p>
    <w:p w14:paraId="11534CB9"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noProof/>
        </w:rPr>
        <w:t>In</w:t>
      </w:r>
      <w:r w:rsidRPr="006C0273">
        <w:rPr>
          <w:rFonts w:ascii="Times New Roman" w:hAnsi="Times New Roman" w:cs="Times New Roman"/>
          <w:i/>
          <w:iCs/>
          <w:noProof/>
        </w:rPr>
        <w:t>tergenerational Dialogue and Glamourising Violence</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_Toc389208850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230</w:t>
      </w:r>
      <w:r w:rsidRPr="006C0273">
        <w:rPr>
          <w:rFonts w:ascii="Times New Roman" w:hAnsi="Times New Roman" w:cs="Times New Roman"/>
          <w:noProof/>
        </w:rPr>
        <w:fldChar w:fldCharType="end"/>
      </w:r>
    </w:p>
    <w:p w14:paraId="43B31AE4"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Frame Resonance: Credibility and De-Legitimising (Current) Violence</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_Toc389208851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233</w:t>
      </w:r>
      <w:r w:rsidRPr="006C0273">
        <w:rPr>
          <w:rFonts w:ascii="Times New Roman" w:hAnsi="Times New Roman" w:cs="Times New Roman"/>
          <w:noProof/>
        </w:rPr>
        <w:fldChar w:fldCharType="end"/>
      </w:r>
    </w:p>
    <w:p w14:paraId="491B73D2"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Former Combatants in Schools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_Toc389208852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240</w:t>
      </w:r>
      <w:r w:rsidRPr="006C0273">
        <w:rPr>
          <w:rFonts w:ascii="Times New Roman" w:hAnsi="Times New Roman" w:cs="Times New Roman"/>
          <w:noProof/>
          <w:sz w:val="24"/>
          <w:szCs w:val="24"/>
        </w:rPr>
        <w:fldChar w:fldCharType="end"/>
      </w:r>
    </w:p>
    <w:p w14:paraId="3D3714B5"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Prisoner to Peace Project in Schools</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_Toc389208853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243</w:t>
      </w:r>
      <w:r w:rsidRPr="006C0273">
        <w:rPr>
          <w:rFonts w:ascii="Times New Roman" w:hAnsi="Times New Roman" w:cs="Times New Roman"/>
          <w:noProof/>
        </w:rPr>
        <w:fldChar w:fldCharType="end"/>
      </w:r>
    </w:p>
    <w:p w14:paraId="0522404B"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Credibility, Linkages and De-Glamourising Violence</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_Toc389208854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246</w:t>
      </w:r>
      <w:r w:rsidRPr="006C0273">
        <w:rPr>
          <w:rFonts w:ascii="Times New Roman" w:hAnsi="Times New Roman" w:cs="Times New Roman"/>
          <w:noProof/>
        </w:rPr>
        <w:fldChar w:fldCharType="end"/>
      </w:r>
    </w:p>
    <w:p w14:paraId="0E093D3D"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Frame Resonance and Unconditional De-Radicalisation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_Toc389208855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252</w:t>
      </w:r>
      <w:r w:rsidRPr="006C0273">
        <w:rPr>
          <w:rFonts w:ascii="Times New Roman" w:hAnsi="Times New Roman" w:cs="Times New Roman"/>
          <w:noProof/>
        </w:rPr>
        <w:fldChar w:fldCharType="end"/>
      </w:r>
    </w:p>
    <w:p w14:paraId="137F0549"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Conclusion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_Toc389208856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256</w:t>
      </w:r>
      <w:r w:rsidRPr="006C0273">
        <w:rPr>
          <w:rFonts w:ascii="Times New Roman" w:hAnsi="Times New Roman" w:cs="Times New Roman"/>
          <w:noProof/>
          <w:sz w:val="24"/>
          <w:szCs w:val="24"/>
        </w:rPr>
        <w:fldChar w:fldCharType="end"/>
      </w:r>
    </w:p>
    <w:p w14:paraId="0AFA76DF"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CONCLUSION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_Toc389208857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259</w:t>
      </w:r>
      <w:r w:rsidRPr="006C0273">
        <w:rPr>
          <w:rFonts w:ascii="Times New Roman" w:hAnsi="Times New Roman" w:cs="Times New Roman"/>
          <w:noProof/>
          <w:sz w:val="24"/>
          <w:szCs w:val="24"/>
        </w:rPr>
        <w:fldChar w:fldCharType="end"/>
      </w:r>
    </w:p>
    <w:p w14:paraId="45AF0913"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How Terrorism Ends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_Toc389208858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261</w:t>
      </w:r>
      <w:r w:rsidRPr="006C0273">
        <w:rPr>
          <w:rFonts w:ascii="Times New Roman" w:hAnsi="Times New Roman" w:cs="Times New Roman"/>
          <w:noProof/>
          <w:sz w:val="24"/>
          <w:szCs w:val="24"/>
        </w:rPr>
        <w:fldChar w:fldCharType="end"/>
      </w:r>
    </w:p>
    <w:p w14:paraId="66FC035A"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What makes a disengagement process successful?</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_Toc389208859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261</w:t>
      </w:r>
      <w:r w:rsidRPr="006C0273">
        <w:rPr>
          <w:rFonts w:ascii="Times New Roman" w:hAnsi="Times New Roman" w:cs="Times New Roman"/>
          <w:noProof/>
        </w:rPr>
        <w:fldChar w:fldCharType="end"/>
      </w:r>
    </w:p>
    <w:p w14:paraId="6D1991A6"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How do social movement terrorism campaigns end and reduce the risk of recidivism?</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_Toc389208860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264</w:t>
      </w:r>
      <w:r w:rsidRPr="006C0273">
        <w:rPr>
          <w:rFonts w:ascii="Times New Roman" w:hAnsi="Times New Roman" w:cs="Times New Roman"/>
          <w:noProof/>
        </w:rPr>
        <w:fldChar w:fldCharType="end"/>
      </w:r>
    </w:p>
    <w:p w14:paraId="08F5741C"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De-Radicalisation</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_Toc389208861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268</w:t>
      </w:r>
      <w:r w:rsidRPr="006C0273">
        <w:rPr>
          <w:rFonts w:ascii="Times New Roman" w:hAnsi="Times New Roman" w:cs="Times New Roman"/>
          <w:noProof/>
          <w:sz w:val="24"/>
          <w:szCs w:val="24"/>
        </w:rPr>
        <w:fldChar w:fldCharType="end"/>
      </w:r>
    </w:p>
    <w:p w14:paraId="4B7411BD"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What is de-radicalisation?</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_Toc389208862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268</w:t>
      </w:r>
      <w:r w:rsidRPr="006C0273">
        <w:rPr>
          <w:rFonts w:ascii="Times New Roman" w:hAnsi="Times New Roman" w:cs="Times New Roman"/>
          <w:noProof/>
        </w:rPr>
        <w:fldChar w:fldCharType="end"/>
      </w:r>
    </w:p>
    <w:p w14:paraId="3ED96902" w14:textId="77777777" w:rsidR="00007D71" w:rsidRPr="006C0273" w:rsidRDefault="00007D71">
      <w:pPr>
        <w:pStyle w:val="TOC4"/>
        <w:tabs>
          <w:tab w:val="right" w:leader="dot" w:pos="8188"/>
        </w:tabs>
        <w:rPr>
          <w:rFonts w:ascii="Times New Roman" w:hAnsi="Times New Roman" w:cs="Times New Roman"/>
          <w:noProof/>
          <w:lang w:bidi="hi-IN"/>
        </w:rPr>
      </w:pPr>
      <w:r w:rsidRPr="006C0273">
        <w:rPr>
          <w:rFonts w:ascii="Times New Roman" w:hAnsi="Times New Roman" w:cs="Times New Roman"/>
          <w:i/>
          <w:iCs/>
          <w:noProof/>
        </w:rPr>
        <w:t>What role does de-radicalisation play in the ending of terrorism?</w:t>
      </w:r>
      <w:r w:rsidRPr="006C0273">
        <w:rPr>
          <w:rFonts w:ascii="Times New Roman" w:hAnsi="Times New Roman" w:cs="Times New Roman"/>
          <w:noProof/>
        </w:rPr>
        <w:tab/>
      </w:r>
      <w:r w:rsidRPr="006C0273">
        <w:rPr>
          <w:rFonts w:ascii="Times New Roman" w:hAnsi="Times New Roman" w:cs="Times New Roman"/>
          <w:noProof/>
        </w:rPr>
        <w:fldChar w:fldCharType="begin"/>
      </w:r>
      <w:r w:rsidRPr="006C0273">
        <w:rPr>
          <w:rFonts w:ascii="Times New Roman" w:hAnsi="Times New Roman" w:cs="Times New Roman"/>
          <w:noProof/>
        </w:rPr>
        <w:instrText xml:space="preserve"> PAGEREF _Toc389208863 \h </w:instrText>
      </w:r>
      <w:r w:rsidRPr="006C0273">
        <w:rPr>
          <w:rFonts w:ascii="Times New Roman" w:hAnsi="Times New Roman" w:cs="Times New Roman"/>
          <w:noProof/>
        </w:rPr>
      </w:r>
      <w:r w:rsidRPr="006C0273">
        <w:rPr>
          <w:rFonts w:ascii="Times New Roman" w:hAnsi="Times New Roman" w:cs="Times New Roman"/>
          <w:noProof/>
        </w:rPr>
        <w:fldChar w:fldCharType="separate"/>
      </w:r>
      <w:r w:rsidR="007A04F6">
        <w:rPr>
          <w:rFonts w:ascii="Times New Roman" w:hAnsi="Times New Roman" w:cs="Times New Roman"/>
          <w:noProof/>
        </w:rPr>
        <w:t>269</w:t>
      </w:r>
      <w:r w:rsidRPr="006C0273">
        <w:rPr>
          <w:rFonts w:ascii="Times New Roman" w:hAnsi="Times New Roman" w:cs="Times New Roman"/>
          <w:noProof/>
        </w:rPr>
        <w:fldChar w:fldCharType="end"/>
      </w:r>
    </w:p>
    <w:p w14:paraId="359E5A67" w14:textId="77777777" w:rsidR="00007D71" w:rsidRPr="006C0273" w:rsidRDefault="00007D71">
      <w:pPr>
        <w:pStyle w:val="TOC3"/>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noProof/>
          <w:sz w:val="24"/>
          <w:szCs w:val="24"/>
        </w:rPr>
        <w:t>Implications</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_Toc389208864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272</w:t>
      </w:r>
      <w:r w:rsidRPr="006C0273">
        <w:rPr>
          <w:rFonts w:ascii="Times New Roman" w:hAnsi="Times New Roman" w:cs="Times New Roman"/>
          <w:noProof/>
          <w:sz w:val="24"/>
          <w:szCs w:val="24"/>
        </w:rPr>
        <w:fldChar w:fldCharType="end"/>
      </w:r>
    </w:p>
    <w:p w14:paraId="16FEF1BE" w14:textId="77777777" w:rsidR="00007D71" w:rsidRPr="006C0273" w:rsidRDefault="00007D71">
      <w:pPr>
        <w:pStyle w:val="TOC2"/>
        <w:tabs>
          <w:tab w:val="right" w:leader="dot" w:pos="8188"/>
        </w:tabs>
        <w:rPr>
          <w:rFonts w:ascii="Times New Roman" w:hAnsi="Times New Roman" w:cs="Times New Roman"/>
          <w:noProof/>
          <w:sz w:val="24"/>
          <w:szCs w:val="24"/>
          <w:lang w:val="en-GB" w:eastAsia="zh-CN" w:bidi="hi-IN"/>
        </w:rPr>
      </w:pPr>
      <w:r w:rsidRPr="006C0273">
        <w:rPr>
          <w:rFonts w:ascii="Times New Roman" w:hAnsi="Times New Roman" w:cs="Times New Roman"/>
          <w:b/>
          <w:bCs/>
          <w:noProof/>
          <w:sz w:val="24"/>
          <w:szCs w:val="24"/>
        </w:rPr>
        <w:t>BIBLIOGRAPHY</w:t>
      </w:r>
      <w:r w:rsidRPr="006C0273">
        <w:rPr>
          <w:rFonts w:ascii="Times New Roman" w:hAnsi="Times New Roman" w:cs="Times New Roman"/>
          <w:noProof/>
          <w:sz w:val="24"/>
          <w:szCs w:val="24"/>
        </w:rPr>
        <w:tab/>
      </w:r>
      <w:r w:rsidRPr="006C0273">
        <w:rPr>
          <w:rFonts w:ascii="Times New Roman" w:hAnsi="Times New Roman" w:cs="Times New Roman"/>
          <w:noProof/>
          <w:sz w:val="24"/>
          <w:szCs w:val="24"/>
        </w:rPr>
        <w:fldChar w:fldCharType="begin"/>
      </w:r>
      <w:r w:rsidRPr="006C0273">
        <w:rPr>
          <w:rFonts w:ascii="Times New Roman" w:hAnsi="Times New Roman" w:cs="Times New Roman"/>
          <w:noProof/>
          <w:sz w:val="24"/>
          <w:szCs w:val="24"/>
        </w:rPr>
        <w:instrText xml:space="preserve"> PAGEREF _Toc389208865 \h </w:instrText>
      </w:r>
      <w:r w:rsidRPr="006C0273">
        <w:rPr>
          <w:rFonts w:ascii="Times New Roman" w:hAnsi="Times New Roman" w:cs="Times New Roman"/>
          <w:noProof/>
          <w:sz w:val="24"/>
          <w:szCs w:val="24"/>
        </w:rPr>
      </w:r>
      <w:r w:rsidRPr="006C0273">
        <w:rPr>
          <w:rFonts w:ascii="Times New Roman" w:hAnsi="Times New Roman" w:cs="Times New Roman"/>
          <w:noProof/>
          <w:sz w:val="24"/>
          <w:szCs w:val="24"/>
        </w:rPr>
        <w:fldChar w:fldCharType="separate"/>
      </w:r>
      <w:r w:rsidR="007A04F6">
        <w:rPr>
          <w:rFonts w:ascii="Times New Roman" w:hAnsi="Times New Roman" w:cs="Times New Roman"/>
          <w:noProof/>
          <w:sz w:val="24"/>
          <w:szCs w:val="24"/>
        </w:rPr>
        <w:t>275</w:t>
      </w:r>
      <w:r w:rsidRPr="006C0273">
        <w:rPr>
          <w:rFonts w:ascii="Times New Roman" w:hAnsi="Times New Roman" w:cs="Times New Roman"/>
          <w:noProof/>
          <w:sz w:val="24"/>
          <w:szCs w:val="24"/>
        </w:rPr>
        <w:fldChar w:fldCharType="end"/>
      </w:r>
    </w:p>
    <w:p w14:paraId="17103F11" w14:textId="77777777" w:rsidR="00744862" w:rsidRPr="006C0273" w:rsidRDefault="00BC105E" w:rsidP="00B57C7F">
      <w:pPr>
        <w:spacing w:after="200" w:line="360" w:lineRule="auto"/>
        <w:rPr>
          <w:rFonts w:ascii="Times New Roman" w:hAnsi="Times New Roman" w:cs="Times New Roman"/>
        </w:rPr>
      </w:pPr>
      <w:r w:rsidRPr="006C0273">
        <w:rPr>
          <w:rFonts w:ascii="Times New Roman" w:hAnsi="Times New Roman" w:cs="Times New Roman"/>
          <w:lang w:val="en-US" w:eastAsia="ja-JP"/>
        </w:rPr>
        <w:fldChar w:fldCharType="end"/>
      </w:r>
      <w:r w:rsidR="00744862" w:rsidRPr="006C0273">
        <w:rPr>
          <w:rFonts w:ascii="Times New Roman" w:hAnsi="Times New Roman" w:cs="Times New Roman"/>
        </w:rPr>
        <w:br w:type="page"/>
      </w:r>
    </w:p>
    <w:p w14:paraId="65502D70" w14:textId="77777777" w:rsidR="009E3DF5" w:rsidRPr="001C3D76" w:rsidRDefault="009E3DF5" w:rsidP="00B57C7F">
      <w:pPr>
        <w:pStyle w:val="Heading2"/>
        <w:spacing w:before="120" w:line="360" w:lineRule="auto"/>
      </w:pPr>
      <w:bookmarkStart w:id="5" w:name="_Toc389208788"/>
      <w:r w:rsidRPr="001C3D76">
        <w:lastRenderedPageBreak/>
        <w:t>CHAPTER ONE</w:t>
      </w:r>
      <w:bookmarkEnd w:id="5"/>
    </w:p>
    <w:p w14:paraId="7E87CF42" w14:textId="77777777" w:rsidR="00007D71" w:rsidRDefault="007F2662" w:rsidP="00B57C7F">
      <w:pPr>
        <w:spacing w:line="360" w:lineRule="auto"/>
        <w:ind w:right="1701"/>
        <w:rPr>
          <w:b/>
          <w:bCs/>
          <w:sz w:val="40"/>
          <w:szCs w:val="40"/>
        </w:rPr>
      </w:pPr>
      <w:r w:rsidRPr="001C3D76">
        <w:rPr>
          <w:b/>
          <w:bCs/>
          <w:sz w:val="40"/>
          <w:szCs w:val="40"/>
        </w:rPr>
        <w:t xml:space="preserve">The End of Terrorism: Disengagement and </w:t>
      </w:r>
    </w:p>
    <w:p w14:paraId="4FEC1FB7" w14:textId="3B271E13" w:rsidR="007F2662" w:rsidRPr="001C3D76" w:rsidRDefault="007F2662" w:rsidP="00B57C7F">
      <w:pPr>
        <w:spacing w:line="360" w:lineRule="auto"/>
        <w:ind w:right="1701"/>
        <w:rPr>
          <w:b/>
          <w:bCs/>
          <w:sz w:val="40"/>
          <w:szCs w:val="40"/>
        </w:rPr>
      </w:pPr>
      <w:r w:rsidRPr="001C3D76">
        <w:rPr>
          <w:b/>
          <w:bCs/>
          <w:sz w:val="40"/>
          <w:szCs w:val="40"/>
        </w:rPr>
        <w:t>De-Radicalisation</w:t>
      </w:r>
    </w:p>
    <w:p w14:paraId="30899D40" w14:textId="77777777" w:rsidR="009E3DF5" w:rsidRDefault="009E3DF5" w:rsidP="00B57C7F">
      <w:pPr>
        <w:spacing w:line="360" w:lineRule="auto"/>
      </w:pPr>
    </w:p>
    <w:p w14:paraId="2A627E10" w14:textId="19569DF7" w:rsidR="009E3DF5" w:rsidRDefault="007F2662" w:rsidP="00B57C7F">
      <w:pPr>
        <w:spacing w:line="360" w:lineRule="auto"/>
        <w:jc w:val="both"/>
        <w:rPr>
          <w:rFonts w:ascii="Times New Roman" w:hAnsi="Times New Roman" w:cs="Times New Roman"/>
        </w:rPr>
      </w:pPr>
      <w:r>
        <w:tab/>
      </w:r>
      <w:r>
        <w:rPr>
          <w:rFonts w:ascii="Times New Roman" w:hAnsi="Times New Roman" w:cs="Times New Roman"/>
        </w:rPr>
        <w:t>Given the vast amount of research on terrorism, it may seem odd that there has been little written about how terrorism campaigns end</w:t>
      </w:r>
      <w:r w:rsidR="00A25BB4">
        <w:rPr>
          <w:rFonts w:ascii="Times New Roman" w:hAnsi="Times New Roman" w:cs="Times New Roman"/>
        </w:rPr>
        <w:t>.</w:t>
      </w:r>
      <w:r>
        <w:rPr>
          <w:rStyle w:val="FootnoteReference"/>
          <w:rFonts w:ascii="Times New Roman" w:hAnsi="Times New Roman" w:cs="Times New Roman"/>
        </w:rPr>
        <w:footnoteReference w:id="2"/>
      </w:r>
      <w:r>
        <w:rPr>
          <w:rFonts w:ascii="Times New Roman" w:hAnsi="Times New Roman" w:cs="Times New Roman"/>
        </w:rPr>
        <w:t xml:space="preserve"> In response to this gap being highlighted, </w:t>
      </w:r>
      <w:r w:rsidR="006C5AD3">
        <w:rPr>
          <w:rFonts w:ascii="Times New Roman" w:hAnsi="Times New Roman" w:cs="Times New Roman"/>
        </w:rPr>
        <w:t>new</w:t>
      </w:r>
      <w:r>
        <w:rPr>
          <w:rFonts w:ascii="Times New Roman" w:hAnsi="Times New Roman" w:cs="Times New Roman"/>
        </w:rPr>
        <w:t xml:space="preserve"> research </w:t>
      </w:r>
      <w:r w:rsidR="006C5AD3">
        <w:rPr>
          <w:rFonts w:ascii="Times New Roman" w:hAnsi="Times New Roman" w:cs="Times New Roman"/>
        </w:rPr>
        <w:t xml:space="preserve">has </w:t>
      </w:r>
      <w:r>
        <w:rPr>
          <w:rFonts w:ascii="Times New Roman" w:hAnsi="Times New Roman" w:cs="Times New Roman"/>
        </w:rPr>
        <w:t xml:space="preserve">emerged </w:t>
      </w:r>
      <w:r w:rsidR="007B140D">
        <w:rPr>
          <w:rFonts w:ascii="Times New Roman" w:hAnsi="Times New Roman" w:cs="Times New Roman"/>
        </w:rPr>
        <w:t xml:space="preserve">over the last few years </w:t>
      </w:r>
      <w:r>
        <w:rPr>
          <w:rFonts w:ascii="Times New Roman" w:hAnsi="Times New Roman" w:cs="Times New Roman"/>
        </w:rPr>
        <w:t xml:space="preserve">that </w:t>
      </w:r>
      <w:r w:rsidR="006C5AD3">
        <w:rPr>
          <w:rFonts w:ascii="Times New Roman" w:hAnsi="Times New Roman" w:cs="Times New Roman"/>
        </w:rPr>
        <w:t xml:space="preserve">has </w:t>
      </w:r>
      <w:r>
        <w:rPr>
          <w:rFonts w:ascii="Times New Roman" w:hAnsi="Times New Roman" w:cs="Times New Roman"/>
        </w:rPr>
        <w:t>sought to identify the range of factors that bring a terrorism campaign to a conclusion, from military repression, policing and intelligence to internal disintegration and participation in peace processes</w:t>
      </w:r>
      <w:r w:rsidR="00A25BB4">
        <w:rPr>
          <w:rFonts w:ascii="Times New Roman" w:hAnsi="Times New Roman" w:cs="Times New Roman"/>
        </w:rPr>
        <w:t>.</w:t>
      </w:r>
      <w:r>
        <w:rPr>
          <w:rStyle w:val="FootnoteReference"/>
          <w:rFonts w:ascii="Times New Roman" w:hAnsi="Times New Roman" w:cs="Times New Roman"/>
        </w:rPr>
        <w:footnoteReference w:id="3"/>
      </w:r>
      <w:r>
        <w:rPr>
          <w:rFonts w:ascii="Times New Roman" w:hAnsi="Times New Roman" w:cs="Times New Roman"/>
        </w:rPr>
        <w:t xml:space="preserve"> In the studies that emerged, the Provisional Irish Republican Army (IRA) was presented as a prime example of how terrorism campaigns end voluntarily through engagement in a peace process. </w:t>
      </w:r>
      <w:r w:rsidR="00554FB1">
        <w:rPr>
          <w:rFonts w:ascii="Times New Roman" w:hAnsi="Times New Roman" w:cs="Times New Roman"/>
        </w:rPr>
        <w:t xml:space="preserve">While claims that it represents a success story may be merited, the continued existence of militant groups, albeit far smaller, such as the New IRA, and the recruitment of young people </w:t>
      </w:r>
      <w:r w:rsidR="00EC3B9B">
        <w:rPr>
          <w:rFonts w:ascii="Times New Roman" w:hAnsi="Times New Roman" w:cs="Times New Roman"/>
        </w:rPr>
        <w:t>to continue the campaign for another generation poses a problem. This problem is not new: after their defeat in the 1920s Irish civil war, the original IRA continued to exist in some form and attract young people, meaning that when circumstances chang</w:t>
      </w:r>
      <w:r w:rsidR="0049100D">
        <w:rPr>
          <w:rFonts w:ascii="Times New Roman" w:hAnsi="Times New Roman" w:cs="Times New Roman"/>
        </w:rPr>
        <w:t xml:space="preserve">ed in the 1960s, a </w:t>
      </w:r>
      <w:r w:rsidR="00EC3B9B">
        <w:rPr>
          <w:rFonts w:ascii="Times New Roman" w:hAnsi="Times New Roman" w:cs="Times New Roman"/>
        </w:rPr>
        <w:t>more powerful IRA could begin a new campaign. Thus, when seeking to explain how terrorism campaigns</w:t>
      </w:r>
      <w:r w:rsidR="0049100D">
        <w:rPr>
          <w:rFonts w:ascii="Times New Roman" w:hAnsi="Times New Roman" w:cs="Times New Roman"/>
        </w:rPr>
        <w:t xml:space="preserve"> end</w:t>
      </w:r>
      <w:r w:rsidR="00EC3B9B">
        <w:rPr>
          <w:rFonts w:ascii="Times New Roman" w:hAnsi="Times New Roman" w:cs="Times New Roman"/>
        </w:rPr>
        <w:t>, the question arises of how do they end in such a way that reduces the risk of a slip-ba</w:t>
      </w:r>
      <w:r w:rsidR="007F191E">
        <w:rPr>
          <w:rFonts w:ascii="Times New Roman" w:hAnsi="Times New Roman" w:cs="Times New Roman"/>
        </w:rPr>
        <w:t>ck into violence within society?</w:t>
      </w:r>
      <w:r w:rsidR="00EC3B9B">
        <w:rPr>
          <w:rFonts w:ascii="Times New Roman" w:hAnsi="Times New Roman" w:cs="Times New Roman"/>
        </w:rPr>
        <w:t xml:space="preserve"> </w:t>
      </w:r>
      <w:r>
        <w:rPr>
          <w:rFonts w:ascii="Times New Roman" w:hAnsi="Times New Roman" w:cs="Times New Roman"/>
        </w:rPr>
        <w:t xml:space="preserve"> </w:t>
      </w:r>
    </w:p>
    <w:p w14:paraId="068A12D5" w14:textId="5733E962" w:rsidR="0049100D" w:rsidRDefault="00D6299A" w:rsidP="00B57C7F">
      <w:pPr>
        <w:spacing w:line="360" w:lineRule="auto"/>
        <w:jc w:val="both"/>
        <w:rPr>
          <w:rFonts w:ascii="Times New Roman" w:hAnsi="Times New Roman" w:cs="Times New Roman"/>
        </w:rPr>
      </w:pPr>
      <w:r>
        <w:rPr>
          <w:rFonts w:ascii="Times New Roman" w:hAnsi="Times New Roman" w:cs="Times New Roman"/>
        </w:rPr>
        <w:tab/>
      </w:r>
      <w:r w:rsidR="00634C0C">
        <w:rPr>
          <w:rFonts w:ascii="Times New Roman" w:hAnsi="Times New Roman" w:cs="Times New Roman"/>
        </w:rPr>
        <w:t>With regard to the definition of terrorism, Chapter Two expands on how the thesis contextualises terrorism within the wider spectrum of political violence</w:t>
      </w:r>
      <w:r w:rsidR="00F97F41">
        <w:rPr>
          <w:rFonts w:ascii="Times New Roman" w:hAnsi="Times New Roman" w:cs="Times New Roman"/>
        </w:rPr>
        <w:t xml:space="preserve">, </w:t>
      </w:r>
      <w:r w:rsidR="00F97F41">
        <w:rPr>
          <w:rFonts w:ascii="Times New Roman" w:hAnsi="Times New Roman" w:cs="Times New Roman"/>
        </w:rPr>
        <w:lastRenderedPageBreak/>
        <w:t>defined as: ‘a violent means aimed at triggering political change by affecting a larger audience than its immediate target’,</w:t>
      </w:r>
      <w:r w:rsidR="00F97F41">
        <w:rPr>
          <w:rStyle w:val="FootnoteReference"/>
          <w:rFonts w:ascii="Times New Roman" w:hAnsi="Times New Roman" w:cs="Times New Roman"/>
        </w:rPr>
        <w:footnoteReference w:id="4"/>
      </w:r>
      <w:r w:rsidR="00F97F41">
        <w:rPr>
          <w:rFonts w:ascii="Times New Roman" w:hAnsi="Times New Roman" w:cs="Times New Roman"/>
        </w:rPr>
        <w:t xml:space="preserve"> or which is perceived to be political, and its legitimacy is contested</w:t>
      </w:r>
      <w:r w:rsidR="00634C0C">
        <w:rPr>
          <w:rFonts w:ascii="Times New Roman" w:hAnsi="Times New Roman" w:cs="Times New Roman"/>
        </w:rPr>
        <w:t xml:space="preserve">. </w:t>
      </w:r>
      <w:r w:rsidR="00F97F41">
        <w:rPr>
          <w:rFonts w:ascii="Times New Roman" w:hAnsi="Times New Roman" w:cs="Times New Roman"/>
        </w:rPr>
        <w:t>The thesis</w:t>
      </w:r>
      <w:r w:rsidR="00634C0C">
        <w:rPr>
          <w:rFonts w:ascii="Times New Roman" w:hAnsi="Times New Roman" w:cs="Times New Roman"/>
        </w:rPr>
        <w:t xml:space="preserve"> sees an end to terrorism as an objective decline in political violence more generally and a change in how political violence is constructed as a legitimate behaviour.</w:t>
      </w:r>
      <w:r w:rsidR="00711E77">
        <w:rPr>
          <w:rFonts w:ascii="Times New Roman" w:hAnsi="Times New Roman" w:cs="Times New Roman"/>
        </w:rPr>
        <w:t xml:space="preserve"> This definition emerges from the thesis’ critical realist ontological underpinnings – discussed in Chapter Two - meaning the thesis separates the role of structure and agency to analyse the interaction of the two. Broadly speaking, a critical realist approach to how terrorism ends would emphasise the transformation of social networks and ideas, which then lead to structural change, meaning the next generation are unlikely to engage in terrorism as a result.</w:t>
      </w:r>
      <w:r w:rsidR="00634C0C">
        <w:rPr>
          <w:rFonts w:ascii="Times New Roman" w:hAnsi="Times New Roman" w:cs="Times New Roman"/>
        </w:rPr>
        <w:t xml:space="preserve"> </w:t>
      </w:r>
    </w:p>
    <w:p w14:paraId="2AF6BBB6" w14:textId="66B9858F" w:rsidR="0049100D" w:rsidRDefault="00634C0C" w:rsidP="00B57C7F">
      <w:pPr>
        <w:spacing w:line="360" w:lineRule="auto"/>
        <w:ind w:firstLine="720"/>
        <w:jc w:val="both"/>
        <w:rPr>
          <w:rFonts w:ascii="Times New Roman" w:hAnsi="Times New Roman" w:cs="Times New Roman"/>
        </w:rPr>
      </w:pPr>
      <w:r>
        <w:rPr>
          <w:rFonts w:ascii="Times New Roman" w:hAnsi="Times New Roman" w:cs="Times New Roman"/>
        </w:rPr>
        <w:t>The thesis focuses on the Irish Republican movement as a social movement because by broadening the analysis to include sympathisers and many of the Republican groups, the thesis can offer a more holistic explanation of how terrorism campaigns end. However, as the Provisional IRA was a substantial part of this movement, the</w:t>
      </w:r>
      <w:r w:rsidR="00D6299A">
        <w:rPr>
          <w:rFonts w:ascii="Times New Roman" w:hAnsi="Times New Roman" w:cs="Times New Roman"/>
        </w:rPr>
        <w:t xml:space="preserve"> thesis focuses on how the Provisional IRA’s campaign ended and </w:t>
      </w:r>
      <w:r>
        <w:rPr>
          <w:rFonts w:ascii="Times New Roman" w:hAnsi="Times New Roman" w:cs="Times New Roman"/>
        </w:rPr>
        <w:t>how its interaction with the rest of the Republican movement has had a domino-effect, thereby encouraging others to leave violence behind.</w:t>
      </w:r>
      <w:r w:rsidR="0024172D">
        <w:rPr>
          <w:rFonts w:ascii="Times New Roman" w:hAnsi="Times New Roman" w:cs="Times New Roman"/>
        </w:rPr>
        <w:t xml:space="preserve"> In addition to using social movements as the object of analysis, the thesis utilises social movement theories to explain a social movement’s reduction in the use of violence.</w:t>
      </w:r>
      <w:r>
        <w:rPr>
          <w:rFonts w:ascii="Times New Roman" w:hAnsi="Times New Roman" w:cs="Times New Roman"/>
        </w:rPr>
        <w:t xml:space="preserve"> By using a frames analysis approach, the thesis </w:t>
      </w:r>
      <w:r w:rsidR="00D6299A">
        <w:rPr>
          <w:rFonts w:ascii="Times New Roman" w:hAnsi="Times New Roman" w:cs="Times New Roman"/>
        </w:rPr>
        <w:t>explain</w:t>
      </w:r>
      <w:r>
        <w:rPr>
          <w:rFonts w:ascii="Times New Roman" w:hAnsi="Times New Roman" w:cs="Times New Roman"/>
        </w:rPr>
        <w:t>s</w:t>
      </w:r>
      <w:r w:rsidR="00D6299A">
        <w:rPr>
          <w:rFonts w:ascii="Times New Roman" w:hAnsi="Times New Roman" w:cs="Times New Roman"/>
        </w:rPr>
        <w:t xml:space="preserve"> how leaders in the Provisional IRA convinced its rank-and-file members to support an end to their decades-long armed conflict. By using a frames analysis, the thesis engages in debates on to what extent attitudinal change is necessary for terrorism campaigns to be brought to a conclusion, providing an original contribution that challenges a number of key assumptions on the subject. The thesis also provides the first attempt to explain the decline of social movement terrorism campaigns, utilising original interview data to account for how the Provisional IRA have managed to encourage other militants, Republican and Loyalist, to move away from violence, thereby reducing the risk of a slip-back into Republican violence (whether as a response to Loyalist violence or a loss of faith in the political system). </w:t>
      </w:r>
    </w:p>
    <w:p w14:paraId="1F8AEF2D" w14:textId="18C2D428" w:rsidR="00D6299A" w:rsidRDefault="00D6299A"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Finally, the thesis explores the interaction between former combatants, including Provisional IRA members, and the younger generation. It assesses the extent to which the arguments that convinced Provisional IRA members to end their campaign resonate with young people, thus marking a generational shift away from the cycles of violence that has permeated the Irish Republican movement. By analysing these three dimensions together – interaction within and between the group, the social movement,</w:t>
      </w:r>
      <w:r w:rsidR="0049100D">
        <w:rPr>
          <w:rFonts w:ascii="Times New Roman" w:hAnsi="Times New Roman" w:cs="Times New Roman"/>
        </w:rPr>
        <w:t xml:space="preserve"> and</w:t>
      </w:r>
      <w:r>
        <w:rPr>
          <w:rFonts w:ascii="Times New Roman" w:hAnsi="Times New Roman" w:cs="Times New Roman"/>
        </w:rPr>
        <w:t xml:space="preserve"> the next generation - the thesis provides a broader and more holistic explanation of how terrorism campaigns end, identifying the importance of attitudinal change which other, narrower studies have underplayed. </w:t>
      </w:r>
    </w:p>
    <w:p w14:paraId="30065024" w14:textId="0A05E36A" w:rsidR="00C932F0" w:rsidRDefault="00C932F0" w:rsidP="00B57C7F">
      <w:pPr>
        <w:spacing w:line="360" w:lineRule="auto"/>
        <w:jc w:val="both"/>
        <w:rPr>
          <w:rFonts w:ascii="Times New Roman" w:hAnsi="Times New Roman" w:cs="Times New Roman"/>
        </w:rPr>
      </w:pPr>
      <w:r>
        <w:rPr>
          <w:rFonts w:ascii="Times New Roman" w:hAnsi="Times New Roman" w:cs="Times New Roman"/>
        </w:rPr>
        <w:tab/>
        <w:t>The thesis argues that campaigns of terrorism and political violence end through a combination of attitudinal change, organisational change, and structural change, but shows that the salience of these fa</w:t>
      </w:r>
      <w:r w:rsidR="0049100D">
        <w:rPr>
          <w:rFonts w:ascii="Times New Roman" w:hAnsi="Times New Roman" w:cs="Times New Roman"/>
        </w:rPr>
        <w:t>ctors change over time and through</w:t>
      </w:r>
      <w:r>
        <w:rPr>
          <w:rFonts w:ascii="Times New Roman" w:hAnsi="Times New Roman" w:cs="Times New Roman"/>
        </w:rPr>
        <w:t xml:space="preserve"> interaction with the movement. Attitudinal change – often referred to as de-radicalisation – only refers to a change in attitudes toward terrorism and political violence rather than a change in ideology. The extent to which attitudinal change will be successful in ensuring violence stops is dependent on how credible the arguments are behind the change, therefore ensuring resonance is far more important in ending terrorism than it is for former militants to denounce terrorism and apologise for past actions – at least in the short-term. In the long-term, </w:t>
      </w:r>
      <w:r w:rsidR="00DF69EB">
        <w:rPr>
          <w:rFonts w:ascii="Times New Roman" w:hAnsi="Times New Roman" w:cs="Times New Roman"/>
        </w:rPr>
        <w:t xml:space="preserve">an interaction between structural and </w:t>
      </w:r>
      <w:r>
        <w:rPr>
          <w:rFonts w:ascii="Times New Roman" w:hAnsi="Times New Roman" w:cs="Times New Roman"/>
        </w:rPr>
        <w:t>organisational change provide</w:t>
      </w:r>
      <w:r w:rsidR="0049100D">
        <w:rPr>
          <w:rFonts w:ascii="Times New Roman" w:hAnsi="Times New Roman" w:cs="Times New Roman"/>
        </w:rPr>
        <w:t>s</w:t>
      </w:r>
      <w:r>
        <w:rPr>
          <w:rFonts w:ascii="Times New Roman" w:hAnsi="Times New Roman" w:cs="Times New Roman"/>
        </w:rPr>
        <w:t xml:space="preserve"> scope for </w:t>
      </w:r>
      <w:r w:rsidR="00DF69EB">
        <w:rPr>
          <w:rFonts w:ascii="Times New Roman" w:hAnsi="Times New Roman" w:cs="Times New Roman"/>
        </w:rPr>
        <w:t>a transformation of attitudes</w:t>
      </w:r>
      <w:r>
        <w:rPr>
          <w:rFonts w:ascii="Times New Roman" w:hAnsi="Times New Roman" w:cs="Times New Roman"/>
        </w:rPr>
        <w:t xml:space="preserve"> which will involve greater de-legitimisation of violence, </w:t>
      </w:r>
      <w:r w:rsidR="00DF69EB">
        <w:rPr>
          <w:rFonts w:ascii="Times New Roman" w:hAnsi="Times New Roman" w:cs="Times New Roman"/>
        </w:rPr>
        <w:t>thus discouraging</w:t>
      </w:r>
      <w:r>
        <w:rPr>
          <w:rFonts w:ascii="Times New Roman" w:hAnsi="Times New Roman" w:cs="Times New Roman"/>
        </w:rPr>
        <w:t xml:space="preserve"> the next generation from engaging in terrorism and ‘passing on the torch’. In terms of structural change, the thesis argues that the Northern Irish political system provides medium-term stability that incentivises disengagement and limits the opportunities for those wishing to engage in violence. Organisational change has manifested in community activism, which has functioned as a mechanism that prevents violence and has helped to diffuse the Provisional IRA’s arguments for disengagement to most of the Irish Republican movement, which in turn has softened the attitudes in support of terrorism and political violence in the Irish Republican movement and among the next generation.   </w:t>
      </w:r>
    </w:p>
    <w:p w14:paraId="7D3D30CB" w14:textId="37630BBD" w:rsidR="00D6299A" w:rsidRDefault="00D6299A" w:rsidP="00B57C7F">
      <w:pPr>
        <w:spacing w:line="360" w:lineRule="auto"/>
        <w:jc w:val="both"/>
        <w:rPr>
          <w:rFonts w:ascii="Times New Roman" w:hAnsi="Times New Roman" w:cs="Times New Roman"/>
        </w:rPr>
      </w:pPr>
      <w:r>
        <w:rPr>
          <w:rFonts w:ascii="Times New Roman" w:hAnsi="Times New Roman" w:cs="Times New Roman"/>
        </w:rPr>
        <w:tab/>
        <w:t xml:space="preserve">As will be discussed in greater detail at the end of Chapter One, the thesis’ contribution has five aspects. First, the thesis draws on original data from interviews conducted in Belfast, differentiating itself from similar projects by contextualising </w:t>
      </w:r>
      <w:r>
        <w:rPr>
          <w:rFonts w:ascii="Times New Roman" w:hAnsi="Times New Roman" w:cs="Times New Roman"/>
        </w:rPr>
        <w:lastRenderedPageBreak/>
        <w:t xml:space="preserve">interviews with former Provisional IRA members with interviews with community workers, security officials and Loyalist paramilitaries who now work alongside Republicans. Second, the thesis reconceptualises de-radicalisation by unpacking the concept in terms of the attitude-behaviour debate, thus providing a more nuanced understanding which re-focuses the salience of attitudinal change. Third, </w:t>
      </w:r>
      <w:r w:rsidR="0049100D">
        <w:rPr>
          <w:rFonts w:ascii="Times New Roman" w:hAnsi="Times New Roman" w:cs="Times New Roman"/>
        </w:rPr>
        <w:t xml:space="preserve">by </w:t>
      </w:r>
      <w:r>
        <w:rPr>
          <w:rFonts w:ascii="Times New Roman" w:hAnsi="Times New Roman" w:cs="Times New Roman"/>
        </w:rPr>
        <w:t>acknowledging how a multi-level analysis is necessary to provide a more holistic explanation of how terrorism campaigns end, the thesis provides the first social movement approach to disengagement, analysing how the different levels that make up a movement interact with one another. Fourth, the thesis discusses the interaction between militants and the next generation in order to explain how the latter may be dissuaded from ‘carrying the torch’, which has not been explored despite the recognition that breaking the link between generations is crucial to ending terrorism campaigns. Crucially, the thesis is the first to highlight the emerging counter-terrorism strategies in schools. Fifth, the thesis provides the first analysis of the role that networks of former combatants can play in preventing terrorism through community work, which challenges the perceived typical role of former combatants in disengagement processes. In order to contextualise the thesis’ contribution, Chapter One will highlight the gaps and problems in</w:t>
      </w:r>
      <w:r w:rsidR="00BE0E06">
        <w:rPr>
          <w:rFonts w:ascii="Times New Roman" w:hAnsi="Times New Roman" w:cs="Times New Roman"/>
        </w:rPr>
        <w:t xml:space="preserve"> previous</w:t>
      </w:r>
      <w:r>
        <w:rPr>
          <w:rFonts w:ascii="Times New Roman" w:hAnsi="Times New Roman" w:cs="Times New Roman"/>
        </w:rPr>
        <w:t xml:space="preserve"> research on the question of how terrorism campaigns end and remain so.         </w:t>
      </w:r>
    </w:p>
    <w:p w14:paraId="2F85D309" w14:textId="5D597E2C" w:rsidR="00677E35" w:rsidRDefault="00677E35" w:rsidP="00B57C7F">
      <w:pPr>
        <w:spacing w:line="360" w:lineRule="auto"/>
        <w:jc w:val="both"/>
        <w:rPr>
          <w:rFonts w:ascii="Times New Roman" w:hAnsi="Times New Roman" w:cs="Times New Roman"/>
        </w:rPr>
      </w:pPr>
      <w:r>
        <w:rPr>
          <w:rFonts w:ascii="Times New Roman" w:hAnsi="Times New Roman" w:cs="Times New Roman"/>
        </w:rPr>
        <w:tab/>
        <w:t>Research in terrorism studies that touches upon this question offer</w:t>
      </w:r>
      <w:r w:rsidR="00BE0E06">
        <w:rPr>
          <w:rFonts w:ascii="Times New Roman" w:hAnsi="Times New Roman" w:cs="Times New Roman"/>
        </w:rPr>
        <w:t>s three types of explanation</w:t>
      </w:r>
      <w:r>
        <w:rPr>
          <w:rFonts w:ascii="Times New Roman" w:hAnsi="Times New Roman" w:cs="Times New Roman"/>
        </w:rPr>
        <w:t xml:space="preserve">, which Chapter One will outline separately. The first type of explanation emphasises attitudinal change – referred to as de-radicalisation. The second type of explanation emphasises behavioural change and the process in which a group declines – referred to as disengagement. </w:t>
      </w:r>
      <w:r w:rsidR="001154C1">
        <w:rPr>
          <w:rFonts w:ascii="Times New Roman" w:hAnsi="Times New Roman" w:cs="Times New Roman"/>
        </w:rPr>
        <w:t xml:space="preserve">The third type of explanation emphasises the role of structures: social and political </w:t>
      </w:r>
      <w:r w:rsidR="00BE0E06">
        <w:rPr>
          <w:rFonts w:ascii="Times New Roman" w:hAnsi="Times New Roman" w:cs="Times New Roman"/>
        </w:rPr>
        <w:t>maintenance</w:t>
      </w:r>
      <w:r w:rsidR="001154C1">
        <w:rPr>
          <w:rFonts w:ascii="Times New Roman" w:hAnsi="Times New Roman" w:cs="Times New Roman"/>
        </w:rPr>
        <w:t xml:space="preserve"> or change at the state and international level.</w:t>
      </w:r>
      <w:r>
        <w:rPr>
          <w:rFonts w:ascii="Times New Roman" w:hAnsi="Times New Roman" w:cs="Times New Roman"/>
        </w:rPr>
        <w:t xml:space="preserve"> Although the chapter outlines these explanations separately, all three factors interact with each other but they have thus far been insufficiently integrated together</w:t>
      </w:r>
      <w:r w:rsidR="00A25BB4">
        <w:rPr>
          <w:rFonts w:ascii="Times New Roman" w:hAnsi="Times New Roman" w:cs="Times New Roman"/>
        </w:rPr>
        <w:t>.</w:t>
      </w:r>
      <w:r>
        <w:rPr>
          <w:rStyle w:val="FootnoteReference"/>
          <w:rFonts w:ascii="Times New Roman" w:hAnsi="Times New Roman" w:cs="Times New Roman"/>
        </w:rPr>
        <w:footnoteReference w:id="5"/>
      </w:r>
      <w:r w:rsidR="001154C1">
        <w:rPr>
          <w:rFonts w:ascii="Times New Roman" w:hAnsi="Times New Roman" w:cs="Times New Roman"/>
        </w:rPr>
        <w:t xml:space="preserve"> </w:t>
      </w:r>
      <w:r w:rsidR="00AA1903">
        <w:rPr>
          <w:rFonts w:ascii="Times New Roman" w:hAnsi="Times New Roman" w:cs="Times New Roman"/>
        </w:rPr>
        <w:t>Each of these perspectives seek</w:t>
      </w:r>
      <w:r w:rsidR="00BE0E06">
        <w:rPr>
          <w:rFonts w:ascii="Times New Roman" w:hAnsi="Times New Roman" w:cs="Times New Roman"/>
        </w:rPr>
        <w:t>s</w:t>
      </w:r>
      <w:r w:rsidR="00AA1903">
        <w:rPr>
          <w:rFonts w:ascii="Times New Roman" w:hAnsi="Times New Roman" w:cs="Times New Roman"/>
        </w:rPr>
        <w:t xml:space="preserve"> to explain how </w:t>
      </w:r>
      <w:r w:rsidR="00AA1903">
        <w:rPr>
          <w:rFonts w:ascii="Times New Roman" w:hAnsi="Times New Roman" w:cs="Times New Roman"/>
        </w:rPr>
        <w:lastRenderedPageBreak/>
        <w:t xml:space="preserve">terrorism campaigns ends and how, in the process, the risk of a return to violence – known as recidivism – </w:t>
      </w:r>
      <w:r w:rsidR="00BE0E06">
        <w:rPr>
          <w:rFonts w:ascii="Times New Roman" w:hAnsi="Times New Roman" w:cs="Times New Roman"/>
        </w:rPr>
        <w:t xml:space="preserve">can </w:t>
      </w:r>
      <w:r w:rsidR="00AA1903">
        <w:rPr>
          <w:rFonts w:ascii="Times New Roman" w:hAnsi="Times New Roman" w:cs="Times New Roman"/>
        </w:rPr>
        <w:t>be reduced, which will be discussed next.</w:t>
      </w:r>
    </w:p>
    <w:p w14:paraId="441E5B0F" w14:textId="77777777" w:rsidR="000F6D8F" w:rsidRDefault="000F6D8F" w:rsidP="00B57C7F">
      <w:pPr>
        <w:spacing w:line="360" w:lineRule="auto"/>
        <w:jc w:val="both"/>
        <w:rPr>
          <w:rFonts w:ascii="Times New Roman" w:hAnsi="Times New Roman" w:cs="Times New Roman"/>
        </w:rPr>
      </w:pPr>
    </w:p>
    <w:p w14:paraId="0FE26CAE" w14:textId="77777777" w:rsidR="00AA1903" w:rsidRPr="001C3D76" w:rsidRDefault="00AA1903" w:rsidP="00B57C7F">
      <w:pPr>
        <w:pStyle w:val="Heading3"/>
        <w:spacing w:before="120" w:line="360" w:lineRule="auto"/>
      </w:pPr>
      <w:bookmarkStart w:id="6" w:name="_Toc389208789"/>
      <w:r w:rsidRPr="001C3D76">
        <w:t xml:space="preserve">Ending Terrorism and </w:t>
      </w:r>
      <w:r w:rsidR="00EB794F" w:rsidRPr="001C3D76">
        <w:t xml:space="preserve">Reducing </w:t>
      </w:r>
      <w:r w:rsidRPr="001C3D76">
        <w:t>Recidivism</w:t>
      </w:r>
      <w:bookmarkEnd w:id="6"/>
    </w:p>
    <w:p w14:paraId="7C701737" w14:textId="7670B916" w:rsidR="00EB794F" w:rsidRDefault="00AA1903" w:rsidP="00B57C7F">
      <w:pPr>
        <w:spacing w:line="360" w:lineRule="auto"/>
        <w:jc w:val="both"/>
        <w:rPr>
          <w:rFonts w:ascii="Times New Roman" w:hAnsi="Times New Roman" w:cs="Times New Roman"/>
        </w:rPr>
      </w:pPr>
      <w:r>
        <w:rPr>
          <w:rFonts w:ascii="Times New Roman" w:hAnsi="Times New Roman" w:cs="Times New Roman"/>
        </w:rPr>
        <w:tab/>
      </w:r>
      <w:r w:rsidR="00F335AF" w:rsidRPr="00017A09">
        <w:rPr>
          <w:rFonts w:ascii="Times New Roman" w:hAnsi="Times New Roman" w:cs="Times New Roman"/>
        </w:rPr>
        <w:t>Despite the repeated use of the phrase ‘ending terrorism’</w:t>
      </w:r>
      <w:r w:rsidR="00D6299A">
        <w:rPr>
          <w:rFonts w:ascii="Times New Roman" w:hAnsi="Times New Roman" w:cs="Times New Roman"/>
        </w:rPr>
        <w:t>,</w:t>
      </w:r>
      <w:r w:rsidR="00F335AF" w:rsidRPr="00017A09">
        <w:rPr>
          <w:rStyle w:val="FootnoteReference"/>
          <w:rFonts w:ascii="Times New Roman" w:hAnsi="Times New Roman" w:cs="Times New Roman"/>
        </w:rPr>
        <w:footnoteReference w:id="6"/>
      </w:r>
      <w:r w:rsidR="00F335AF" w:rsidRPr="00017A09">
        <w:rPr>
          <w:rFonts w:ascii="Times New Roman" w:hAnsi="Times New Roman" w:cs="Times New Roman"/>
        </w:rPr>
        <w:t xml:space="preserve"> there has been </w:t>
      </w:r>
      <w:r w:rsidR="005134FF">
        <w:rPr>
          <w:rFonts w:ascii="Times New Roman" w:hAnsi="Times New Roman" w:cs="Times New Roman"/>
        </w:rPr>
        <w:t>in</w:t>
      </w:r>
      <w:r w:rsidR="00F335AF" w:rsidRPr="00017A09">
        <w:rPr>
          <w:rFonts w:ascii="Times New Roman" w:hAnsi="Times New Roman" w:cs="Times New Roman"/>
        </w:rPr>
        <w:t>sufficient explanation of what is meant by ‘end’. Clearly, terrorism per se will most likely never end and none of the studies claim this is a realistic expectation</w:t>
      </w:r>
      <w:r w:rsidR="00A25BB4">
        <w:rPr>
          <w:rFonts w:ascii="Times New Roman" w:hAnsi="Times New Roman" w:cs="Times New Roman"/>
        </w:rPr>
        <w:t>.</w:t>
      </w:r>
      <w:r w:rsidR="00F335AF" w:rsidRPr="00017A09">
        <w:rPr>
          <w:rStyle w:val="FootnoteReference"/>
          <w:rFonts w:ascii="Times New Roman" w:hAnsi="Times New Roman" w:cs="Times New Roman"/>
        </w:rPr>
        <w:footnoteReference w:id="7"/>
      </w:r>
      <w:r w:rsidR="00F335AF" w:rsidRPr="00017A09">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&lt;EndNote&gt;&lt;Cite&gt;&lt;Author&gt;Transnational Terrorism&lt;/Author&gt;&lt;Year&gt;2008&lt;/Year&gt;&lt;RecNum&gt;164&lt;/RecNum&gt;&lt;record&gt;&lt;rec-number&gt;164&lt;/rec-number&gt;&lt;foreign-keys&gt;&lt;key app="EN" db-id="s0ftft29jf2psaezx93xwz5s00fwpa9avrwv"&gt;164&lt;/key&gt;&lt;/foreign-keys&gt;&lt;ref-type name="Report"&gt;27&lt;/ref-type&gt;&lt;contributors&gt;&lt;authors&gt;&lt;author&gt;Transnational Terrorism, Security &amp;amp; the Rule of Law&lt;/author&gt;&lt;/authors&gt;&lt;/contributors&gt;&lt;titles&gt;&lt;title&gt;Concepts of Terrorism: Analysis of the rise, decline, trends and risk&lt;/title&gt;&lt;/titles&gt;&lt;dates&gt;&lt;year&gt;2008&lt;/year&gt;&lt;/dates&gt;&lt;urls&gt;&lt;/urls&gt;&lt;/record&gt;&lt;/Cite&gt;&lt;/EndNote&gt;</w:instrText>
      </w:r>
      <w:r w:rsidR="00F335AF" w:rsidRPr="00017A09">
        <w:rPr>
          <w:rFonts w:ascii="Times New Roman" w:hAnsi="Times New Roman" w:cs="Times New Roman"/>
        </w:rPr>
        <w:fldChar w:fldCharType="end"/>
      </w:r>
      <w:r w:rsidR="003D17E7" w:rsidRPr="00017A09">
        <w:rPr>
          <w:rFonts w:ascii="Times New Roman" w:hAnsi="Times New Roman" w:cs="Times New Roman"/>
        </w:rPr>
        <w:t xml:space="preserve"> </w:t>
      </w:r>
      <w:r w:rsidR="00F335AF" w:rsidRPr="00017A09">
        <w:rPr>
          <w:rFonts w:ascii="Times New Roman" w:hAnsi="Times New Roman" w:cs="Times New Roman"/>
        </w:rPr>
        <w:t xml:space="preserve"> It firstly depends on whether we are referring to </w:t>
      </w:r>
      <w:r w:rsidR="00017A09" w:rsidRPr="00017A09">
        <w:rPr>
          <w:rFonts w:ascii="Times New Roman" w:hAnsi="Times New Roman" w:cs="Times New Roman"/>
        </w:rPr>
        <w:t xml:space="preserve">the tactic of terrorism, or whether to different levels of analysis - </w:t>
      </w:r>
      <w:r w:rsidR="00F335AF" w:rsidRPr="00017A09">
        <w:rPr>
          <w:rFonts w:ascii="Times New Roman" w:hAnsi="Times New Roman" w:cs="Times New Roman"/>
        </w:rPr>
        <w:t>the ‘terrorists’</w:t>
      </w:r>
      <w:r w:rsidR="00017A09" w:rsidRPr="00017A09">
        <w:rPr>
          <w:rFonts w:ascii="Times New Roman" w:hAnsi="Times New Roman" w:cs="Times New Roman"/>
        </w:rPr>
        <w:t xml:space="preserve"> individually</w:t>
      </w:r>
      <w:r w:rsidR="00F335AF" w:rsidRPr="00017A09">
        <w:rPr>
          <w:rFonts w:ascii="Times New Roman" w:hAnsi="Times New Roman" w:cs="Times New Roman"/>
        </w:rPr>
        <w:t>, terrorist groups, or international waves of terrorism</w:t>
      </w:r>
      <w:r w:rsidR="00017A09" w:rsidRPr="00017A09">
        <w:rPr>
          <w:rFonts w:ascii="Times New Roman" w:hAnsi="Times New Roman" w:cs="Times New Roman"/>
        </w:rPr>
        <w:t xml:space="preserve"> and broader campaigns of terrorism</w:t>
      </w:r>
      <w:r w:rsidR="00F335AF" w:rsidRPr="00017A09">
        <w:rPr>
          <w:rFonts w:ascii="Times New Roman" w:hAnsi="Times New Roman" w:cs="Times New Roman"/>
        </w:rPr>
        <w:t xml:space="preserve">. Gvineria states that a consequence of ‘a near-exclusive preoccupation with terrorist [groups] as the unit of analysis’ is that the literature ‘often equates decline of an </w:t>
      </w:r>
      <w:r w:rsidR="00CE1BFF">
        <w:rPr>
          <w:rFonts w:ascii="Times New Roman" w:hAnsi="Times New Roman" w:cs="Times New Roman"/>
        </w:rPr>
        <w:t>organisation</w:t>
      </w:r>
      <w:r w:rsidR="00F335AF" w:rsidRPr="00017A09">
        <w:rPr>
          <w:rFonts w:ascii="Times New Roman" w:hAnsi="Times New Roman" w:cs="Times New Roman"/>
        </w:rPr>
        <w:t xml:space="preserve"> with the end of terrorism’</w:t>
      </w:r>
      <w:r w:rsidR="00A25BB4">
        <w:rPr>
          <w:rFonts w:ascii="Times New Roman" w:hAnsi="Times New Roman" w:cs="Times New Roman"/>
        </w:rPr>
        <w:t>.</w:t>
      </w:r>
      <w:r w:rsidR="00F335AF" w:rsidRPr="00017A09">
        <w:rPr>
          <w:rStyle w:val="FootnoteReference"/>
          <w:rFonts w:ascii="Times New Roman" w:hAnsi="Times New Roman" w:cs="Times New Roman"/>
        </w:rPr>
        <w:footnoteReference w:id="8"/>
      </w:r>
      <w:r w:rsidR="00F335AF" w:rsidRPr="00017A09">
        <w:rPr>
          <w:rFonts w:ascii="Times New Roman" w:hAnsi="Times New Roman" w:cs="Times New Roman"/>
        </w:rPr>
        <w:t xml:space="preserve"> Crenshaw highlights the difficulties in assessing when terrorism has declined: some groups continue to exist despite apparent passivity and it is unknown when terrorism is likely to be reactivated</w:t>
      </w:r>
      <w:r w:rsidR="00A25BB4">
        <w:rPr>
          <w:rFonts w:ascii="Times New Roman" w:hAnsi="Times New Roman" w:cs="Times New Roman"/>
        </w:rPr>
        <w:t>.</w:t>
      </w:r>
      <w:r w:rsidR="00F335AF" w:rsidRPr="00017A09">
        <w:rPr>
          <w:rStyle w:val="FootnoteReference"/>
          <w:rFonts w:ascii="Times New Roman" w:hAnsi="Times New Roman" w:cs="Times New Roman"/>
        </w:rPr>
        <w:footnoteReference w:id="9"/>
      </w:r>
      <w:r w:rsidR="009B5FC3">
        <w:rPr>
          <w:rFonts w:ascii="Times New Roman" w:hAnsi="Times New Roman" w:cs="Times New Roman"/>
        </w:rPr>
        <w:t xml:space="preserve"> </w:t>
      </w:r>
      <w:r w:rsidR="00944D42">
        <w:rPr>
          <w:rFonts w:ascii="Times New Roman" w:hAnsi="Times New Roman" w:cs="Times New Roman"/>
        </w:rPr>
        <w:t>The end of terrorism cannot be described as an end of the tactic g</w:t>
      </w:r>
      <w:r w:rsidR="009B5FC3">
        <w:rPr>
          <w:rFonts w:ascii="Times New Roman" w:hAnsi="Times New Roman" w:cs="Times New Roman"/>
        </w:rPr>
        <w:t>iven how much terrorism is embedded within political violence more broadly</w:t>
      </w:r>
      <w:r w:rsidR="00A25BB4">
        <w:rPr>
          <w:rFonts w:ascii="Times New Roman" w:hAnsi="Times New Roman" w:cs="Times New Roman"/>
        </w:rPr>
        <w:t>.</w:t>
      </w:r>
      <w:r w:rsidR="009B5FC3">
        <w:rPr>
          <w:rStyle w:val="FootnoteReference"/>
          <w:rFonts w:ascii="Times New Roman" w:hAnsi="Times New Roman" w:cs="Times New Roman"/>
        </w:rPr>
        <w:footnoteReference w:id="10"/>
      </w:r>
      <w:r w:rsidR="00944D42">
        <w:rPr>
          <w:rFonts w:ascii="Times New Roman" w:hAnsi="Times New Roman" w:cs="Times New Roman"/>
        </w:rPr>
        <w:t xml:space="preserve"> Thus, accounting for the end of terrorism firstly requires a multi-level analysis, whereby the intent (individual), capacity (organisation), and societal support (structure) are changed substantially to indicate that terrorism has ended.  However, there is a substantial gap in research that actually combines the three levels of analysis which can provide a more detailed explanation of how terrorism ends,</w:t>
      </w:r>
      <w:r w:rsidR="00D6299A">
        <w:rPr>
          <w:rStyle w:val="FootnoteReference"/>
          <w:rFonts w:ascii="Times New Roman" w:hAnsi="Times New Roman" w:cs="Times New Roman"/>
        </w:rPr>
        <w:footnoteReference w:id="11"/>
      </w:r>
      <w:r w:rsidR="00944D42">
        <w:rPr>
          <w:rFonts w:ascii="Times New Roman" w:hAnsi="Times New Roman" w:cs="Times New Roman"/>
        </w:rPr>
        <w:t xml:space="preserve"> with Schmid highlighting the absence of such an approach </w:t>
      </w:r>
      <w:r w:rsidR="00944D42">
        <w:rPr>
          <w:rFonts w:ascii="Times New Roman" w:hAnsi="Times New Roman" w:cs="Times New Roman"/>
        </w:rPr>
        <w:lastRenderedPageBreak/>
        <w:t>and Della Porta and LaFree laying down the challenge to combine them</w:t>
      </w:r>
      <w:r w:rsidR="00A25BB4">
        <w:rPr>
          <w:rFonts w:ascii="Times New Roman" w:hAnsi="Times New Roman" w:cs="Times New Roman"/>
        </w:rPr>
        <w:t>.</w:t>
      </w:r>
      <w:r w:rsidR="00944D42">
        <w:rPr>
          <w:rStyle w:val="FootnoteReference"/>
          <w:rFonts w:ascii="Times New Roman" w:hAnsi="Times New Roman" w:cs="Times New Roman"/>
        </w:rPr>
        <w:footnoteReference w:id="12"/>
      </w:r>
      <w:r w:rsidR="00944D42">
        <w:rPr>
          <w:rFonts w:ascii="Times New Roman" w:hAnsi="Times New Roman" w:cs="Times New Roman"/>
        </w:rPr>
        <w:t xml:space="preserve"> Changes at these levels of analysis can also reduce the likelihood of a return to violence, a continuation of violence by other groups, or a re-emergence of violence, too.</w:t>
      </w:r>
      <w:r w:rsidR="00EB794F">
        <w:rPr>
          <w:rFonts w:ascii="Times New Roman" w:hAnsi="Times New Roman" w:cs="Times New Roman"/>
        </w:rPr>
        <w:t xml:space="preserve"> On this topic, research has focused on recidivism reduction strategies and how terrorism can be prevented or how views supportive of terrorism in society can be challenged</w:t>
      </w:r>
      <w:r w:rsidR="00A25BB4">
        <w:rPr>
          <w:rFonts w:ascii="Times New Roman" w:hAnsi="Times New Roman" w:cs="Times New Roman"/>
        </w:rPr>
        <w:t>.</w:t>
      </w:r>
      <w:r w:rsidR="00EB794F">
        <w:rPr>
          <w:rStyle w:val="FootnoteReference"/>
          <w:rFonts w:ascii="Times New Roman" w:hAnsi="Times New Roman" w:cs="Times New Roman"/>
        </w:rPr>
        <w:footnoteReference w:id="13"/>
      </w:r>
      <w:r w:rsidR="00EB794F">
        <w:rPr>
          <w:rFonts w:ascii="Times New Roman" w:hAnsi="Times New Roman" w:cs="Times New Roman"/>
        </w:rPr>
        <w:t xml:space="preserve"> Thus, in terms of addressing how terrorism ends and how the risk of recidivism is reduced, there is a significant push toward multi-level analyses to resolve the problem that has been presented by overly focusing on one aspect. One such aspect of research on how terrorism ends is the individual level of analysis, which debates the extent a change in attitudes or a change in behaviour is sufficient at ending ter</w:t>
      </w:r>
      <w:r w:rsidR="00A16D8A">
        <w:rPr>
          <w:rFonts w:ascii="Times New Roman" w:hAnsi="Times New Roman" w:cs="Times New Roman"/>
        </w:rPr>
        <w:t>rorism and recidivism reduction. The next section will evaluate the extent the literature on the individual level can account for how terrorism ends within society, as well as at the individual level.</w:t>
      </w:r>
    </w:p>
    <w:p w14:paraId="7337882C" w14:textId="77777777" w:rsidR="00EB794F" w:rsidRDefault="00EB794F" w:rsidP="00B57C7F">
      <w:pPr>
        <w:spacing w:line="360" w:lineRule="auto"/>
        <w:jc w:val="both"/>
        <w:rPr>
          <w:rFonts w:ascii="Times New Roman" w:hAnsi="Times New Roman" w:cs="Times New Roman"/>
        </w:rPr>
      </w:pPr>
    </w:p>
    <w:p w14:paraId="346FEF1B" w14:textId="77777777" w:rsidR="00F335AF" w:rsidRPr="007F2662" w:rsidRDefault="00EB794F" w:rsidP="00B57C7F">
      <w:pPr>
        <w:pStyle w:val="Heading3"/>
        <w:spacing w:before="120" w:line="360" w:lineRule="auto"/>
      </w:pPr>
      <w:bookmarkStart w:id="7" w:name="_Toc389208790"/>
      <w:r>
        <w:t>Individual Explanations: Disengagement or De-Radicalisation</w:t>
      </w:r>
      <w:bookmarkEnd w:id="7"/>
      <w:r>
        <w:t xml:space="preserve"> </w:t>
      </w:r>
    </w:p>
    <w:p w14:paraId="4534A0AC" w14:textId="77777777" w:rsidR="00BC3415" w:rsidRDefault="00EB794F" w:rsidP="00B57C7F">
      <w:pPr>
        <w:spacing w:line="360" w:lineRule="auto"/>
        <w:jc w:val="both"/>
        <w:rPr>
          <w:rFonts w:ascii="Times New Roman" w:hAnsi="Times New Roman" w:cs="Times New Roman"/>
        </w:rPr>
      </w:pPr>
      <w:r>
        <w:tab/>
      </w:r>
      <w:r w:rsidR="007D03A6">
        <w:rPr>
          <w:rFonts w:ascii="Times New Roman" w:hAnsi="Times New Roman" w:cs="Times New Roman"/>
        </w:rPr>
        <w:t>The term disengagement refers to an individual leaving a militant group or moving away from the use of terrorism and political violence. Bjorgo</w:t>
      </w:r>
      <w:r w:rsidR="00A16D8A">
        <w:rPr>
          <w:rFonts w:ascii="Times New Roman" w:hAnsi="Times New Roman" w:cs="Times New Roman"/>
        </w:rPr>
        <w:t xml:space="preserve"> explains </w:t>
      </w:r>
      <w:r w:rsidR="007D03A6">
        <w:rPr>
          <w:rFonts w:ascii="Times New Roman" w:hAnsi="Times New Roman" w:cs="Times New Roman"/>
        </w:rPr>
        <w:t>individual disengagement in terms of push and pull factors: p</w:t>
      </w:r>
      <w:r w:rsidR="007D03A6" w:rsidRPr="00BC2C4B">
        <w:rPr>
          <w:rFonts w:ascii="Times New Roman" w:hAnsi="Times New Roman" w:cs="Times New Roman"/>
        </w:rPr>
        <w:t>ush factors are negative circumstances or social forces that make continuing membership unattractive whereas pull factors are opportunities or social forces that attract an individual to a more promising alternative</w:t>
      </w:r>
      <w:r w:rsidR="00A25BB4">
        <w:rPr>
          <w:rFonts w:ascii="Times New Roman" w:hAnsi="Times New Roman" w:cs="Times New Roman"/>
        </w:rPr>
        <w:t>.</w:t>
      </w:r>
      <w:r w:rsidR="007D03A6">
        <w:rPr>
          <w:rStyle w:val="FootnoteReference"/>
          <w:rFonts w:ascii="Times New Roman" w:hAnsi="Times New Roman" w:cs="Times New Roman"/>
        </w:rPr>
        <w:footnoteReference w:id="14"/>
      </w:r>
      <w:r w:rsidR="007D03A6" w:rsidRPr="00BC2C4B">
        <w:rPr>
          <w:rFonts w:ascii="Times New Roman" w:hAnsi="Times New Roman" w:cs="Times New Roman"/>
        </w:rPr>
        <w:t xml:space="preserve"> </w:t>
      </w:r>
      <w:r w:rsidR="007D03A6">
        <w:rPr>
          <w:rFonts w:ascii="Times New Roman" w:hAnsi="Times New Roman" w:cs="Times New Roman"/>
        </w:rPr>
        <w:t>Push and pull factors</w:t>
      </w:r>
      <w:r w:rsidR="00A16D8A">
        <w:rPr>
          <w:rFonts w:ascii="Times New Roman" w:hAnsi="Times New Roman" w:cs="Times New Roman"/>
        </w:rPr>
        <w:t xml:space="preserve"> work</w:t>
      </w:r>
      <w:r w:rsidR="00A16D8A" w:rsidRPr="00BC2C4B">
        <w:rPr>
          <w:rFonts w:ascii="Times New Roman" w:hAnsi="Times New Roman" w:cs="Times New Roman"/>
        </w:rPr>
        <w:t xml:space="preserve"> in conjunction with group, state and societal pressures</w:t>
      </w:r>
      <w:r w:rsidR="00A16D8A">
        <w:rPr>
          <w:rFonts w:ascii="Times New Roman" w:hAnsi="Times New Roman" w:cs="Times New Roman"/>
        </w:rPr>
        <w:t>, which leads an individual to change their attitudes or behaviour with regard to using or being involved in a terrorism campaign</w:t>
      </w:r>
      <w:r w:rsidR="00A25BB4">
        <w:rPr>
          <w:rFonts w:ascii="Times New Roman" w:hAnsi="Times New Roman" w:cs="Times New Roman"/>
        </w:rPr>
        <w:t>.</w:t>
      </w:r>
      <w:r w:rsidR="00A16D8A">
        <w:rPr>
          <w:rStyle w:val="FootnoteReference"/>
          <w:rFonts w:ascii="Times New Roman" w:hAnsi="Times New Roman" w:cs="Times New Roman"/>
        </w:rPr>
        <w:footnoteReference w:id="15"/>
      </w:r>
      <w:r w:rsidR="007D03A6">
        <w:rPr>
          <w:rFonts w:ascii="Times New Roman" w:hAnsi="Times New Roman" w:cs="Times New Roman"/>
        </w:rPr>
        <w:t xml:space="preserve"> An individual may disengage due to disillusionment with and a dislike of: a) life in the </w:t>
      </w:r>
      <w:r w:rsidR="007D03A6">
        <w:rPr>
          <w:rFonts w:ascii="Times New Roman" w:hAnsi="Times New Roman" w:cs="Times New Roman"/>
        </w:rPr>
        <w:lastRenderedPageBreak/>
        <w:t xml:space="preserve">group; b) the people in the group; c) the tactics used; </w:t>
      </w:r>
      <w:r w:rsidR="006C5AD3">
        <w:rPr>
          <w:rFonts w:ascii="Times New Roman" w:hAnsi="Times New Roman" w:cs="Times New Roman"/>
        </w:rPr>
        <w:t xml:space="preserve">d) moral concerns; </w:t>
      </w:r>
      <w:r w:rsidR="007D03A6">
        <w:rPr>
          <w:rFonts w:ascii="Times New Roman" w:hAnsi="Times New Roman" w:cs="Times New Roman"/>
        </w:rPr>
        <w:t xml:space="preserve">or even, </w:t>
      </w:r>
      <w:r w:rsidR="006C5AD3">
        <w:rPr>
          <w:rFonts w:ascii="Times New Roman" w:hAnsi="Times New Roman" w:cs="Times New Roman"/>
        </w:rPr>
        <w:t>e</w:t>
      </w:r>
      <w:r w:rsidR="007D03A6">
        <w:rPr>
          <w:rFonts w:ascii="Times New Roman" w:hAnsi="Times New Roman" w:cs="Times New Roman"/>
        </w:rPr>
        <w:t>) eventually, the strategy and ideology of the group. In this sense, disengagement is a process of interaction and experience, which can affect the individual’s commitment. Whether they choose to leave is dependent on group and peer pressure or loyalty, and the extent there are available exit routes, one of which can be prison. Individual disengagement may also be involuntary, including their exclusion by the group, incarceration or killing by the state</w:t>
      </w:r>
      <w:r w:rsidR="003F55DC">
        <w:rPr>
          <w:rFonts w:ascii="Times New Roman" w:hAnsi="Times New Roman" w:cs="Times New Roman"/>
        </w:rPr>
        <w:t>, or the disbandment of the group</w:t>
      </w:r>
      <w:r w:rsidR="00A25BB4">
        <w:rPr>
          <w:rFonts w:ascii="Times New Roman" w:hAnsi="Times New Roman" w:cs="Times New Roman"/>
        </w:rPr>
        <w:t>.</w:t>
      </w:r>
      <w:r w:rsidR="003F55DC">
        <w:rPr>
          <w:rStyle w:val="FootnoteReference"/>
          <w:rFonts w:ascii="Times New Roman" w:hAnsi="Times New Roman" w:cs="Times New Roman"/>
        </w:rPr>
        <w:footnoteReference w:id="16"/>
      </w:r>
      <w:r w:rsidR="007D03A6">
        <w:rPr>
          <w:rFonts w:ascii="Times New Roman" w:hAnsi="Times New Roman" w:cs="Times New Roman"/>
        </w:rPr>
        <w:t xml:space="preserve"> </w:t>
      </w:r>
    </w:p>
    <w:p w14:paraId="0F04B35D" w14:textId="6E4E836E" w:rsidR="003F55DC" w:rsidRDefault="00BC3415" w:rsidP="00B57C7F">
      <w:pPr>
        <w:spacing w:line="360" w:lineRule="auto"/>
        <w:jc w:val="both"/>
        <w:rPr>
          <w:rFonts w:ascii="Times New Roman" w:hAnsi="Times New Roman" w:cs="Times New Roman"/>
        </w:rPr>
      </w:pPr>
      <w:r>
        <w:rPr>
          <w:rFonts w:ascii="Times New Roman" w:hAnsi="Times New Roman" w:cs="Times New Roman"/>
        </w:rPr>
        <w:tab/>
        <w:t>However, this literature does not provide an adequate explanation of the extent of recidivism reduction for two reasons. Firstly, the maintenance of disengagement – i.e. reducing the risk of recidivism – falls to the state to ensure the individual does not return to violence, whether this means returning to the original militant group or, in the case it has disbanded, forming a new group perhaps further down the line when state pressure has been lifted. Secondly, as the focus is on behavioural change, an individual can move to another ancillary role within the movement</w:t>
      </w:r>
      <w:r w:rsidR="00D51325">
        <w:rPr>
          <w:rFonts w:ascii="Times New Roman" w:hAnsi="Times New Roman" w:cs="Times New Roman"/>
        </w:rPr>
        <w:t>,</w:t>
      </w:r>
      <w:r>
        <w:rPr>
          <w:rStyle w:val="FootnoteReference"/>
          <w:rFonts w:ascii="Times New Roman" w:hAnsi="Times New Roman" w:cs="Times New Roman"/>
        </w:rPr>
        <w:footnoteReference w:id="17"/>
      </w:r>
      <w:r>
        <w:rPr>
          <w:rFonts w:ascii="Times New Roman" w:hAnsi="Times New Roman" w:cs="Times New Roman"/>
        </w:rPr>
        <w:t xml:space="preserve"> or they can encourage others to become involved </w:t>
      </w:r>
      <w:r w:rsidR="00897C80">
        <w:rPr>
          <w:rFonts w:ascii="Times New Roman" w:hAnsi="Times New Roman" w:cs="Times New Roman"/>
        </w:rPr>
        <w:t>in terrorism and political violence through incitement, glorifying violence or more overtly campaigning and recruiting, thus becoming part of a ‘radical milieu’</w:t>
      </w:r>
      <w:r w:rsidR="00876E47">
        <w:rPr>
          <w:rFonts w:ascii="Times New Roman" w:hAnsi="Times New Roman" w:cs="Times New Roman"/>
        </w:rPr>
        <w:t xml:space="preserve"> or ‘complicit surround’</w:t>
      </w:r>
      <w:r w:rsidR="00A25BB4">
        <w:rPr>
          <w:rFonts w:ascii="Times New Roman" w:hAnsi="Times New Roman" w:cs="Times New Roman"/>
        </w:rPr>
        <w:t>.</w:t>
      </w:r>
      <w:r w:rsidR="00897C80">
        <w:rPr>
          <w:rStyle w:val="FootnoteReference"/>
          <w:rFonts w:ascii="Times New Roman" w:hAnsi="Times New Roman" w:cs="Times New Roman"/>
        </w:rPr>
        <w:footnoteReference w:id="18"/>
      </w:r>
      <w:r w:rsidR="005C591B">
        <w:rPr>
          <w:rFonts w:ascii="Times New Roman" w:hAnsi="Times New Roman" w:cs="Times New Roman"/>
        </w:rPr>
        <w:t xml:space="preserve"> </w:t>
      </w:r>
      <w:r w:rsidR="003554C9">
        <w:rPr>
          <w:rFonts w:ascii="Times New Roman" w:hAnsi="Times New Roman" w:cs="Times New Roman"/>
        </w:rPr>
        <w:t xml:space="preserve">The radical milieu refers to a community which sympathises with a militant group morally or logistically, and just as Waldmann recognises that this subject is underexplored, the thesis will discuss this in greater detail below. </w:t>
      </w:r>
      <w:r w:rsidR="005C591B">
        <w:rPr>
          <w:rFonts w:ascii="Times New Roman" w:hAnsi="Times New Roman" w:cs="Times New Roman"/>
        </w:rPr>
        <w:t>Recognising this gap</w:t>
      </w:r>
      <w:r w:rsidR="003554C9">
        <w:rPr>
          <w:rFonts w:ascii="Times New Roman" w:hAnsi="Times New Roman" w:cs="Times New Roman"/>
        </w:rPr>
        <w:t xml:space="preserve"> further</w:t>
      </w:r>
      <w:r w:rsidR="005C591B">
        <w:rPr>
          <w:rFonts w:ascii="Times New Roman" w:hAnsi="Times New Roman" w:cs="Times New Roman"/>
        </w:rPr>
        <w:t>, Horgan states that we still know little about</w:t>
      </w:r>
      <w:r w:rsidR="005C591B" w:rsidRPr="005C591B">
        <w:rPr>
          <w:rFonts w:ascii="Times New Roman" w:hAnsi="Times New Roman" w:cs="Times New Roman"/>
          <w:sz w:val="22"/>
          <w:szCs w:val="22"/>
        </w:rPr>
        <w:t xml:space="preserve"> </w:t>
      </w:r>
      <w:r w:rsidR="005C591B" w:rsidRPr="00785BFC">
        <w:rPr>
          <w:rFonts w:ascii="Times New Roman" w:hAnsi="Times New Roman" w:cs="Times New Roman"/>
          <w:sz w:val="22"/>
          <w:szCs w:val="22"/>
        </w:rPr>
        <w:t>‘</w:t>
      </w:r>
      <w:r w:rsidR="005C591B" w:rsidRPr="005C591B">
        <w:rPr>
          <w:rFonts w:ascii="Times New Roman" w:hAnsi="Times New Roman" w:cs="Times New Roman"/>
        </w:rPr>
        <w:t>the process whereby virtually defunct movements revitalise and re-emerge’</w:t>
      </w:r>
      <w:r w:rsidR="00A25BB4">
        <w:rPr>
          <w:rFonts w:ascii="Times New Roman" w:hAnsi="Times New Roman" w:cs="Times New Roman"/>
        </w:rPr>
        <w:t>.</w:t>
      </w:r>
      <w:r w:rsidR="005C591B">
        <w:rPr>
          <w:rStyle w:val="FootnoteReference"/>
          <w:rFonts w:ascii="Times New Roman" w:hAnsi="Times New Roman" w:cs="Times New Roman"/>
        </w:rPr>
        <w:footnoteReference w:id="19"/>
      </w:r>
      <w:r w:rsidR="00897C80">
        <w:rPr>
          <w:rFonts w:ascii="Times New Roman" w:hAnsi="Times New Roman" w:cs="Times New Roman"/>
        </w:rPr>
        <w:t xml:space="preserve"> Thus, while research on disengagement can explain individual changes in behaviour, it is limited insofar as it can explain how this impacts upon terrorism and political </w:t>
      </w:r>
      <w:r w:rsidR="00897C80">
        <w:rPr>
          <w:rFonts w:ascii="Times New Roman" w:hAnsi="Times New Roman" w:cs="Times New Roman"/>
        </w:rPr>
        <w:lastRenderedPageBreak/>
        <w:t xml:space="preserve">violence at a social level, and therefore the risk of recidivism more broadly. Silke would argue that individuals who have disengaged are still unlikely to return to violence even if they uphold the support for violence – a trend which he notes is common </w:t>
      </w:r>
      <w:r w:rsidR="00E54673">
        <w:rPr>
          <w:rFonts w:ascii="Times New Roman" w:hAnsi="Times New Roman" w:cs="Times New Roman"/>
        </w:rPr>
        <w:t>with</w:t>
      </w:r>
      <w:r w:rsidR="00897C80">
        <w:rPr>
          <w:rFonts w:ascii="Times New Roman" w:hAnsi="Times New Roman" w:cs="Times New Roman"/>
        </w:rPr>
        <w:t xml:space="preserve"> state soldiers</w:t>
      </w:r>
      <w:r w:rsidR="00897C80">
        <w:rPr>
          <w:rStyle w:val="FootnoteReference"/>
          <w:rFonts w:ascii="Times New Roman" w:hAnsi="Times New Roman" w:cs="Times New Roman"/>
        </w:rPr>
        <w:footnoteReference w:id="20"/>
      </w:r>
      <w:r w:rsidR="00897C80">
        <w:rPr>
          <w:rFonts w:ascii="Times New Roman" w:hAnsi="Times New Roman" w:cs="Times New Roman"/>
        </w:rPr>
        <w:t xml:space="preserve"> – but </w:t>
      </w:r>
      <w:r w:rsidR="000C22C0">
        <w:rPr>
          <w:rFonts w:ascii="Times New Roman" w:hAnsi="Times New Roman" w:cs="Times New Roman"/>
        </w:rPr>
        <w:t xml:space="preserve">while </w:t>
      </w:r>
      <w:r w:rsidR="00897C80">
        <w:rPr>
          <w:rFonts w:ascii="Times New Roman" w:hAnsi="Times New Roman" w:cs="Times New Roman"/>
        </w:rPr>
        <w:t>this argument may account for recidivism reduction individually, it still does</w:t>
      </w:r>
      <w:r w:rsidR="00B26BE9">
        <w:rPr>
          <w:rFonts w:ascii="Times New Roman" w:hAnsi="Times New Roman" w:cs="Times New Roman"/>
        </w:rPr>
        <w:t xml:space="preserve"> not</w:t>
      </w:r>
      <w:r w:rsidR="00897C80">
        <w:rPr>
          <w:rFonts w:ascii="Times New Roman" w:hAnsi="Times New Roman" w:cs="Times New Roman"/>
        </w:rPr>
        <w:t xml:space="preserve"> account for how they can encourage others to become involved and keep the armed campaign going. </w:t>
      </w:r>
      <w:r w:rsidR="007D03A6">
        <w:rPr>
          <w:rFonts w:ascii="Times New Roman" w:hAnsi="Times New Roman" w:cs="Times New Roman"/>
        </w:rPr>
        <w:t xml:space="preserve">  </w:t>
      </w:r>
    </w:p>
    <w:p w14:paraId="4261B833" w14:textId="272EFAC7" w:rsidR="00A16D8A" w:rsidRDefault="00A16D8A" w:rsidP="00B57C7F">
      <w:pPr>
        <w:spacing w:line="360" w:lineRule="auto"/>
        <w:jc w:val="both"/>
        <w:rPr>
          <w:rFonts w:ascii="Times New Roman" w:hAnsi="Times New Roman" w:cs="Times New Roman"/>
        </w:rPr>
      </w:pPr>
      <w:r>
        <w:rPr>
          <w:rFonts w:ascii="Times New Roman" w:hAnsi="Times New Roman" w:cs="Times New Roman"/>
        </w:rPr>
        <w:t xml:space="preserve"> </w:t>
      </w:r>
      <w:r w:rsidR="00897C80">
        <w:rPr>
          <w:rFonts w:ascii="Times New Roman" w:hAnsi="Times New Roman" w:cs="Times New Roman"/>
        </w:rPr>
        <w:tab/>
      </w:r>
      <w:r w:rsidR="00821CB8">
        <w:rPr>
          <w:rFonts w:ascii="Times New Roman" w:hAnsi="Times New Roman" w:cs="Times New Roman"/>
        </w:rPr>
        <w:t>Consequently, research has emerged which has argued that identifying the causes of attitudinal change can lead to de-radicalisation, thus reducing the risk of recidivism individually and socially.</w:t>
      </w:r>
      <w:r w:rsidR="00D24916">
        <w:rPr>
          <w:rFonts w:ascii="Times New Roman" w:hAnsi="Times New Roman" w:cs="Times New Roman"/>
        </w:rPr>
        <w:t xml:space="preserve"> The initial problem with de-radicalisation is, conceptually, it is unclear what it means</w:t>
      </w:r>
      <w:r w:rsidR="00D24916">
        <w:rPr>
          <w:rStyle w:val="FootnoteReference"/>
          <w:rFonts w:ascii="Times New Roman" w:hAnsi="Times New Roman" w:cs="Times New Roman"/>
        </w:rPr>
        <w:footnoteReference w:id="21"/>
      </w:r>
      <w:r w:rsidR="00D24916">
        <w:rPr>
          <w:rFonts w:ascii="Times New Roman" w:hAnsi="Times New Roman" w:cs="Times New Roman"/>
        </w:rPr>
        <w:t xml:space="preserve"> and there has not been any attempt to debate whether it should have a broad definition or a narrow definition. A broad definition of de-radicalisation involves a change in a wide-range of attitudes. </w:t>
      </w:r>
      <w:r w:rsidR="00D24916" w:rsidRPr="00BC2C4B">
        <w:rPr>
          <w:rFonts w:ascii="Times New Roman" w:hAnsi="Times New Roman" w:cs="Times New Roman"/>
        </w:rPr>
        <w:t>De-radicalisation implies a cognitive shift, a fundamental change in understanding</w:t>
      </w:r>
      <w:r w:rsidR="00A25BB4">
        <w:rPr>
          <w:rFonts w:ascii="Times New Roman" w:hAnsi="Times New Roman" w:cs="Times New Roman"/>
        </w:rPr>
        <w:t>.</w:t>
      </w:r>
      <w:r w:rsidR="00D24916">
        <w:rPr>
          <w:rStyle w:val="FootnoteReference"/>
          <w:rFonts w:ascii="Times New Roman" w:hAnsi="Times New Roman" w:cs="Times New Roman"/>
        </w:rPr>
        <w:footnoteReference w:id="22"/>
      </w:r>
      <w:r w:rsidR="00D24916" w:rsidRPr="00BC2C4B">
        <w:rPr>
          <w:rFonts w:ascii="Times New Roman" w:hAnsi="Times New Roman" w:cs="Times New Roman"/>
        </w:rPr>
        <w:t xml:space="preserve"> It has been taken to refer to ‘a complete shift in the [individual’s] mindset, sympathies and attitudes</w:t>
      </w:r>
      <w:r w:rsidR="00D51325">
        <w:rPr>
          <w:rFonts w:ascii="Times New Roman" w:hAnsi="Times New Roman" w:cs="Times New Roman"/>
        </w:rPr>
        <w:t>,</w:t>
      </w:r>
      <w:r w:rsidR="009400D3">
        <w:rPr>
          <w:rStyle w:val="FootnoteReference"/>
          <w:rFonts w:ascii="Times New Roman" w:hAnsi="Times New Roman" w:cs="Times New Roman"/>
        </w:rPr>
        <w:footnoteReference w:id="23"/>
      </w:r>
      <w:r w:rsidR="00D24916">
        <w:rPr>
          <w:rFonts w:ascii="Times New Roman" w:hAnsi="Times New Roman" w:cs="Times New Roman"/>
        </w:rPr>
        <w:t xml:space="preserve"> with so</w:t>
      </w:r>
      <w:r w:rsidR="00E54673">
        <w:rPr>
          <w:rFonts w:ascii="Times New Roman" w:hAnsi="Times New Roman" w:cs="Times New Roman"/>
        </w:rPr>
        <w:t>me scholars specifically stating</w:t>
      </w:r>
      <w:r w:rsidR="00D24916" w:rsidRPr="00BC2C4B">
        <w:rPr>
          <w:rFonts w:ascii="Times New Roman" w:hAnsi="Times New Roman" w:cs="Times New Roman"/>
        </w:rPr>
        <w:t xml:space="preserve"> that de-radicalisation is ‘the transformation of ideology’</w:t>
      </w:r>
      <w:r w:rsidR="00A25BB4">
        <w:rPr>
          <w:rFonts w:ascii="Times New Roman" w:hAnsi="Times New Roman" w:cs="Times New Roman"/>
        </w:rPr>
        <w:t>.</w:t>
      </w:r>
      <w:r w:rsidR="009400D3">
        <w:rPr>
          <w:rStyle w:val="FootnoteReference"/>
          <w:rFonts w:ascii="Times New Roman" w:hAnsi="Times New Roman" w:cs="Times New Roman"/>
        </w:rPr>
        <w:footnoteReference w:id="24"/>
      </w:r>
      <w:r w:rsidR="00B30496">
        <w:rPr>
          <w:rFonts w:ascii="Times New Roman" w:hAnsi="Times New Roman" w:cs="Times New Roman"/>
        </w:rPr>
        <w:t xml:space="preserve"> A narrow definition of de-radicalisation refers to a change in attitudes toward the use of terrorism and political violence. </w:t>
      </w:r>
      <w:r w:rsidR="00A866D1">
        <w:rPr>
          <w:rFonts w:ascii="Times New Roman" w:hAnsi="Times New Roman" w:cs="Times New Roman"/>
        </w:rPr>
        <w:t xml:space="preserve">Horgan refers to it as a </w:t>
      </w:r>
      <w:r w:rsidR="00A866D1" w:rsidRPr="00BC2C4B">
        <w:rPr>
          <w:rFonts w:ascii="Times New Roman" w:hAnsi="Times New Roman" w:cs="Times New Roman"/>
        </w:rPr>
        <w:t>softening of views whereby an individual accepts the pursuit of his/her objectives using terrorism were illegitimate, immoral and unjustified</w:t>
      </w:r>
      <w:r w:rsidR="00D51325">
        <w:rPr>
          <w:rFonts w:ascii="Times New Roman" w:hAnsi="Times New Roman" w:cs="Times New Roman"/>
        </w:rPr>
        <w:t>,</w:t>
      </w:r>
      <w:r w:rsidR="00A866D1">
        <w:rPr>
          <w:rStyle w:val="FootnoteReference"/>
          <w:rFonts w:ascii="Times New Roman" w:hAnsi="Times New Roman" w:cs="Times New Roman"/>
        </w:rPr>
        <w:footnoteReference w:id="25"/>
      </w:r>
      <w:r w:rsidR="00A866D1">
        <w:rPr>
          <w:rFonts w:ascii="Times New Roman" w:hAnsi="Times New Roman" w:cs="Times New Roman"/>
        </w:rPr>
        <w:t xml:space="preserve"> and Ashour argues that de-radicalisation is separate from a change in ideology and instead refers to the de-legitimisation of violence, although ideology may be used to strengthen its de-legitimisation</w:t>
      </w:r>
      <w:r w:rsidR="00A25BB4">
        <w:rPr>
          <w:rFonts w:ascii="Times New Roman" w:hAnsi="Times New Roman" w:cs="Times New Roman"/>
        </w:rPr>
        <w:t>.</w:t>
      </w:r>
      <w:r w:rsidR="00A866D1">
        <w:rPr>
          <w:rStyle w:val="FootnoteReference"/>
          <w:rFonts w:ascii="Times New Roman" w:hAnsi="Times New Roman" w:cs="Times New Roman"/>
        </w:rPr>
        <w:footnoteReference w:id="26"/>
      </w:r>
      <w:r w:rsidR="00A866D1">
        <w:rPr>
          <w:rFonts w:ascii="Times New Roman" w:hAnsi="Times New Roman" w:cs="Times New Roman"/>
        </w:rPr>
        <w:t xml:space="preserve"> Even the narrow definition of de-radicalisation has problems identifying whether this de-legitimisation should be against the use of terrorism and </w:t>
      </w:r>
      <w:r w:rsidR="00A866D1">
        <w:rPr>
          <w:rFonts w:ascii="Times New Roman" w:hAnsi="Times New Roman" w:cs="Times New Roman"/>
        </w:rPr>
        <w:lastRenderedPageBreak/>
        <w:t>political violence past, present and future. For example, the failure of former Provisional IRA members to de-legitimise past violence prior to the 1994 ceasefire, despite de-legitimising the use of violence today, leads some scholars to argue that they are not de-radicalised</w:t>
      </w:r>
      <w:r w:rsidR="00A25BB4">
        <w:rPr>
          <w:rFonts w:ascii="Times New Roman" w:hAnsi="Times New Roman" w:cs="Times New Roman"/>
        </w:rPr>
        <w:t>.</w:t>
      </w:r>
      <w:r w:rsidR="00A866D1">
        <w:rPr>
          <w:rStyle w:val="FootnoteReference"/>
          <w:rFonts w:ascii="Times New Roman" w:hAnsi="Times New Roman" w:cs="Times New Roman"/>
        </w:rPr>
        <w:footnoteReference w:id="27"/>
      </w:r>
      <w:r w:rsidR="00A866D1">
        <w:rPr>
          <w:rFonts w:ascii="Times New Roman" w:hAnsi="Times New Roman" w:cs="Times New Roman"/>
        </w:rPr>
        <w:t xml:space="preserve"> Thus, the thesis finds substantial problems in terms of defining de-radicalisation and will, in Chapter Two, propose an alternative approach to provide conceptual clarity as part of its original contribution to the field.</w:t>
      </w:r>
    </w:p>
    <w:p w14:paraId="39E445F5" w14:textId="6A017829" w:rsidR="00E37AC3" w:rsidRDefault="00A866D1" w:rsidP="00B57C7F">
      <w:pPr>
        <w:spacing w:line="360" w:lineRule="auto"/>
        <w:jc w:val="both"/>
        <w:rPr>
          <w:rFonts w:ascii="Times New Roman" w:hAnsi="Times New Roman" w:cs="Times New Roman"/>
        </w:rPr>
      </w:pPr>
      <w:r>
        <w:rPr>
          <w:rFonts w:ascii="Times New Roman" w:hAnsi="Times New Roman" w:cs="Times New Roman"/>
        </w:rPr>
        <w:tab/>
        <w:t xml:space="preserve">Putting these conceptual problems aside, the chapter will now turn its attention to what, according to the literature, causes de-radicalisation and </w:t>
      </w:r>
      <w:r w:rsidR="00E54673">
        <w:rPr>
          <w:rFonts w:ascii="Times New Roman" w:hAnsi="Times New Roman" w:cs="Times New Roman"/>
        </w:rPr>
        <w:t>to what extent</w:t>
      </w:r>
      <w:r>
        <w:rPr>
          <w:rFonts w:ascii="Times New Roman" w:hAnsi="Times New Roman" w:cs="Times New Roman"/>
        </w:rPr>
        <w:t xml:space="preserve"> it reduce</w:t>
      </w:r>
      <w:r w:rsidR="00E54673">
        <w:rPr>
          <w:rFonts w:ascii="Times New Roman" w:hAnsi="Times New Roman" w:cs="Times New Roman"/>
        </w:rPr>
        <w:t>s</w:t>
      </w:r>
      <w:r>
        <w:rPr>
          <w:rFonts w:ascii="Times New Roman" w:hAnsi="Times New Roman" w:cs="Times New Roman"/>
        </w:rPr>
        <w:t xml:space="preserve"> the risk of recid</w:t>
      </w:r>
      <w:r w:rsidR="007F191E">
        <w:rPr>
          <w:rFonts w:ascii="Times New Roman" w:hAnsi="Times New Roman" w:cs="Times New Roman"/>
        </w:rPr>
        <w:t>ivism individually and socially?</w:t>
      </w:r>
      <w:r w:rsidR="008564D2">
        <w:rPr>
          <w:rFonts w:ascii="Times New Roman" w:hAnsi="Times New Roman" w:cs="Times New Roman"/>
        </w:rPr>
        <w:t xml:space="preserve"> Once again, the causes of de-radicalisation can be a result of a </w:t>
      </w:r>
      <w:r w:rsidR="006859A8">
        <w:rPr>
          <w:rFonts w:ascii="Times New Roman" w:hAnsi="Times New Roman" w:cs="Times New Roman"/>
        </w:rPr>
        <w:t>cognitive</w:t>
      </w:r>
      <w:r w:rsidR="008564D2">
        <w:rPr>
          <w:rFonts w:ascii="Times New Roman" w:hAnsi="Times New Roman" w:cs="Times New Roman"/>
        </w:rPr>
        <w:t xml:space="preserve"> process where the individual’s attitudes chan</w:t>
      </w:r>
      <w:r w:rsidR="00E54673">
        <w:rPr>
          <w:rFonts w:ascii="Times New Roman" w:hAnsi="Times New Roman" w:cs="Times New Roman"/>
        </w:rPr>
        <w:t>ge through social stimuli, or a</w:t>
      </w:r>
      <w:r w:rsidR="008564D2">
        <w:rPr>
          <w:rFonts w:ascii="Times New Roman" w:hAnsi="Times New Roman" w:cs="Times New Roman"/>
        </w:rPr>
        <w:t xml:space="preserve"> </w:t>
      </w:r>
      <w:r w:rsidR="006859A8">
        <w:rPr>
          <w:rFonts w:ascii="Times New Roman" w:hAnsi="Times New Roman" w:cs="Times New Roman"/>
        </w:rPr>
        <w:t>counter-terrorism programme which overtly seeks to change attitudes, and of course there are many causes that operate somewhere in between.</w:t>
      </w:r>
      <w:r>
        <w:rPr>
          <w:rFonts w:ascii="Times New Roman" w:hAnsi="Times New Roman" w:cs="Times New Roman"/>
        </w:rPr>
        <w:t xml:space="preserve"> </w:t>
      </w:r>
      <w:r w:rsidR="00F92D92">
        <w:rPr>
          <w:rFonts w:ascii="Times New Roman" w:hAnsi="Times New Roman" w:cs="Times New Roman"/>
        </w:rPr>
        <w:t>As a process, it is unclear whether de-radicalisation precedes disengagement or whether de-radicalisation is a process that is initially piecemeal and can only fully manifest after disengagement has occurred</w:t>
      </w:r>
      <w:r w:rsidR="00A25BB4">
        <w:rPr>
          <w:rFonts w:ascii="Times New Roman" w:hAnsi="Times New Roman" w:cs="Times New Roman"/>
        </w:rPr>
        <w:t>.</w:t>
      </w:r>
      <w:r w:rsidR="00F92D92">
        <w:rPr>
          <w:rStyle w:val="FootnoteReference"/>
          <w:rFonts w:ascii="Times New Roman" w:hAnsi="Times New Roman" w:cs="Times New Roman"/>
        </w:rPr>
        <w:footnoteReference w:id="28"/>
      </w:r>
      <w:r w:rsidR="00F92D92">
        <w:rPr>
          <w:rFonts w:ascii="Times New Roman" w:hAnsi="Times New Roman" w:cs="Times New Roman"/>
        </w:rPr>
        <w:t xml:space="preserve"> </w:t>
      </w:r>
      <w:r w:rsidR="008564D2">
        <w:rPr>
          <w:rFonts w:ascii="Times New Roman" w:hAnsi="Times New Roman" w:cs="Times New Roman"/>
        </w:rPr>
        <w:t xml:space="preserve">The cause of de-radicalisation is similar to the causes of disengagement, but the push and pull factors that cause disengagement do not </w:t>
      </w:r>
      <w:r w:rsidR="00F92D92">
        <w:rPr>
          <w:rFonts w:ascii="Times New Roman" w:hAnsi="Times New Roman" w:cs="Times New Roman"/>
        </w:rPr>
        <w:t xml:space="preserve">often </w:t>
      </w:r>
      <w:r w:rsidR="008564D2">
        <w:rPr>
          <w:rFonts w:ascii="Times New Roman" w:hAnsi="Times New Roman" w:cs="Times New Roman"/>
        </w:rPr>
        <w:t>lead t</w:t>
      </w:r>
      <w:r w:rsidR="00F92D92">
        <w:rPr>
          <w:rFonts w:ascii="Times New Roman" w:hAnsi="Times New Roman" w:cs="Times New Roman"/>
        </w:rPr>
        <w:t>o de-radicalisation</w:t>
      </w:r>
      <w:r w:rsidR="00A25BB4">
        <w:rPr>
          <w:rFonts w:ascii="Times New Roman" w:hAnsi="Times New Roman" w:cs="Times New Roman"/>
        </w:rPr>
        <w:t>.</w:t>
      </w:r>
      <w:r w:rsidR="00F92D92">
        <w:rPr>
          <w:rStyle w:val="FootnoteReference"/>
          <w:rFonts w:ascii="Times New Roman" w:hAnsi="Times New Roman" w:cs="Times New Roman"/>
        </w:rPr>
        <w:footnoteReference w:id="29"/>
      </w:r>
      <w:r w:rsidR="008564D2">
        <w:rPr>
          <w:rFonts w:ascii="Times New Roman" w:hAnsi="Times New Roman" w:cs="Times New Roman"/>
        </w:rPr>
        <w:t xml:space="preserve"> </w:t>
      </w:r>
      <w:r w:rsidR="00E37AC3">
        <w:rPr>
          <w:rFonts w:ascii="Times New Roman" w:hAnsi="Times New Roman" w:cs="Times New Roman"/>
        </w:rPr>
        <w:t>The literature on de-radicalisation has two</w:t>
      </w:r>
      <w:r w:rsidR="007D1E66">
        <w:rPr>
          <w:rFonts w:ascii="Times New Roman" w:hAnsi="Times New Roman" w:cs="Times New Roman"/>
        </w:rPr>
        <w:t>, at times overlapping aspects.</w:t>
      </w:r>
      <w:r w:rsidR="00E37AC3">
        <w:rPr>
          <w:rFonts w:ascii="Times New Roman" w:hAnsi="Times New Roman" w:cs="Times New Roman"/>
        </w:rPr>
        <w:t xml:space="preserve"> </w:t>
      </w:r>
      <w:r w:rsidR="007D1E66">
        <w:rPr>
          <w:rFonts w:ascii="Times New Roman" w:hAnsi="Times New Roman" w:cs="Times New Roman"/>
        </w:rPr>
        <w:t>T</w:t>
      </w:r>
      <w:r w:rsidR="00E37AC3">
        <w:rPr>
          <w:rFonts w:ascii="Times New Roman" w:hAnsi="Times New Roman" w:cs="Times New Roman"/>
        </w:rPr>
        <w:t xml:space="preserve">he first aspect looks at the de-radicalisation of individuals within a group and the knock-on effect that has, using either a broad or narrow </w:t>
      </w:r>
      <w:r w:rsidR="007D1E66">
        <w:rPr>
          <w:rFonts w:ascii="Times New Roman" w:hAnsi="Times New Roman" w:cs="Times New Roman"/>
        </w:rPr>
        <w:t>definition of de-radicalisation. T</w:t>
      </w:r>
      <w:r w:rsidR="00E37AC3">
        <w:rPr>
          <w:rFonts w:ascii="Times New Roman" w:hAnsi="Times New Roman" w:cs="Times New Roman"/>
        </w:rPr>
        <w:t>he second aspect focuses on the extent to which the state can de-radicalise militants, therefore reducing the risk of them re-engaging, which can then defeat a terrorism campaign from the bottom-up.</w:t>
      </w:r>
      <w:r w:rsidR="005579B6">
        <w:rPr>
          <w:rFonts w:ascii="Times New Roman" w:hAnsi="Times New Roman" w:cs="Times New Roman"/>
        </w:rPr>
        <w:t xml:space="preserve"> The former tends to be primarily driven by the militant group whilst the latter is primarily an initiative of governments,</w:t>
      </w:r>
      <w:r w:rsidR="007D1E66" w:rsidRPr="007D1E66">
        <w:rPr>
          <w:rStyle w:val="FootnoteReference"/>
          <w:rFonts w:ascii="Times New Roman" w:hAnsi="Times New Roman" w:cs="Times New Roman"/>
        </w:rPr>
        <w:t xml:space="preserve"> </w:t>
      </w:r>
      <w:r w:rsidR="007D1E66">
        <w:rPr>
          <w:rStyle w:val="FootnoteReference"/>
          <w:rFonts w:ascii="Times New Roman" w:hAnsi="Times New Roman" w:cs="Times New Roman"/>
        </w:rPr>
        <w:footnoteReference w:id="30"/>
      </w:r>
      <w:r w:rsidR="005579B6">
        <w:rPr>
          <w:rFonts w:ascii="Times New Roman" w:hAnsi="Times New Roman" w:cs="Times New Roman"/>
        </w:rPr>
        <w:t xml:space="preserve"> both of which </w:t>
      </w:r>
      <w:r w:rsidR="007D1E66">
        <w:rPr>
          <w:rFonts w:ascii="Times New Roman" w:hAnsi="Times New Roman" w:cs="Times New Roman"/>
        </w:rPr>
        <w:t>tend to be</w:t>
      </w:r>
      <w:r w:rsidR="005579B6">
        <w:rPr>
          <w:rFonts w:ascii="Times New Roman" w:hAnsi="Times New Roman" w:cs="Times New Roman"/>
        </w:rPr>
        <w:t xml:space="preserve"> associated with Islamist groups. </w:t>
      </w:r>
    </w:p>
    <w:p w14:paraId="4A774195" w14:textId="77777777" w:rsidR="007D1E66" w:rsidRDefault="008564D2"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Rabasa et al argues that de-radicalisation of a leader can have a substantial impact on the group</w:t>
      </w:r>
      <w:r>
        <w:rPr>
          <w:rStyle w:val="FootnoteReference"/>
          <w:rFonts w:ascii="Times New Roman" w:hAnsi="Times New Roman" w:cs="Times New Roman"/>
        </w:rPr>
        <w:footnoteReference w:id="31"/>
      </w:r>
      <w:r>
        <w:rPr>
          <w:rFonts w:ascii="Times New Roman" w:hAnsi="Times New Roman" w:cs="Times New Roman"/>
        </w:rPr>
        <w:t xml:space="preserve"> and Ashour explains the process of how the de-radicalised leader prompts other members within the group to de-radicalise</w:t>
      </w:r>
      <w:r w:rsidR="00A25BB4">
        <w:rPr>
          <w:rFonts w:ascii="Times New Roman" w:hAnsi="Times New Roman" w:cs="Times New Roman"/>
        </w:rPr>
        <w:t>.</w:t>
      </w:r>
      <w:r>
        <w:rPr>
          <w:rStyle w:val="FootnoteReference"/>
          <w:rFonts w:ascii="Times New Roman" w:hAnsi="Times New Roman" w:cs="Times New Roman"/>
        </w:rPr>
        <w:footnoteReference w:id="32"/>
      </w:r>
      <w:r w:rsidR="006C1F69">
        <w:rPr>
          <w:rFonts w:ascii="Times New Roman" w:hAnsi="Times New Roman" w:cs="Times New Roman"/>
        </w:rPr>
        <w:t xml:space="preserve"> Looking at the Islamic Group (IG) in Egypt in 1997, Ashour outlines the process of de-radicalisation that was initiated by its leadership who had begun to de-legitimise the use of violence.</w:t>
      </w:r>
      <w:r w:rsidR="0074784D">
        <w:rPr>
          <w:rFonts w:ascii="Times New Roman" w:hAnsi="Times New Roman" w:cs="Times New Roman"/>
        </w:rPr>
        <w:t xml:space="preserve"> </w:t>
      </w:r>
      <w:r w:rsidR="00561930">
        <w:rPr>
          <w:rFonts w:ascii="Times New Roman" w:hAnsi="Times New Roman" w:cs="Times New Roman"/>
        </w:rPr>
        <w:t>After two decades in prison and after intense debate with al-Azhar scholars – the most prestigious Islamic scholarly institution – the leadersh</w:t>
      </w:r>
      <w:r w:rsidR="007D1E66">
        <w:rPr>
          <w:rFonts w:ascii="Times New Roman" w:hAnsi="Times New Roman" w:cs="Times New Roman"/>
        </w:rPr>
        <w:t>ip decided to renounce violence.</w:t>
      </w:r>
      <w:r w:rsidR="00561930">
        <w:rPr>
          <w:rStyle w:val="FootnoteReference"/>
          <w:rFonts w:ascii="Times New Roman" w:hAnsi="Times New Roman" w:cs="Times New Roman"/>
        </w:rPr>
        <w:footnoteReference w:id="33"/>
      </w:r>
      <w:r w:rsidR="006C1F69">
        <w:rPr>
          <w:rFonts w:ascii="Times New Roman" w:hAnsi="Times New Roman" w:cs="Times New Roman"/>
        </w:rPr>
        <w:t xml:space="preserve"> In order to organise a common stance among the membership, the IG leadership held a ten-month tour of discussions and meetings with their followers in 2002, thus leading to the disengagement of 15,000 militants.</w:t>
      </w:r>
      <w:r w:rsidR="006C1F69">
        <w:rPr>
          <w:rStyle w:val="FootnoteReference"/>
          <w:rFonts w:ascii="Times New Roman" w:hAnsi="Times New Roman" w:cs="Times New Roman"/>
        </w:rPr>
        <w:footnoteReference w:id="34"/>
      </w:r>
      <w:r w:rsidR="006C1F69">
        <w:rPr>
          <w:rFonts w:ascii="Times New Roman" w:hAnsi="Times New Roman" w:cs="Times New Roman"/>
        </w:rPr>
        <w:t xml:space="preserve"> However, non-senior members who de-radicalise may stay silent, </w:t>
      </w:r>
      <w:r w:rsidR="007D1E66">
        <w:rPr>
          <w:rFonts w:ascii="Times New Roman" w:hAnsi="Times New Roman" w:cs="Times New Roman"/>
        </w:rPr>
        <w:t xml:space="preserve">and </w:t>
      </w:r>
      <w:r w:rsidR="006C1F69">
        <w:rPr>
          <w:rFonts w:ascii="Times New Roman" w:hAnsi="Times New Roman" w:cs="Times New Roman"/>
        </w:rPr>
        <w:t>if they disengage their de-radicalisation may not have a substantial effect on the movement, or if their de-radicalisation is out of sync with the mood in the group, they may be co-opted by state intelligence forces to bring down the group.</w:t>
      </w:r>
      <w:r w:rsidR="005579B6">
        <w:rPr>
          <w:rStyle w:val="FootnoteReference"/>
          <w:rFonts w:ascii="Times New Roman" w:hAnsi="Times New Roman" w:cs="Times New Roman"/>
        </w:rPr>
        <w:footnoteReference w:id="35"/>
      </w:r>
      <w:r w:rsidR="006C1F69">
        <w:rPr>
          <w:rFonts w:ascii="Times New Roman" w:hAnsi="Times New Roman" w:cs="Times New Roman"/>
        </w:rPr>
        <w:t xml:space="preserve"> </w:t>
      </w:r>
      <w:r w:rsidR="00842CB4">
        <w:rPr>
          <w:rFonts w:ascii="Times New Roman" w:hAnsi="Times New Roman" w:cs="Times New Roman"/>
        </w:rPr>
        <w:t xml:space="preserve">Furthermore, </w:t>
      </w:r>
      <w:r>
        <w:rPr>
          <w:rFonts w:ascii="Times New Roman" w:hAnsi="Times New Roman" w:cs="Times New Roman"/>
        </w:rPr>
        <w:t>Rabasa et al highlight the pitfalls of de-radicalisation at a societal level, whereby a de-radicalised individual may return to a community which continues to support terrorism and political violence</w:t>
      </w:r>
      <w:r w:rsidR="00A25BB4">
        <w:rPr>
          <w:rFonts w:ascii="Times New Roman" w:hAnsi="Times New Roman" w:cs="Times New Roman"/>
        </w:rPr>
        <w:t>.</w:t>
      </w:r>
      <w:r>
        <w:rPr>
          <w:rStyle w:val="FootnoteReference"/>
          <w:rFonts w:ascii="Times New Roman" w:hAnsi="Times New Roman" w:cs="Times New Roman"/>
        </w:rPr>
        <w:footnoteReference w:id="36"/>
      </w:r>
      <w:r w:rsidR="006859A8">
        <w:rPr>
          <w:rFonts w:ascii="Times New Roman" w:hAnsi="Times New Roman" w:cs="Times New Roman"/>
        </w:rPr>
        <w:t xml:space="preserve"> </w:t>
      </w:r>
    </w:p>
    <w:p w14:paraId="055CA226" w14:textId="58BBF385" w:rsidR="006859A8" w:rsidRDefault="006859A8" w:rsidP="00B57C7F">
      <w:pPr>
        <w:spacing w:line="360" w:lineRule="auto"/>
        <w:ind w:firstLine="720"/>
        <w:jc w:val="both"/>
        <w:rPr>
          <w:rFonts w:ascii="Times New Roman" w:hAnsi="Times New Roman" w:cs="Times New Roman"/>
        </w:rPr>
      </w:pPr>
      <w:r>
        <w:rPr>
          <w:rFonts w:ascii="Times New Roman" w:hAnsi="Times New Roman" w:cs="Times New Roman"/>
        </w:rPr>
        <w:t xml:space="preserve">Thus, de-radicalisation is still dependent on social change </w:t>
      </w:r>
      <w:r w:rsidR="006C1F69">
        <w:rPr>
          <w:rFonts w:ascii="Times New Roman" w:hAnsi="Times New Roman" w:cs="Times New Roman"/>
        </w:rPr>
        <w:t xml:space="preserve">and group dynamics, </w:t>
      </w:r>
      <w:r>
        <w:rPr>
          <w:rFonts w:ascii="Times New Roman" w:hAnsi="Times New Roman" w:cs="Times New Roman"/>
        </w:rPr>
        <w:t>and although de-radicalised individuals can play an important role, there remains a gap in the literature on how this manifests itself</w:t>
      </w:r>
      <w:r w:rsidR="00A25BB4">
        <w:rPr>
          <w:rFonts w:ascii="Times New Roman" w:hAnsi="Times New Roman" w:cs="Times New Roman"/>
        </w:rPr>
        <w:t>.</w:t>
      </w:r>
      <w:r>
        <w:rPr>
          <w:rStyle w:val="FootnoteReference"/>
          <w:rFonts w:ascii="Times New Roman" w:hAnsi="Times New Roman" w:cs="Times New Roman"/>
        </w:rPr>
        <w:footnoteReference w:id="37"/>
      </w:r>
      <w:r>
        <w:rPr>
          <w:rFonts w:ascii="Times New Roman" w:hAnsi="Times New Roman" w:cs="Times New Roman"/>
        </w:rPr>
        <w:t xml:space="preserve"> </w:t>
      </w:r>
      <w:r w:rsidR="006C1F69">
        <w:rPr>
          <w:rFonts w:ascii="Times New Roman" w:hAnsi="Times New Roman" w:cs="Times New Roman"/>
        </w:rPr>
        <w:t xml:space="preserve">Ashour and Rabasa et al highlight the social aspect of individual de-radicalisation and how it can diffuse throughout the group, yet there is still no study that analyses </w:t>
      </w:r>
      <w:r w:rsidR="0021532A">
        <w:rPr>
          <w:rFonts w:ascii="Times New Roman" w:hAnsi="Times New Roman" w:cs="Times New Roman"/>
        </w:rPr>
        <w:t>how it diffuses throughout society</w:t>
      </w:r>
      <w:r w:rsidR="006C1F69">
        <w:rPr>
          <w:rFonts w:ascii="Times New Roman" w:hAnsi="Times New Roman" w:cs="Times New Roman"/>
        </w:rPr>
        <w:t xml:space="preserve"> or the social movement, as Ashour points out.</w:t>
      </w:r>
      <w:r w:rsidR="00561930">
        <w:rPr>
          <w:rFonts w:ascii="Times New Roman" w:hAnsi="Times New Roman" w:cs="Times New Roman"/>
        </w:rPr>
        <w:t xml:space="preserve"> </w:t>
      </w:r>
      <w:r w:rsidR="00C95E3E">
        <w:rPr>
          <w:rFonts w:ascii="Times New Roman" w:hAnsi="Times New Roman" w:cs="Times New Roman"/>
        </w:rPr>
        <w:t xml:space="preserve">With regard to the Provisional IRA, there are clearly similarities between the processes undertaken by Egyptian Islamist groups, for example the experience in prison and the extensive internal dialogue that preceded the ceasefire. Yet the Provisional IRA’s </w:t>
      </w:r>
      <w:r w:rsidR="00C95E3E">
        <w:rPr>
          <w:rFonts w:ascii="Times New Roman" w:hAnsi="Times New Roman" w:cs="Times New Roman"/>
        </w:rPr>
        <w:lastRenderedPageBreak/>
        <w:t>disengagement is not referred to as de-radicalisation – thus marginalising the significance of attitudinal change – because there is no denunciation of past violence.</w:t>
      </w:r>
      <w:r w:rsidR="00C95E3E">
        <w:rPr>
          <w:rStyle w:val="FootnoteReference"/>
          <w:rFonts w:ascii="Times New Roman" w:hAnsi="Times New Roman" w:cs="Times New Roman"/>
        </w:rPr>
        <w:footnoteReference w:id="38"/>
      </w:r>
      <w:r w:rsidR="005579B6">
        <w:rPr>
          <w:rFonts w:ascii="Times New Roman" w:hAnsi="Times New Roman" w:cs="Times New Roman"/>
        </w:rPr>
        <w:t xml:space="preserve"> </w:t>
      </w:r>
      <w:r w:rsidR="00C95E3E">
        <w:rPr>
          <w:rFonts w:ascii="Times New Roman" w:hAnsi="Times New Roman" w:cs="Times New Roman"/>
        </w:rPr>
        <w:t xml:space="preserve">Yet </w:t>
      </w:r>
      <w:r w:rsidR="00A15940">
        <w:rPr>
          <w:rFonts w:ascii="Times New Roman" w:hAnsi="Times New Roman" w:cs="Times New Roman"/>
        </w:rPr>
        <w:t>even the arguments used by Egyptian Islamists</w:t>
      </w:r>
      <w:r w:rsidR="00A15940" w:rsidRPr="00A15940">
        <w:rPr>
          <w:rFonts w:ascii="Times New Roman" w:hAnsi="Times New Roman" w:cs="Times New Roman"/>
        </w:rPr>
        <w:t xml:space="preserve"> </w:t>
      </w:r>
      <w:r w:rsidR="00A15940">
        <w:rPr>
          <w:rFonts w:ascii="Times New Roman" w:hAnsi="Times New Roman" w:cs="Times New Roman"/>
        </w:rPr>
        <w:t>who are de-radicalised, as outlined by Gunaratna and Bin Ali,</w:t>
      </w:r>
      <w:r w:rsidR="00A15940">
        <w:rPr>
          <w:rStyle w:val="FootnoteReference"/>
          <w:rFonts w:ascii="Times New Roman" w:hAnsi="Times New Roman" w:cs="Times New Roman"/>
        </w:rPr>
        <w:footnoteReference w:id="39"/>
      </w:r>
      <w:r w:rsidR="00A15940">
        <w:rPr>
          <w:rFonts w:ascii="Times New Roman" w:hAnsi="Times New Roman" w:cs="Times New Roman"/>
        </w:rPr>
        <w:t xml:space="preserve"> does still con</w:t>
      </w:r>
      <w:r w:rsidR="007D1E66">
        <w:rPr>
          <w:rFonts w:ascii="Times New Roman" w:hAnsi="Times New Roman" w:cs="Times New Roman"/>
        </w:rPr>
        <w:t>sist of</w:t>
      </w:r>
      <w:r w:rsidR="00A15940">
        <w:rPr>
          <w:rFonts w:ascii="Times New Roman" w:hAnsi="Times New Roman" w:cs="Times New Roman"/>
        </w:rPr>
        <w:t xml:space="preserve"> support for using violence in some </w:t>
      </w:r>
      <w:r w:rsidR="00A15940" w:rsidRPr="008C1C59">
        <w:rPr>
          <w:rFonts w:ascii="Times New Roman" w:hAnsi="Times New Roman" w:cs="Times New Roman"/>
          <w:i/>
          <w:iCs/>
        </w:rPr>
        <w:t>conditions</w:t>
      </w:r>
      <w:r w:rsidR="00A15940">
        <w:rPr>
          <w:rFonts w:ascii="Times New Roman" w:hAnsi="Times New Roman" w:cs="Times New Roman"/>
        </w:rPr>
        <w:t>.</w:t>
      </w:r>
      <w:r w:rsidR="00AC22AC">
        <w:rPr>
          <w:rStyle w:val="FootnoteReference"/>
          <w:rFonts w:ascii="Times New Roman" w:hAnsi="Times New Roman" w:cs="Times New Roman"/>
        </w:rPr>
        <w:footnoteReference w:id="40"/>
      </w:r>
      <w:r w:rsidR="008C1C59">
        <w:rPr>
          <w:rFonts w:ascii="Times New Roman" w:hAnsi="Times New Roman" w:cs="Times New Roman"/>
        </w:rPr>
        <w:t xml:space="preserve"> </w:t>
      </w:r>
      <w:r w:rsidR="00A15940">
        <w:rPr>
          <w:rFonts w:ascii="Times New Roman" w:hAnsi="Times New Roman" w:cs="Times New Roman"/>
        </w:rPr>
        <w:t xml:space="preserve"> Thus, there is a lack of conceptual clarity on what de-radicalisation is and how the </w:t>
      </w:r>
      <w:r w:rsidR="00A15940" w:rsidRPr="00A15940">
        <w:rPr>
          <w:rFonts w:ascii="Times New Roman" w:hAnsi="Times New Roman" w:cs="Times New Roman"/>
          <w:i/>
          <w:iCs/>
        </w:rPr>
        <w:t xml:space="preserve">process </w:t>
      </w:r>
      <w:r w:rsidR="00A15940">
        <w:rPr>
          <w:rFonts w:ascii="Times New Roman" w:hAnsi="Times New Roman" w:cs="Times New Roman"/>
        </w:rPr>
        <w:t xml:space="preserve">of de-radicalisation differs, and how this process extends beyond the group to society.  </w:t>
      </w:r>
      <w:r w:rsidR="00C95E3E">
        <w:rPr>
          <w:rFonts w:ascii="Times New Roman" w:hAnsi="Times New Roman" w:cs="Times New Roman"/>
        </w:rPr>
        <w:t xml:space="preserve"> </w:t>
      </w:r>
    </w:p>
    <w:p w14:paraId="293233B8" w14:textId="77777777" w:rsidR="007D1E66" w:rsidRDefault="007D1E66" w:rsidP="00B57C7F">
      <w:pPr>
        <w:spacing w:line="360" w:lineRule="auto"/>
        <w:ind w:firstLine="720"/>
        <w:jc w:val="both"/>
        <w:rPr>
          <w:rFonts w:ascii="Times New Roman" w:hAnsi="Times New Roman" w:cs="Times New Roman"/>
        </w:rPr>
      </w:pPr>
      <w:r>
        <w:rPr>
          <w:rFonts w:ascii="Times New Roman" w:hAnsi="Times New Roman" w:cs="Times New Roman"/>
        </w:rPr>
        <w:t>The second aspect</w:t>
      </w:r>
      <w:r w:rsidR="00E77641">
        <w:rPr>
          <w:rFonts w:ascii="Times New Roman" w:hAnsi="Times New Roman" w:cs="Times New Roman"/>
        </w:rPr>
        <w:t xml:space="preserve"> the de-radicalisation literature focuses on </w:t>
      </w:r>
      <w:r>
        <w:rPr>
          <w:rFonts w:ascii="Times New Roman" w:hAnsi="Times New Roman" w:cs="Times New Roman"/>
        </w:rPr>
        <w:t xml:space="preserve">is </w:t>
      </w:r>
      <w:r w:rsidR="00E77641">
        <w:rPr>
          <w:rFonts w:ascii="Times New Roman" w:hAnsi="Times New Roman" w:cs="Times New Roman"/>
        </w:rPr>
        <w:t>the extent de-radicalisation reduces the risk of recidivism.</w:t>
      </w:r>
      <w:r w:rsidR="006859A8">
        <w:rPr>
          <w:rFonts w:ascii="Times New Roman" w:hAnsi="Times New Roman" w:cs="Times New Roman"/>
        </w:rPr>
        <w:t xml:space="preserve"> </w:t>
      </w:r>
      <w:r w:rsidR="00E77641">
        <w:rPr>
          <w:rFonts w:ascii="Times New Roman" w:hAnsi="Times New Roman" w:cs="Times New Roman"/>
        </w:rPr>
        <w:t>Thus, a number of states have</w:t>
      </w:r>
      <w:r w:rsidR="006859A8">
        <w:rPr>
          <w:rFonts w:ascii="Times New Roman" w:hAnsi="Times New Roman" w:cs="Times New Roman"/>
        </w:rPr>
        <w:t xml:space="preserve"> intervene</w:t>
      </w:r>
      <w:r w:rsidR="00E77641">
        <w:rPr>
          <w:rFonts w:ascii="Times New Roman" w:hAnsi="Times New Roman" w:cs="Times New Roman"/>
        </w:rPr>
        <w:t>d</w:t>
      </w:r>
      <w:r w:rsidR="006859A8">
        <w:rPr>
          <w:rFonts w:ascii="Times New Roman" w:hAnsi="Times New Roman" w:cs="Times New Roman"/>
        </w:rPr>
        <w:t xml:space="preserve"> </w:t>
      </w:r>
      <w:r w:rsidR="0021532A">
        <w:rPr>
          <w:rFonts w:ascii="Times New Roman" w:hAnsi="Times New Roman" w:cs="Times New Roman"/>
        </w:rPr>
        <w:t xml:space="preserve">through prisoner programmes </w:t>
      </w:r>
      <w:r w:rsidR="006859A8">
        <w:rPr>
          <w:rFonts w:ascii="Times New Roman" w:hAnsi="Times New Roman" w:cs="Times New Roman"/>
        </w:rPr>
        <w:t>to try incentivising and facilitating de-radicalisation</w:t>
      </w:r>
      <w:r w:rsidR="00E77641">
        <w:rPr>
          <w:rFonts w:ascii="Times New Roman" w:hAnsi="Times New Roman" w:cs="Times New Roman"/>
        </w:rPr>
        <w:t xml:space="preserve"> in the hope that this provides a more durable end to terrorism once the prisoners are released</w:t>
      </w:r>
      <w:r w:rsidR="006859A8">
        <w:rPr>
          <w:rFonts w:ascii="Times New Roman" w:hAnsi="Times New Roman" w:cs="Times New Roman"/>
        </w:rPr>
        <w:t>.</w:t>
      </w:r>
      <w:r w:rsidR="0021532A">
        <w:rPr>
          <w:rFonts w:ascii="Times New Roman" w:hAnsi="Times New Roman" w:cs="Times New Roman"/>
        </w:rPr>
        <w:t xml:space="preserve"> </w:t>
      </w:r>
      <w:r w:rsidR="0021532A" w:rsidRPr="00BC2C4B">
        <w:rPr>
          <w:rFonts w:ascii="Times New Roman" w:hAnsi="Times New Roman" w:cs="Times New Roman"/>
        </w:rPr>
        <w:t>The prisoner programmes have been concerned with ensuring that released terrorist prisoners: do not re-engage in terrorist activities (whether directly or by providing material support); disassociate th</w:t>
      </w:r>
      <w:r>
        <w:rPr>
          <w:rFonts w:ascii="Times New Roman" w:hAnsi="Times New Roman" w:cs="Times New Roman"/>
        </w:rPr>
        <w:t xml:space="preserve">emselves from radical movements; </w:t>
      </w:r>
      <w:r w:rsidR="0021532A" w:rsidRPr="00BC2C4B">
        <w:rPr>
          <w:rFonts w:ascii="Times New Roman" w:hAnsi="Times New Roman" w:cs="Times New Roman"/>
        </w:rPr>
        <w:t>provide intelligence; meet victims as part of a reconciliation initiative; distance themselves publicly from terrorism; and take part in activities aimed at reducing recruitment</w:t>
      </w:r>
      <w:r w:rsidR="00A25BB4">
        <w:rPr>
          <w:rFonts w:ascii="Times New Roman" w:hAnsi="Times New Roman" w:cs="Times New Roman"/>
        </w:rPr>
        <w:t>.</w:t>
      </w:r>
      <w:r w:rsidR="0021532A">
        <w:rPr>
          <w:rStyle w:val="FootnoteReference"/>
          <w:rFonts w:ascii="Times New Roman" w:hAnsi="Times New Roman" w:cs="Times New Roman"/>
        </w:rPr>
        <w:footnoteReference w:id="41"/>
      </w:r>
      <w:r w:rsidR="00AC22AC">
        <w:rPr>
          <w:rFonts w:ascii="Times New Roman" w:hAnsi="Times New Roman" w:cs="Times New Roman"/>
        </w:rPr>
        <w:t xml:space="preserve"> On one of the most famous state initiatives - the Saudi Arabian programme – Islamist prisoners are given a six-week course </w:t>
      </w:r>
      <w:r w:rsidR="0031616C">
        <w:rPr>
          <w:rFonts w:ascii="Times New Roman" w:hAnsi="Times New Roman" w:cs="Times New Roman"/>
        </w:rPr>
        <w:t>and at the end are given an exam and a psychological evaluation, where the expectation is they will renounce terrorism. If they pass, they proceed to the program’s aftercare phase, where upon release they are provided help to secure employment, transportation, fund</w:t>
      </w:r>
      <w:r>
        <w:rPr>
          <w:rFonts w:ascii="Times New Roman" w:hAnsi="Times New Roman" w:cs="Times New Roman"/>
        </w:rPr>
        <w:t>s</w:t>
      </w:r>
      <w:r w:rsidR="0031616C">
        <w:rPr>
          <w:rFonts w:ascii="Times New Roman" w:hAnsi="Times New Roman" w:cs="Times New Roman"/>
        </w:rPr>
        <w:t xml:space="preserve"> and a place to live.</w:t>
      </w:r>
      <w:r w:rsidR="0031616C">
        <w:rPr>
          <w:rStyle w:val="FootnoteReference"/>
          <w:rFonts w:ascii="Times New Roman" w:hAnsi="Times New Roman" w:cs="Times New Roman"/>
        </w:rPr>
        <w:footnoteReference w:id="42"/>
      </w:r>
      <w:r w:rsidR="00C16E9D">
        <w:rPr>
          <w:rFonts w:ascii="Times New Roman" w:hAnsi="Times New Roman" w:cs="Times New Roman"/>
        </w:rPr>
        <w:t xml:space="preserve"> Other programmes, however, do not have an ideological or attitudinal component, such as Northern Ireland’s Early Release Scheme. In this scheme, prisoners were released but could be re-imprisoned should they violate the conditions of their release, or if the affiliated group was to break the ceasefire – therefore there was no demand to denounce violence but to simply remain </w:t>
      </w:r>
      <w:r w:rsidR="00C16E9D">
        <w:rPr>
          <w:rFonts w:ascii="Times New Roman" w:hAnsi="Times New Roman" w:cs="Times New Roman"/>
        </w:rPr>
        <w:lastRenderedPageBreak/>
        <w:t xml:space="preserve">disengaged. Furthermore, there was little effort to integrate former prisoners back into society as </w:t>
      </w:r>
      <w:r>
        <w:rPr>
          <w:rFonts w:ascii="Times New Roman" w:hAnsi="Times New Roman" w:cs="Times New Roman"/>
        </w:rPr>
        <w:t xml:space="preserve">there was </w:t>
      </w:r>
      <w:r w:rsidR="00C16E9D">
        <w:rPr>
          <w:rFonts w:ascii="Times New Roman" w:hAnsi="Times New Roman" w:cs="Times New Roman"/>
        </w:rPr>
        <w:t>in the Saudi programme.</w:t>
      </w:r>
      <w:r w:rsidR="00C16E9D">
        <w:rPr>
          <w:rStyle w:val="FootnoteReference"/>
          <w:rFonts w:ascii="Times New Roman" w:hAnsi="Times New Roman" w:cs="Times New Roman"/>
        </w:rPr>
        <w:footnoteReference w:id="43"/>
      </w:r>
      <w:r w:rsidR="0021532A" w:rsidRPr="00BC2C4B">
        <w:rPr>
          <w:rFonts w:ascii="Times New Roman" w:hAnsi="Times New Roman" w:cs="Times New Roman"/>
        </w:rPr>
        <w:t xml:space="preserve"> </w:t>
      </w:r>
    </w:p>
    <w:p w14:paraId="4DC52C9F" w14:textId="6F49B66D" w:rsidR="00FD1127" w:rsidRDefault="006C63A9" w:rsidP="00B57C7F">
      <w:pPr>
        <w:spacing w:line="360" w:lineRule="auto"/>
        <w:ind w:firstLine="720"/>
        <w:jc w:val="both"/>
        <w:rPr>
          <w:rFonts w:ascii="Times New Roman" w:hAnsi="Times New Roman" w:cs="Times New Roman"/>
        </w:rPr>
      </w:pPr>
      <w:r>
        <w:rPr>
          <w:rFonts w:ascii="Times New Roman" w:hAnsi="Times New Roman" w:cs="Times New Roman"/>
        </w:rPr>
        <w:t>Yet the dominant view in the literature is there is little difference in both programmes on the rate of recidivism.  On average, the risk of recidivism is generally low for ex-prisoners convicted of terrorism in comparison to ‘ordinary criminal</w:t>
      </w:r>
      <w:r w:rsidR="007D1E66">
        <w:rPr>
          <w:rFonts w:ascii="Times New Roman" w:hAnsi="Times New Roman" w:cs="Times New Roman"/>
        </w:rPr>
        <w:t>s</w:t>
      </w:r>
      <w:r>
        <w:rPr>
          <w:rFonts w:ascii="Times New Roman" w:hAnsi="Times New Roman" w:cs="Times New Roman"/>
        </w:rPr>
        <w:t>’</w:t>
      </w:r>
      <w:r w:rsidR="00FD1127">
        <w:rPr>
          <w:rFonts w:ascii="Times New Roman" w:hAnsi="Times New Roman" w:cs="Times New Roman"/>
        </w:rPr>
        <w:t>: the Saudi case claims their programme has a 3 per cent recidivism rate whilst in Northern Ireland this figure is about 4 per cent.</w:t>
      </w:r>
      <w:r w:rsidR="00FD1127">
        <w:rPr>
          <w:rStyle w:val="FootnoteReference"/>
          <w:rFonts w:ascii="Times New Roman" w:hAnsi="Times New Roman" w:cs="Times New Roman"/>
        </w:rPr>
        <w:footnoteReference w:id="44"/>
      </w:r>
      <w:r>
        <w:rPr>
          <w:rFonts w:ascii="Times New Roman" w:hAnsi="Times New Roman" w:cs="Times New Roman"/>
        </w:rPr>
        <w:t xml:space="preserve"> </w:t>
      </w:r>
      <w:r w:rsidR="00FD1127">
        <w:rPr>
          <w:rFonts w:ascii="Times New Roman" w:hAnsi="Times New Roman" w:cs="Times New Roman"/>
        </w:rPr>
        <w:t>Thus,</w:t>
      </w:r>
      <w:r w:rsidR="0021532A" w:rsidRPr="00BC2C4B">
        <w:rPr>
          <w:rFonts w:ascii="Times New Roman" w:hAnsi="Times New Roman" w:cs="Times New Roman"/>
        </w:rPr>
        <w:t xml:space="preserve"> the difference in terms of quality between programmes that have focused on changing attitudes and those solely concerned</w:t>
      </w:r>
      <w:r w:rsidR="00FD1127">
        <w:rPr>
          <w:rFonts w:ascii="Times New Roman" w:hAnsi="Times New Roman" w:cs="Times New Roman"/>
        </w:rPr>
        <w:t xml:space="preserve"> with behaviour</w:t>
      </w:r>
      <w:r w:rsidR="007D1E66">
        <w:rPr>
          <w:rFonts w:ascii="Times New Roman" w:hAnsi="Times New Roman" w:cs="Times New Roman"/>
        </w:rPr>
        <w:t>al change</w:t>
      </w:r>
      <w:r w:rsidR="00FD1127">
        <w:rPr>
          <w:rFonts w:ascii="Times New Roman" w:hAnsi="Times New Roman" w:cs="Times New Roman"/>
        </w:rPr>
        <w:t xml:space="preserve"> remains unclear.</w:t>
      </w:r>
      <w:r w:rsidR="0021532A" w:rsidRPr="00BC2C4B">
        <w:rPr>
          <w:rFonts w:ascii="Times New Roman" w:hAnsi="Times New Roman" w:cs="Times New Roman"/>
        </w:rPr>
        <w:t xml:space="preserve"> </w:t>
      </w:r>
      <w:r w:rsidR="0021532A">
        <w:rPr>
          <w:rFonts w:ascii="Times New Roman" w:hAnsi="Times New Roman" w:cs="Times New Roman"/>
        </w:rPr>
        <w:t>Furthermore, t</w:t>
      </w:r>
      <w:r w:rsidR="0021532A" w:rsidRPr="00BC2C4B">
        <w:rPr>
          <w:rFonts w:ascii="Times New Roman" w:hAnsi="Times New Roman" w:cs="Times New Roman"/>
        </w:rPr>
        <w:t xml:space="preserve">he literature tends to suggest </w:t>
      </w:r>
      <w:r w:rsidR="0021532A">
        <w:rPr>
          <w:rFonts w:ascii="Times New Roman" w:hAnsi="Times New Roman" w:cs="Times New Roman"/>
        </w:rPr>
        <w:t>that recidivism reduction</w:t>
      </w:r>
      <w:r w:rsidR="0021532A" w:rsidRPr="00BC2C4B">
        <w:rPr>
          <w:rFonts w:ascii="Times New Roman" w:hAnsi="Times New Roman" w:cs="Times New Roman"/>
        </w:rPr>
        <w:t xml:space="preserve"> is dependent upon a mix of incentives and coercive tools applied</w:t>
      </w:r>
      <w:r w:rsidR="0021532A">
        <w:rPr>
          <w:rFonts w:ascii="Times New Roman" w:hAnsi="Times New Roman" w:cs="Times New Roman"/>
        </w:rPr>
        <w:t xml:space="preserve"> by the state to the individual rather than any change in attitudes,</w:t>
      </w:r>
      <w:r w:rsidR="0021532A" w:rsidRPr="00BC2C4B">
        <w:rPr>
          <w:rFonts w:ascii="Times New Roman" w:hAnsi="Times New Roman" w:cs="Times New Roman"/>
        </w:rPr>
        <w:t xml:space="preserve"> and this may explain high recidivism </w:t>
      </w:r>
      <w:r w:rsidR="00077ECA">
        <w:rPr>
          <w:rFonts w:ascii="Times New Roman" w:hAnsi="Times New Roman" w:cs="Times New Roman"/>
        </w:rPr>
        <w:t xml:space="preserve">of 20 per cent </w:t>
      </w:r>
      <w:r w:rsidR="0021532A" w:rsidRPr="00BC2C4B">
        <w:rPr>
          <w:rFonts w:ascii="Times New Roman" w:hAnsi="Times New Roman" w:cs="Times New Roman"/>
        </w:rPr>
        <w:t>amongst ex-Guantanamo Bay prisoners</w:t>
      </w:r>
      <w:r w:rsidR="0021532A">
        <w:rPr>
          <w:rFonts w:ascii="Times New Roman" w:hAnsi="Times New Roman" w:cs="Times New Roman"/>
        </w:rPr>
        <w:t xml:space="preserve"> for example, where the US government cannot monitor them</w:t>
      </w:r>
      <w:r w:rsidR="00A25BB4">
        <w:rPr>
          <w:rFonts w:ascii="Times New Roman" w:hAnsi="Times New Roman" w:cs="Times New Roman"/>
        </w:rPr>
        <w:t>.</w:t>
      </w:r>
      <w:r w:rsidR="0021532A">
        <w:rPr>
          <w:rStyle w:val="FootnoteReference"/>
          <w:rFonts w:ascii="Times New Roman" w:hAnsi="Times New Roman" w:cs="Times New Roman"/>
        </w:rPr>
        <w:footnoteReference w:id="45"/>
      </w:r>
      <w:r w:rsidR="00F92D92">
        <w:rPr>
          <w:rFonts w:ascii="Times New Roman" w:hAnsi="Times New Roman" w:cs="Times New Roman"/>
        </w:rPr>
        <w:t xml:space="preserve"> For many scholars, the </w:t>
      </w:r>
      <w:r w:rsidR="005501A6">
        <w:rPr>
          <w:rFonts w:ascii="Times New Roman" w:hAnsi="Times New Roman" w:cs="Times New Roman"/>
        </w:rPr>
        <w:t>limited success of the prisoner programmes s</w:t>
      </w:r>
      <w:r w:rsidR="00FD1127">
        <w:rPr>
          <w:rFonts w:ascii="Times New Roman" w:hAnsi="Times New Roman" w:cs="Times New Roman"/>
        </w:rPr>
        <w:t>uggests</w:t>
      </w:r>
      <w:r w:rsidR="005501A6">
        <w:rPr>
          <w:rFonts w:ascii="Times New Roman" w:hAnsi="Times New Roman" w:cs="Times New Roman"/>
        </w:rPr>
        <w:t xml:space="preserve"> that de-radicalisation ‘is a misleading term to encompass what are context-specific and culturally determined efforts to reduce the risk of involvement or re-engagement in terrorism’</w:t>
      </w:r>
      <w:r w:rsidR="00A25BB4">
        <w:rPr>
          <w:rFonts w:ascii="Times New Roman" w:hAnsi="Times New Roman" w:cs="Times New Roman"/>
        </w:rPr>
        <w:t>.</w:t>
      </w:r>
      <w:r w:rsidR="005501A6">
        <w:rPr>
          <w:rStyle w:val="FootnoteReference"/>
          <w:rFonts w:ascii="Times New Roman" w:hAnsi="Times New Roman" w:cs="Times New Roman"/>
        </w:rPr>
        <w:footnoteReference w:id="46"/>
      </w:r>
      <w:r w:rsidR="005501A6">
        <w:rPr>
          <w:rFonts w:ascii="Times New Roman" w:hAnsi="Times New Roman" w:cs="Times New Roman"/>
        </w:rPr>
        <w:t xml:space="preserve"> </w:t>
      </w:r>
      <w:r w:rsidR="00CE1BFF">
        <w:rPr>
          <w:rFonts w:ascii="Times New Roman" w:hAnsi="Times New Roman" w:cs="Times New Roman"/>
        </w:rPr>
        <w:t>The increased recognition that</w:t>
      </w:r>
      <w:r w:rsidR="005501A6">
        <w:rPr>
          <w:rFonts w:ascii="Times New Roman" w:hAnsi="Times New Roman" w:cs="Times New Roman"/>
        </w:rPr>
        <w:t xml:space="preserve"> it is the context which shapes the risk of recidivism</w:t>
      </w:r>
      <w:r w:rsidR="00CE1BFF">
        <w:rPr>
          <w:rFonts w:ascii="Times New Roman" w:hAnsi="Times New Roman" w:cs="Times New Roman"/>
        </w:rPr>
        <w:t xml:space="preserve"> – for example, the extent a state monitors former prisoners or the emergence of conflicts further afield (e.g. Syria)</w:t>
      </w:r>
      <w:r w:rsidR="00C16E9D">
        <w:rPr>
          <w:rStyle w:val="FootnoteReference"/>
          <w:rFonts w:ascii="Times New Roman" w:hAnsi="Times New Roman" w:cs="Times New Roman"/>
        </w:rPr>
        <w:footnoteReference w:id="47"/>
      </w:r>
      <w:r w:rsidR="00CE1BFF">
        <w:rPr>
          <w:rFonts w:ascii="Times New Roman" w:hAnsi="Times New Roman" w:cs="Times New Roman"/>
        </w:rPr>
        <w:t xml:space="preserve"> –</w:t>
      </w:r>
      <w:r w:rsidR="005501A6">
        <w:rPr>
          <w:rFonts w:ascii="Times New Roman" w:hAnsi="Times New Roman" w:cs="Times New Roman"/>
        </w:rPr>
        <w:t xml:space="preserve"> </w:t>
      </w:r>
      <w:r w:rsidR="00CE1BFF">
        <w:rPr>
          <w:rFonts w:ascii="Times New Roman" w:hAnsi="Times New Roman" w:cs="Times New Roman"/>
        </w:rPr>
        <w:t>has meant there has been</w:t>
      </w:r>
      <w:r w:rsidR="005501A6">
        <w:rPr>
          <w:rFonts w:ascii="Times New Roman" w:hAnsi="Times New Roman" w:cs="Times New Roman"/>
        </w:rPr>
        <w:t xml:space="preserve"> a shift away from </w:t>
      </w:r>
      <w:r w:rsidR="00CE1BFF">
        <w:rPr>
          <w:rFonts w:ascii="Times New Roman" w:hAnsi="Times New Roman" w:cs="Times New Roman"/>
        </w:rPr>
        <w:t xml:space="preserve">the </w:t>
      </w:r>
      <w:r w:rsidR="005501A6">
        <w:rPr>
          <w:rFonts w:ascii="Times New Roman" w:hAnsi="Times New Roman" w:cs="Times New Roman"/>
        </w:rPr>
        <w:t>de-radicalisation</w:t>
      </w:r>
      <w:r w:rsidR="00CE1BFF">
        <w:rPr>
          <w:rFonts w:ascii="Times New Roman" w:hAnsi="Times New Roman" w:cs="Times New Roman"/>
        </w:rPr>
        <w:t xml:space="preserve"> of individuals</w:t>
      </w:r>
      <w:r w:rsidR="005501A6">
        <w:rPr>
          <w:rFonts w:ascii="Times New Roman" w:hAnsi="Times New Roman" w:cs="Times New Roman"/>
        </w:rPr>
        <w:t xml:space="preserve"> to identifying risk factor</w:t>
      </w:r>
      <w:r w:rsidR="0053586C">
        <w:rPr>
          <w:rFonts w:ascii="Times New Roman" w:hAnsi="Times New Roman" w:cs="Times New Roman"/>
        </w:rPr>
        <w:t>s</w:t>
      </w:r>
      <w:r w:rsidR="005501A6">
        <w:rPr>
          <w:rFonts w:ascii="Times New Roman" w:hAnsi="Times New Roman" w:cs="Times New Roman"/>
        </w:rPr>
        <w:t xml:space="preserve"> more broadly</w:t>
      </w:r>
      <w:r w:rsidR="00A25BB4">
        <w:rPr>
          <w:rFonts w:ascii="Times New Roman" w:hAnsi="Times New Roman" w:cs="Times New Roman"/>
        </w:rPr>
        <w:t>.</w:t>
      </w:r>
      <w:r w:rsidR="005501A6">
        <w:rPr>
          <w:rStyle w:val="FootnoteReference"/>
          <w:rFonts w:ascii="Times New Roman" w:hAnsi="Times New Roman" w:cs="Times New Roman"/>
        </w:rPr>
        <w:footnoteReference w:id="48"/>
      </w:r>
      <w:r w:rsidR="0021532A" w:rsidRPr="00BC2C4B">
        <w:rPr>
          <w:rFonts w:ascii="Times New Roman" w:hAnsi="Times New Roman" w:cs="Times New Roman"/>
        </w:rPr>
        <w:t xml:space="preserve"> </w:t>
      </w:r>
    </w:p>
    <w:p w14:paraId="204DBF08" w14:textId="557BB1DD" w:rsidR="00A866D1" w:rsidRDefault="00FD1127" w:rsidP="00B57C7F">
      <w:pPr>
        <w:spacing w:line="360" w:lineRule="auto"/>
        <w:ind w:firstLine="720"/>
        <w:jc w:val="both"/>
        <w:rPr>
          <w:rFonts w:ascii="Times New Roman" w:hAnsi="Times New Roman" w:cs="Times New Roman"/>
        </w:rPr>
      </w:pPr>
      <w:r>
        <w:rPr>
          <w:rFonts w:ascii="Times New Roman" w:hAnsi="Times New Roman" w:cs="Times New Roman"/>
        </w:rPr>
        <w:t xml:space="preserve">However, </w:t>
      </w:r>
      <w:r w:rsidR="0053586C">
        <w:rPr>
          <w:rFonts w:ascii="Times New Roman" w:hAnsi="Times New Roman" w:cs="Times New Roman"/>
        </w:rPr>
        <w:t>while accepting the</w:t>
      </w:r>
      <w:r>
        <w:rPr>
          <w:rFonts w:ascii="Times New Roman" w:hAnsi="Times New Roman" w:cs="Times New Roman"/>
        </w:rPr>
        <w:t xml:space="preserve"> argument that assessing the risk o</w:t>
      </w:r>
      <w:r w:rsidR="0053586C">
        <w:rPr>
          <w:rFonts w:ascii="Times New Roman" w:hAnsi="Times New Roman" w:cs="Times New Roman"/>
        </w:rPr>
        <w:t>f recidivism requires a broader</w:t>
      </w:r>
      <w:r>
        <w:rPr>
          <w:rFonts w:ascii="Times New Roman" w:hAnsi="Times New Roman" w:cs="Times New Roman"/>
        </w:rPr>
        <w:t xml:space="preserve"> more contextualised approach, </w:t>
      </w:r>
      <w:r w:rsidR="0053586C">
        <w:rPr>
          <w:rFonts w:ascii="Times New Roman" w:hAnsi="Times New Roman" w:cs="Times New Roman"/>
        </w:rPr>
        <w:t xml:space="preserve">this has led attitudes and de-radicalisation to become </w:t>
      </w:r>
      <w:r>
        <w:rPr>
          <w:rFonts w:ascii="Times New Roman" w:hAnsi="Times New Roman" w:cs="Times New Roman"/>
        </w:rPr>
        <w:t xml:space="preserve">the proverbial baby </w:t>
      </w:r>
      <w:r w:rsidR="0053586C">
        <w:rPr>
          <w:rFonts w:ascii="Times New Roman" w:hAnsi="Times New Roman" w:cs="Times New Roman"/>
        </w:rPr>
        <w:t xml:space="preserve">which </w:t>
      </w:r>
      <w:r>
        <w:rPr>
          <w:rFonts w:ascii="Times New Roman" w:hAnsi="Times New Roman" w:cs="Times New Roman"/>
        </w:rPr>
        <w:t xml:space="preserve">has been thrown out with the </w:t>
      </w:r>
      <w:r>
        <w:rPr>
          <w:rFonts w:ascii="Times New Roman" w:hAnsi="Times New Roman" w:cs="Times New Roman"/>
        </w:rPr>
        <w:lastRenderedPageBreak/>
        <w:t>bath water. As argued above, there has been little analysis of what the concept of de-radicalisation means</w:t>
      </w:r>
      <w:r w:rsidR="003554C9">
        <w:rPr>
          <w:rFonts w:ascii="Times New Roman" w:hAnsi="Times New Roman" w:cs="Times New Roman"/>
        </w:rPr>
        <w:t xml:space="preserve">. </w:t>
      </w:r>
      <w:r w:rsidR="006C63A9">
        <w:rPr>
          <w:rFonts w:ascii="Times New Roman" w:hAnsi="Times New Roman" w:cs="Times New Roman"/>
        </w:rPr>
        <w:t>One source of the lack of conceptual clarity is the lack of a distinction between de-radicalisation programme and de-radicalisation process. Silke states that Martin McGuinness, a senior figure in the Provisional IRA, did not go through a de-radicalisation programme but still supports the peace process.</w:t>
      </w:r>
      <w:r w:rsidR="006C63A9">
        <w:rPr>
          <w:rStyle w:val="FootnoteReference"/>
          <w:rFonts w:ascii="Times New Roman" w:hAnsi="Times New Roman" w:cs="Times New Roman"/>
        </w:rPr>
        <w:footnoteReference w:id="49"/>
      </w:r>
      <w:r w:rsidR="006C63A9">
        <w:rPr>
          <w:rFonts w:ascii="Times New Roman" w:hAnsi="Times New Roman" w:cs="Times New Roman"/>
        </w:rPr>
        <w:t xml:space="preserve"> Yet this argument does not preclude that McGuinness underwent de-radicalisation himself, therefore Silke is too quick to dismiss the importance of attitudinal change.</w:t>
      </w:r>
      <w:r w:rsidR="003554C9">
        <w:rPr>
          <w:rFonts w:ascii="Times New Roman" w:hAnsi="Times New Roman" w:cs="Times New Roman"/>
        </w:rPr>
        <w:t xml:space="preserve"> Furthermore, the little conceptual engagement with de-radicalisation </w:t>
      </w:r>
      <w:r w:rsidR="0053586C">
        <w:rPr>
          <w:rFonts w:ascii="Times New Roman" w:hAnsi="Times New Roman" w:cs="Times New Roman"/>
        </w:rPr>
        <w:t xml:space="preserve">that has occurred </w:t>
      </w:r>
      <w:r w:rsidR="003554C9">
        <w:rPr>
          <w:rFonts w:ascii="Times New Roman" w:hAnsi="Times New Roman" w:cs="Times New Roman"/>
        </w:rPr>
        <w:t xml:space="preserve">has </w:t>
      </w:r>
      <w:r w:rsidR="0053586C">
        <w:rPr>
          <w:rFonts w:ascii="Times New Roman" w:hAnsi="Times New Roman" w:cs="Times New Roman"/>
        </w:rPr>
        <w:t xml:space="preserve">tended to </w:t>
      </w:r>
      <w:r w:rsidR="003554C9">
        <w:rPr>
          <w:rFonts w:ascii="Times New Roman" w:hAnsi="Times New Roman" w:cs="Times New Roman"/>
        </w:rPr>
        <w:t>focuse on observing the distinction between behaviour and attitudes without expanding on how the two interact.</w:t>
      </w:r>
      <w:r w:rsidR="003554C9">
        <w:rPr>
          <w:rStyle w:val="FootnoteReference"/>
          <w:rFonts w:ascii="Times New Roman" w:hAnsi="Times New Roman" w:cs="Times New Roman"/>
        </w:rPr>
        <w:footnoteReference w:id="50"/>
      </w:r>
      <w:r w:rsidR="006C63A9">
        <w:rPr>
          <w:rFonts w:ascii="Times New Roman" w:hAnsi="Times New Roman" w:cs="Times New Roman"/>
        </w:rPr>
        <w:t xml:space="preserve"> </w:t>
      </w:r>
      <w:r w:rsidR="00E6310E">
        <w:rPr>
          <w:rFonts w:ascii="Times New Roman" w:hAnsi="Times New Roman" w:cs="Times New Roman"/>
        </w:rPr>
        <w:t xml:space="preserve">Finally, </w:t>
      </w:r>
      <w:r w:rsidR="00D16AFA">
        <w:rPr>
          <w:rFonts w:ascii="Times New Roman" w:hAnsi="Times New Roman" w:cs="Times New Roman"/>
        </w:rPr>
        <w:t xml:space="preserve">while </w:t>
      </w:r>
      <w:r w:rsidR="00E6310E">
        <w:rPr>
          <w:rFonts w:ascii="Times New Roman" w:hAnsi="Times New Roman" w:cs="Times New Roman"/>
        </w:rPr>
        <w:t xml:space="preserve">assessing the </w:t>
      </w:r>
      <w:r w:rsidR="00D16AFA">
        <w:rPr>
          <w:rFonts w:ascii="Times New Roman" w:hAnsi="Times New Roman" w:cs="Times New Roman"/>
        </w:rPr>
        <w:t>rates of recidivism is a useful means of identifying the success of specific programmes</w:t>
      </w:r>
      <w:r w:rsidR="00E6310E">
        <w:rPr>
          <w:rFonts w:ascii="Times New Roman" w:hAnsi="Times New Roman" w:cs="Times New Roman"/>
        </w:rPr>
        <w:t xml:space="preserve">, </w:t>
      </w:r>
      <w:r w:rsidR="00D16AFA">
        <w:rPr>
          <w:rFonts w:ascii="Times New Roman" w:hAnsi="Times New Roman" w:cs="Times New Roman"/>
        </w:rPr>
        <w:t xml:space="preserve">it does not capture the reasons for low rates of recidivism – for example, </w:t>
      </w:r>
      <w:r w:rsidR="0053586C">
        <w:rPr>
          <w:rFonts w:ascii="Times New Roman" w:hAnsi="Times New Roman" w:cs="Times New Roman"/>
        </w:rPr>
        <w:t>are</w:t>
      </w:r>
      <w:r w:rsidR="00D16AFA">
        <w:rPr>
          <w:rFonts w:ascii="Times New Roman" w:hAnsi="Times New Roman" w:cs="Times New Roman"/>
        </w:rPr>
        <w:t xml:space="preserve"> they low because former prisoners are ‘red flags’ who militant groups </w:t>
      </w:r>
      <w:r w:rsidR="0053586C">
        <w:rPr>
          <w:rFonts w:ascii="Times New Roman" w:hAnsi="Times New Roman" w:cs="Times New Roman"/>
        </w:rPr>
        <w:t>keep at the fringes of activity?</w:t>
      </w:r>
      <w:r w:rsidR="00D16AFA">
        <w:rPr>
          <w:rStyle w:val="FootnoteReference"/>
          <w:rFonts w:ascii="Times New Roman" w:hAnsi="Times New Roman" w:cs="Times New Roman"/>
        </w:rPr>
        <w:footnoteReference w:id="51"/>
      </w:r>
      <w:r w:rsidR="00D16AFA">
        <w:rPr>
          <w:rFonts w:ascii="Times New Roman" w:hAnsi="Times New Roman" w:cs="Times New Roman"/>
        </w:rPr>
        <w:t xml:space="preserve"> Also, recidivism rates do not say anything about recruitment rates and</w:t>
      </w:r>
      <w:r w:rsidR="0053586C">
        <w:rPr>
          <w:rFonts w:ascii="Times New Roman" w:hAnsi="Times New Roman" w:cs="Times New Roman"/>
        </w:rPr>
        <w:t xml:space="preserve"> whether</w:t>
      </w:r>
      <w:r w:rsidR="00D16AFA">
        <w:rPr>
          <w:rFonts w:ascii="Times New Roman" w:hAnsi="Times New Roman" w:cs="Times New Roman"/>
        </w:rPr>
        <w:t xml:space="preserve"> for</w:t>
      </w:r>
      <w:r w:rsidR="0053586C">
        <w:rPr>
          <w:rFonts w:ascii="Times New Roman" w:hAnsi="Times New Roman" w:cs="Times New Roman"/>
        </w:rPr>
        <w:t xml:space="preserve">mer prisoners </w:t>
      </w:r>
      <w:r w:rsidR="00D16AFA">
        <w:rPr>
          <w:rFonts w:ascii="Times New Roman" w:hAnsi="Times New Roman" w:cs="Times New Roman"/>
        </w:rPr>
        <w:t xml:space="preserve">could encourage young people to join a militant group. Therefore, there is a substantial gap in the literature for a study which </w:t>
      </w:r>
      <w:r w:rsidR="00E94542">
        <w:rPr>
          <w:rFonts w:ascii="Times New Roman" w:hAnsi="Times New Roman" w:cs="Times New Roman"/>
        </w:rPr>
        <w:t xml:space="preserve">analyses the risk of recidivism qualitatively. </w:t>
      </w:r>
    </w:p>
    <w:p w14:paraId="61A665A1" w14:textId="01CF1DEE" w:rsidR="00A16D8A" w:rsidRDefault="00A16D8A" w:rsidP="00B57C7F">
      <w:pPr>
        <w:spacing w:line="360" w:lineRule="auto"/>
        <w:jc w:val="both"/>
        <w:rPr>
          <w:rFonts w:ascii="Times New Roman" w:hAnsi="Times New Roman" w:cs="Times New Roman"/>
        </w:rPr>
      </w:pPr>
      <w:r>
        <w:rPr>
          <w:rFonts w:ascii="Times New Roman" w:hAnsi="Times New Roman" w:cs="Times New Roman"/>
        </w:rPr>
        <w:tab/>
      </w:r>
      <w:r w:rsidR="00E64D92">
        <w:rPr>
          <w:rFonts w:ascii="Times New Roman" w:hAnsi="Times New Roman" w:cs="Times New Roman"/>
        </w:rPr>
        <w:t>To conclude, there has been a gradual acceptance that the individual level of analysis is not sufficient to address wider questions on how terrorism campaigns end and what reduces the ri</w:t>
      </w:r>
      <w:r w:rsidR="0053586C">
        <w:rPr>
          <w:rFonts w:ascii="Times New Roman" w:hAnsi="Times New Roman" w:cs="Times New Roman"/>
        </w:rPr>
        <w:t>sk of recidivism. And while Chapter One</w:t>
      </w:r>
      <w:r w:rsidR="00E64D92">
        <w:rPr>
          <w:rFonts w:ascii="Times New Roman" w:hAnsi="Times New Roman" w:cs="Times New Roman"/>
        </w:rPr>
        <w:t xml:space="preserve"> has </w:t>
      </w:r>
      <w:r w:rsidR="007F191E">
        <w:rPr>
          <w:rFonts w:ascii="Times New Roman" w:hAnsi="Times New Roman" w:cs="Times New Roman"/>
        </w:rPr>
        <w:t xml:space="preserve">argued </w:t>
      </w:r>
      <w:r w:rsidR="00E64D92">
        <w:rPr>
          <w:rFonts w:ascii="Times New Roman" w:hAnsi="Times New Roman" w:cs="Times New Roman"/>
        </w:rPr>
        <w:t>for a multi-level analysis, the thesis</w:t>
      </w:r>
      <w:r w:rsidR="0053586C">
        <w:rPr>
          <w:rFonts w:ascii="Times New Roman" w:hAnsi="Times New Roman" w:cs="Times New Roman"/>
        </w:rPr>
        <w:t xml:space="preserve"> also</w:t>
      </w:r>
      <w:r w:rsidR="00E64D92">
        <w:rPr>
          <w:rFonts w:ascii="Times New Roman" w:hAnsi="Times New Roman" w:cs="Times New Roman"/>
        </w:rPr>
        <w:t xml:space="preserve"> contends that the concept of de-radicalisation should not be discarded entirely. In addition to the problem of clarifying what de-radicalisation actually is, both narrow and broad definitions are founded on false notions of how attitudes and behaviour correspond. As will be discussed in Chapter Two, </w:t>
      </w:r>
      <w:r w:rsidR="00D35EBB">
        <w:rPr>
          <w:rFonts w:ascii="Times New Roman" w:hAnsi="Times New Roman" w:cs="Times New Roman"/>
        </w:rPr>
        <w:t>terrorism studies has based de-radicalisation on an out-dated conceptualisation of the attitudes-behaviour debate which has advance</w:t>
      </w:r>
      <w:r w:rsidR="0053586C">
        <w:rPr>
          <w:rFonts w:ascii="Times New Roman" w:hAnsi="Times New Roman" w:cs="Times New Roman"/>
        </w:rPr>
        <w:t>d</w:t>
      </w:r>
      <w:r w:rsidR="00D35EBB">
        <w:rPr>
          <w:rFonts w:ascii="Times New Roman" w:hAnsi="Times New Roman" w:cs="Times New Roman"/>
        </w:rPr>
        <w:t xml:space="preserve"> far m</w:t>
      </w:r>
      <w:r w:rsidR="00E6310E">
        <w:rPr>
          <w:rFonts w:ascii="Times New Roman" w:hAnsi="Times New Roman" w:cs="Times New Roman"/>
        </w:rPr>
        <w:t>ore in the field of psychology.</w:t>
      </w:r>
      <w:r w:rsidR="00FE0E24">
        <w:rPr>
          <w:rFonts w:ascii="Times New Roman" w:hAnsi="Times New Roman" w:cs="Times New Roman"/>
        </w:rPr>
        <w:t xml:space="preserve"> Subsequently, a move away from a focus on recidivism rates to an analysis of the narratives that underpin the de-radicalisation process could help to </w:t>
      </w:r>
      <w:r w:rsidR="00FE0E24">
        <w:rPr>
          <w:rFonts w:ascii="Times New Roman" w:hAnsi="Times New Roman" w:cs="Times New Roman"/>
        </w:rPr>
        <w:lastRenderedPageBreak/>
        <w:t xml:space="preserve">enrich this reconceptualisation, thus providing a </w:t>
      </w:r>
      <w:r w:rsidR="0053586C">
        <w:rPr>
          <w:rFonts w:ascii="Times New Roman" w:hAnsi="Times New Roman" w:cs="Times New Roman"/>
        </w:rPr>
        <w:t>deeper</w:t>
      </w:r>
      <w:r w:rsidR="00FE0E24">
        <w:rPr>
          <w:rFonts w:ascii="Times New Roman" w:hAnsi="Times New Roman" w:cs="Times New Roman"/>
        </w:rPr>
        <w:t xml:space="preserve"> understanding of how terrorism ends. </w:t>
      </w:r>
      <w:r w:rsidR="00D35EBB">
        <w:rPr>
          <w:rFonts w:ascii="Times New Roman" w:hAnsi="Times New Roman" w:cs="Times New Roman"/>
        </w:rPr>
        <w:t>The thesis proposes that by addressing conceptual problems with de-radicalisation, it can explain the significance of attitudinal change on the decline of terrorism campaigns and the reduction of recidivism. However, as the literature gradually recognises the need for a multi-level analysis</w:t>
      </w:r>
      <w:r w:rsidR="00D51325">
        <w:rPr>
          <w:rFonts w:ascii="Times New Roman" w:hAnsi="Times New Roman" w:cs="Times New Roman"/>
        </w:rPr>
        <w:t>,</w:t>
      </w:r>
      <w:r w:rsidR="00D35EBB">
        <w:rPr>
          <w:rStyle w:val="FootnoteReference"/>
          <w:rFonts w:ascii="Times New Roman" w:hAnsi="Times New Roman" w:cs="Times New Roman"/>
        </w:rPr>
        <w:footnoteReference w:id="52"/>
      </w:r>
      <w:r w:rsidR="00D35EBB">
        <w:rPr>
          <w:rFonts w:ascii="Times New Roman" w:hAnsi="Times New Roman" w:cs="Times New Roman"/>
        </w:rPr>
        <w:t xml:space="preserve"> the thesis will link this reconceptualisation of de-radicalisation to the group level of analysis, discussed next.</w:t>
      </w:r>
    </w:p>
    <w:p w14:paraId="4795B584" w14:textId="77777777" w:rsidR="005F6753" w:rsidRDefault="005F6753" w:rsidP="00B57C7F">
      <w:pPr>
        <w:spacing w:line="360" w:lineRule="auto"/>
        <w:jc w:val="both"/>
        <w:rPr>
          <w:rFonts w:ascii="Times New Roman" w:hAnsi="Times New Roman" w:cs="Times New Roman"/>
        </w:rPr>
      </w:pPr>
    </w:p>
    <w:p w14:paraId="55617599" w14:textId="77777777" w:rsidR="005F6753" w:rsidRDefault="005F6753" w:rsidP="00B57C7F">
      <w:pPr>
        <w:pStyle w:val="Heading3"/>
        <w:spacing w:before="120" w:line="360" w:lineRule="auto"/>
      </w:pPr>
      <w:bookmarkStart w:id="8" w:name="_Toc389208791"/>
      <w:r>
        <w:t>Organisational Explanations: Group Disengagement</w:t>
      </w:r>
      <w:bookmarkEnd w:id="8"/>
    </w:p>
    <w:p w14:paraId="16E956F6" w14:textId="77777777" w:rsidR="00DF3464" w:rsidRDefault="0031345E" w:rsidP="00B57C7F">
      <w:pPr>
        <w:spacing w:line="360" w:lineRule="auto"/>
        <w:jc w:val="both"/>
        <w:rPr>
          <w:rFonts w:ascii="Times New Roman" w:hAnsi="Times New Roman" w:cs="Times New Roman"/>
        </w:rPr>
      </w:pPr>
      <w:r>
        <w:tab/>
      </w:r>
      <w:r>
        <w:rPr>
          <w:rFonts w:ascii="Times New Roman" w:hAnsi="Times New Roman" w:cs="Times New Roman"/>
        </w:rPr>
        <w:t>While individuals may disengage or become de-radicalised, group dynamics can often ensure</w:t>
      </w:r>
      <w:r w:rsidR="005843F9">
        <w:rPr>
          <w:rFonts w:ascii="Times New Roman" w:hAnsi="Times New Roman" w:cs="Times New Roman"/>
        </w:rPr>
        <w:t xml:space="preserve"> the terrorism campaign continues, and even in cases of a ceasefire the group can choose to return to violence with the resources available to it. Thus, ending a terrorism campaign and reducing the risk of recidivism is largely contingent on disengagement at the group level, hence why much of the literature has placed emphasis on it. While Gvineria is correct to say that there has been an overemphasis on group dynamics, any holistic analysis would have to incorporate the factors that lead to group disengagement. </w:t>
      </w:r>
    </w:p>
    <w:p w14:paraId="10B9CFD2" w14:textId="1339DD03" w:rsidR="005843F9" w:rsidRDefault="005843F9" w:rsidP="00B57C7F">
      <w:pPr>
        <w:spacing w:line="360" w:lineRule="auto"/>
        <w:ind w:firstLine="578"/>
        <w:jc w:val="both"/>
      </w:pPr>
      <w:r w:rsidRPr="00BC2C4B">
        <w:rPr>
          <w:rFonts w:ascii="Times New Roman" w:hAnsi="Times New Roman" w:cs="Times New Roman"/>
        </w:rPr>
        <w:t>R</w:t>
      </w:r>
      <w:r w:rsidR="00B732DD">
        <w:rPr>
          <w:rFonts w:ascii="Times New Roman" w:hAnsi="Times New Roman" w:cs="Times New Roman"/>
        </w:rPr>
        <w:t xml:space="preserve">oss and Gurr argue that </w:t>
      </w:r>
      <w:r w:rsidRPr="00BC2C4B">
        <w:rPr>
          <w:rFonts w:ascii="Times New Roman" w:hAnsi="Times New Roman" w:cs="Times New Roman"/>
        </w:rPr>
        <w:t>the loss of (military) coercive or political capabilities will lead to the</w:t>
      </w:r>
      <w:r w:rsidR="00B732DD">
        <w:rPr>
          <w:rFonts w:ascii="Times New Roman" w:hAnsi="Times New Roman" w:cs="Times New Roman"/>
        </w:rPr>
        <w:t xml:space="preserve"> decline of terrorist campaigns</w:t>
      </w:r>
      <w:r w:rsidRPr="00BC2C4B">
        <w:rPr>
          <w:rFonts w:ascii="Times New Roman" w:hAnsi="Times New Roman" w:cs="Times New Roman"/>
        </w:rPr>
        <w:t xml:space="preserve">. Coercive capabilities are their ability to use force and credible threats of force whereas political capabilities include </w:t>
      </w:r>
      <w:r w:rsidR="00CE1BFF">
        <w:rPr>
          <w:rFonts w:ascii="Times New Roman" w:hAnsi="Times New Roman" w:cs="Times New Roman"/>
        </w:rPr>
        <w:t>organisation</w:t>
      </w:r>
      <w:r w:rsidR="00B732DD">
        <w:rPr>
          <w:rFonts w:ascii="Times New Roman" w:hAnsi="Times New Roman" w:cs="Times New Roman"/>
        </w:rPr>
        <w:t>al factors such as member</w:t>
      </w:r>
      <w:r w:rsidRPr="00BC2C4B">
        <w:rPr>
          <w:rFonts w:ascii="Times New Roman" w:hAnsi="Times New Roman" w:cs="Times New Roman"/>
        </w:rPr>
        <w:t>s</w:t>
      </w:r>
      <w:r w:rsidR="00B732DD">
        <w:rPr>
          <w:rFonts w:ascii="Times New Roman" w:hAnsi="Times New Roman" w:cs="Times New Roman"/>
        </w:rPr>
        <w:t>’</w:t>
      </w:r>
      <w:r w:rsidRPr="00BC2C4B">
        <w:rPr>
          <w:rFonts w:ascii="Times New Roman" w:hAnsi="Times New Roman" w:cs="Times New Roman"/>
        </w:rPr>
        <w:t xml:space="preserve"> commitment and the extent to which </w:t>
      </w:r>
      <w:r w:rsidR="00B732DD">
        <w:rPr>
          <w:rFonts w:ascii="Times New Roman" w:hAnsi="Times New Roman" w:cs="Times New Roman"/>
        </w:rPr>
        <w:t>a group has</w:t>
      </w:r>
      <w:r w:rsidRPr="00BC2C4B">
        <w:rPr>
          <w:rFonts w:ascii="Times New Roman" w:hAnsi="Times New Roman" w:cs="Times New Roman"/>
        </w:rPr>
        <w:t xml:space="preserve"> popular support. Pre-emption and deterrence are counterterrorist polices that reduce or eliminate a group’s coercive capabilities. Burnout and backlash are conditions which reduce the political capabilities of groups using terrorism</w:t>
      </w:r>
      <w:r w:rsidR="00A25BB4">
        <w:rPr>
          <w:rFonts w:ascii="Times New Roman" w:hAnsi="Times New Roman" w:cs="Times New Roman"/>
        </w:rPr>
        <w:t>.</w:t>
      </w:r>
      <w:r w:rsidR="001D0405">
        <w:rPr>
          <w:rStyle w:val="FootnoteReference"/>
          <w:rFonts w:ascii="Times New Roman" w:hAnsi="Times New Roman" w:cs="Times New Roman"/>
        </w:rPr>
        <w:footnoteReference w:id="53"/>
      </w:r>
      <w:r w:rsidRPr="00BC2C4B">
        <w:rPr>
          <w:rFonts w:ascii="Times New Roman" w:hAnsi="Times New Roman" w:cs="Times New Roman"/>
        </w:rPr>
        <w:t xml:space="preserve"> One possible way to frame these factors is through internal and external factors</w:t>
      </w:r>
      <w:r w:rsidR="00A25BB4">
        <w:rPr>
          <w:rFonts w:ascii="Times New Roman" w:hAnsi="Times New Roman" w:cs="Times New Roman"/>
        </w:rPr>
        <w:t>.</w:t>
      </w:r>
      <w:r w:rsidR="006B79EF">
        <w:rPr>
          <w:rStyle w:val="FootnoteReference"/>
          <w:rFonts w:ascii="Times New Roman" w:hAnsi="Times New Roman" w:cs="Times New Roman"/>
        </w:rPr>
        <w:footnoteReference w:id="54"/>
      </w:r>
      <w:r w:rsidRPr="00BC2C4B">
        <w:rPr>
          <w:rFonts w:ascii="Times New Roman" w:hAnsi="Times New Roman" w:cs="Times New Roman"/>
        </w:rPr>
        <w:t xml:space="preserve"> Ross and G</w:t>
      </w:r>
      <w:r w:rsidR="00B732DD">
        <w:rPr>
          <w:rFonts w:ascii="Times New Roman" w:hAnsi="Times New Roman" w:cs="Times New Roman"/>
        </w:rPr>
        <w:t>urr argue that internal factors - burnout and backlash -</w:t>
      </w:r>
      <w:r w:rsidRPr="00BC2C4B">
        <w:rPr>
          <w:rFonts w:ascii="Times New Roman" w:hAnsi="Times New Roman" w:cs="Times New Roman"/>
        </w:rPr>
        <w:t xml:space="preserve"> are more significant factors </w:t>
      </w:r>
      <w:r w:rsidR="00B732DD">
        <w:rPr>
          <w:rFonts w:ascii="Times New Roman" w:hAnsi="Times New Roman" w:cs="Times New Roman"/>
        </w:rPr>
        <w:t>of</w:t>
      </w:r>
      <w:r w:rsidRPr="00BC2C4B">
        <w:rPr>
          <w:rFonts w:ascii="Times New Roman" w:hAnsi="Times New Roman" w:cs="Times New Roman"/>
        </w:rPr>
        <w:t xml:space="preserve"> </w:t>
      </w:r>
      <w:r w:rsidR="00B732DD">
        <w:rPr>
          <w:rFonts w:ascii="Times New Roman" w:hAnsi="Times New Roman" w:cs="Times New Roman"/>
        </w:rPr>
        <w:t xml:space="preserve">group </w:t>
      </w:r>
      <w:r w:rsidRPr="00BC2C4B">
        <w:rPr>
          <w:rFonts w:ascii="Times New Roman" w:hAnsi="Times New Roman" w:cs="Times New Roman"/>
        </w:rPr>
        <w:t xml:space="preserve">decline in democratic societies than actions taken by governments </w:t>
      </w:r>
      <w:r w:rsidRPr="00BC2C4B">
        <w:rPr>
          <w:rFonts w:ascii="Times New Roman" w:hAnsi="Times New Roman" w:cs="Times New Roman"/>
        </w:rPr>
        <w:lastRenderedPageBreak/>
        <w:t xml:space="preserve">(external factors). Backlash refers to declining </w:t>
      </w:r>
      <w:r w:rsidR="00B732DD">
        <w:rPr>
          <w:rFonts w:ascii="Times New Roman" w:hAnsi="Times New Roman" w:cs="Times New Roman"/>
        </w:rPr>
        <w:t>political support for terrorist</w:t>
      </w:r>
      <w:r w:rsidRPr="00BC2C4B">
        <w:rPr>
          <w:rFonts w:ascii="Times New Roman" w:hAnsi="Times New Roman" w:cs="Times New Roman"/>
        </w:rPr>
        <w:t xml:space="preserve"> acts and </w:t>
      </w:r>
      <w:r w:rsidR="00B732DD">
        <w:rPr>
          <w:rFonts w:ascii="Times New Roman" w:hAnsi="Times New Roman" w:cs="Times New Roman"/>
        </w:rPr>
        <w:t>goals</w:t>
      </w:r>
      <w:r w:rsidRPr="00BC2C4B">
        <w:rPr>
          <w:rFonts w:ascii="Times New Roman" w:hAnsi="Times New Roman" w:cs="Times New Roman"/>
        </w:rPr>
        <w:t xml:space="preserve"> from people the group aims to represent, </w:t>
      </w:r>
      <w:r w:rsidR="00B732DD">
        <w:rPr>
          <w:rFonts w:ascii="Times New Roman" w:hAnsi="Times New Roman" w:cs="Times New Roman"/>
        </w:rPr>
        <w:t xml:space="preserve">facilitated through </w:t>
      </w:r>
      <w:r w:rsidRPr="00BC2C4B">
        <w:rPr>
          <w:rFonts w:ascii="Times New Roman" w:hAnsi="Times New Roman" w:cs="Times New Roman"/>
        </w:rPr>
        <w:t>propaganda campaigns by public officials and the media. ‘Backlash makes it more difficult for terrorist groups to acquire resources and recruits, carry out attacks, find refuge, and avoid informants’.</w:t>
      </w:r>
      <w:r w:rsidR="00B732DD">
        <w:rPr>
          <w:rStyle w:val="FootnoteReference"/>
          <w:rFonts w:ascii="Times New Roman" w:hAnsi="Times New Roman" w:cs="Times New Roman"/>
        </w:rPr>
        <w:footnoteReference w:id="55"/>
      </w:r>
      <w:r w:rsidRPr="00BC2C4B">
        <w:rPr>
          <w:rFonts w:ascii="Times New Roman" w:hAnsi="Times New Roman" w:cs="Times New Roman"/>
        </w:rPr>
        <w:t xml:space="preserve"> Backlash (in addition to external factors) can prompt burnout by contributing to subsequent factional disputes, defections, and shifts in tactics within the group</w:t>
      </w:r>
      <w:r w:rsidR="00A25BB4">
        <w:rPr>
          <w:rFonts w:ascii="Times New Roman" w:hAnsi="Times New Roman" w:cs="Times New Roman"/>
        </w:rPr>
        <w:t>.</w:t>
      </w:r>
      <w:r w:rsidR="006B79EF">
        <w:rPr>
          <w:rStyle w:val="FootnoteReference"/>
          <w:rFonts w:ascii="Times New Roman" w:hAnsi="Times New Roman" w:cs="Times New Roman"/>
        </w:rPr>
        <w:footnoteReference w:id="56"/>
      </w:r>
      <w:r w:rsidRPr="00BC2C4B">
        <w:rPr>
          <w:rFonts w:ascii="Times New Roman" w:hAnsi="Times New Roman" w:cs="Times New Roman"/>
        </w:rPr>
        <w:t xml:space="preserve"> Crenshaw follows an almost similar argument, but with stressing the role a group’s strategic choices can play alongside other factors</w:t>
      </w:r>
      <w:r w:rsidR="00B732DD">
        <w:rPr>
          <w:rFonts w:ascii="Times New Roman" w:hAnsi="Times New Roman" w:cs="Times New Roman"/>
        </w:rPr>
        <w:t>,</w:t>
      </w:r>
      <w:r w:rsidRPr="00BC2C4B">
        <w:rPr>
          <w:rFonts w:ascii="Times New Roman" w:hAnsi="Times New Roman" w:cs="Times New Roman"/>
        </w:rPr>
        <w:t xml:space="preserve"> such as the gover</w:t>
      </w:r>
      <w:r w:rsidR="00A25BB4">
        <w:rPr>
          <w:rFonts w:ascii="Times New Roman" w:hAnsi="Times New Roman" w:cs="Times New Roman"/>
        </w:rPr>
        <w:t>nment’s response and its organis</w:t>
      </w:r>
      <w:r w:rsidRPr="00BC2C4B">
        <w:rPr>
          <w:rFonts w:ascii="Times New Roman" w:hAnsi="Times New Roman" w:cs="Times New Roman"/>
        </w:rPr>
        <w:t>ational resources</w:t>
      </w:r>
      <w:r w:rsidR="00B732DD">
        <w:rPr>
          <w:rFonts w:ascii="Times New Roman" w:hAnsi="Times New Roman" w:cs="Times New Roman"/>
        </w:rPr>
        <w:t>.</w:t>
      </w:r>
      <w:r w:rsidR="00264DA3">
        <w:rPr>
          <w:rStyle w:val="FootnoteReference"/>
          <w:rFonts w:ascii="Times New Roman" w:hAnsi="Times New Roman" w:cs="Times New Roman"/>
        </w:rPr>
        <w:footnoteReference w:id="57"/>
      </w:r>
      <w:r w:rsidRPr="00BC2C4B">
        <w:rPr>
          <w:rFonts w:ascii="Times New Roman" w:hAnsi="Times New Roman" w:cs="Times New Roman"/>
        </w:rPr>
        <w:t xml:space="preserve"> </w:t>
      </w:r>
      <w:r w:rsidR="00B732DD">
        <w:rPr>
          <w:rFonts w:ascii="Times New Roman" w:hAnsi="Times New Roman" w:cs="Times New Roman"/>
        </w:rPr>
        <w:t>T</w:t>
      </w:r>
      <w:r w:rsidRPr="00BC2C4B">
        <w:rPr>
          <w:rFonts w:ascii="Times New Roman" w:hAnsi="Times New Roman" w:cs="Times New Roman"/>
        </w:rPr>
        <w:t>hus, terrorism can end through the physical defeat of the group</w:t>
      </w:r>
      <w:r w:rsidR="00CE1BFF">
        <w:rPr>
          <w:rFonts w:ascii="Times New Roman" w:hAnsi="Times New Roman" w:cs="Times New Roman"/>
        </w:rPr>
        <w:t xml:space="preserve"> (e.g. Narodnaya Volya)</w:t>
      </w:r>
      <w:r w:rsidRPr="00BC2C4B">
        <w:rPr>
          <w:rFonts w:ascii="Times New Roman" w:hAnsi="Times New Roman" w:cs="Times New Roman"/>
        </w:rPr>
        <w:t>, the group’s decision to abandon the</w:t>
      </w:r>
      <w:r w:rsidR="007F191E">
        <w:rPr>
          <w:rFonts w:ascii="Times New Roman" w:hAnsi="Times New Roman" w:cs="Times New Roman"/>
        </w:rPr>
        <w:t xml:space="preserve"> terrorist strategy</w:t>
      </w:r>
      <w:r w:rsidR="00B732DD">
        <w:rPr>
          <w:rFonts w:ascii="Times New Roman" w:hAnsi="Times New Roman" w:cs="Times New Roman"/>
        </w:rPr>
        <w:t xml:space="preserve"> (e.g. </w:t>
      </w:r>
      <w:r w:rsidR="00CE1BFF">
        <w:rPr>
          <w:rFonts w:ascii="Times New Roman" w:hAnsi="Times New Roman" w:cs="Times New Roman"/>
        </w:rPr>
        <w:t>P</w:t>
      </w:r>
      <w:r w:rsidR="00CD606E">
        <w:rPr>
          <w:rFonts w:ascii="Times New Roman" w:hAnsi="Times New Roman" w:cs="Times New Roman"/>
        </w:rPr>
        <w:t xml:space="preserve">alestine </w:t>
      </w:r>
      <w:r w:rsidR="00CE1BFF">
        <w:rPr>
          <w:rFonts w:ascii="Times New Roman" w:hAnsi="Times New Roman" w:cs="Times New Roman"/>
        </w:rPr>
        <w:t>L</w:t>
      </w:r>
      <w:r w:rsidR="00CD606E">
        <w:rPr>
          <w:rFonts w:ascii="Times New Roman" w:hAnsi="Times New Roman" w:cs="Times New Roman"/>
        </w:rPr>
        <w:t xml:space="preserve">iberation </w:t>
      </w:r>
      <w:r w:rsidR="00CE1BFF">
        <w:rPr>
          <w:rFonts w:ascii="Times New Roman" w:hAnsi="Times New Roman" w:cs="Times New Roman"/>
        </w:rPr>
        <w:t>O</w:t>
      </w:r>
      <w:r w:rsidR="00CD606E">
        <w:rPr>
          <w:rFonts w:ascii="Times New Roman" w:hAnsi="Times New Roman" w:cs="Times New Roman"/>
        </w:rPr>
        <w:t>rganisation</w:t>
      </w:r>
      <w:r w:rsidR="00CE1BFF">
        <w:rPr>
          <w:rFonts w:ascii="Times New Roman" w:hAnsi="Times New Roman" w:cs="Times New Roman"/>
        </w:rPr>
        <w:t>)</w:t>
      </w:r>
      <w:r w:rsidR="007F191E">
        <w:rPr>
          <w:rFonts w:ascii="Times New Roman" w:hAnsi="Times New Roman" w:cs="Times New Roman"/>
        </w:rPr>
        <w:t xml:space="preserve">, </w:t>
      </w:r>
      <w:r w:rsidR="00CE1BFF">
        <w:rPr>
          <w:rFonts w:ascii="Times New Roman" w:hAnsi="Times New Roman" w:cs="Times New Roman"/>
        </w:rPr>
        <w:t xml:space="preserve">and internal implosion </w:t>
      </w:r>
      <w:r w:rsidR="007F191E">
        <w:rPr>
          <w:rFonts w:ascii="Times New Roman" w:hAnsi="Times New Roman" w:cs="Times New Roman"/>
        </w:rPr>
        <w:t>and organis</w:t>
      </w:r>
      <w:r w:rsidRPr="00BC2C4B">
        <w:rPr>
          <w:rFonts w:ascii="Times New Roman" w:hAnsi="Times New Roman" w:cs="Times New Roman"/>
        </w:rPr>
        <w:t>ational disintegration</w:t>
      </w:r>
      <w:r w:rsidR="00CE1BFF">
        <w:rPr>
          <w:rFonts w:ascii="Times New Roman" w:hAnsi="Times New Roman" w:cs="Times New Roman"/>
        </w:rPr>
        <w:t xml:space="preserve"> (e.g. Red Army Faction)</w:t>
      </w:r>
      <w:r w:rsidRPr="00BC2C4B">
        <w:rPr>
          <w:rFonts w:ascii="Times New Roman" w:hAnsi="Times New Roman" w:cs="Times New Roman"/>
        </w:rPr>
        <w:t>.</w:t>
      </w:r>
      <w:r w:rsidR="00CE1BFF">
        <w:rPr>
          <w:rStyle w:val="FootnoteReference"/>
          <w:rFonts w:ascii="Times New Roman" w:hAnsi="Times New Roman" w:cs="Times New Roman"/>
        </w:rPr>
        <w:footnoteReference w:id="58"/>
      </w:r>
    </w:p>
    <w:p w14:paraId="5B9827FD" w14:textId="23827B82" w:rsidR="000F6D8F" w:rsidRDefault="00C35E7C" w:rsidP="000F6D8F">
      <w:pPr>
        <w:spacing w:line="360" w:lineRule="auto"/>
        <w:ind w:firstLine="720"/>
        <w:jc w:val="both"/>
        <w:rPr>
          <w:rFonts w:ascii="Times New Roman" w:hAnsi="Times New Roman" w:cs="Times New Roman"/>
        </w:rPr>
      </w:pPr>
      <w:r w:rsidRPr="00BC2C4B">
        <w:rPr>
          <w:rFonts w:ascii="Times New Roman" w:hAnsi="Times New Roman" w:cs="Times New Roman"/>
        </w:rPr>
        <w:t xml:space="preserve">Gvineria identifies eight inter-related modes of decline in his review of the </w:t>
      </w:r>
      <w:r w:rsidR="00CD606E">
        <w:rPr>
          <w:rFonts w:ascii="Times New Roman" w:hAnsi="Times New Roman" w:cs="Times New Roman"/>
        </w:rPr>
        <w:t>‘how terrorism ends’</w:t>
      </w:r>
      <w:r w:rsidRPr="00BC2C4B">
        <w:rPr>
          <w:rFonts w:ascii="Times New Roman" w:hAnsi="Times New Roman" w:cs="Times New Roman"/>
        </w:rPr>
        <w:t xml:space="preserve"> literature: substantial or partial success; direct state action; loss of </w:t>
      </w:r>
      <w:r w:rsidR="00B732DD">
        <w:rPr>
          <w:rFonts w:ascii="Times New Roman" w:hAnsi="Times New Roman" w:cs="Times New Roman"/>
        </w:rPr>
        <w:t xml:space="preserve">a </w:t>
      </w:r>
      <w:r w:rsidRPr="00BC2C4B">
        <w:rPr>
          <w:rFonts w:ascii="Times New Roman" w:hAnsi="Times New Roman" w:cs="Times New Roman"/>
        </w:rPr>
        <w:t>terrorist leader; disintegration through burnout; unsuccessful generational transition; loss of popular support; and emergence of new alternatives</w:t>
      </w:r>
      <w:r w:rsidR="00A25BB4">
        <w:rPr>
          <w:rFonts w:ascii="Times New Roman" w:hAnsi="Times New Roman" w:cs="Times New Roman"/>
        </w:rPr>
        <w:t>.</w:t>
      </w:r>
      <w:r w:rsidR="008301E2">
        <w:rPr>
          <w:rStyle w:val="FootnoteReference"/>
          <w:rFonts w:ascii="Times New Roman" w:hAnsi="Times New Roman" w:cs="Times New Roman"/>
        </w:rPr>
        <w:footnoteReference w:id="59"/>
      </w:r>
      <w:r w:rsidRPr="00BC2C4B">
        <w:rPr>
          <w:rFonts w:ascii="Times New Roman" w:hAnsi="Times New Roman" w:cs="Times New Roman"/>
        </w:rPr>
        <w:t xml:space="preserve"> Some studies attempt to ascertain the most common factor in the demise of terrorist groups. In their study, Jones and Libicki argue the effectiveness of military means (7 per cent) seem limited whereas policing (40 per cent) and entering a political process (43 per cent) seem to be a more common route out of terrorist activity for groups</w:t>
      </w:r>
      <w:r w:rsidR="00A25BB4">
        <w:rPr>
          <w:rFonts w:ascii="Times New Roman" w:hAnsi="Times New Roman" w:cs="Times New Roman"/>
        </w:rPr>
        <w:t>.</w:t>
      </w:r>
      <w:r w:rsidR="00983590">
        <w:rPr>
          <w:rStyle w:val="FootnoteReference"/>
          <w:rFonts w:ascii="Times New Roman" w:hAnsi="Times New Roman" w:cs="Times New Roman"/>
        </w:rPr>
        <w:footnoteReference w:id="60"/>
      </w:r>
      <w:r w:rsidRPr="00BC2C4B">
        <w:rPr>
          <w:rFonts w:ascii="Times New Roman" w:hAnsi="Times New Roman" w:cs="Times New Roman"/>
        </w:rPr>
        <w:t xml:space="preserve"> Conversely, Weinberg and Perliger argue that decapitation led to 30.6 per cent of groups ending and repression by the authorities accounting for 21.9 per cent of modes of decline, whereas loss of public support (4.3 per cent), loss of state support (3.4 per cent) and a failure to attract a new generation (2.5 per cent) were largely insignificant</w:t>
      </w:r>
      <w:r w:rsidR="00A25BB4">
        <w:rPr>
          <w:rFonts w:ascii="Times New Roman" w:hAnsi="Times New Roman" w:cs="Times New Roman"/>
        </w:rPr>
        <w:t>.</w:t>
      </w:r>
      <w:r w:rsidR="004870EF">
        <w:rPr>
          <w:rStyle w:val="FootnoteReference"/>
          <w:rFonts w:ascii="Times New Roman" w:hAnsi="Times New Roman" w:cs="Times New Roman"/>
        </w:rPr>
        <w:footnoteReference w:id="61"/>
      </w:r>
      <w:r w:rsidRPr="00BC2C4B">
        <w:rPr>
          <w:rFonts w:ascii="Times New Roman" w:hAnsi="Times New Roman" w:cs="Times New Roman"/>
        </w:rPr>
        <w:t xml:space="preserve"> However, the modes are not distinct: sometimes a combination of </w:t>
      </w:r>
      <w:r w:rsidRPr="00BC2C4B">
        <w:rPr>
          <w:rFonts w:ascii="Times New Roman" w:hAnsi="Times New Roman" w:cs="Times New Roman"/>
        </w:rPr>
        <w:lastRenderedPageBreak/>
        <w:t>processes results in the decline or demise of a group</w:t>
      </w:r>
      <w:r w:rsidR="00A25BB4">
        <w:rPr>
          <w:rFonts w:ascii="Times New Roman" w:hAnsi="Times New Roman" w:cs="Times New Roman"/>
        </w:rPr>
        <w:t>.</w:t>
      </w:r>
      <w:r w:rsidR="004870EF">
        <w:rPr>
          <w:rStyle w:val="FootnoteReference"/>
          <w:rFonts w:ascii="Times New Roman" w:hAnsi="Times New Roman" w:cs="Times New Roman"/>
        </w:rPr>
        <w:footnoteReference w:id="62"/>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&lt;EndNote&gt;&lt;Cite&gt;&lt;Author&gt;Cronin&lt;/Author&gt;&lt;Year&gt;2008&lt;/Year&gt;&lt;RecNum&gt;51&lt;/RecNum&gt;&lt;record&gt;&lt;rec-number&gt;51&lt;/rec-number&gt;&lt;foreign-keys&gt;&lt;key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 For example, a loss of support could be connected to factors such as implosion, policing, military action, failure to pass to another generation, movement to other forms of activism and even partial success. Weinberg and Perliger’s study doesn’t take into account cases where a loss of support is a secondary factor in decline, perhaps acting as a precipitant of repression. It is also unclear where they dre</w:t>
      </w:r>
      <w:r w:rsidR="007F191E">
        <w:rPr>
          <w:rFonts w:ascii="Times New Roman" w:hAnsi="Times New Roman" w:cs="Times New Roman"/>
        </w:rPr>
        <w:t>w the line in terms of ‘ending’:</w:t>
      </w:r>
      <w:r w:rsidRPr="00BC2C4B">
        <w:rPr>
          <w:rFonts w:ascii="Times New Roman" w:hAnsi="Times New Roman" w:cs="Times New Roman"/>
        </w:rPr>
        <w:t xml:space="preserve"> for example, Gama’a Islamiyya could be categorised under repression, loss of state support, or movement to non-violent tactics depending on when you define their terrorist campaign</w:t>
      </w:r>
      <w:r w:rsidR="007F191E">
        <w:rPr>
          <w:rFonts w:ascii="Times New Roman" w:hAnsi="Times New Roman" w:cs="Times New Roman"/>
        </w:rPr>
        <w:t xml:space="preserve"> as having</w:t>
      </w:r>
      <w:r w:rsidRPr="00BC2C4B">
        <w:rPr>
          <w:rFonts w:ascii="Times New Roman" w:hAnsi="Times New Roman" w:cs="Times New Roman"/>
        </w:rPr>
        <w:t xml:space="preserve"> ‘ended’. Ultimately, there is no single cause of failure for most terrorist groups and research into how terrorist groups end should acknowledge this</w:t>
      </w:r>
      <w:r w:rsidR="00A25BB4">
        <w:rPr>
          <w:rFonts w:ascii="Times New Roman" w:hAnsi="Times New Roman" w:cs="Times New Roman"/>
        </w:rPr>
        <w:t>.</w:t>
      </w:r>
      <w:r w:rsidR="004870EF">
        <w:rPr>
          <w:rStyle w:val="FootnoteReference"/>
          <w:rFonts w:ascii="Times New Roman" w:hAnsi="Times New Roman" w:cs="Times New Roman"/>
        </w:rPr>
        <w:footnoteReference w:id="63"/>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&lt;EndNote&gt;&lt;Cite&gt;&lt;Author&gt;Cronin&lt;/Author&gt;&lt;Year&gt;2010&lt;/Year&gt;&lt;RecNum&gt;52&lt;/RecNum&gt;&lt;record&gt;&lt;rec-number&gt;52&lt;/rec-number&gt;&lt;foreign-keys&gt;&lt;key app="EN" db-id="s0ftft29jf2psaezx93xwz5s00fwpa9avrwv"&gt;52&lt;/key&gt;&lt;/foreign-keys&gt;&lt;ref-type name="Journal Article"&gt;17&lt;/ref-type&gt;&lt;contributors&gt;&lt;authors&gt;&lt;author&gt;Cronin, Audrey Kurth&lt;/author&gt;&lt;/authors&gt;&lt;/contributors&gt;&lt;titles&gt;&lt;title&gt;No Silver Bullet: Explaining Research on How Terrorism Ends&lt;/title&gt;&lt;secondary-title&gt;CTC Sentinel&lt;/secondary-title&gt;&lt;/titles&gt;&lt;pages&gt;pp. 1-4&lt;/pages&gt;&lt;volume&gt;3 (4)&lt;/volume&gt;&lt;dates&gt;&lt;year&gt;2010&lt;/year&gt;&lt;/dates&gt;&lt;urls&gt;&lt;/urls&gt;&lt;/record&gt;&lt;/Cite&gt;&lt;/EndNote&gt;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31646C"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 </w:t>
      </w:r>
      <w:r>
        <w:rPr>
          <w:rFonts w:ascii="Times New Roman" w:hAnsi="Times New Roman" w:cs="Times New Roman"/>
        </w:rPr>
        <w:t>For the sake of brevity, the chapter will focus on explanations in the literature that focus on nationalist groups who voluntarily disengage thr</w:t>
      </w:r>
      <w:r w:rsidR="00122F8E">
        <w:rPr>
          <w:rFonts w:ascii="Times New Roman" w:hAnsi="Times New Roman" w:cs="Times New Roman"/>
        </w:rPr>
        <w:t>ough a peace process: repression, supporters and negotiations.</w:t>
      </w:r>
      <w:bookmarkStart w:id="9" w:name="_Toc389208792"/>
    </w:p>
    <w:p w14:paraId="4E8F2708" w14:textId="77777777" w:rsidR="000F6D8F" w:rsidRPr="000F6D8F" w:rsidRDefault="000F6D8F" w:rsidP="000F6D8F">
      <w:pPr>
        <w:spacing w:line="360" w:lineRule="auto"/>
        <w:ind w:firstLine="720"/>
        <w:jc w:val="both"/>
        <w:rPr>
          <w:rFonts w:ascii="Times New Roman" w:hAnsi="Times New Roman" w:cs="Times New Roman"/>
        </w:rPr>
      </w:pPr>
    </w:p>
    <w:p w14:paraId="1A4F1875" w14:textId="77777777" w:rsidR="00810DA5" w:rsidRDefault="00810DA5" w:rsidP="00B57C7F">
      <w:pPr>
        <w:pStyle w:val="Heading4"/>
        <w:spacing w:before="120" w:line="360" w:lineRule="auto"/>
      </w:pPr>
      <w:r>
        <w:t>Repression</w:t>
      </w:r>
      <w:bookmarkEnd w:id="9"/>
    </w:p>
    <w:p w14:paraId="676A04D6" w14:textId="1E2FB052" w:rsidR="00122F8E" w:rsidRPr="00BC2C4B" w:rsidRDefault="00122F8E" w:rsidP="00B57C7F">
      <w:pPr>
        <w:spacing w:line="360" w:lineRule="auto"/>
        <w:ind w:firstLine="578"/>
        <w:jc w:val="both"/>
        <w:rPr>
          <w:rFonts w:ascii="Times New Roman" w:hAnsi="Times New Roman" w:cs="Times New Roman"/>
        </w:rPr>
      </w:pPr>
      <w:r w:rsidRPr="00BC2C4B">
        <w:rPr>
          <w:rFonts w:ascii="Times New Roman" w:hAnsi="Times New Roman" w:cs="Times New Roman"/>
        </w:rPr>
        <w:t>The extent to which repression can end terrorism is perhaps one of the more contentious parts of the literature. In the bigger picture, terrorism will always remain a utilised tactic ‘unless you declare a state of totalitarian regime and you take every measure to repress opposition’</w:t>
      </w:r>
      <w:r w:rsidR="00D51325">
        <w:rPr>
          <w:rFonts w:ascii="Times New Roman" w:hAnsi="Times New Roman" w:cs="Times New Roman"/>
        </w:rPr>
        <w:t>,</w:t>
      </w:r>
      <w:r w:rsidR="004870EF">
        <w:rPr>
          <w:rStyle w:val="FootnoteReference"/>
          <w:rFonts w:ascii="Times New Roman" w:hAnsi="Times New Roman" w:cs="Times New Roman"/>
        </w:rPr>
        <w:footnoteReference w:id="64"/>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&lt;EndNote&gt;&lt;Cite&gt;&lt;Author&gt;Transnational Terrorism&lt;/Author&gt;&lt;Year&gt;2008&lt;/Year&gt;&lt;RecNum&gt;164&lt;/RecNum&gt;&lt;Prefix&gt;Pedahzur in &lt;/Prefix&gt;&lt;record&gt;&lt;rec-number&gt;164&lt;/rec-number&gt;&lt;foreign-keys&gt;&lt;key app="EN" db-id="s0ftft29jf2psaezx93xwz5s00fwpa9avrwv"&gt;164&lt;/key&gt;&lt;/foreign-keys&gt;&lt;ref-type name="Report"&gt;27&lt;/ref-type&gt;&lt;contributors&gt;&lt;authors&gt;&lt;author&gt;Transnational Terrorism, Security &amp;amp; the Rule of Law&lt;/author&gt;&lt;/authors&gt;&lt;/contributors&gt;&lt;titles&gt;&lt;title&gt;Concepts of Terrorism: Analysis of the rise, decline, trends and risk&lt;/title&gt;&lt;/titles&gt;&lt;dates&gt;&lt;year&gt;2008&lt;/year&gt;&lt;/dates&gt;&lt;urls&gt;&lt;/urls&gt;&lt;/record&gt;&lt;/Cite&gt;&lt;/EndNote&gt;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Pr="00BC2C4B">
        <w:rPr>
          <w:rFonts w:ascii="Times New Roman" w:hAnsi="Times New Roman" w:cs="Times New Roman"/>
        </w:rPr>
        <w:t xml:space="preserve"> including society in general. However, such control over society by the state to limit any terroristic activity seems to be rare: in most cases it may be temporary, counter-productive or it may only push terrorism elsewhere</w:t>
      </w:r>
      <w:r w:rsidR="00A25BB4">
        <w:rPr>
          <w:rFonts w:ascii="Times New Roman" w:hAnsi="Times New Roman" w:cs="Times New Roman"/>
        </w:rPr>
        <w:t>.</w:t>
      </w:r>
      <w:r w:rsidR="004870EF">
        <w:rPr>
          <w:rStyle w:val="FootnoteReference"/>
          <w:rFonts w:ascii="Times New Roman" w:hAnsi="Times New Roman" w:cs="Times New Roman"/>
        </w:rPr>
        <w:footnoteReference w:id="65"/>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&lt;EndNote&gt;&lt;Cite&gt;&lt;Author&gt;Cronin&lt;/Author&gt;&lt;Year&gt;2006&lt;/Year&gt;&lt;RecNum&gt;50&lt;/RecNum&gt;&lt;record&gt;&lt;rec-number&gt;50&lt;/rec-number&gt;&lt;foreign-keys&gt;&lt;key app="EN" db-id="s0ftft29jf2psaezx93xwz5s00fwpa9avrwv"&gt;50&lt;/key&gt;&lt;/foreign-keys&gt;&lt;ref-type name="Journal Article"&gt;17&lt;/ref-type&gt;&lt;contributors&gt;&lt;authors&gt;&lt;author&gt;Cronin, Audrey Kurth&lt;/author&gt;&lt;/authors&gt;&lt;/contributors&gt;&lt;titles&gt;&lt;title&gt;How al-Qaida Ends: The Decline and Demise of Terrorist Groups&lt;/title&gt;&lt;secondary-title&gt;International Security&lt;/secondary-title&gt;&lt;/titles&gt;&lt;pages&gt;pp. 7-48&lt;/pages&gt;&lt;volume&gt;31 (1)&lt;/volume&gt;&lt;dates&gt;&lt;year&gt;2006&lt;/year&gt;&lt;/dates&gt;&lt;urls&gt;&lt;/urls&gt;&lt;/record&gt;&lt;/Cite&gt;&lt;/EndNote&gt;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 The extent to which the significance is disputed depends on the type of repression used. For</w:t>
      </w:r>
      <w:r w:rsidR="00943EA5">
        <w:rPr>
          <w:rFonts w:ascii="Times New Roman" w:hAnsi="Times New Roman" w:cs="Times New Roman"/>
        </w:rPr>
        <w:t xml:space="preserve"> example, Weinberg and Perliger</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 ExcludeAuth="1"&gt;&lt;Author&gt;Weinberg&lt;/Author&gt;&lt;Year&gt;2010&lt;/Year&gt;&lt;RecNum&gt;169&lt;/RecNum&gt;&lt;record&gt;&lt;rec-number&gt;169&lt;/rec-number&gt;&lt;foreign-keys&gt;&lt;key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 argue</w:t>
      </w:r>
      <w:r w:rsidR="00943EA5">
        <w:rPr>
          <w:rFonts w:ascii="Times New Roman" w:hAnsi="Times New Roman" w:cs="Times New Roman"/>
        </w:rPr>
        <w:t xml:space="preserve"> that</w:t>
      </w:r>
      <w:r w:rsidRPr="00BC2C4B">
        <w:rPr>
          <w:rFonts w:ascii="Times New Roman" w:hAnsi="Times New Roman" w:cs="Times New Roman"/>
        </w:rPr>
        <w:t xml:space="preserve"> repression accounts for a significant number of cas</w:t>
      </w:r>
      <w:r w:rsidR="00943EA5">
        <w:rPr>
          <w:rFonts w:ascii="Times New Roman" w:hAnsi="Times New Roman" w:cs="Times New Roman"/>
        </w:rPr>
        <w:t>es where terrorism ends, including</w:t>
      </w:r>
      <w:r w:rsidRPr="00BC2C4B">
        <w:rPr>
          <w:rFonts w:ascii="Times New Roman" w:hAnsi="Times New Roman" w:cs="Times New Roman"/>
        </w:rPr>
        <w:t xml:space="preserve"> policing and </w:t>
      </w:r>
      <w:r w:rsidRPr="00BC2C4B">
        <w:rPr>
          <w:rFonts w:ascii="Times New Roman" w:hAnsi="Times New Roman" w:cs="Times New Roman"/>
        </w:rPr>
        <w:lastRenderedPageBreak/>
        <w:t>military methods as repression</w:t>
      </w:r>
      <w:r w:rsidR="00D51325">
        <w:rPr>
          <w:rFonts w:ascii="Times New Roman" w:hAnsi="Times New Roman" w:cs="Times New Roman"/>
        </w:rPr>
        <w:t>,</w:t>
      </w:r>
      <w:r w:rsidR="004870EF">
        <w:rPr>
          <w:rStyle w:val="FootnoteReference"/>
          <w:rFonts w:ascii="Times New Roman" w:hAnsi="Times New Roman" w:cs="Times New Roman"/>
        </w:rPr>
        <w:footnoteReference w:id="66"/>
      </w:r>
      <w:r w:rsidRPr="00BC2C4B">
        <w:rPr>
          <w:rFonts w:ascii="Times New Roman" w:hAnsi="Times New Roman" w:cs="Times New Roman"/>
        </w:rPr>
        <w:t xml:space="preserve"> whereas Jones and Libicki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 ExcludeAuth="1"&gt;&lt;Author&gt;Jones&lt;/Author&gt;&lt;Year&gt;2008&lt;/Year&gt;&lt;RecNum&gt;92&lt;/RecNum&gt;&lt;record&gt;&lt;rec-number&gt;92&lt;/rec-number&gt;&lt;foreign-keys&gt;&lt;key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 show that policing (and intelligence) is more significant than military measures as they look at them separately</w:t>
      </w:r>
      <w:r w:rsidR="00A25BB4">
        <w:rPr>
          <w:rFonts w:ascii="Times New Roman" w:hAnsi="Times New Roman" w:cs="Times New Roman"/>
        </w:rPr>
        <w:t>.</w:t>
      </w:r>
      <w:r w:rsidR="004870EF">
        <w:rPr>
          <w:rStyle w:val="FootnoteReference"/>
          <w:rFonts w:ascii="Times New Roman" w:hAnsi="Times New Roman" w:cs="Times New Roman"/>
        </w:rPr>
        <w:footnoteReference w:id="67"/>
      </w:r>
      <w:r w:rsidRPr="00BC2C4B">
        <w:rPr>
          <w:rFonts w:ascii="Times New Roman" w:hAnsi="Times New Roman" w:cs="Times New Roman"/>
        </w:rPr>
        <w:t xml:space="preserve"> In most cases, terrorist groups tend to be small (and covert) which makes it difficult to engage them with large, conventional forces. Groups that operate overtly are vulnerable to</w:t>
      </w:r>
      <w:r w:rsidR="007F191E">
        <w:rPr>
          <w:rFonts w:ascii="Times New Roman" w:hAnsi="Times New Roman" w:cs="Times New Roman"/>
        </w:rPr>
        <w:t xml:space="preserve"> the overwhelming application of</w:t>
      </w:r>
      <w:r w:rsidRPr="00BC2C4B">
        <w:rPr>
          <w:rFonts w:ascii="Times New Roman" w:hAnsi="Times New Roman" w:cs="Times New Roman"/>
        </w:rPr>
        <w:t xml:space="preserve"> military </w:t>
      </w:r>
      <w:r w:rsidR="007F191E">
        <w:rPr>
          <w:rFonts w:ascii="Times New Roman" w:hAnsi="Times New Roman" w:cs="Times New Roman"/>
        </w:rPr>
        <w:t>force</w:t>
      </w:r>
      <w:r w:rsidRPr="00BC2C4B">
        <w:rPr>
          <w:rFonts w:ascii="Times New Roman" w:hAnsi="Times New Roman" w:cs="Times New Roman"/>
        </w:rPr>
        <w:t>, for example, al-Qaeda in Afghanistan and the P</w:t>
      </w:r>
      <w:r w:rsidR="00CD606E">
        <w:rPr>
          <w:rFonts w:ascii="Times New Roman" w:hAnsi="Times New Roman" w:cs="Times New Roman"/>
        </w:rPr>
        <w:t xml:space="preserve">alestine </w:t>
      </w:r>
      <w:r w:rsidRPr="00BC2C4B">
        <w:rPr>
          <w:rFonts w:ascii="Times New Roman" w:hAnsi="Times New Roman" w:cs="Times New Roman"/>
        </w:rPr>
        <w:t>L</w:t>
      </w:r>
      <w:r w:rsidR="00CD606E">
        <w:rPr>
          <w:rFonts w:ascii="Times New Roman" w:hAnsi="Times New Roman" w:cs="Times New Roman"/>
        </w:rPr>
        <w:t xml:space="preserve">iberation </w:t>
      </w:r>
      <w:r w:rsidRPr="00BC2C4B">
        <w:rPr>
          <w:rFonts w:ascii="Times New Roman" w:hAnsi="Times New Roman" w:cs="Times New Roman"/>
        </w:rPr>
        <w:t>O</w:t>
      </w:r>
      <w:r w:rsidR="00CD606E">
        <w:rPr>
          <w:rFonts w:ascii="Times New Roman" w:hAnsi="Times New Roman" w:cs="Times New Roman"/>
        </w:rPr>
        <w:t>rganisation</w:t>
      </w:r>
      <w:r w:rsidRPr="00BC2C4B">
        <w:rPr>
          <w:rFonts w:ascii="Times New Roman" w:hAnsi="Times New Roman" w:cs="Times New Roman"/>
        </w:rPr>
        <w:t xml:space="preserve"> in Lebanon</w:t>
      </w:r>
      <w:r w:rsidR="00D51325">
        <w:rPr>
          <w:rFonts w:ascii="Times New Roman" w:hAnsi="Times New Roman" w:cs="Times New Roman"/>
        </w:rPr>
        <w:t>,</w:t>
      </w:r>
      <w:r w:rsidR="004870EF">
        <w:rPr>
          <w:rStyle w:val="FootnoteReference"/>
          <w:rFonts w:ascii="Times New Roman" w:hAnsi="Times New Roman" w:cs="Times New Roman"/>
        </w:rPr>
        <w:footnoteReference w:id="68"/>
      </w:r>
      <w:r w:rsidRPr="00BC2C4B">
        <w:rPr>
          <w:rFonts w:ascii="Times New Roman" w:hAnsi="Times New Roman" w:cs="Times New Roman"/>
        </w:rPr>
        <w:t xml:space="preserve">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&lt;EndNote&gt;&lt;Cite&gt;&lt;Author&gt;Rapoport&lt;/Author&gt;&lt;Year&gt;2004&lt;/Year&gt;&lt;RecNum&gt;142&lt;/RecNum&gt;&lt;record&gt;&lt;rec-number&gt;142&lt;/rec-number&gt;&lt;foreign-keys&gt;&lt;key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 but even in these cases the groups moved to other arenas. Conversely, the ability to penetrate and disrupt terrorist groups through policing, intelligence and anti-terrorism legislation is more effective at eliminating the group</w:t>
      </w:r>
      <w:r w:rsidR="00A25BB4">
        <w:rPr>
          <w:rFonts w:ascii="Times New Roman" w:hAnsi="Times New Roman" w:cs="Times New Roman"/>
        </w:rPr>
        <w:t>.</w:t>
      </w:r>
      <w:r w:rsidR="004870EF">
        <w:rPr>
          <w:rStyle w:val="FootnoteReference"/>
          <w:rFonts w:ascii="Times New Roman" w:hAnsi="Times New Roman" w:cs="Times New Roman"/>
        </w:rPr>
        <w:footnoteReference w:id="69"/>
      </w:r>
      <w:r w:rsidRPr="00BC2C4B">
        <w:rPr>
          <w:rFonts w:ascii="Times New Roman" w:hAnsi="Times New Roman" w:cs="Times New Roman"/>
        </w:rPr>
        <w:t xml:space="preserve">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&lt;EndNote&gt;&lt;Cite&gt;&lt;Author&gt;Jones&lt;/Author&gt;&lt;Year&gt;2008&lt;/Year&gt;&lt;RecNum&gt;92&lt;/RecNum&gt;&lt;record&gt;&lt;rec-number&gt;92&lt;/rec-number&gt;&lt;foreign-keys&gt;&lt;key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Alterman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 ExcludeAuth="1"&gt;&lt;Author&gt;Alterman&lt;/Author&gt;&lt;Year&gt;1999&lt;/Year&gt;&lt;RecNum&gt;19&lt;/RecNum&gt;&lt;record&gt;&lt;rec-number&gt;19&lt;/rec-number&gt;&lt;foreign-keys&gt;&lt;key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 states that repressive measures are often insufficient when a large population supports the terrorists’ cause</w:t>
      </w:r>
      <w:r w:rsidR="00A25BB4">
        <w:rPr>
          <w:rFonts w:ascii="Times New Roman" w:hAnsi="Times New Roman" w:cs="Times New Roman"/>
        </w:rPr>
        <w:t>.</w:t>
      </w:r>
      <w:r w:rsidR="004870EF">
        <w:rPr>
          <w:rStyle w:val="FootnoteReference"/>
          <w:rFonts w:ascii="Times New Roman" w:hAnsi="Times New Roman" w:cs="Times New Roman"/>
        </w:rPr>
        <w:footnoteReference w:id="70"/>
      </w:r>
      <w:r w:rsidRPr="00BC2C4B">
        <w:rPr>
          <w:rFonts w:ascii="Times New Roman" w:hAnsi="Times New Roman" w:cs="Times New Roman"/>
        </w:rPr>
        <w:t xml:space="preserve"> Punitive actions can erode support for groups in some respects but cannot fully do so without policies aimed at addressing popular grievances and splitting moderates from radicals. There is a consensus in the literature that diminishing public support for the terrorist group and denying them a strong base from which to operate is essential to defeating larger groups</w:t>
      </w:r>
      <w:r w:rsidR="00A25BB4">
        <w:rPr>
          <w:rFonts w:ascii="Times New Roman" w:hAnsi="Times New Roman" w:cs="Times New Roman"/>
        </w:rPr>
        <w:t>.</w:t>
      </w:r>
      <w:r w:rsidR="004870EF">
        <w:rPr>
          <w:rStyle w:val="FootnoteReference"/>
          <w:rFonts w:ascii="Times New Roman" w:hAnsi="Times New Roman" w:cs="Times New Roman"/>
        </w:rPr>
        <w:footnoteReference w:id="71"/>
      </w:r>
      <w:r w:rsidRPr="00BC2C4B">
        <w:rPr>
          <w:rFonts w:ascii="Times New Roman" w:hAnsi="Times New Roman" w:cs="Times New Roman"/>
        </w:rPr>
        <w:t xml:space="preserve">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&lt;EndNote&gt;&lt;Cite&gt;&lt;Author&gt;Gvineria&lt;/Author&gt;&lt;Year&gt;2009&lt;/Year&gt;&lt;RecNum&gt;78&lt;/RecNum&gt;&lt;record&gt;&lt;rec-number&gt;78&lt;/rec-number&gt;&lt;foreign-keys&gt;&lt;key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Pr="00BC2C4B">
        <w:rPr>
          <w:rFonts w:ascii="Times New Roman" w:hAnsi="Times New Roman" w:cs="Times New Roman"/>
        </w:rPr>
        <w:fldChar w:fldCharType="end"/>
      </w:r>
    </w:p>
    <w:p w14:paraId="694878C1" w14:textId="427F815A" w:rsidR="00122F8E" w:rsidRDefault="00122F8E" w:rsidP="00B57C7F">
      <w:pPr>
        <w:spacing w:line="360" w:lineRule="auto"/>
        <w:ind w:firstLine="578"/>
        <w:jc w:val="both"/>
        <w:rPr>
          <w:rFonts w:ascii="Times New Roman" w:hAnsi="Times New Roman" w:cs="Times New Roman"/>
        </w:rPr>
      </w:pPr>
      <w:r w:rsidRPr="00BC2C4B">
        <w:rPr>
          <w:rFonts w:ascii="Times New Roman" w:hAnsi="Times New Roman" w:cs="Times New Roman"/>
        </w:rPr>
        <w:t>Another tactic that states may use to bring about the decline and demise of terrorist groups is decapitation</w:t>
      </w:r>
      <w:r w:rsidR="00943EA5">
        <w:rPr>
          <w:rFonts w:ascii="Times New Roman" w:hAnsi="Times New Roman" w:cs="Times New Roman"/>
        </w:rPr>
        <w:t>,</w:t>
      </w:r>
      <w:r w:rsidRPr="00BC2C4B">
        <w:rPr>
          <w:rFonts w:ascii="Times New Roman" w:hAnsi="Times New Roman" w:cs="Times New Roman"/>
        </w:rPr>
        <w:t xml:space="preserve"> which involves catching or killing terrorist group leaders. The effects of decapitation vary according to whether a group is hierarchically organised and oriented towards a charismatic leader</w:t>
      </w:r>
      <w:r w:rsidR="00A25BB4">
        <w:rPr>
          <w:rFonts w:ascii="Times New Roman" w:hAnsi="Times New Roman" w:cs="Times New Roman"/>
        </w:rPr>
        <w:t>.</w:t>
      </w:r>
      <w:r w:rsidR="004870EF">
        <w:rPr>
          <w:rStyle w:val="FootnoteReference"/>
          <w:rFonts w:ascii="Times New Roman" w:hAnsi="Times New Roman" w:cs="Times New Roman"/>
        </w:rPr>
        <w:footnoteReference w:id="72"/>
      </w:r>
      <w:r w:rsidRPr="00BC2C4B">
        <w:rPr>
          <w:rFonts w:ascii="Times New Roman" w:hAnsi="Times New Roman" w:cs="Times New Roman"/>
        </w:rPr>
        <w:t xml:space="preserve"> To be effective, the loss of a leader must be disruptive by producing a break in ideology, strategy, command and control, or competence, but most importantly, good leaders must be a scarce resource</w:t>
      </w:r>
      <w:r w:rsidR="00A25BB4">
        <w:rPr>
          <w:rFonts w:ascii="Times New Roman" w:hAnsi="Times New Roman" w:cs="Times New Roman"/>
        </w:rPr>
        <w:t>.</w:t>
      </w:r>
      <w:r w:rsidR="004870EF">
        <w:rPr>
          <w:rStyle w:val="FootnoteReference"/>
          <w:rFonts w:ascii="Times New Roman" w:hAnsi="Times New Roman" w:cs="Times New Roman"/>
        </w:rPr>
        <w:footnoteReference w:id="73"/>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&lt;EndNote&gt;&lt;Cite&gt;&lt;Author&gt;Gvineria&lt;/Author&gt;&lt;Year&gt;2009&lt;/Year&gt;&lt;RecNum&gt;78&lt;/RecNum&gt;&lt;record&gt;&lt;rec-number&gt;78&lt;/rec-number&gt;&lt;foreign-keys&gt;&lt;key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 The size of the group and its support base are also obviously significant factors but longevity may also be important: even in hierarchical groups, the longer a group operates the more certain duties are institutionalised and </w:t>
      </w:r>
      <w:r w:rsidRPr="00BC2C4B">
        <w:rPr>
          <w:rFonts w:ascii="Times New Roman" w:hAnsi="Times New Roman" w:cs="Times New Roman"/>
        </w:rPr>
        <w:lastRenderedPageBreak/>
        <w:t>delegated</w:t>
      </w:r>
      <w:r w:rsidR="00A25BB4">
        <w:rPr>
          <w:rFonts w:ascii="Times New Roman" w:hAnsi="Times New Roman" w:cs="Times New Roman"/>
        </w:rPr>
        <w:t>.</w:t>
      </w:r>
      <w:r w:rsidR="004870EF">
        <w:rPr>
          <w:rStyle w:val="FootnoteReference"/>
          <w:rFonts w:ascii="Times New Roman" w:hAnsi="Times New Roman" w:cs="Times New Roman"/>
        </w:rPr>
        <w:footnoteReference w:id="74"/>
      </w:r>
      <w:r w:rsidRPr="00BC2C4B">
        <w:rPr>
          <w:rFonts w:ascii="Times New Roman" w:hAnsi="Times New Roman" w:cs="Times New Roman"/>
        </w:rPr>
        <w:t xml:space="preserve">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&lt;EndNote&gt;&lt;Cite&gt;&lt;Author&gt;Tsvetovat&lt;/Author&gt;&lt;Year&gt;2005&lt;/Year&gt;&lt;RecNum&gt;165&lt;/RecNum&gt;&lt;record&gt;&lt;rec-number&gt;165&lt;/rec-number&gt;&lt;foreign-keys&gt;&lt;key app="EN" db-id="s0ftft29jf2psaezx93xwz5s00fwpa9avrwv"&gt;165&lt;/key&gt;&lt;/foreign-keys&gt;&lt;ref-type name="Journal Article"&gt;17&lt;/ref-type&gt;&lt;contributors&gt;&lt;authors&gt;&lt;author&gt;Tsvetovat, Maksim&lt;/author&gt;&lt;author&gt;Carley, Kathleen&lt;/author&gt;&lt;/authors&gt;&lt;/contributors&gt;&lt;titles&gt;&lt;title&gt;Structural Knowledge and Success of Anti-Terrorist Activity:The Downside of Structural Equivalence&lt;/title&gt;&lt;secondary-title&gt;Institute for Software Research&lt;/secondary-title&gt;&lt;/titles&gt;&lt;volume&gt;6&lt;/volume&gt;&lt;dates&gt;&lt;year&gt;2005&lt;/year&gt;&lt;/dates&gt;&lt;urls&gt;&lt;/urls&gt;&lt;/record&gt;&lt;/Cite&gt;&lt;/EndNote&gt;</w:instrText>
      </w:r>
      <w:r w:rsidRPr="00BC2C4B">
        <w:rPr>
          <w:rFonts w:ascii="Times New Roman" w:hAnsi="Times New Roman" w:cs="Times New Roman"/>
        </w:rPr>
        <w:fldChar w:fldCharType="end"/>
      </w:r>
      <w:r w:rsidR="00A25BB4">
        <w:rPr>
          <w:rFonts w:ascii="Times New Roman" w:hAnsi="Times New Roman" w:cs="Times New Roman"/>
        </w:rPr>
        <w:t>D</w:t>
      </w:r>
      <w:r w:rsidRPr="00BC2C4B">
        <w:rPr>
          <w:rFonts w:ascii="Times New Roman" w:hAnsi="Times New Roman" w:cs="Times New Roman"/>
        </w:rPr>
        <w:t>ecapitation through arrest is seen as more preferable than decapitation through killing</w:t>
      </w:r>
      <w:r w:rsidR="00A25BB4">
        <w:rPr>
          <w:rFonts w:ascii="Times New Roman" w:hAnsi="Times New Roman" w:cs="Times New Roman"/>
        </w:rPr>
        <w:t>.</w:t>
      </w:r>
      <w:r w:rsidR="004870EF">
        <w:rPr>
          <w:rStyle w:val="FootnoteReference"/>
          <w:rFonts w:ascii="Times New Roman" w:hAnsi="Times New Roman" w:cs="Times New Roman"/>
        </w:rPr>
        <w:footnoteReference w:id="75"/>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&lt;EndNote&gt;&lt;Cite&gt;&lt;Author&gt;Cronin&lt;/Author&gt;&lt;Year&gt;2008&lt;/Year&gt;&lt;RecNum&gt;51&lt;/RecNum&gt;&lt;record&gt;&lt;rec-number&gt;51&lt;/rec-number&gt;&lt;foreign-keys&gt;&lt;key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RECALLED&lt;/call-num&gt;&lt;urls&gt;&lt;/urls&gt;&lt;/record&gt;&lt;/Cite&gt;&lt;Cite&gt;&lt;Author&gt;Weinberg&lt;/Author&gt;&lt;Year&gt;2010&lt;/Year&gt;&lt;RecNum&gt;169&lt;/RecNum&gt;&lt;record&gt;&lt;rec-number&gt;169&lt;/rec-number&gt;&lt;foreign-keys&gt;&lt;key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Cronin cites the Shining Path, the Real IRA, the </w:t>
      </w:r>
      <w:r w:rsidR="00CD606E">
        <w:rPr>
          <w:rFonts w:ascii="Times New Roman" w:hAnsi="Times New Roman" w:cs="Times New Roman"/>
        </w:rPr>
        <w:t>Kurdish Workers’ Party (PKK)</w:t>
      </w:r>
      <w:r w:rsidRPr="00BC2C4B">
        <w:rPr>
          <w:rFonts w:ascii="Times New Roman" w:hAnsi="Times New Roman" w:cs="Times New Roman"/>
        </w:rPr>
        <w:t xml:space="preserve"> and Aum Shinrikyo as cases w</w:t>
      </w:r>
      <w:r w:rsidR="007F191E">
        <w:rPr>
          <w:rFonts w:ascii="Times New Roman" w:hAnsi="Times New Roman" w:cs="Times New Roman"/>
        </w:rPr>
        <w:t>h</w:t>
      </w:r>
      <w:r w:rsidRPr="00BC2C4B">
        <w:rPr>
          <w:rFonts w:ascii="Times New Roman" w:hAnsi="Times New Roman" w:cs="Times New Roman"/>
        </w:rPr>
        <w:t>ere groups were badly damaged by the capture of their leader</w:t>
      </w:r>
      <w:r w:rsidR="00A25BB4">
        <w:rPr>
          <w:rFonts w:ascii="Times New Roman" w:hAnsi="Times New Roman" w:cs="Times New Roman"/>
        </w:rPr>
        <w:t>.</w:t>
      </w:r>
      <w:r w:rsidR="004870EF">
        <w:rPr>
          <w:rStyle w:val="FootnoteReference"/>
          <w:rFonts w:ascii="Times New Roman" w:hAnsi="Times New Roman" w:cs="Times New Roman"/>
        </w:rPr>
        <w:footnoteReference w:id="76"/>
      </w:r>
      <w:r w:rsidRPr="00BC2C4B">
        <w:rPr>
          <w:rFonts w:ascii="Times New Roman" w:hAnsi="Times New Roman" w:cs="Times New Roman"/>
        </w:rPr>
        <w:t xml:space="preserve"> However, even in these cases the decline may be associated with other factors such as the role of the police in mass arrests</w:t>
      </w:r>
      <w:r w:rsidR="00A25BB4">
        <w:rPr>
          <w:rFonts w:ascii="Times New Roman" w:hAnsi="Times New Roman" w:cs="Times New Roman"/>
        </w:rPr>
        <w:t>.</w:t>
      </w:r>
      <w:r w:rsidR="004870EF">
        <w:rPr>
          <w:rStyle w:val="FootnoteReference"/>
          <w:rFonts w:ascii="Times New Roman" w:hAnsi="Times New Roman" w:cs="Times New Roman"/>
        </w:rPr>
        <w:footnoteReference w:id="77"/>
      </w:r>
      <w:r w:rsidRPr="00BC2C4B">
        <w:rPr>
          <w:rFonts w:ascii="Times New Roman" w:hAnsi="Times New Roman" w:cs="Times New Roman"/>
        </w:rPr>
        <w:t xml:space="preserve">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&lt;EndNote&gt;&lt;Cite&gt;&lt;Author&gt;Jones&lt;/Author&gt;&lt;Year&gt;2008&lt;/Year&gt;&lt;RecNum&gt;92&lt;/RecNum&gt;&lt;record&gt;&lt;rec-number&gt;92&lt;/rec-number&gt;&lt;foreign-keys&gt;&lt;key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rsidRPr="00BC2C4B">
        <w:rPr>
          <w:rFonts w:ascii="Times New Roman" w:hAnsi="Times New Roman" w:cs="Times New Roman"/>
        </w:rPr>
        <w:fldChar w:fldCharType="end"/>
      </w:r>
      <w:r w:rsidR="007F191E">
        <w:rPr>
          <w:rFonts w:ascii="Times New Roman" w:hAnsi="Times New Roman" w:cs="Times New Roman"/>
        </w:rPr>
        <w:t>T</w:t>
      </w:r>
      <w:r w:rsidRPr="00BC2C4B">
        <w:rPr>
          <w:rFonts w:ascii="Times New Roman" w:hAnsi="Times New Roman" w:cs="Times New Roman"/>
        </w:rPr>
        <w:t>herefore it is uncertain whether decapitation alone</w:t>
      </w:r>
      <w:r>
        <w:rPr>
          <w:rFonts w:ascii="Times New Roman" w:hAnsi="Times New Roman" w:cs="Times New Roman"/>
        </w:rPr>
        <w:t xml:space="preserve"> would have had the same affect. </w:t>
      </w:r>
      <w:r w:rsidRPr="00BC2C4B">
        <w:rPr>
          <w:rFonts w:ascii="Times New Roman" w:hAnsi="Times New Roman" w:cs="Times New Roman"/>
        </w:rPr>
        <w:t>Finally, the incarceration of leaders may not be effective if the leaders are allowed/able to communicate with followers from prison, or when group members still on the outside attempt to free them (whether through violence, hostage exchange or negotiation)</w:t>
      </w:r>
      <w:r w:rsidR="00A25BB4">
        <w:rPr>
          <w:rFonts w:ascii="Times New Roman" w:hAnsi="Times New Roman" w:cs="Times New Roman"/>
        </w:rPr>
        <w:t>.</w:t>
      </w:r>
      <w:r w:rsidR="004870EF">
        <w:rPr>
          <w:rStyle w:val="FootnoteReference"/>
          <w:rFonts w:ascii="Times New Roman" w:hAnsi="Times New Roman" w:cs="Times New Roman"/>
        </w:rPr>
        <w:footnoteReference w:id="78"/>
      </w:r>
      <w:r>
        <w:rPr>
          <w:rFonts w:ascii="Times New Roman" w:hAnsi="Times New Roman" w:cs="Times New Roman"/>
        </w:rPr>
        <w:t xml:space="preserve"> </w:t>
      </w:r>
      <w:r w:rsidR="00333F82">
        <w:rPr>
          <w:rFonts w:ascii="Times New Roman" w:hAnsi="Times New Roman" w:cs="Times New Roman"/>
        </w:rPr>
        <w:t>With regard to the membership as a whole, prison can have an effect in contradictory ways. Prisons can act to mobilise the militant group and act as a means to radicalise and recruit new members or to educate current ones.</w:t>
      </w:r>
      <w:r>
        <w:rPr>
          <w:rFonts w:ascii="Times New Roman" w:hAnsi="Times New Roman" w:cs="Times New Roman"/>
        </w:rPr>
        <w:t xml:space="preserve"> </w:t>
      </w:r>
      <w:r w:rsidR="00333F82">
        <w:rPr>
          <w:rFonts w:ascii="Times New Roman" w:hAnsi="Times New Roman" w:cs="Times New Roman"/>
        </w:rPr>
        <w:t>In the case of the Red Army Faction’s disengagement, prisons helped the state to split the movement in two and facilitate the winding down of their terrorism campaign</w:t>
      </w:r>
      <w:r w:rsidR="00A25BB4">
        <w:rPr>
          <w:rFonts w:ascii="Times New Roman" w:hAnsi="Times New Roman" w:cs="Times New Roman"/>
        </w:rPr>
        <w:t>.</w:t>
      </w:r>
      <w:r w:rsidR="00333F82">
        <w:rPr>
          <w:rStyle w:val="FootnoteReference"/>
          <w:rFonts w:ascii="Times New Roman" w:hAnsi="Times New Roman" w:cs="Times New Roman"/>
        </w:rPr>
        <w:footnoteReference w:id="79"/>
      </w:r>
      <w:r w:rsidR="00333F82">
        <w:rPr>
          <w:rFonts w:ascii="Times New Roman" w:hAnsi="Times New Roman" w:cs="Times New Roman"/>
        </w:rPr>
        <w:t xml:space="preserve"> While the literature on how terrorism ends remains silent on the role of prisons as a means of disengagement, a few studies (discussed in Chapter Two) demonstrate the positive role that prisoners can play in bringing a campaign to an end</w:t>
      </w:r>
      <w:r w:rsidR="00A25BB4">
        <w:rPr>
          <w:rFonts w:ascii="Times New Roman" w:hAnsi="Times New Roman" w:cs="Times New Roman"/>
        </w:rPr>
        <w:t>.</w:t>
      </w:r>
      <w:r w:rsidR="00333F82">
        <w:rPr>
          <w:rStyle w:val="FootnoteReference"/>
          <w:rFonts w:ascii="Times New Roman" w:hAnsi="Times New Roman" w:cs="Times New Roman"/>
        </w:rPr>
        <w:footnoteReference w:id="80"/>
      </w:r>
      <w:r w:rsidR="00333F82">
        <w:rPr>
          <w:rFonts w:ascii="Times New Roman" w:hAnsi="Times New Roman" w:cs="Times New Roman"/>
        </w:rPr>
        <w:t xml:space="preserve"> </w:t>
      </w:r>
    </w:p>
    <w:p w14:paraId="1C4D7D5A" w14:textId="77777777" w:rsidR="00810DA5" w:rsidRDefault="00810DA5" w:rsidP="00B57C7F">
      <w:pPr>
        <w:spacing w:line="360" w:lineRule="auto"/>
        <w:jc w:val="both"/>
        <w:rPr>
          <w:rFonts w:ascii="Times New Roman" w:hAnsi="Times New Roman" w:cs="Times New Roman"/>
        </w:rPr>
      </w:pPr>
    </w:p>
    <w:p w14:paraId="63CE9520" w14:textId="77777777" w:rsidR="00810DA5" w:rsidRDefault="00810DA5" w:rsidP="00B57C7F">
      <w:pPr>
        <w:pStyle w:val="Heading4"/>
        <w:spacing w:before="120" w:line="360" w:lineRule="auto"/>
      </w:pPr>
      <w:bookmarkStart w:id="10" w:name="_Toc389208793"/>
      <w:r>
        <w:t>Popular Support and Negotiations</w:t>
      </w:r>
      <w:bookmarkEnd w:id="10"/>
    </w:p>
    <w:p w14:paraId="073BC5A5" w14:textId="02DF689C" w:rsidR="00810DA5" w:rsidRDefault="00810DA5" w:rsidP="00B57C7F">
      <w:pPr>
        <w:spacing w:line="360" w:lineRule="auto"/>
        <w:ind w:firstLine="578"/>
        <w:jc w:val="both"/>
        <w:rPr>
          <w:rFonts w:ascii="Times New Roman" w:hAnsi="Times New Roman" w:cs="Times New Roman"/>
        </w:rPr>
      </w:pPr>
      <w:r w:rsidRPr="00BC2C4B">
        <w:rPr>
          <w:rFonts w:ascii="Times New Roman" w:hAnsi="Times New Roman" w:cs="Times New Roman"/>
        </w:rPr>
        <w:t xml:space="preserve">If the means in which a group generates support is undermined or lost, it can lead to the aforementioned form of demise or it can affect the group’s ability to recruit new activists. Groups can end because they aren’t able to attract new members and subsequently the group fades at the end of its lifecycle. Cronin </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 ExcludeAuth="1"&gt;&lt;Author&gt;Cronin&lt;/Author&gt;&lt;Year&gt;2008&lt;/Year&gt;&lt;RecNum&gt;51&lt;/RecNum&gt;&lt;record&gt;&lt;rec-number&gt;51&lt;/rec-number&gt;&lt;foreign-keys&gt;&lt;key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 states that the inability to pass the cause to the next generation (a key feature of waves) is a </w:t>
      </w:r>
      <w:r w:rsidRPr="00BC2C4B">
        <w:rPr>
          <w:rFonts w:ascii="Times New Roman" w:hAnsi="Times New Roman" w:cs="Times New Roman"/>
        </w:rPr>
        <w:lastRenderedPageBreak/>
        <w:t>common explanation for a group’s decline or end. The ‘nature of the group’s ideology seems to have relevance to the cross-generational staying power of a group’</w:t>
      </w:r>
      <w:r w:rsidR="00A25BB4">
        <w:rPr>
          <w:rFonts w:ascii="Times New Roman" w:hAnsi="Times New Roman" w:cs="Times New Roman"/>
        </w:rPr>
        <w:t>.</w:t>
      </w:r>
      <w:r w:rsidR="004870EF">
        <w:rPr>
          <w:rStyle w:val="FootnoteReference"/>
          <w:rFonts w:ascii="Times New Roman" w:hAnsi="Times New Roman" w:cs="Times New Roman"/>
        </w:rPr>
        <w:footnoteReference w:id="81"/>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&lt;EndNote&gt;&lt;Cite&gt;&lt;Author&gt;Cronin&lt;/Author&gt;&lt;Year&gt;2008&lt;/Year&gt;&lt;RecNum&gt;51&lt;/RecNum&gt;&lt;Suffix&gt; 23&lt;/Suffix&gt;&lt;record&gt;&lt;rec-number&gt;51&lt;/rec-number&gt;&lt;foreign-keys&gt;&lt;key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 The leftist groups of the 1970s are examples of groups who were unable to clearly articulate their vision, had unrealistic demands, and usually alienated the little support they had by their violent acts</w:t>
      </w:r>
      <w:r w:rsidR="00A25BB4">
        <w:rPr>
          <w:rFonts w:ascii="Times New Roman" w:hAnsi="Times New Roman" w:cs="Times New Roman"/>
        </w:rPr>
        <w:t>.</w:t>
      </w:r>
      <w:r w:rsidR="004870EF">
        <w:rPr>
          <w:rStyle w:val="FootnoteReference"/>
          <w:rFonts w:ascii="Times New Roman" w:hAnsi="Times New Roman" w:cs="Times New Roman"/>
        </w:rPr>
        <w:footnoteReference w:id="82"/>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&lt;EndNote&gt;&lt;Cite&gt;&lt;Author&gt;Gvineria&lt;/Author&gt;&lt;Year&gt;2009&lt;/Year&gt;&lt;RecNum&gt;78&lt;/RecNum&gt;&lt;record&gt;&lt;rec-number&gt;78&lt;/rec-number&gt;&lt;foreign-keys&gt;&lt;key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00943EA5">
        <w:rPr>
          <w:rFonts w:ascii="Times New Roman" w:hAnsi="Times New Roman" w:cs="Times New Roman"/>
        </w:rPr>
        <w:t>Gvineria</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 ExcludeAuth="1"&gt;&lt;Author&gt;Gvineria&lt;/Author&gt;&lt;Year&gt;2009&lt;/Year&gt;&lt;RecNum&gt;78&lt;/RecNum&gt;&lt;Suffix&gt; 271&lt;/Suffix&gt;&lt;record&gt;&lt;rec-number&gt;78&lt;/rec-number&gt;&lt;foreign-keys&gt;&lt;key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xml:space="preserve"> also mentions how ‘large-scale socioeconomic and political [change can diminish] the attractiveness of the terrorist ideology’</w:t>
      </w:r>
      <w:r w:rsidR="00A25BB4">
        <w:rPr>
          <w:rFonts w:ascii="Times New Roman" w:hAnsi="Times New Roman" w:cs="Times New Roman"/>
        </w:rPr>
        <w:t>.</w:t>
      </w:r>
      <w:r w:rsidR="004870EF">
        <w:rPr>
          <w:rStyle w:val="FootnoteReference"/>
          <w:rFonts w:ascii="Times New Roman" w:hAnsi="Times New Roman" w:cs="Times New Roman"/>
        </w:rPr>
        <w:footnoteReference w:id="83"/>
      </w:r>
      <w:r>
        <w:rPr>
          <w:rFonts w:ascii="Times New Roman" w:hAnsi="Times New Roman" w:cs="Times New Roman"/>
        </w:rPr>
        <w:t xml:space="preserve"> Conversely, gaining popular support can open up political opportunities, and the cultivation of these new constituencies may encourage the group to abandon the use of terrorism, with entry to a political system acting as an incentive for remaining disengaged.  </w:t>
      </w:r>
    </w:p>
    <w:p w14:paraId="3F1C717E" w14:textId="4F461758" w:rsidR="00B35EAB" w:rsidRDefault="004870EF" w:rsidP="00B57C7F">
      <w:pPr>
        <w:spacing w:line="360" w:lineRule="auto"/>
        <w:ind w:firstLine="578"/>
        <w:jc w:val="both"/>
        <w:rPr>
          <w:rFonts w:ascii="Times New Roman" w:hAnsi="Times New Roman" w:cs="Times New Roman"/>
        </w:rPr>
      </w:pPr>
      <w:r>
        <w:rPr>
          <w:rFonts w:ascii="Times New Roman" w:hAnsi="Times New Roman" w:cs="Times New Roman"/>
        </w:rPr>
        <w:t>In response to repression and other external factors as outlined above, g</w:t>
      </w:r>
      <w:r w:rsidR="00C35E7C">
        <w:rPr>
          <w:rFonts w:ascii="Times New Roman" w:hAnsi="Times New Roman" w:cs="Times New Roman"/>
        </w:rPr>
        <w:t xml:space="preserve">roups may </w:t>
      </w:r>
      <w:r w:rsidR="00C35E7C" w:rsidRPr="00BC2C4B">
        <w:rPr>
          <w:rFonts w:ascii="Times New Roman" w:hAnsi="Times New Roman" w:cs="Times New Roman"/>
        </w:rPr>
        <w:t>modify their goals and the use of terro</w:t>
      </w:r>
      <w:r w:rsidR="00B35EAB">
        <w:rPr>
          <w:rFonts w:ascii="Times New Roman" w:hAnsi="Times New Roman" w:cs="Times New Roman"/>
        </w:rPr>
        <w:t>rism and be offered concessions, providing</w:t>
      </w:r>
      <w:r w:rsidR="00C35E7C" w:rsidRPr="00BC2C4B">
        <w:rPr>
          <w:rFonts w:ascii="Times New Roman" w:hAnsi="Times New Roman" w:cs="Times New Roman"/>
        </w:rPr>
        <w:t xml:space="preserve"> them with partial success through a transition to a legitimate political process</w:t>
      </w:r>
      <w:r w:rsidR="00A25BB4">
        <w:rPr>
          <w:rFonts w:ascii="Times New Roman" w:hAnsi="Times New Roman" w:cs="Times New Roman"/>
        </w:rPr>
        <w:t>.</w:t>
      </w:r>
      <w:r>
        <w:rPr>
          <w:rStyle w:val="FootnoteReference"/>
          <w:rFonts w:ascii="Times New Roman" w:hAnsi="Times New Roman" w:cs="Times New Roman"/>
        </w:rPr>
        <w:footnoteReference w:id="84"/>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&lt;EndNote&gt;&lt;Cite&gt;&lt;Author&gt;Gvineria&lt;/Author&gt;&lt;Year&gt;2009&lt;/Year&gt;&lt;RecNum&gt;78&lt;/RecNum&gt;&lt;record&gt;&lt;rec-number&gt;78&lt;/rec-number&gt;&lt;foreign-keys&gt;&lt;key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00C35E7C"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00C35E7C" w:rsidRPr="00BC2C4B">
        <w:rPr>
          <w:rFonts w:ascii="Times New Roman" w:hAnsi="Times New Roman" w:cs="Times New Roman"/>
        </w:rPr>
        <w:t xml:space="preserve"> The narrower the policy goals </w:t>
      </w:r>
      <w:r w:rsidR="00A25BB4">
        <w:rPr>
          <w:rFonts w:ascii="Times New Roman" w:hAnsi="Times New Roman" w:cs="Times New Roman"/>
        </w:rPr>
        <w:t xml:space="preserve">that </w:t>
      </w:r>
      <w:r w:rsidR="00C35E7C" w:rsidRPr="00BC2C4B">
        <w:rPr>
          <w:rFonts w:ascii="Times New Roman" w:hAnsi="Times New Roman" w:cs="Times New Roman"/>
        </w:rPr>
        <w:t>a group has (or adopts in concessions), such as policy, territorial or regime change, the more likely it is to end through negotiation and/or politics</w:t>
      </w:r>
      <w:r w:rsidR="00A25BB4">
        <w:rPr>
          <w:rFonts w:ascii="Times New Roman" w:hAnsi="Times New Roman" w:cs="Times New Roman"/>
        </w:rPr>
        <w:t>.</w:t>
      </w:r>
      <w:r>
        <w:rPr>
          <w:rStyle w:val="FootnoteReference"/>
          <w:rFonts w:ascii="Times New Roman" w:hAnsi="Times New Roman" w:cs="Times New Roman"/>
        </w:rPr>
        <w:footnoteReference w:id="85"/>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&lt;EndNote&gt;&lt;Cite&gt;&lt;Author&gt;Jones&lt;/Author&gt;&lt;Year&gt;2008&lt;/Year&gt;&lt;RecNum&gt;92&lt;/RecNum&gt;&lt;record&gt;&lt;rec-number&gt;92&lt;/rec-number&gt;&lt;foreign-keys&gt;&lt;key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rsidR="00C35E7C"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C35E7C" w:rsidRPr="00BC2C4B">
        <w:rPr>
          <w:rFonts w:ascii="Times New Roman" w:hAnsi="Times New Roman" w:cs="Times New Roman"/>
        </w:rPr>
        <w:t xml:space="preserve"> The factors that prompt such a change may be: the l</w:t>
      </w:r>
      <w:r w:rsidR="00B35EAB">
        <w:rPr>
          <w:rFonts w:ascii="Times New Roman" w:hAnsi="Times New Roman" w:cs="Times New Roman"/>
        </w:rPr>
        <w:t>oss of outside (state) support;</w:t>
      </w:r>
      <w:r w:rsidR="00C35E7C" w:rsidRPr="00BC2C4B">
        <w:rPr>
          <w:rFonts w:ascii="Times New Roman" w:hAnsi="Times New Roman" w:cs="Times New Roman"/>
        </w:rPr>
        <w:t xml:space="preserve"> through external diplomacy</w:t>
      </w:r>
      <w:r w:rsidR="00D51325">
        <w:rPr>
          <w:rFonts w:ascii="Times New Roman" w:hAnsi="Times New Roman" w:cs="Times New Roman"/>
        </w:rPr>
        <w:t>;</w:t>
      </w:r>
      <w:r>
        <w:rPr>
          <w:rStyle w:val="FootnoteReference"/>
          <w:rFonts w:ascii="Times New Roman" w:hAnsi="Times New Roman" w:cs="Times New Roman"/>
        </w:rPr>
        <w:footnoteReference w:id="86"/>
      </w:r>
      <w:r w:rsidR="00C35E7C" w:rsidRPr="00BC2C4B">
        <w:rPr>
          <w:rFonts w:ascii="Times New Roman" w:hAnsi="Times New Roman" w:cs="Times New Roman"/>
        </w:rPr>
        <w:t xml:space="preserve"> </w:t>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&lt;EndNote&gt;&lt;Cite&gt;&lt;Author&gt;Alterman&lt;/Author&gt;&lt;Year&gt;1999&lt;/Year&gt;&lt;RecNum&gt;19&lt;/RecNum&gt;&lt;record&gt;&lt;rec-number&gt;19&lt;/rec-number&gt;&lt;foreign-keys&gt;&lt;key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rsidR="00C35E7C" w:rsidRPr="00BC2C4B">
        <w:rPr>
          <w:rFonts w:ascii="Times New Roman" w:hAnsi="Times New Roman" w:cs="Times New Roman"/>
        </w:rPr>
        <w:fldChar w:fldCharType="end"/>
      </w:r>
      <w:r w:rsidR="00C35E7C" w:rsidRPr="00BC2C4B">
        <w:rPr>
          <w:rFonts w:ascii="Times New Roman" w:hAnsi="Times New Roman" w:cs="Times New Roman"/>
        </w:rPr>
        <w:t>when both sides reach a stalemate</w:t>
      </w:r>
      <w:r w:rsidR="00D51325">
        <w:rPr>
          <w:rFonts w:ascii="Times New Roman" w:hAnsi="Times New Roman" w:cs="Times New Roman"/>
        </w:rPr>
        <w:t>;</w:t>
      </w:r>
      <w:r>
        <w:rPr>
          <w:rStyle w:val="FootnoteReference"/>
          <w:rFonts w:ascii="Times New Roman" w:hAnsi="Times New Roman" w:cs="Times New Roman"/>
        </w:rPr>
        <w:footnoteReference w:id="87"/>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&lt;EndNote&gt;&lt;Cite&gt;&lt;Author&gt;Jones&lt;/Author&gt;&lt;Year&gt;2008&lt;/Year&gt;&lt;RecNum&gt;92&lt;/RecNum&gt;&lt;record&gt;&lt;rec-number&gt;92&lt;/rec-number&gt;&lt;foreign-keys&gt;&lt;key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rsidR="00C35E7C"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C35E7C" w:rsidRPr="00BC2C4B">
        <w:rPr>
          <w:rFonts w:ascii="Times New Roman" w:hAnsi="Times New Roman" w:cs="Times New Roman"/>
        </w:rPr>
        <w:t xml:space="preserve"> or that after achieving public recognition for its cause the use of violence may alienate supporters</w:t>
      </w:r>
      <w:r w:rsidR="00D51325">
        <w:rPr>
          <w:rFonts w:ascii="Times New Roman" w:hAnsi="Times New Roman" w:cs="Times New Roman"/>
        </w:rPr>
        <w:t>;</w:t>
      </w:r>
      <w:r>
        <w:rPr>
          <w:rStyle w:val="FootnoteReference"/>
          <w:rFonts w:ascii="Times New Roman" w:hAnsi="Times New Roman" w:cs="Times New Roman"/>
        </w:rPr>
        <w:footnoteReference w:id="88"/>
      </w:r>
      <w:r w:rsidR="00C35E7C" w:rsidRPr="00BC2C4B">
        <w:rPr>
          <w:rFonts w:ascii="Times New Roman" w:hAnsi="Times New Roman" w:cs="Times New Roman"/>
        </w:rPr>
        <w:t xml:space="preserve"> </w:t>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&lt;EndNote&gt;&lt;Cite&gt;&lt;Author&gt;Noricks&lt;/Author&gt;&lt;Year&gt;2009&lt;/Year&gt;&lt;RecNum&gt;130&lt;/RecNum&gt;&lt;Prefix&gt;Gvineria in &lt;/Prefix&gt;&lt;record&gt;&lt;rec-number&gt;130&lt;/rec-number&gt;&lt;foreign-keys&gt;&lt;key app="EN" db-id="s0ftft29jf2psaezx93xwz5s00fwpa9avrwv"&gt;130&lt;/key&gt;&lt;/foreign-keys&gt;&lt;ref-type name="Book Section"&gt;5&lt;/ref-type&gt;&lt;contributors&gt;&lt;authors&gt;&lt;author&gt;Noricks, Darcy&lt;/author&gt;&lt;/authors&gt;&lt;secondary-authors&gt;&lt;author&gt;Davis,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Defense.,&lt;/author&gt;&lt;/secondary-authors&gt;&lt;/contributors&gt;&lt;titles&gt;&lt;title&gt;Disengagement and Deradicalization: Processes and Programs&lt;/title&gt;&lt;secondary-title&gt;Social science for counter terrorism : putting the pieces together&lt;/secondary-title&gt;&lt;/titles&gt;&lt;dates&gt;&lt;year&gt;2009&lt;/year&gt;&lt;/dates&gt;&lt;pub-location&gt;[New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00C35E7C" w:rsidRPr="00BC2C4B">
        <w:rPr>
          <w:rFonts w:ascii="Times New Roman" w:hAnsi="Times New Roman" w:cs="Times New Roman"/>
        </w:rPr>
        <w:fldChar w:fldCharType="end"/>
      </w:r>
      <w:r w:rsidR="00C35E7C" w:rsidRPr="00BC2C4B">
        <w:rPr>
          <w:rFonts w:ascii="Times New Roman" w:hAnsi="Times New Roman" w:cs="Times New Roman"/>
        </w:rPr>
        <w:t>and a government may finally offer to negotiate with a group in the hope of ending long-standing disputes</w:t>
      </w:r>
      <w:r w:rsidR="00A25BB4">
        <w:rPr>
          <w:rFonts w:ascii="Times New Roman" w:hAnsi="Times New Roman" w:cs="Times New Roman"/>
        </w:rPr>
        <w:t>.</w:t>
      </w:r>
      <w:r>
        <w:rPr>
          <w:rStyle w:val="FootnoteReference"/>
          <w:rFonts w:ascii="Times New Roman" w:hAnsi="Times New Roman" w:cs="Times New Roman"/>
        </w:rPr>
        <w:footnoteReference w:id="89"/>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&lt;EndNote&gt;&lt;Cite&gt;&lt;Author&gt;Alterman&lt;/Author&gt;&lt;Year&gt;1999&lt;/Year&gt;&lt;RecNum&gt;19&lt;/RecNum&gt;&lt;Prefix&gt;Crenshaw in &lt;/Prefix&gt;&lt;record&gt;&lt;rec-number&gt;19&lt;/rec-number&gt;&lt;foreign-keys&gt;&lt;key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rsidR="00C35E7C"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00C35E7C" w:rsidRPr="00BC2C4B">
        <w:rPr>
          <w:rFonts w:ascii="Times New Roman" w:hAnsi="Times New Roman" w:cs="Times New Roman"/>
        </w:rPr>
        <w:t xml:space="preserve"> As a result, a group may enter a peace process which will stipulate a cessation of violence, but whether this leads to a more permanent arrangement is another matter. Such an engagement in a peace process may lead to a splintering of the terrorist group into usually more violent groups</w:t>
      </w:r>
      <w:r w:rsidR="00A25BB4">
        <w:rPr>
          <w:rFonts w:ascii="Times New Roman" w:hAnsi="Times New Roman" w:cs="Times New Roman"/>
        </w:rPr>
        <w:t>.</w:t>
      </w:r>
      <w:r>
        <w:rPr>
          <w:rStyle w:val="FootnoteReference"/>
          <w:rFonts w:ascii="Times New Roman" w:hAnsi="Times New Roman" w:cs="Times New Roman"/>
        </w:rPr>
        <w:footnoteReference w:id="90"/>
      </w:r>
      <w:r w:rsidR="00C35E7C"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&lt;EndNote&gt;&lt;Cite&gt;&lt;Author&gt;Cronin&lt;/Author&gt;&lt;Year&gt;2006&lt;/Year&gt;&lt;RecNum&gt;50&lt;/RecNum&gt;&lt;record&gt;&lt;rec-number&gt;50&lt;/rec-number&gt;&lt;foreign-keys&gt;&lt;key app="EN" db-id="s0ftft29jf2psaezx93xwz5s00fwpa9avrwv"&gt;50&lt;/key&gt;&lt;/foreign-keys&gt;&lt;ref-type name="Journal Article"&gt;17&lt;/ref-type&gt;&lt;contributors&gt;&lt;authors&gt;&lt;author&gt;Cronin, Audrey Kurth&lt;/author&gt;&lt;/authors&gt;&lt;/contributors&gt;&lt;titles&gt;&lt;title&gt;How al-Qaida Ends: The Decline and Demise of Terrorist Groups&lt;/title&gt;&lt;secondary-title&gt;International Security&lt;/secondary-title&gt;&lt;/titles&gt;&lt;pages&gt;pp. 7-48&lt;/pages&gt;&lt;volume&gt;31 (1)&lt;/volume&gt;&lt;dates&gt;&lt;year&gt;2006&lt;/year&gt;&lt;/dates&gt;&lt;urls&gt;&lt;/urls&gt;&lt;/record&gt;&lt;/Cite&gt;&lt;/EndNote&gt;</w:instrText>
      </w:r>
      <w:r w:rsidR="00C35E7C"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00C35E7C" w:rsidRPr="00BC2C4B">
        <w:rPr>
          <w:rFonts w:ascii="Times New Roman" w:hAnsi="Times New Roman" w:cs="Times New Roman"/>
        </w:rPr>
        <w:t xml:space="preserve"> </w:t>
      </w:r>
    </w:p>
    <w:p w14:paraId="1B19F654" w14:textId="3738650E" w:rsidR="00C35E7C" w:rsidRPr="00BC2C4B" w:rsidRDefault="00C35E7C" w:rsidP="00B57C7F">
      <w:pPr>
        <w:spacing w:line="360" w:lineRule="auto"/>
        <w:ind w:firstLine="578"/>
        <w:jc w:val="both"/>
        <w:rPr>
          <w:rFonts w:ascii="Times New Roman" w:hAnsi="Times New Roman" w:cs="Times New Roman"/>
        </w:rPr>
      </w:pPr>
      <w:r w:rsidRPr="00BC2C4B">
        <w:rPr>
          <w:rFonts w:ascii="Times New Roman" w:hAnsi="Times New Roman" w:cs="Times New Roman"/>
        </w:rPr>
        <w:lastRenderedPageBreak/>
        <w:t xml:space="preserve">Cronin states that a number of variables can determine the outcome of negotiations to end terrorism. The nature of the </w:t>
      </w:r>
      <w:r w:rsidR="00CE1BFF">
        <w:rPr>
          <w:rFonts w:ascii="Times New Roman" w:hAnsi="Times New Roman" w:cs="Times New Roman"/>
        </w:rPr>
        <w:t>organisation</w:t>
      </w:r>
      <w:r w:rsidRPr="00BC2C4B">
        <w:rPr>
          <w:rFonts w:ascii="Times New Roman" w:hAnsi="Times New Roman" w:cs="Times New Roman"/>
        </w:rPr>
        <w:t xml:space="preserve"> of the group (with hierarchical groups having an advantage over groups that cannot control their members’ actions), the nature of the leadership of the group (whether leadersh</w:t>
      </w:r>
      <w:r w:rsidR="00A04F0A">
        <w:rPr>
          <w:rFonts w:ascii="Times New Roman" w:hAnsi="Times New Roman" w:cs="Times New Roman"/>
        </w:rPr>
        <w:t>ip is centralised or decentralis</w:t>
      </w:r>
      <w:r w:rsidRPr="00BC2C4B">
        <w:rPr>
          <w:rFonts w:ascii="Times New Roman" w:hAnsi="Times New Roman" w:cs="Times New Roman"/>
        </w:rPr>
        <w:t>ed), and the nature of public support for the cause (where groups with ambivalent constituencies may be more likely to compromise)</w:t>
      </w:r>
      <w:r w:rsidR="00D51325">
        <w:rPr>
          <w:rFonts w:ascii="Times New Roman" w:hAnsi="Times New Roman" w:cs="Times New Roman"/>
        </w:rPr>
        <w:t>.</w:t>
      </w:r>
      <w:r w:rsidR="004870EF">
        <w:rPr>
          <w:rStyle w:val="FootnoteReference"/>
          <w:rFonts w:ascii="Times New Roman" w:hAnsi="Times New Roman" w:cs="Times New Roman"/>
        </w:rPr>
        <w:footnoteReference w:id="91"/>
      </w:r>
      <w:r w:rsidRPr="00BC2C4B">
        <w:rPr>
          <w:rFonts w:ascii="Times New Roman" w:hAnsi="Times New Roman" w:cs="Times New Roman"/>
        </w:rPr>
        <w:t xml:space="preserve"> However, </w:t>
      </w:r>
      <w:r w:rsidR="004870EF">
        <w:rPr>
          <w:rFonts w:ascii="Times New Roman" w:hAnsi="Times New Roman" w:cs="Times New Roman"/>
        </w:rPr>
        <w:t xml:space="preserve">according to Alterman, </w:t>
      </w:r>
      <w:r w:rsidRPr="00BC2C4B">
        <w:rPr>
          <w:rFonts w:ascii="Times New Roman" w:hAnsi="Times New Roman" w:cs="Times New Roman"/>
        </w:rPr>
        <w:t xml:space="preserve">negotiations with those perpetrating violence are not the solution to every problem just as law enforcement actions </w:t>
      </w:r>
      <w:r w:rsidR="00A763B4">
        <w:rPr>
          <w:rFonts w:ascii="Times New Roman" w:hAnsi="Times New Roman" w:cs="Times New Roman"/>
        </w:rPr>
        <w:t>cannot resolve every terrorism threat</w:t>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&lt;EndNote&gt;&lt;Cite&gt;&lt;Author&gt;Alterman&lt;/Author&gt;&lt;Year&gt;1999&lt;/Year&gt;&lt;RecNum&gt;19&lt;/RecNum&gt;&lt;record&gt;&lt;rec-number&gt;19&lt;/rec-number&gt;&lt;foreign-keys&gt;&lt;key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rsidRPr="00BC2C4B">
        <w:rPr>
          <w:rFonts w:ascii="Times New Roman" w:hAnsi="Times New Roman" w:cs="Times New Roman"/>
        </w:rPr>
        <w:fldChar w:fldCharType="end"/>
      </w:r>
      <w:r w:rsidRPr="00BC2C4B">
        <w:rPr>
          <w:rFonts w:ascii="Times New Roman" w:hAnsi="Times New Roman" w:cs="Times New Roman"/>
        </w:rPr>
        <w:t>. Alterman concludes that if negotiations are pursued, two conditions should be present: 1) the government should have a strong popular mandate to enter negotiati</w:t>
      </w:r>
      <w:r w:rsidR="00B35EAB">
        <w:rPr>
          <w:rFonts w:ascii="Times New Roman" w:hAnsi="Times New Roman" w:cs="Times New Roman"/>
        </w:rPr>
        <w:t>ons from a position of strength;</w:t>
      </w:r>
      <w:r w:rsidRPr="00BC2C4B">
        <w:rPr>
          <w:rFonts w:ascii="Times New Roman" w:hAnsi="Times New Roman" w:cs="Times New Roman"/>
        </w:rPr>
        <w:t xml:space="preserve"> and 2)</w:t>
      </w:r>
      <w:r w:rsidR="00B35EAB">
        <w:rPr>
          <w:rFonts w:ascii="Times New Roman" w:hAnsi="Times New Roman" w:cs="Times New Roman"/>
        </w:rPr>
        <w:t>,</w:t>
      </w:r>
      <w:r w:rsidRPr="00BC2C4B">
        <w:rPr>
          <w:rFonts w:ascii="Times New Roman" w:hAnsi="Times New Roman" w:cs="Times New Roman"/>
        </w:rPr>
        <w:t xml:space="preserve"> the terrorist group should be going through a period of self-evaluation. In such circumstances, the government could possibly split moderates from more radical elements, taking popular support along with the moderates</w:t>
      </w:r>
      <w:r w:rsidR="00A25BB4">
        <w:rPr>
          <w:rFonts w:ascii="Times New Roman" w:hAnsi="Times New Roman" w:cs="Times New Roman"/>
        </w:rPr>
        <w:t>.</w:t>
      </w:r>
      <w:r w:rsidR="004870EF">
        <w:rPr>
          <w:rStyle w:val="FootnoteReference"/>
          <w:rFonts w:ascii="Times New Roman" w:hAnsi="Times New Roman" w:cs="Times New Roman"/>
        </w:rPr>
        <w:footnoteReference w:id="92"/>
      </w:r>
      <w:r w:rsidRPr="00BC2C4B">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&lt;EndNote&gt;&lt;Cite&gt;&lt;Author&gt;Alterman&lt;/Author&gt;&lt;Year&gt;1999&lt;/Year&gt;&lt;RecNum&gt;19&lt;/RecNum&gt;&lt;record&gt;&lt;rec-number&gt;19&lt;/rec-number&gt;&lt;foreign-keys&gt;&lt;key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rsidRPr="00BC2C4B">
        <w:rPr>
          <w:rFonts w:ascii="Times New Roman" w:hAnsi="Times New Roman" w:cs="Times New Roman"/>
        </w:rPr>
        <w:fldChar w:fldCharType="end"/>
      </w:r>
      <w:r w:rsidR="003D17E7" w:rsidRPr="00BC2C4B">
        <w:rPr>
          <w:rFonts w:ascii="Times New Roman" w:hAnsi="Times New Roman" w:cs="Times New Roman"/>
        </w:rPr>
        <w:t xml:space="preserve"> </w:t>
      </w:r>
      <w:r w:rsidR="00404527" w:rsidRPr="00BC2C4B">
        <w:rPr>
          <w:rFonts w:ascii="Times New Roman" w:hAnsi="Times New Roman" w:cs="Times New Roman"/>
        </w:rPr>
        <w:t xml:space="preserve"> </w:t>
      </w:r>
      <w:r w:rsidRPr="00BC2C4B">
        <w:rPr>
          <w:rFonts w:ascii="Times New Roman" w:hAnsi="Times New Roman" w:cs="Times New Roman"/>
        </w:rPr>
        <w:t xml:space="preserve"> </w:t>
      </w:r>
      <w:r w:rsidRPr="00BC2C4B">
        <w:rPr>
          <w:rFonts w:ascii="Times New Roman" w:hAnsi="Times New Roman" w:cs="Times New Roman"/>
        </w:rPr>
        <w:tab/>
      </w:r>
      <w:r>
        <w:rPr>
          <w:rFonts w:ascii="Times New Roman" w:hAnsi="Times New Roman" w:cs="Times New Roman"/>
        </w:rPr>
        <w:t xml:space="preserve"> </w:t>
      </w:r>
    </w:p>
    <w:p w14:paraId="4E0BAE82" w14:textId="77777777" w:rsidR="00A04F0A" w:rsidRDefault="00A04F0A" w:rsidP="00B57C7F">
      <w:pPr>
        <w:spacing w:line="360" w:lineRule="auto"/>
      </w:pPr>
    </w:p>
    <w:p w14:paraId="3132A1B2" w14:textId="77777777" w:rsidR="00A04F0A" w:rsidRDefault="00CE04B9" w:rsidP="00B57C7F">
      <w:pPr>
        <w:pStyle w:val="Heading4"/>
        <w:spacing w:before="120" w:line="360" w:lineRule="auto"/>
      </w:pPr>
      <w:bookmarkStart w:id="11" w:name="_Toc389208794"/>
      <w:r>
        <w:t xml:space="preserve">Problems in the Group Level Analysis: </w:t>
      </w:r>
      <w:r w:rsidR="00A04F0A" w:rsidRPr="00A04F0A">
        <w:t>Explaining the Process</w:t>
      </w:r>
      <w:bookmarkEnd w:id="11"/>
    </w:p>
    <w:p w14:paraId="5B4BDB2A" w14:textId="77777777" w:rsidR="00B35EAB" w:rsidRDefault="00A04F0A" w:rsidP="00B57C7F">
      <w:pPr>
        <w:spacing w:line="360" w:lineRule="auto"/>
        <w:ind w:firstLine="720"/>
        <w:jc w:val="both"/>
        <w:rPr>
          <w:rFonts w:ascii="Times New Roman" w:hAnsi="Times New Roman" w:cs="Times New Roman"/>
        </w:rPr>
      </w:pPr>
      <w:r>
        <w:rPr>
          <w:rFonts w:ascii="Times New Roman" w:hAnsi="Times New Roman" w:cs="Times New Roman"/>
        </w:rPr>
        <w:t xml:space="preserve">There are, however, a series of limitations in the terrorism literature presented above which derive from their conceptualisation of group disengagement as an event rather than a process. Cronin rightly criticises quantitative approaches </w:t>
      </w:r>
      <w:r w:rsidR="001B17B9">
        <w:rPr>
          <w:rFonts w:ascii="Times New Roman" w:hAnsi="Times New Roman" w:cs="Times New Roman"/>
        </w:rPr>
        <w:t>because it is not possible to identify one single factor</w:t>
      </w:r>
      <w:r>
        <w:rPr>
          <w:rFonts w:ascii="Times New Roman" w:hAnsi="Times New Roman" w:cs="Times New Roman"/>
        </w:rPr>
        <w:t xml:space="preserve"> in how terrorism ends, and the thesis proposes that by analysing disengagement as a process it will be possible to identify when certain factors </w:t>
      </w:r>
      <w:r w:rsidR="0055619A">
        <w:rPr>
          <w:rFonts w:ascii="Times New Roman" w:hAnsi="Times New Roman" w:cs="Times New Roman"/>
        </w:rPr>
        <w:t>are salient. One key part in the disengagement process that the group level of analysis</w:t>
      </w:r>
      <w:r w:rsidR="00157159">
        <w:rPr>
          <w:rFonts w:ascii="Times New Roman" w:hAnsi="Times New Roman" w:cs="Times New Roman"/>
        </w:rPr>
        <w:t xml:space="preserve"> in terrorism studies</w:t>
      </w:r>
      <w:r w:rsidR="0055619A">
        <w:rPr>
          <w:rFonts w:ascii="Times New Roman" w:hAnsi="Times New Roman" w:cs="Times New Roman"/>
        </w:rPr>
        <w:t xml:space="preserve"> neglects is the internal process; there seems to be an assumption that a combination of factors such as repression and </w:t>
      </w:r>
      <w:r w:rsidR="001B17B9">
        <w:rPr>
          <w:rFonts w:ascii="Times New Roman" w:hAnsi="Times New Roman" w:cs="Times New Roman"/>
        </w:rPr>
        <w:t xml:space="preserve">loss of </w:t>
      </w:r>
      <w:r w:rsidR="0055619A">
        <w:rPr>
          <w:rFonts w:ascii="Times New Roman" w:hAnsi="Times New Roman" w:cs="Times New Roman"/>
        </w:rPr>
        <w:t xml:space="preserve">supporters have an equal effect </w:t>
      </w:r>
      <w:r w:rsidR="001B17B9">
        <w:rPr>
          <w:rFonts w:ascii="Times New Roman" w:hAnsi="Times New Roman" w:cs="Times New Roman"/>
        </w:rPr>
        <w:t>across</w:t>
      </w:r>
      <w:r w:rsidR="0055619A">
        <w:rPr>
          <w:rFonts w:ascii="Times New Roman" w:hAnsi="Times New Roman" w:cs="Times New Roman"/>
        </w:rPr>
        <w:t xml:space="preserve"> the group</w:t>
      </w:r>
      <w:r w:rsidR="00157159">
        <w:rPr>
          <w:rFonts w:ascii="Times New Roman" w:hAnsi="Times New Roman" w:cs="Times New Roman"/>
        </w:rPr>
        <w:t xml:space="preserve"> internally</w:t>
      </w:r>
      <w:r w:rsidR="0055619A">
        <w:rPr>
          <w:rFonts w:ascii="Times New Roman" w:hAnsi="Times New Roman" w:cs="Times New Roman"/>
        </w:rPr>
        <w:t xml:space="preserve">, and </w:t>
      </w:r>
      <w:r w:rsidR="00157159">
        <w:rPr>
          <w:rFonts w:ascii="Times New Roman" w:hAnsi="Times New Roman" w:cs="Times New Roman"/>
        </w:rPr>
        <w:t xml:space="preserve">even </w:t>
      </w:r>
      <w:r w:rsidR="0055619A">
        <w:rPr>
          <w:rFonts w:ascii="Times New Roman" w:hAnsi="Times New Roman" w:cs="Times New Roman"/>
        </w:rPr>
        <w:t>if they do not, then splintering can be beneficial to the process. Yet</w:t>
      </w:r>
      <w:r w:rsidR="001B17B9">
        <w:rPr>
          <w:rFonts w:ascii="Times New Roman" w:hAnsi="Times New Roman" w:cs="Times New Roman"/>
        </w:rPr>
        <w:t>, a substantial number of members in the Provisional IRA in the early 1990s were still committed to armed violence despite experiencing the same level of repression and they were willing to continue regardless of what supporters thought</w:t>
      </w:r>
      <w:r w:rsidR="00D51325">
        <w:rPr>
          <w:rFonts w:ascii="Times New Roman" w:hAnsi="Times New Roman" w:cs="Times New Roman"/>
        </w:rPr>
        <w:t>.</w:t>
      </w:r>
      <w:r w:rsidR="001B17B9">
        <w:rPr>
          <w:rStyle w:val="FootnoteReference"/>
          <w:rFonts w:ascii="Times New Roman" w:hAnsi="Times New Roman" w:cs="Times New Roman"/>
        </w:rPr>
        <w:footnoteReference w:id="93"/>
      </w:r>
      <w:r w:rsidR="001B17B9">
        <w:rPr>
          <w:rFonts w:ascii="Times New Roman" w:hAnsi="Times New Roman" w:cs="Times New Roman"/>
        </w:rPr>
        <w:t xml:space="preserve"> Furthermore,</w:t>
      </w:r>
      <w:r w:rsidR="0055619A">
        <w:rPr>
          <w:rFonts w:ascii="Times New Roman" w:hAnsi="Times New Roman" w:cs="Times New Roman"/>
        </w:rPr>
        <w:t xml:space="preserve"> if terrorism is </w:t>
      </w:r>
      <w:r w:rsidR="0055619A">
        <w:rPr>
          <w:rFonts w:ascii="Times New Roman" w:hAnsi="Times New Roman" w:cs="Times New Roman"/>
        </w:rPr>
        <w:lastRenderedPageBreak/>
        <w:t xml:space="preserve">continuing in one form, albeit under the name of a splinter group, questions ought to be raised about how successful disengagement was. Therefore, the thesis contends that </w:t>
      </w:r>
      <w:r w:rsidR="0058325B">
        <w:rPr>
          <w:rFonts w:ascii="Times New Roman" w:hAnsi="Times New Roman" w:cs="Times New Roman"/>
        </w:rPr>
        <w:t>how the process of disengagement is carried out internally is of equal if not more importance to the broadly external factors which the terrorism literature focuses on.</w:t>
      </w:r>
      <w:r w:rsidR="00157159">
        <w:rPr>
          <w:rFonts w:ascii="Times New Roman" w:hAnsi="Times New Roman" w:cs="Times New Roman"/>
        </w:rPr>
        <w:t xml:space="preserve"> </w:t>
      </w:r>
    </w:p>
    <w:p w14:paraId="7E71F5CA" w14:textId="617B1E4E" w:rsidR="00040FC8" w:rsidRDefault="00157159" w:rsidP="00B57C7F">
      <w:pPr>
        <w:spacing w:line="360" w:lineRule="auto"/>
        <w:ind w:firstLine="720"/>
        <w:jc w:val="both"/>
        <w:rPr>
          <w:rFonts w:ascii="Times New Roman" w:hAnsi="Times New Roman" w:cs="Times New Roman"/>
        </w:rPr>
      </w:pPr>
      <w:r>
        <w:rPr>
          <w:rFonts w:ascii="Times New Roman" w:hAnsi="Times New Roman" w:cs="Times New Roman"/>
        </w:rPr>
        <w:t>There are three main exceptions in the literature. Ashour looks specifically at the internal process of disengagement in Islamist movements</w:t>
      </w:r>
      <w:r w:rsidR="00D51325">
        <w:rPr>
          <w:rFonts w:ascii="Times New Roman" w:hAnsi="Times New Roman" w:cs="Times New Roman"/>
        </w:rPr>
        <w:t>,</w:t>
      </w:r>
      <w:r>
        <w:rPr>
          <w:rStyle w:val="FootnoteReference"/>
          <w:rFonts w:ascii="Times New Roman" w:hAnsi="Times New Roman" w:cs="Times New Roman"/>
        </w:rPr>
        <w:footnoteReference w:id="94"/>
      </w:r>
      <w:r>
        <w:rPr>
          <w:rFonts w:ascii="Times New Roman" w:hAnsi="Times New Roman" w:cs="Times New Roman"/>
        </w:rPr>
        <w:t xml:space="preserve"> hence his approach will be adopted and developed in Chapter Two. Gupta claims to take a social movement approach to explain the disengagement of the Provisional IRA, but </w:t>
      </w:r>
      <w:r w:rsidR="00CA09D5">
        <w:rPr>
          <w:rFonts w:ascii="Times New Roman" w:hAnsi="Times New Roman" w:cs="Times New Roman"/>
        </w:rPr>
        <w:t xml:space="preserve">there is little that separates it from the group level approach and </w:t>
      </w:r>
      <w:r w:rsidR="000A1103">
        <w:rPr>
          <w:rFonts w:ascii="Times New Roman" w:hAnsi="Times New Roman" w:cs="Times New Roman"/>
        </w:rPr>
        <w:t>while his utilisation of a</w:t>
      </w:r>
      <w:r w:rsidR="00CA09D5">
        <w:rPr>
          <w:rFonts w:ascii="Times New Roman" w:hAnsi="Times New Roman" w:cs="Times New Roman"/>
        </w:rPr>
        <w:t xml:space="preserve"> modified rational choice theory account</w:t>
      </w:r>
      <w:r w:rsidR="000A1103">
        <w:rPr>
          <w:rFonts w:ascii="Times New Roman" w:hAnsi="Times New Roman" w:cs="Times New Roman"/>
        </w:rPr>
        <w:t>s</w:t>
      </w:r>
      <w:r w:rsidR="00CA09D5">
        <w:rPr>
          <w:rFonts w:ascii="Times New Roman" w:hAnsi="Times New Roman" w:cs="Times New Roman"/>
        </w:rPr>
        <w:t xml:space="preserve"> for the </w:t>
      </w:r>
      <w:r w:rsidR="000A1103">
        <w:rPr>
          <w:rFonts w:ascii="Times New Roman" w:hAnsi="Times New Roman" w:cs="Times New Roman"/>
        </w:rPr>
        <w:t>connection between attitudes and behaviour</w:t>
      </w:r>
      <w:r w:rsidR="00CA09D5">
        <w:rPr>
          <w:rFonts w:ascii="Times New Roman" w:hAnsi="Times New Roman" w:cs="Times New Roman"/>
        </w:rPr>
        <w:t>, this doe</w:t>
      </w:r>
      <w:r w:rsidR="000A1103">
        <w:rPr>
          <w:rFonts w:ascii="Times New Roman" w:hAnsi="Times New Roman" w:cs="Times New Roman"/>
        </w:rPr>
        <w:t>s not explain the process of convincing other members in a group that terrorism is no longer ‘rational’</w:t>
      </w:r>
      <w:r w:rsidR="00A25BB4">
        <w:rPr>
          <w:rFonts w:ascii="Times New Roman" w:hAnsi="Times New Roman" w:cs="Times New Roman"/>
        </w:rPr>
        <w:t>.</w:t>
      </w:r>
      <w:r w:rsidR="000A1103">
        <w:rPr>
          <w:rStyle w:val="FootnoteReference"/>
          <w:rFonts w:ascii="Times New Roman" w:hAnsi="Times New Roman" w:cs="Times New Roman"/>
        </w:rPr>
        <w:footnoteReference w:id="95"/>
      </w:r>
      <w:r>
        <w:rPr>
          <w:rFonts w:ascii="Times New Roman" w:hAnsi="Times New Roman" w:cs="Times New Roman"/>
        </w:rPr>
        <w:t xml:space="preserve"> Moghadam</w:t>
      </w:r>
      <w:r w:rsidR="00040FC8">
        <w:rPr>
          <w:rFonts w:ascii="Times New Roman" w:hAnsi="Times New Roman" w:cs="Times New Roman"/>
        </w:rPr>
        <w:t xml:space="preserve"> explore</w:t>
      </w:r>
      <w:r>
        <w:rPr>
          <w:rFonts w:ascii="Times New Roman" w:hAnsi="Times New Roman" w:cs="Times New Roman"/>
        </w:rPr>
        <w:t>s</w:t>
      </w:r>
      <w:r w:rsidR="00040FC8">
        <w:rPr>
          <w:rFonts w:ascii="Times New Roman" w:hAnsi="Times New Roman" w:cs="Times New Roman"/>
        </w:rPr>
        <w:t xml:space="preserve"> </w:t>
      </w:r>
      <w:r>
        <w:rPr>
          <w:rFonts w:ascii="Times New Roman" w:hAnsi="Times New Roman" w:cs="Times New Roman"/>
        </w:rPr>
        <w:t xml:space="preserve">internal factors such as </w:t>
      </w:r>
      <w:r w:rsidR="00040FC8">
        <w:rPr>
          <w:rFonts w:ascii="Times New Roman" w:hAnsi="Times New Roman" w:cs="Times New Roman"/>
        </w:rPr>
        <w:t>individual disengagement with</w:t>
      </w:r>
      <w:r w:rsidR="00B35EAB">
        <w:rPr>
          <w:rFonts w:ascii="Times New Roman" w:hAnsi="Times New Roman" w:cs="Times New Roman"/>
        </w:rPr>
        <w:t>in</w:t>
      </w:r>
      <w:r w:rsidR="00040FC8">
        <w:rPr>
          <w:rFonts w:ascii="Times New Roman" w:hAnsi="Times New Roman" w:cs="Times New Roman"/>
        </w:rPr>
        <w:t xml:space="preserve"> group disengagement a</w:t>
      </w:r>
      <w:r w:rsidR="00A763B4">
        <w:rPr>
          <w:rFonts w:ascii="Times New Roman" w:hAnsi="Times New Roman" w:cs="Times New Roman"/>
        </w:rPr>
        <w:t>s a process;</w:t>
      </w:r>
      <w:r w:rsidR="00040FC8">
        <w:rPr>
          <w:rFonts w:ascii="Times New Roman" w:hAnsi="Times New Roman" w:cs="Times New Roman"/>
        </w:rPr>
        <w:t xml:space="preserve"> </w:t>
      </w:r>
      <w:r>
        <w:rPr>
          <w:rFonts w:ascii="Times New Roman" w:hAnsi="Times New Roman" w:cs="Times New Roman"/>
        </w:rPr>
        <w:t xml:space="preserve">however, </w:t>
      </w:r>
      <w:r w:rsidR="00040FC8">
        <w:rPr>
          <w:rFonts w:ascii="Times New Roman" w:hAnsi="Times New Roman" w:cs="Times New Roman"/>
        </w:rPr>
        <w:t>the analysis tends to focus on dual processes rather than an intertwined process</w:t>
      </w:r>
      <w:r w:rsidR="00A25BB4">
        <w:rPr>
          <w:rFonts w:ascii="Times New Roman" w:hAnsi="Times New Roman" w:cs="Times New Roman"/>
        </w:rPr>
        <w:t>.</w:t>
      </w:r>
      <w:r w:rsidR="00040FC8">
        <w:rPr>
          <w:rStyle w:val="FootnoteReference"/>
          <w:rFonts w:ascii="Times New Roman" w:hAnsi="Times New Roman" w:cs="Times New Roman"/>
        </w:rPr>
        <w:footnoteReference w:id="96"/>
      </w:r>
      <w:r w:rsidR="00040FC8">
        <w:rPr>
          <w:rFonts w:ascii="Times New Roman" w:hAnsi="Times New Roman" w:cs="Times New Roman"/>
        </w:rPr>
        <w:t xml:space="preserve"> In other words, there is little explanation of how, once leaders support disengagement, how they spread this change throughout the organisation and in what way does this relate to debates on de-radicalisation as outlined above. For example, by trying to encourage others in the group to disengage to avoid splits, thus helping to reduce the risk of recidivism, does a compromise between de-radicalisation and disengagement take place which limits the extent the group de-legitimises violence? </w:t>
      </w:r>
      <w:r w:rsidR="00576C8E">
        <w:rPr>
          <w:rFonts w:ascii="Times New Roman" w:hAnsi="Times New Roman" w:cs="Times New Roman"/>
        </w:rPr>
        <w:t>In such a case, disengagement that is not accompanied with de-radicalisation might actually be better at reducing the risk of recidivism than disengagement that is accompanied with de-radicalisation (whether it i</w:t>
      </w:r>
      <w:r w:rsidR="001B17B9">
        <w:rPr>
          <w:rFonts w:ascii="Times New Roman" w:hAnsi="Times New Roman" w:cs="Times New Roman"/>
        </w:rPr>
        <w:t xml:space="preserve">s defined broadly or narrowly). In other words, </w:t>
      </w:r>
      <w:r w:rsidR="00F01CCA">
        <w:rPr>
          <w:rFonts w:ascii="Times New Roman" w:hAnsi="Times New Roman" w:cs="Times New Roman"/>
        </w:rPr>
        <w:t>if disengagement is guided by reasons that members do not agree with, they might re-engage in violence in the near future.</w:t>
      </w:r>
      <w:r w:rsidR="00576C8E">
        <w:rPr>
          <w:rFonts w:ascii="Times New Roman" w:hAnsi="Times New Roman" w:cs="Times New Roman"/>
        </w:rPr>
        <w:t xml:space="preserve"> </w:t>
      </w:r>
      <w:r w:rsidR="001B17B9">
        <w:rPr>
          <w:rFonts w:ascii="Times New Roman" w:hAnsi="Times New Roman" w:cs="Times New Roman"/>
        </w:rPr>
        <w:t>T</w:t>
      </w:r>
      <w:r w:rsidR="00576C8E">
        <w:rPr>
          <w:rFonts w:ascii="Times New Roman" w:hAnsi="Times New Roman" w:cs="Times New Roman"/>
        </w:rPr>
        <w:t>hus, a reappraisal of the group level of analysis could reinvigorate the attitudes-behaviour debate that has been moribund at the individual level of analysis (discussed above).</w:t>
      </w:r>
      <w:r w:rsidR="00040FC8">
        <w:rPr>
          <w:rFonts w:ascii="Times New Roman" w:hAnsi="Times New Roman" w:cs="Times New Roman"/>
        </w:rPr>
        <w:t xml:space="preserve"> </w:t>
      </w:r>
    </w:p>
    <w:p w14:paraId="74EF3533" w14:textId="77777777" w:rsidR="0031345E" w:rsidRPr="00A04F0A" w:rsidRDefault="00040FC8"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 In addition to taking a more in-depth group analysis to explore the interplay between attitudinal and behavioural change, t</w:t>
      </w:r>
      <w:r w:rsidR="0058325B">
        <w:rPr>
          <w:rFonts w:ascii="Times New Roman" w:hAnsi="Times New Roman" w:cs="Times New Roman"/>
        </w:rPr>
        <w:t>he thesis will engage with the literature on the role of repression, organisational structure, and prisons to explain the disengagement of the Provisional IRA, with the issue of prisons being under-addressed in terrorism studies. In conclusion, terrorism research at the group level of analysis has been insufficient at explaining the internal process of disengagement and how this is important for reducing the risk of recidivism, whether within the group itself, in society, or between generations.</w:t>
      </w:r>
      <w:r w:rsidR="00CE04B9">
        <w:rPr>
          <w:rFonts w:ascii="Times New Roman" w:hAnsi="Times New Roman" w:cs="Times New Roman"/>
        </w:rPr>
        <w:t xml:space="preserve"> On the last two points, a group level analysis is by its own definition not necessarily set up to explain </w:t>
      </w:r>
      <w:r>
        <w:rPr>
          <w:rFonts w:ascii="Times New Roman" w:hAnsi="Times New Roman" w:cs="Times New Roman"/>
        </w:rPr>
        <w:t>societal change and between generations, but even when it does implicitly touch upon these issues</w:t>
      </w:r>
      <w:r w:rsidR="00D51325">
        <w:rPr>
          <w:rFonts w:ascii="Times New Roman" w:hAnsi="Times New Roman" w:cs="Times New Roman"/>
        </w:rPr>
        <w:t>,</w:t>
      </w:r>
      <w:r>
        <w:rPr>
          <w:rStyle w:val="FootnoteReference"/>
          <w:rFonts w:ascii="Times New Roman" w:hAnsi="Times New Roman" w:cs="Times New Roman"/>
        </w:rPr>
        <w:footnoteReference w:id="97"/>
      </w:r>
      <w:r>
        <w:rPr>
          <w:rFonts w:ascii="Times New Roman" w:hAnsi="Times New Roman" w:cs="Times New Roman"/>
        </w:rPr>
        <w:t xml:space="preserve"> it is used to frame the analysis rather than explaining, for example, the relationship between the group and the next generation. The next section explores a level of analysis which, while not connecting group disengagement to the next generation, does attempt to explain it through a structural analysis. </w:t>
      </w:r>
    </w:p>
    <w:p w14:paraId="17D8D83F" w14:textId="77777777" w:rsidR="0031345E" w:rsidRPr="0031345E" w:rsidRDefault="0031345E" w:rsidP="00B57C7F">
      <w:pPr>
        <w:spacing w:line="360" w:lineRule="auto"/>
        <w:rPr>
          <w:rFonts w:ascii="Times New Roman" w:hAnsi="Times New Roman" w:cs="Times New Roman"/>
        </w:rPr>
      </w:pPr>
    </w:p>
    <w:p w14:paraId="74EC9FF5" w14:textId="77777777" w:rsidR="00DF3464" w:rsidRDefault="00DF3464" w:rsidP="00B57C7F">
      <w:pPr>
        <w:pStyle w:val="Heading3"/>
        <w:spacing w:before="120" w:line="360" w:lineRule="auto"/>
      </w:pPr>
      <w:bookmarkStart w:id="12" w:name="_Toc389208795"/>
      <w:r>
        <w:t xml:space="preserve">Structural Explanations: </w:t>
      </w:r>
      <w:r w:rsidR="00AB2F9D">
        <w:t xml:space="preserve">Root Causes and </w:t>
      </w:r>
      <w:r>
        <w:t>Waves of Terrorism</w:t>
      </w:r>
      <w:bookmarkEnd w:id="12"/>
      <w:r>
        <w:t xml:space="preserve"> </w:t>
      </w:r>
    </w:p>
    <w:p w14:paraId="34C16740" w14:textId="7F2306CF" w:rsidR="00DF3464" w:rsidRDefault="003B401A" w:rsidP="00B57C7F">
      <w:pPr>
        <w:spacing w:line="360" w:lineRule="auto"/>
        <w:jc w:val="both"/>
      </w:pPr>
      <w:r>
        <w:tab/>
      </w:r>
      <w:r>
        <w:rPr>
          <w:rFonts w:ascii="Times New Roman" w:hAnsi="Times New Roman" w:cs="Times New Roman"/>
        </w:rPr>
        <w:t>Structural explanations for how terrorism ends</w:t>
      </w:r>
      <w:r w:rsidR="00B26BE9">
        <w:rPr>
          <w:rFonts w:ascii="Times New Roman" w:hAnsi="Times New Roman" w:cs="Times New Roman"/>
        </w:rPr>
        <w:t xml:space="preserve"> are</w:t>
      </w:r>
      <w:r>
        <w:rPr>
          <w:rFonts w:ascii="Times New Roman" w:hAnsi="Times New Roman" w:cs="Times New Roman"/>
        </w:rPr>
        <w:t xml:space="preserve"> important in accounting for the factors</w:t>
      </w:r>
      <w:r w:rsidR="00B26BE9">
        <w:rPr>
          <w:rFonts w:ascii="Times New Roman" w:hAnsi="Times New Roman" w:cs="Times New Roman"/>
        </w:rPr>
        <w:t>:</w:t>
      </w:r>
      <w:r>
        <w:rPr>
          <w:rFonts w:ascii="Times New Roman" w:hAnsi="Times New Roman" w:cs="Times New Roman"/>
        </w:rPr>
        <w:t xml:space="preserve"> a) that cause a number of groups within a campaign to decline</w:t>
      </w:r>
      <w:r w:rsidR="00B26BE9">
        <w:rPr>
          <w:rFonts w:ascii="Times New Roman" w:hAnsi="Times New Roman" w:cs="Times New Roman"/>
        </w:rPr>
        <w:t>;</w:t>
      </w:r>
      <w:r>
        <w:rPr>
          <w:rFonts w:ascii="Times New Roman" w:hAnsi="Times New Roman" w:cs="Times New Roman"/>
        </w:rPr>
        <w:t xml:space="preserve"> and b) reducing the capacity for terrorism campaigns to re-emerge, whether with the same groups a few years when the opportunity presents itself, or a few decades later through the next generation. Thus, structural change can limit the opportunities to engage in terrorism and they can remove the motivations to engage in terrorism. In terrorism studies, there are two areas of literature which pertain to these issues: waves of terrorism theory literature and the ‘root causes’ </w:t>
      </w:r>
      <w:r w:rsidR="00D22354">
        <w:rPr>
          <w:rFonts w:ascii="Times New Roman" w:hAnsi="Times New Roman" w:cs="Times New Roman"/>
        </w:rPr>
        <w:t xml:space="preserve">and preventing terrorism </w:t>
      </w:r>
      <w:r>
        <w:rPr>
          <w:rFonts w:ascii="Times New Roman" w:hAnsi="Times New Roman" w:cs="Times New Roman"/>
        </w:rPr>
        <w:t xml:space="preserve">literature. The chapter will detail the extent to which they provide an answer to how terrorism campaigns end and reduce the risk of recidivism within society. </w:t>
      </w:r>
      <w:r>
        <w:tab/>
      </w:r>
    </w:p>
    <w:p w14:paraId="7AA2D5CB" w14:textId="77777777" w:rsidR="00AB2F9D" w:rsidRDefault="00AB2F9D" w:rsidP="00B57C7F">
      <w:pPr>
        <w:spacing w:line="360" w:lineRule="auto"/>
        <w:jc w:val="both"/>
      </w:pPr>
    </w:p>
    <w:p w14:paraId="53F0BAE4" w14:textId="77777777" w:rsidR="00AB2F9D" w:rsidRDefault="00AB2F9D" w:rsidP="00B57C7F">
      <w:pPr>
        <w:pStyle w:val="Heading4"/>
        <w:spacing w:before="120" w:line="360" w:lineRule="auto"/>
      </w:pPr>
      <w:bookmarkStart w:id="13" w:name="_Toc389208796"/>
      <w:r>
        <w:lastRenderedPageBreak/>
        <w:t xml:space="preserve">Root Causes and </w:t>
      </w:r>
      <w:r w:rsidR="003C745F">
        <w:t>Preventing Terrorism</w:t>
      </w:r>
      <w:bookmarkEnd w:id="13"/>
    </w:p>
    <w:p w14:paraId="553E9744" w14:textId="714097F0" w:rsidR="00D3750C" w:rsidRDefault="003B401A" w:rsidP="00B57C7F">
      <w:pPr>
        <w:spacing w:line="360" w:lineRule="auto"/>
        <w:ind w:firstLine="720"/>
        <w:jc w:val="both"/>
        <w:rPr>
          <w:rFonts w:ascii="Times New Roman" w:hAnsi="Times New Roman" w:cs="Times New Roman"/>
        </w:rPr>
      </w:pPr>
      <w:r w:rsidRPr="00BC2C4B">
        <w:rPr>
          <w:rFonts w:ascii="Times New Roman" w:hAnsi="Times New Roman" w:cs="Times New Roman"/>
        </w:rPr>
        <w:t>At the group level, it is understandable why the connection between root causes and organisational decline have been dismissed</w:t>
      </w:r>
      <w:r w:rsidR="00A25BB4">
        <w:rPr>
          <w:rFonts w:ascii="Times New Roman" w:hAnsi="Times New Roman" w:cs="Times New Roman"/>
        </w:rPr>
        <w:t>.</w:t>
      </w:r>
      <w:r w:rsidR="001508EC">
        <w:rPr>
          <w:rStyle w:val="FootnoteReference"/>
          <w:rFonts w:ascii="Times New Roman" w:hAnsi="Times New Roman" w:cs="Times New Roman"/>
        </w:rPr>
        <w:footnoteReference w:id="98"/>
      </w:r>
      <w:r w:rsidRPr="00BC2C4B">
        <w:rPr>
          <w:rFonts w:ascii="Times New Roman" w:hAnsi="Times New Roman" w:cs="Times New Roman"/>
        </w:rPr>
        <w:t xml:space="preserve"> Whereas such ‘root causes’ could be (amongst others) a lack of democracy, a lack of social justice or rising distributive inequality</w:t>
      </w:r>
      <w:r w:rsidR="00D51325">
        <w:rPr>
          <w:rFonts w:ascii="Times New Roman" w:hAnsi="Times New Roman" w:cs="Times New Roman"/>
        </w:rPr>
        <w:t>,</w:t>
      </w:r>
      <w:r w:rsidR="001508EC">
        <w:rPr>
          <w:rStyle w:val="FootnoteReference"/>
          <w:rFonts w:ascii="Times New Roman" w:hAnsi="Times New Roman" w:cs="Times New Roman"/>
        </w:rPr>
        <w:footnoteReference w:id="99"/>
      </w:r>
      <w:r w:rsidRPr="00BC2C4B">
        <w:rPr>
          <w:rFonts w:ascii="Times New Roman" w:hAnsi="Times New Roman" w:cs="Times New Roman"/>
        </w:rPr>
        <w:t xml:space="preserve"> many of the individual cases of terrorist group decline were caused by state action or internal implosion, not because the ‘root causes’ were addressed. </w:t>
      </w:r>
      <w:r w:rsidR="003F2D7A">
        <w:rPr>
          <w:rFonts w:ascii="Times New Roman" w:hAnsi="Times New Roman" w:cs="Times New Roman"/>
        </w:rPr>
        <w:t>However, this argument conflates structural causes with agency, and</w:t>
      </w:r>
      <w:r w:rsidR="00D22354">
        <w:rPr>
          <w:rFonts w:ascii="Times New Roman" w:hAnsi="Times New Roman" w:cs="Times New Roman"/>
        </w:rPr>
        <w:t xml:space="preserve"> it is overly deterministic too.</w:t>
      </w:r>
      <w:r w:rsidR="003F2D7A">
        <w:rPr>
          <w:rFonts w:ascii="Times New Roman" w:hAnsi="Times New Roman" w:cs="Times New Roman"/>
        </w:rPr>
        <w:t xml:space="preserve"> ‘</w:t>
      </w:r>
      <w:r w:rsidR="00D22354">
        <w:rPr>
          <w:rFonts w:ascii="Times New Roman" w:hAnsi="Times New Roman" w:cs="Times New Roman"/>
        </w:rPr>
        <w:t>R</w:t>
      </w:r>
      <w:r w:rsidR="003F2D7A">
        <w:rPr>
          <w:rFonts w:ascii="Times New Roman" w:hAnsi="Times New Roman" w:cs="Times New Roman"/>
        </w:rPr>
        <w:t>oot causes’ can facilitate the mobilisation of terrorism groups</w:t>
      </w:r>
      <w:r w:rsidR="00B26BE9">
        <w:rPr>
          <w:rFonts w:ascii="Times New Roman" w:hAnsi="Times New Roman" w:cs="Times New Roman"/>
        </w:rPr>
        <w:t xml:space="preserve"> which</w:t>
      </w:r>
      <w:r w:rsidR="00D3750C">
        <w:rPr>
          <w:rFonts w:ascii="Times New Roman" w:hAnsi="Times New Roman" w:cs="Times New Roman"/>
        </w:rPr>
        <w:t xml:space="preserve"> can then take a life of their own partly independent of the initial causes. The literature also underplays how significant the perception of the ‘root causes’ are in either identifying their existence or constructing them in the first place, therefore there is an interaction between structure and agency over time which shapes the likelihood of people within a society being supportive of a terrorism campaign. However, by acknowledging the significance of interpretation, structural change can have a real effect on behaviour regardless of their interpretation</w:t>
      </w:r>
      <w:r w:rsidR="00A25BB4">
        <w:rPr>
          <w:rFonts w:ascii="Times New Roman" w:hAnsi="Times New Roman" w:cs="Times New Roman"/>
        </w:rPr>
        <w:t>.</w:t>
      </w:r>
      <w:r w:rsidR="00D3750C">
        <w:rPr>
          <w:rStyle w:val="FootnoteReference"/>
          <w:rFonts w:ascii="Times New Roman" w:hAnsi="Times New Roman" w:cs="Times New Roman"/>
        </w:rPr>
        <w:footnoteReference w:id="100"/>
      </w:r>
      <w:r w:rsidR="00D3750C">
        <w:rPr>
          <w:rFonts w:ascii="Times New Roman" w:hAnsi="Times New Roman" w:cs="Times New Roman"/>
        </w:rPr>
        <w:t xml:space="preserve"> Furthermore, there are multiple types of causes which can maint</w:t>
      </w:r>
      <w:r w:rsidR="00A5648D">
        <w:rPr>
          <w:rFonts w:ascii="Times New Roman" w:hAnsi="Times New Roman" w:cs="Times New Roman"/>
        </w:rPr>
        <w:t>ain terrorism in different ways and</w:t>
      </w:r>
      <w:r w:rsidR="00D3750C">
        <w:rPr>
          <w:rFonts w:ascii="Times New Roman" w:hAnsi="Times New Roman" w:cs="Times New Roman"/>
        </w:rPr>
        <w:t xml:space="preserve"> these are: the grievances that drive terrorism; structural factors that enable or constrain terrorism, from deep</w:t>
      </w:r>
      <w:r w:rsidR="00D22354">
        <w:rPr>
          <w:rFonts w:ascii="Times New Roman" w:hAnsi="Times New Roman" w:cs="Times New Roman"/>
        </w:rPr>
        <w:t>er</w:t>
      </w:r>
      <w:r w:rsidR="00D3750C">
        <w:rPr>
          <w:rFonts w:ascii="Times New Roman" w:hAnsi="Times New Roman" w:cs="Times New Roman"/>
        </w:rPr>
        <w:t xml:space="preserve"> structures such as the internet to shallow</w:t>
      </w:r>
      <w:r w:rsidR="00D22354">
        <w:rPr>
          <w:rFonts w:ascii="Times New Roman" w:hAnsi="Times New Roman" w:cs="Times New Roman"/>
        </w:rPr>
        <w:t>er</w:t>
      </w:r>
      <w:r w:rsidR="00D3750C">
        <w:rPr>
          <w:rFonts w:ascii="Times New Roman" w:hAnsi="Times New Roman" w:cs="Times New Roman"/>
        </w:rPr>
        <w:t xml:space="preserve"> structures like a political system which can address grievances; and trigger causes, which are events which can spark mobilisation or disengagement</w:t>
      </w:r>
      <w:r w:rsidR="00D51325">
        <w:rPr>
          <w:rFonts w:ascii="Times New Roman" w:hAnsi="Times New Roman" w:cs="Times New Roman"/>
        </w:rPr>
        <w:t>,</w:t>
      </w:r>
      <w:r w:rsidR="00EF6795">
        <w:rPr>
          <w:rStyle w:val="FootnoteReference"/>
          <w:rFonts w:ascii="Times New Roman" w:hAnsi="Times New Roman" w:cs="Times New Roman"/>
        </w:rPr>
        <w:footnoteReference w:id="101"/>
      </w:r>
      <w:r w:rsidR="00D3750C">
        <w:rPr>
          <w:rFonts w:ascii="Times New Roman" w:hAnsi="Times New Roman" w:cs="Times New Roman"/>
        </w:rPr>
        <w:t xml:space="preserve"> for example the September 11</w:t>
      </w:r>
      <w:r w:rsidR="00D3750C" w:rsidRPr="00D3750C">
        <w:rPr>
          <w:rFonts w:ascii="Times New Roman" w:hAnsi="Times New Roman" w:cs="Times New Roman"/>
          <w:vertAlign w:val="superscript"/>
        </w:rPr>
        <w:t>th</w:t>
      </w:r>
      <w:r w:rsidR="00D3750C">
        <w:rPr>
          <w:rFonts w:ascii="Times New Roman" w:hAnsi="Times New Roman" w:cs="Times New Roman"/>
        </w:rPr>
        <w:t xml:space="preserve"> attacks were credited with speeding up the Provisional IRA destroying its weapons. Crucially, trigger causes can also be structurally embedded: in Belfast, inter-communal violence can emerge in geographical areas where both communities meet, and the low-level violence that occurs here can escalate into more serious forms of violence.</w:t>
      </w:r>
      <w:r w:rsidR="00EF6795">
        <w:rPr>
          <w:rFonts w:ascii="Times New Roman" w:hAnsi="Times New Roman" w:cs="Times New Roman"/>
        </w:rPr>
        <w:t xml:space="preserve"> Thus, from a structural perspective, addressing these different causes could </w:t>
      </w:r>
      <w:r w:rsidR="00EF6795">
        <w:rPr>
          <w:rFonts w:ascii="Times New Roman" w:hAnsi="Times New Roman" w:cs="Times New Roman"/>
        </w:rPr>
        <w:lastRenderedPageBreak/>
        <w:t>end terrorism campaigns and reduce the risk of recidivism, yet the thesis argues that it does not sufficiently take into account the interpretation of structures too.</w:t>
      </w:r>
      <w:r w:rsidR="00D3750C">
        <w:rPr>
          <w:rFonts w:ascii="Times New Roman" w:hAnsi="Times New Roman" w:cs="Times New Roman"/>
        </w:rPr>
        <w:t xml:space="preserve">  </w:t>
      </w:r>
    </w:p>
    <w:p w14:paraId="5D3DEEC2" w14:textId="77777777" w:rsidR="003B636B" w:rsidRDefault="00AB2F9D" w:rsidP="00B57C7F">
      <w:pPr>
        <w:spacing w:line="360" w:lineRule="auto"/>
        <w:ind w:firstLine="720"/>
        <w:jc w:val="both"/>
        <w:rPr>
          <w:rFonts w:ascii="Times New Roman" w:hAnsi="Times New Roman" w:cs="Times New Roman"/>
        </w:rPr>
      </w:pPr>
      <w:r>
        <w:rPr>
          <w:rFonts w:ascii="Times New Roman" w:hAnsi="Times New Roman" w:cs="Times New Roman"/>
        </w:rPr>
        <w:t>Another</w:t>
      </w:r>
      <w:r w:rsidR="003F2D7A">
        <w:rPr>
          <w:rFonts w:ascii="Times New Roman" w:hAnsi="Times New Roman" w:cs="Times New Roman"/>
        </w:rPr>
        <w:t xml:space="preserve"> area of literature which has implicitly sought to link the causes of terrorism to the decline of terrorism has been research on countering</w:t>
      </w:r>
      <w:r w:rsidR="003B636B">
        <w:rPr>
          <w:rFonts w:ascii="Times New Roman" w:hAnsi="Times New Roman" w:cs="Times New Roman"/>
        </w:rPr>
        <w:t xml:space="preserve"> radicalisation</w:t>
      </w:r>
      <w:r w:rsidR="003F2D7A">
        <w:rPr>
          <w:rFonts w:ascii="Times New Roman" w:hAnsi="Times New Roman" w:cs="Times New Roman"/>
        </w:rPr>
        <w:t xml:space="preserve"> and preventing terrorism</w:t>
      </w:r>
      <w:r w:rsidR="003B636B">
        <w:rPr>
          <w:rFonts w:ascii="Times New Roman" w:hAnsi="Times New Roman" w:cs="Times New Roman"/>
        </w:rPr>
        <w:t>. The United Nations Counter-Terrorism Implementation Task Force defines counter-radicalisation as:</w:t>
      </w:r>
    </w:p>
    <w:p w14:paraId="2BFD6743" w14:textId="77777777" w:rsidR="00152BE0" w:rsidRDefault="00152BE0" w:rsidP="00B57C7F">
      <w:pPr>
        <w:spacing w:line="360" w:lineRule="auto"/>
        <w:ind w:firstLine="720"/>
        <w:jc w:val="both"/>
        <w:rPr>
          <w:rFonts w:ascii="Times New Roman" w:hAnsi="Times New Roman" w:cs="Times New Roman"/>
        </w:rPr>
      </w:pPr>
    </w:p>
    <w:p w14:paraId="336F4690" w14:textId="77777777" w:rsidR="003B636B" w:rsidRDefault="003B636B" w:rsidP="00B57C7F">
      <w:pPr>
        <w:spacing w:line="360" w:lineRule="auto"/>
        <w:ind w:left="567" w:right="567"/>
        <w:jc w:val="both"/>
        <w:rPr>
          <w:rFonts w:ascii="Times New Roman" w:hAnsi="Times New Roman" w:cs="Times New Roman"/>
          <w:i/>
          <w:iCs/>
        </w:rPr>
      </w:pPr>
      <w:r w:rsidRPr="003B636B">
        <w:rPr>
          <w:rFonts w:ascii="Times New Roman" w:hAnsi="Times New Roman" w:cs="Times New Roman"/>
          <w:i/>
          <w:iCs/>
        </w:rPr>
        <w:t>Policies and programmes aimed at addressing some of the conditions that may propel some individuals down the path to terrorism. It is used broadly to refer to a package of social, political, legal, educational and economic programmes specifically designed to deter disaffected (and possibly already radicalised) individuals from crossing the line and becoming terrorists.</w:t>
      </w:r>
      <w:r>
        <w:rPr>
          <w:rStyle w:val="FootnoteReference"/>
          <w:rFonts w:ascii="Times New Roman" w:hAnsi="Times New Roman" w:cs="Times New Roman"/>
          <w:i/>
          <w:iCs/>
        </w:rPr>
        <w:footnoteReference w:id="102"/>
      </w:r>
    </w:p>
    <w:p w14:paraId="4EF2D841" w14:textId="77777777" w:rsidR="00152BE0" w:rsidRPr="003B636B" w:rsidRDefault="00152BE0" w:rsidP="00B57C7F">
      <w:pPr>
        <w:spacing w:line="360" w:lineRule="auto"/>
        <w:ind w:left="567" w:right="567"/>
        <w:jc w:val="both"/>
        <w:rPr>
          <w:rFonts w:ascii="Times New Roman" w:hAnsi="Times New Roman" w:cs="Times New Roman"/>
          <w:i/>
          <w:iCs/>
        </w:rPr>
      </w:pPr>
    </w:p>
    <w:p w14:paraId="16835D10" w14:textId="77777777" w:rsidR="00257927" w:rsidRDefault="003B636B" w:rsidP="00B57C7F">
      <w:pPr>
        <w:spacing w:line="360" w:lineRule="auto"/>
        <w:ind w:firstLine="720"/>
        <w:jc w:val="both"/>
        <w:rPr>
          <w:rFonts w:ascii="Times New Roman" w:hAnsi="Times New Roman" w:cs="Times New Roman"/>
        </w:rPr>
      </w:pPr>
      <w:r>
        <w:rPr>
          <w:rFonts w:ascii="Times New Roman" w:hAnsi="Times New Roman" w:cs="Times New Roman"/>
        </w:rPr>
        <w:t xml:space="preserve">Most counter-radicalisation strategies and the subsequent research have been aimed at Islamist groups, with less emphasis on groups such as those which operate on the island of Ireland. Nevertheless, counter-radicalisation </w:t>
      </w:r>
      <w:r w:rsidR="0002338F">
        <w:rPr>
          <w:rFonts w:ascii="Times New Roman" w:hAnsi="Times New Roman" w:cs="Times New Roman"/>
        </w:rPr>
        <w:t>identifies three key factors for success: countering the grievances – real or perceived - that a militant group seeks to exploit; countering the ideology that militant groups use by challenging their narratives by educating communities and empowering counter-narratives; and counter mobilisation, which aims to help communities build networks, knowledge and ‘tools’ that can be used to challenge attempts by militant groups to form cells and recruit followers</w:t>
      </w:r>
      <w:r w:rsidR="00A25BB4">
        <w:rPr>
          <w:rFonts w:ascii="Times New Roman" w:hAnsi="Times New Roman" w:cs="Times New Roman"/>
        </w:rPr>
        <w:t>.</w:t>
      </w:r>
      <w:r w:rsidR="0002338F">
        <w:rPr>
          <w:rStyle w:val="FootnoteReference"/>
          <w:rFonts w:ascii="Times New Roman" w:hAnsi="Times New Roman" w:cs="Times New Roman"/>
        </w:rPr>
        <w:footnoteReference w:id="103"/>
      </w:r>
      <w:r w:rsidR="0002338F">
        <w:rPr>
          <w:rFonts w:ascii="Times New Roman" w:hAnsi="Times New Roman" w:cs="Times New Roman"/>
        </w:rPr>
        <w:t xml:space="preserve"> </w:t>
      </w:r>
      <w:r w:rsidR="007C04BB">
        <w:rPr>
          <w:rFonts w:ascii="Times New Roman" w:hAnsi="Times New Roman" w:cs="Times New Roman"/>
        </w:rPr>
        <w:t xml:space="preserve">Schmid argues that there is a gap in the literature in explaining effective counter-narratives, and the thesis contends that exposition of the Provisional IRA’s disengagement process, given how much it has progressed in comparison to Islamist groups, may provide useful insights. </w:t>
      </w:r>
    </w:p>
    <w:p w14:paraId="555F1C90" w14:textId="4895F71E" w:rsidR="003B401A" w:rsidRDefault="0022167F" w:rsidP="00B57C7F">
      <w:pPr>
        <w:spacing w:line="360" w:lineRule="auto"/>
        <w:ind w:firstLine="720"/>
        <w:jc w:val="both"/>
        <w:rPr>
          <w:rFonts w:ascii="Times New Roman" w:hAnsi="Times New Roman" w:cs="Times New Roman"/>
        </w:rPr>
      </w:pPr>
      <w:r>
        <w:rPr>
          <w:rFonts w:ascii="Times New Roman" w:hAnsi="Times New Roman" w:cs="Times New Roman"/>
        </w:rPr>
        <w:t>One weakness with the literature on counter-radicalisation is it tends to be overly prescriptive, thus it underplays the role that militants can play. A</w:t>
      </w:r>
      <w:r w:rsidR="007C04BB">
        <w:rPr>
          <w:rFonts w:ascii="Times New Roman" w:hAnsi="Times New Roman" w:cs="Times New Roman"/>
        </w:rPr>
        <w:t xml:space="preserve">s credibility </w:t>
      </w:r>
      <w:r w:rsidR="007C04BB">
        <w:rPr>
          <w:rFonts w:ascii="Times New Roman" w:hAnsi="Times New Roman" w:cs="Times New Roman"/>
        </w:rPr>
        <w:lastRenderedPageBreak/>
        <w:t>and legitimacy are essential for a successful counter-narrative</w:t>
      </w:r>
      <w:r w:rsidR="00D51325">
        <w:rPr>
          <w:rFonts w:ascii="Times New Roman" w:hAnsi="Times New Roman" w:cs="Times New Roman"/>
        </w:rPr>
        <w:t>,</w:t>
      </w:r>
      <w:r>
        <w:rPr>
          <w:rStyle w:val="FootnoteReference"/>
          <w:rFonts w:ascii="Times New Roman" w:hAnsi="Times New Roman" w:cs="Times New Roman"/>
        </w:rPr>
        <w:footnoteReference w:id="104"/>
      </w:r>
      <w:r w:rsidR="007C04BB">
        <w:rPr>
          <w:rFonts w:ascii="Times New Roman" w:hAnsi="Times New Roman" w:cs="Times New Roman"/>
        </w:rPr>
        <w:t xml:space="preserve"> the thesis argues that there is much to be learnt by looking at </w:t>
      </w:r>
      <w:r w:rsidR="0009313A">
        <w:rPr>
          <w:rFonts w:ascii="Times New Roman" w:hAnsi="Times New Roman" w:cs="Times New Roman"/>
        </w:rPr>
        <w:t>the Provisional IRA’s role at preventing terrorism</w:t>
      </w:r>
      <w:r>
        <w:rPr>
          <w:rFonts w:ascii="Times New Roman" w:hAnsi="Times New Roman" w:cs="Times New Roman"/>
        </w:rPr>
        <w:t xml:space="preserve"> in society</w:t>
      </w:r>
      <w:r w:rsidR="0009313A">
        <w:rPr>
          <w:rFonts w:ascii="Times New Roman" w:hAnsi="Times New Roman" w:cs="Times New Roman"/>
        </w:rPr>
        <w:t xml:space="preserve">. </w:t>
      </w:r>
      <w:r>
        <w:rPr>
          <w:rFonts w:ascii="Times New Roman" w:hAnsi="Times New Roman" w:cs="Times New Roman"/>
        </w:rPr>
        <w:t>Furthermore, the focus on Islamists combined with the prescriptive approach tends to blur two state interests in countering radicalisation: the perception that Islamist ideology challenges aspects of British values</w:t>
      </w:r>
      <w:r w:rsidR="00A0395E">
        <w:rPr>
          <w:rFonts w:ascii="Times New Roman" w:hAnsi="Times New Roman" w:cs="Times New Roman"/>
        </w:rPr>
        <w:t xml:space="preserve"> – such as on gender -</w:t>
      </w:r>
      <w:r>
        <w:rPr>
          <w:rFonts w:ascii="Times New Roman" w:hAnsi="Times New Roman" w:cs="Times New Roman"/>
        </w:rPr>
        <w:t xml:space="preserve"> can lead governments to prioritise combatting this challenge over combating terrorism</w:t>
      </w:r>
      <w:r w:rsidR="00A25BB4">
        <w:rPr>
          <w:rFonts w:ascii="Times New Roman" w:hAnsi="Times New Roman" w:cs="Times New Roman"/>
        </w:rPr>
        <w:t>.</w:t>
      </w:r>
      <w:r>
        <w:rPr>
          <w:rStyle w:val="FootnoteReference"/>
          <w:rFonts w:ascii="Times New Roman" w:hAnsi="Times New Roman" w:cs="Times New Roman"/>
        </w:rPr>
        <w:footnoteReference w:id="105"/>
      </w:r>
      <w:r>
        <w:rPr>
          <w:rFonts w:ascii="Times New Roman" w:hAnsi="Times New Roman" w:cs="Times New Roman"/>
        </w:rPr>
        <w:t xml:space="preserve"> As this is not the same in Northern Ireland – at least, since the fall of Unionist hegemony </w:t>
      </w:r>
      <w:r w:rsidR="00A0395E">
        <w:rPr>
          <w:rFonts w:ascii="Times New Roman" w:hAnsi="Times New Roman" w:cs="Times New Roman"/>
        </w:rPr>
        <w:t>–</w:t>
      </w:r>
      <w:r>
        <w:rPr>
          <w:rFonts w:ascii="Times New Roman" w:hAnsi="Times New Roman" w:cs="Times New Roman"/>
        </w:rPr>
        <w:t xml:space="preserve"> </w:t>
      </w:r>
      <w:r w:rsidR="00A0395E">
        <w:rPr>
          <w:rFonts w:ascii="Times New Roman" w:hAnsi="Times New Roman" w:cs="Times New Roman"/>
        </w:rPr>
        <w:t>there is greater scope to look at counter-radicalisation attempts that are specific to preventing terrorism.</w:t>
      </w:r>
      <w:r>
        <w:rPr>
          <w:rFonts w:ascii="Times New Roman" w:hAnsi="Times New Roman" w:cs="Times New Roman"/>
        </w:rPr>
        <w:t xml:space="preserve"> </w:t>
      </w:r>
      <w:r w:rsidR="00A763B4">
        <w:rPr>
          <w:rFonts w:ascii="Times New Roman" w:hAnsi="Times New Roman" w:cs="Times New Roman"/>
        </w:rPr>
        <w:t>T</w:t>
      </w:r>
      <w:r w:rsidR="00AB2F9D">
        <w:rPr>
          <w:rFonts w:ascii="Times New Roman" w:hAnsi="Times New Roman" w:cs="Times New Roman"/>
        </w:rPr>
        <w:t xml:space="preserve">he chapter </w:t>
      </w:r>
      <w:r w:rsidR="00A763B4">
        <w:rPr>
          <w:rFonts w:ascii="Times New Roman" w:hAnsi="Times New Roman" w:cs="Times New Roman"/>
        </w:rPr>
        <w:t xml:space="preserve">now </w:t>
      </w:r>
      <w:r w:rsidR="00AB2F9D">
        <w:rPr>
          <w:rFonts w:ascii="Times New Roman" w:hAnsi="Times New Roman" w:cs="Times New Roman"/>
        </w:rPr>
        <w:t>considers waves of terrorism theory, which takes the structural level of analysi</w:t>
      </w:r>
      <w:r w:rsidR="00152BE0">
        <w:rPr>
          <w:rFonts w:ascii="Times New Roman" w:hAnsi="Times New Roman" w:cs="Times New Roman"/>
        </w:rPr>
        <w:t>s to an international dimension: this approach is useful in terms of considering inter-generational change as a factor in ending terrorism campaigns.</w:t>
      </w:r>
      <w:r w:rsidR="00AB2F9D">
        <w:rPr>
          <w:rFonts w:ascii="Times New Roman" w:hAnsi="Times New Roman" w:cs="Times New Roman"/>
        </w:rPr>
        <w:t xml:space="preserve"> </w:t>
      </w:r>
    </w:p>
    <w:p w14:paraId="3CD7B02E" w14:textId="77777777" w:rsidR="00AB2F9D" w:rsidRDefault="00AB2F9D" w:rsidP="00B57C7F">
      <w:pPr>
        <w:spacing w:line="360" w:lineRule="auto"/>
        <w:ind w:firstLine="720"/>
        <w:jc w:val="both"/>
        <w:rPr>
          <w:rFonts w:ascii="Times New Roman" w:hAnsi="Times New Roman" w:cs="Times New Roman"/>
        </w:rPr>
      </w:pPr>
    </w:p>
    <w:p w14:paraId="398EB5D2" w14:textId="77777777" w:rsidR="00AB2F9D" w:rsidRDefault="00AB2F9D" w:rsidP="00B57C7F">
      <w:pPr>
        <w:pStyle w:val="Heading4"/>
        <w:spacing w:before="120" w:line="360" w:lineRule="auto"/>
      </w:pPr>
      <w:bookmarkStart w:id="14" w:name="_Toc389208797"/>
      <w:r>
        <w:t>Waves of Terrorism Theory</w:t>
      </w:r>
      <w:bookmarkEnd w:id="14"/>
    </w:p>
    <w:p w14:paraId="32E1FC5A" w14:textId="4F875888" w:rsidR="000B0CCA" w:rsidRDefault="00016948" w:rsidP="00B57C7F">
      <w:pPr>
        <w:spacing w:line="360" w:lineRule="auto"/>
        <w:ind w:firstLine="720"/>
        <w:jc w:val="both"/>
        <w:rPr>
          <w:rFonts w:ascii="Times New Roman" w:hAnsi="Times New Roman" w:cs="Times New Roman"/>
        </w:rPr>
      </w:pPr>
      <w:r>
        <w:rPr>
          <w:rFonts w:ascii="Times New Roman" w:hAnsi="Times New Roman" w:cs="Times New Roman"/>
        </w:rPr>
        <w:t xml:space="preserve">Since analysis of how terrorism ends is limited at the group level, Rapoport’s analysis of terrorism activity as an international phenomenon provides a structural perspective of how terrorism campaigns rise and fall. </w:t>
      </w:r>
      <w:r w:rsidRPr="00BC2C4B">
        <w:rPr>
          <w:rFonts w:ascii="Times New Roman" w:hAnsi="Times New Roman" w:cs="Times New Roman"/>
        </w:rPr>
        <w:t>A wave is</w:t>
      </w:r>
      <w:r w:rsidR="00C041A7">
        <w:rPr>
          <w:rFonts w:ascii="Times New Roman" w:hAnsi="Times New Roman" w:cs="Times New Roman"/>
        </w:rPr>
        <w:t xml:space="preserve"> a cycle of activity characteris</w:t>
      </w:r>
      <w:r w:rsidRPr="00BC2C4B">
        <w:rPr>
          <w:rFonts w:ascii="Times New Roman" w:hAnsi="Times New Roman" w:cs="Times New Roman"/>
        </w:rPr>
        <w:t>ed by expansion and contraction phases in a given time</w:t>
      </w:r>
      <w:r>
        <w:rPr>
          <w:rFonts w:ascii="Times New Roman" w:hAnsi="Times New Roman" w:cs="Times New Roman"/>
        </w:rPr>
        <w:t>,</w:t>
      </w:r>
      <w:r w:rsidRPr="00016948">
        <w:rPr>
          <w:rFonts w:ascii="Times New Roman" w:hAnsi="Times New Roman" w:cs="Times New Roman"/>
        </w:rPr>
        <w:t xml:space="preserve"> </w:t>
      </w:r>
      <w:r>
        <w:rPr>
          <w:rFonts w:ascii="Times New Roman" w:hAnsi="Times New Roman" w:cs="Times New Roman"/>
        </w:rPr>
        <w:t>which have</w:t>
      </w:r>
      <w:r w:rsidRPr="00BC2C4B">
        <w:rPr>
          <w:rFonts w:ascii="Times New Roman" w:hAnsi="Times New Roman" w:cs="Times New Roman"/>
        </w:rPr>
        <w:t xml:space="preserve"> an international character with similar activities (and tactics) occurring in several countries. </w:t>
      </w:r>
      <w:r w:rsidR="00AB2F9D" w:rsidRPr="00BC2C4B">
        <w:rPr>
          <w:rFonts w:ascii="Times New Roman" w:hAnsi="Times New Roman" w:cs="Times New Roman"/>
        </w:rPr>
        <w:t>Rapoport identifies four waves of modern terrorism that can be traced back to Russia in the 1880s: the Anarchist wave, the anti-colonial wave, the New Left wave, and the religious wave, all of which have ran concurrently with nationalism</w:t>
      </w:r>
      <w:r w:rsidR="00A25BB4">
        <w:rPr>
          <w:rFonts w:ascii="Times New Roman" w:hAnsi="Times New Roman" w:cs="Times New Roman"/>
        </w:rPr>
        <w:t>.</w:t>
      </w:r>
      <w:r w:rsidR="00A25BB4">
        <w:rPr>
          <w:rStyle w:val="FootnoteReference"/>
          <w:rFonts w:ascii="Times New Roman" w:hAnsi="Times New Roman" w:cs="Times New Roman"/>
        </w:rPr>
        <w:footnoteReference w:id="106"/>
      </w:r>
      <w:r w:rsidR="00AB2F9D" w:rsidRPr="00BC2C4B">
        <w:rPr>
          <w:rFonts w:ascii="Times New Roman" w:hAnsi="Times New Roman" w:cs="Times New Roman"/>
        </w:rPr>
        <w:t xml:space="preserve"> </w:t>
      </w:r>
      <w:r w:rsidR="009E3029" w:rsidRPr="00BC2C4B">
        <w:rPr>
          <w:rFonts w:ascii="Times New Roman" w:hAnsi="Times New Roman" w:cs="Times New Roman"/>
        </w:rPr>
        <w:t>The name of the wave reflects its dominant feature but nationalist organi</w:t>
      </w:r>
      <w:r w:rsidR="009E3029">
        <w:rPr>
          <w:rFonts w:ascii="Times New Roman" w:hAnsi="Times New Roman" w:cs="Times New Roman"/>
        </w:rPr>
        <w:t>s</w:t>
      </w:r>
      <w:r w:rsidR="009E3029" w:rsidRPr="00BC2C4B">
        <w:rPr>
          <w:rFonts w:ascii="Times New Roman" w:hAnsi="Times New Roman" w:cs="Times New Roman"/>
        </w:rPr>
        <w:t>ations were present throughout and they were shaped by the waves in different ways: for example, the Anarchists gave the nationalist groups tactics and training and in the fourth wave nationalism serves or reacts to religious purposes</w:t>
      </w:r>
      <w:r w:rsidR="00A25BB4">
        <w:rPr>
          <w:rFonts w:ascii="Times New Roman" w:hAnsi="Times New Roman" w:cs="Times New Roman"/>
        </w:rPr>
        <w:t>.</w:t>
      </w:r>
      <w:r>
        <w:rPr>
          <w:rStyle w:val="FootnoteReference"/>
          <w:rFonts w:ascii="Times New Roman" w:hAnsi="Times New Roman" w:cs="Times New Roman"/>
        </w:rPr>
        <w:footnoteReference w:id="107"/>
      </w:r>
      <w:r w:rsidR="009E3029">
        <w:rPr>
          <w:rFonts w:ascii="Times New Roman" w:hAnsi="Times New Roman" w:cs="Times New Roman"/>
        </w:rPr>
        <w:t xml:space="preserve"> However, contrary to the implicit assumption that nationalist terrorism constantly </w:t>
      </w:r>
      <w:r w:rsidR="009E3029">
        <w:rPr>
          <w:rFonts w:ascii="Times New Roman" w:hAnsi="Times New Roman" w:cs="Times New Roman"/>
        </w:rPr>
        <w:lastRenderedPageBreak/>
        <w:t xml:space="preserve">runs alongside the waves, Rasler and </w:t>
      </w:r>
      <w:r w:rsidR="000B0CCA">
        <w:rPr>
          <w:rFonts w:ascii="Times New Roman" w:hAnsi="Times New Roman" w:cs="Times New Roman"/>
        </w:rPr>
        <w:t>Thompson argue that it experienced a decline alongside the New Left wave in the 1980s</w:t>
      </w:r>
      <w:r w:rsidR="00A25BB4">
        <w:rPr>
          <w:rFonts w:ascii="Times New Roman" w:hAnsi="Times New Roman" w:cs="Times New Roman"/>
        </w:rPr>
        <w:t>.</w:t>
      </w:r>
      <w:r w:rsidR="000B0CCA">
        <w:rPr>
          <w:rStyle w:val="FootnoteReference"/>
          <w:rFonts w:ascii="Times New Roman" w:hAnsi="Times New Roman" w:cs="Times New Roman"/>
        </w:rPr>
        <w:footnoteReference w:id="108"/>
      </w:r>
      <w:r w:rsidR="000B0CCA">
        <w:rPr>
          <w:rFonts w:ascii="Times New Roman" w:hAnsi="Times New Roman" w:cs="Times New Roman"/>
        </w:rPr>
        <w:t xml:space="preserve">    </w:t>
      </w:r>
    </w:p>
    <w:p w14:paraId="229AD1FA" w14:textId="2524941F" w:rsidR="000B0CCA" w:rsidRDefault="000B0CCA" w:rsidP="00B57C7F">
      <w:pPr>
        <w:spacing w:line="360" w:lineRule="auto"/>
        <w:ind w:firstLine="720"/>
        <w:jc w:val="both"/>
        <w:rPr>
          <w:rFonts w:ascii="Times New Roman" w:hAnsi="Times New Roman" w:cs="Times New Roman"/>
        </w:rPr>
      </w:pPr>
      <w:r>
        <w:rPr>
          <w:rFonts w:ascii="Times New Roman" w:hAnsi="Times New Roman" w:cs="Times New Roman"/>
        </w:rPr>
        <w:t>Waves are</w:t>
      </w:r>
      <w:r w:rsidRPr="00BC2C4B">
        <w:rPr>
          <w:rFonts w:ascii="Times New Roman" w:hAnsi="Times New Roman" w:cs="Times New Roman"/>
        </w:rPr>
        <w:t xml:space="preserve"> driven by a ‘common predominant energy that shapes the participating groups’ characteristics and mutual relationships’</w:t>
      </w:r>
      <w:r w:rsidR="00A25BB4">
        <w:rPr>
          <w:rFonts w:ascii="Times New Roman" w:hAnsi="Times New Roman" w:cs="Times New Roman"/>
        </w:rPr>
        <w:t>.</w:t>
      </w:r>
      <w:r>
        <w:rPr>
          <w:rStyle w:val="FootnoteReference"/>
          <w:rFonts w:ascii="Times New Roman" w:hAnsi="Times New Roman" w:cs="Times New Roman"/>
        </w:rPr>
        <w:footnoteReference w:id="109"/>
      </w:r>
      <w:r w:rsidRPr="00BC2C4B">
        <w:rPr>
          <w:rFonts w:ascii="Times New Roman" w:hAnsi="Times New Roman" w:cs="Times New Roman"/>
        </w:rPr>
        <w:t xml:space="preserve"> </w:t>
      </w:r>
      <w:r>
        <w:rPr>
          <w:rFonts w:ascii="Times New Roman" w:hAnsi="Times New Roman" w:cs="Times New Roman"/>
        </w:rPr>
        <w:t>‘[W]</w:t>
      </w:r>
      <w:r w:rsidRPr="00BC2C4B">
        <w:rPr>
          <w:rFonts w:ascii="Times New Roman" w:hAnsi="Times New Roman" w:cs="Times New Roman"/>
        </w:rPr>
        <w:t>aves and organi</w:t>
      </w:r>
      <w:r>
        <w:rPr>
          <w:rFonts w:ascii="Times New Roman" w:hAnsi="Times New Roman" w:cs="Times New Roman"/>
        </w:rPr>
        <w:t>s</w:t>
      </w:r>
      <w:r w:rsidRPr="00BC2C4B">
        <w:rPr>
          <w:rFonts w:ascii="Times New Roman" w:hAnsi="Times New Roman" w:cs="Times New Roman"/>
        </w:rPr>
        <w:t>ations have very different lif</w:t>
      </w:r>
      <w:r>
        <w:rPr>
          <w:rFonts w:ascii="Times New Roman" w:hAnsi="Times New Roman" w:cs="Times New Roman"/>
        </w:rPr>
        <w:t>e rhythms’ and normally ‘organis</w:t>
      </w:r>
      <w:r w:rsidRPr="00BC2C4B">
        <w:rPr>
          <w:rFonts w:ascii="Times New Roman" w:hAnsi="Times New Roman" w:cs="Times New Roman"/>
        </w:rPr>
        <w:t>ations disappear before the initial wave associated with them does’. Once ‘a wave’s e</w:t>
      </w:r>
      <w:r>
        <w:rPr>
          <w:rFonts w:ascii="Times New Roman" w:hAnsi="Times New Roman" w:cs="Times New Roman"/>
        </w:rPr>
        <w:t>nergy cannot inspire new organis</w:t>
      </w:r>
      <w:r w:rsidRPr="00BC2C4B">
        <w:rPr>
          <w:rFonts w:ascii="Times New Roman" w:hAnsi="Times New Roman" w:cs="Times New Roman"/>
        </w:rPr>
        <w:t>ations, the wave disappears’ and critical factors explaining this disappearance are: resistance, political concessions, and changes in the perceptions of generations. But occasi</w:t>
      </w:r>
      <w:r>
        <w:rPr>
          <w:rFonts w:ascii="Times New Roman" w:hAnsi="Times New Roman" w:cs="Times New Roman"/>
        </w:rPr>
        <w:t>onally ‘an organis</w:t>
      </w:r>
      <w:r w:rsidRPr="00BC2C4B">
        <w:rPr>
          <w:rFonts w:ascii="Times New Roman" w:hAnsi="Times New Roman" w:cs="Times New Roman"/>
        </w:rPr>
        <w:t>ation survives its original wave’ and ‘reflects the new wave’s influence – a change that may pose special problems for the group and its constituencies’</w:t>
      </w:r>
      <w:r w:rsidR="00A25BB4">
        <w:rPr>
          <w:rFonts w:ascii="Times New Roman" w:hAnsi="Times New Roman" w:cs="Times New Roman"/>
        </w:rPr>
        <w:t>.</w:t>
      </w:r>
      <w:r>
        <w:rPr>
          <w:rStyle w:val="FootnoteReference"/>
          <w:rFonts w:ascii="Times New Roman" w:hAnsi="Times New Roman" w:cs="Times New Roman"/>
        </w:rPr>
        <w:footnoteReference w:id="110"/>
      </w:r>
      <w:r w:rsidRPr="00BC2C4B">
        <w:rPr>
          <w:rFonts w:ascii="Times New Roman" w:hAnsi="Times New Roman" w:cs="Times New Roman"/>
        </w:rPr>
        <w:t xml:space="preserve"> </w:t>
      </w:r>
      <w:r>
        <w:rPr>
          <w:rFonts w:ascii="Times New Roman" w:hAnsi="Times New Roman" w:cs="Times New Roman"/>
        </w:rPr>
        <w:t>Perhaps the most significant contribution from this approach is the emphasis on generations. W</w:t>
      </w:r>
      <w:r w:rsidRPr="00BC2C4B">
        <w:rPr>
          <w:rFonts w:ascii="Times New Roman" w:hAnsi="Times New Roman" w:cs="Times New Roman"/>
        </w:rPr>
        <w:t>aves seemingly correspond to the duration of a human life cycle: they tend to last a generation and tend to have less resonance with newer generations</w:t>
      </w:r>
      <w:r w:rsidR="00A25BB4">
        <w:rPr>
          <w:rFonts w:ascii="Times New Roman" w:hAnsi="Times New Roman" w:cs="Times New Roman"/>
        </w:rPr>
        <w:t>.</w:t>
      </w:r>
      <w:r>
        <w:rPr>
          <w:rStyle w:val="FootnoteReference"/>
          <w:rFonts w:ascii="Times New Roman" w:hAnsi="Times New Roman" w:cs="Times New Roman"/>
        </w:rPr>
        <w:footnoteReference w:id="111"/>
      </w:r>
      <w:r w:rsidRPr="00BC2C4B">
        <w:rPr>
          <w:rFonts w:ascii="Times New Roman" w:hAnsi="Times New Roman" w:cs="Times New Roman"/>
        </w:rPr>
        <w:t xml:space="preserve"> Weinberg and Eubank argue th</w:t>
      </w:r>
      <w:r w:rsidR="00C041A7">
        <w:rPr>
          <w:rFonts w:ascii="Times New Roman" w:hAnsi="Times New Roman" w:cs="Times New Roman"/>
        </w:rPr>
        <w:t xml:space="preserve">at waves of terrorist violence </w:t>
      </w:r>
      <w:r w:rsidRPr="00BC2C4B">
        <w:rPr>
          <w:rFonts w:ascii="Times New Roman" w:hAnsi="Times New Roman" w:cs="Times New Roman"/>
        </w:rPr>
        <w:t>dissipated after approximately a generation, a p</w:t>
      </w:r>
      <w:r w:rsidR="00C041A7">
        <w:rPr>
          <w:rFonts w:ascii="Times New Roman" w:hAnsi="Times New Roman" w:cs="Times New Roman"/>
        </w:rPr>
        <w:t>eriod of roughly 20 to 30 years</w:t>
      </w:r>
      <w:r w:rsidRPr="00BC2C4B">
        <w:rPr>
          <w:rFonts w:ascii="Times New Roman" w:hAnsi="Times New Roman" w:cs="Times New Roman"/>
        </w:rPr>
        <w:t>, rather than 30-40 years as Rapoport suggested</w:t>
      </w:r>
      <w:r w:rsidR="00A25BB4">
        <w:rPr>
          <w:rFonts w:ascii="Times New Roman" w:hAnsi="Times New Roman" w:cs="Times New Roman"/>
        </w:rPr>
        <w:t>.</w:t>
      </w:r>
      <w:r>
        <w:rPr>
          <w:rStyle w:val="FootnoteReference"/>
          <w:rFonts w:ascii="Times New Roman" w:hAnsi="Times New Roman" w:cs="Times New Roman"/>
        </w:rPr>
        <w:footnoteReference w:id="112"/>
      </w:r>
      <w:r w:rsidRPr="00BC2C4B">
        <w:rPr>
          <w:rFonts w:ascii="Times New Roman" w:hAnsi="Times New Roman" w:cs="Times New Roman"/>
        </w:rPr>
        <w:t xml:space="preserve"> Conversely, the fact that some groups such as al-Qaeda have passed through several generations</w:t>
      </w:r>
      <w:r>
        <w:rPr>
          <w:rStyle w:val="FootnoteReference"/>
          <w:rFonts w:ascii="Times New Roman" w:hAnsi="Times New Roman" w:cs="Times New Roman"/>
        </w:rPr>
        <w:footnoteReference w:id="113"/>
      </w:r>
      <w:r w:rsidRPr="00BC2C4B">
        <w:rPr>
          <w:rFonts w:ascii="Times New Roman" w:hAnsi="Times New Roman" w:cs="Times New Roman"/>
        </w:rPr>
        <w:t xml:space="preserve"> suggests problems with 1) how we understand a generati</w:t>
      </w:r>
      <w:r>
        <w:rPr>
          <w:rFonts w:ascii="Times New Roman" w:hAnsi="Times New Roman" w:cs="Times New Roman"/>
        </w:rPr>
        <w:t xml:space="preserve">on and 2) how we link the group, </w:t>
      </w:r>
      <w:r w:rsidRPr="00BC2C4B">
        <w:rPr>
          <w:rFonts w:ascii="Times New Roman" w:hAnsi="Times New Roman" w:cs="Times New Roman"/>
        </w:rPr>
        <w:t>the wave</w:t>
      </w:r>
      <w:r>
        <w:rPr>
          <w:rFonts w:ascii="Times New Roman" w:hAnsi="Times New Roman" w:cs="Times New Roman"/>
        </w:rPr>
        <w:t xml:space="preserve"> and generations</w:t>
      </w:r>
      <w:r w:rsidRPr="00BC2C4B">
        <w:rPr>
          <w:rFonts w:ascii="Times New Roman" w:hAnsi="Times New Roman" w:cs="Times New Roman"/>
        </w:rPr>
        <w:t>. One interesting suggestion is that there are ripples within the wav</w:t>
      </w:r>
      <w:r w:rsidR="00C041A7">
        <w:rPr>
          <w:rFonts w:ascii="Times New Roman" w:hAnsi="Times New Roman" w:cs="Times New Roman"/>
        </w:rPr>
        <w:t>es and each of these ripples has</w:t>
      </w:r>
      <w:r w:rsidRPr="00BC2C4B">
        <w:rPr>
          <w:rFonts w:ascii="Times New Roman" w:hAnsi="Times New Roman" w:cs="Times New Roman"/>
        </w:rPr>
        <w:t xml:space="preserve"> different traits in terms of terrorist strategy</w:t>
      </w:r>
      <w:r w:rsidR="00A25BB4">
        <w:rPr>
          <w:rFonts w:ascii="Times New Roman" w:hAnsi="Times New Roman" w:cs="Times New Roman"/>
        </w:rPr>
        <w:t>.</w:t>
      </w:r>
      <w:r>
        <w:rPr>
          <w:rStyle w:val="FootnoteReference"/>
          <w:rFonts w:ascii="Times New Roman" w:hAnsi="Times New Roman" w:cs="Times New Roman"/>
        </w:rPr>
        <w:footnoteReference w:id="114"/>
      </w:r>
      <w:r>
        <w:rPr>
          <w:rFonts w:ascii="Times New Roman" w:hAnsi="Times New Roman" w:cs="Times New Roman"/>
        </w:rPr>
        <w:t xml:space="preserve"> Thus, while the definition of generations may be arbitrary, the thesis argues that there is much to be gained by analysing how terrorism ends in terms of the differences between generations,</w:t>
      </w:r>
      <w:r w:rsidR="00C041A7">
        <w:rPr>
          <w:rFonts w:ascii="Times New Roman" w:hAnsi="Times New Roman" w:cs="Times New Roman"/>
        </w:rPr>
        <w:t xml:space="preserve"> and</w:t>
      </w:r>
      <w:r>
        <w:rPr>
          <w:rFonts w:ascii="Times New Roman" w:hAnsi="Times New Roman" w:cs="Times New Roman"/>
        </w:rPr>
        <w:t xml:space="preserve"> how they interact with and perceive each other.</w:t>
      </w:r>
      <w:r w:rsidRPr="00BC2C4B">
        <w:rPr>
          <w:rFonts w:ascii="Times New Roman" w:hAnsi="Times New Roman" w:cs="Times New Roman"/>
        </w:rPr>
        <w:t xml:space="preserve"> </w:t>
      </w:r>
    </w:p>
    <w:p w14:paraId="28763006" w14:textId="13CD239D" w:rsidR="000B0CCA" w:rsidRPr="00BC2C4B" w:rsidRDefault="000B0CCA" w:rsidP="00B57C7F">
      <w:pPr>
        <w:spacing w:line="360" w:lineRule="auto"/>
        <w:ind w:left="142"/>
        <w:jc w:val="both"/>
        <w:rPr>
          <w:rFonts w:ascii="Times New Roman" w:hAnsi="Times New Roman" w:cs="Times New Roman"/>
        </w:rPr>
      </w:pPr>
      <w:r w:rsidRPr="00BC2C4B">
        <w:rPr>
          <w:rFonts w:ascii="Times New Roman" w:hAnsi="Times New Roman" w:cs="Times New Roman"/>
        </w:rPr>
        <w:lastRenderedPageBreak/>
        <w:tab/>
        <w:t>Rapoport suggests three causes for how waves of terrorism end: resistance, political concessions and changes in the perce</w:t>
      </w:r>
      <w:r w:rsidR="00C041A7">
        <w:rPr>
          <w:rFonts w:ascii="Times New Roman" w:hAnsi="Times New Roman" w:cs="Times New Roman"/>
        </w:rPr>
        <w:t>ption of generations. In regard</w:t>
      </w:r>
      <w:r w:rsidRPr="00BC2C4B">
        <w:rPr>
          <w:rFonts w:ascii="Times New Roman" w:hAnsi="Times New Roman" w:cs="Times New Roman"/>
        </w:rPr>
        <w:t xml:space="preserve"> to the anarchist wave, Rapoport</w:t>
      </w:r>
      <w:r w:rsidR="00C041A7">
        <w:rPr>
          <w:rFonts w:ascii="Times New Roman" w:hAnsi="Times New Roman" w:cs="Times New Roman"/>
        </w:rPr>
        <w:t xml:space="preserve"> </w:t>
      </w:r>
      <w:r w:rsidRPr="00BC2C4B">
        <w:rPr>
          <w:rFonts w:ascii="Times New Roman" w:hAnsi="Times New Roman" w:cs="Times New Roman"/>
        </w:rPr>
        <w:t>suggests that World War I ‘dampened enthusiasm for the strategy of assassination’ that was the key motif of the wave.</w:t>
      </w:r>
      <w:r w:rsidR="00C041A7" w:rsidRPr="00C041A7">
        <w:rPr>
          <w:rStyle w:val="FootnoteReference"/>
          <w:rFonts w:ascii="Times New Roman" w:hAnsi="Times New Roman" w:cs="Times New Roman"/>
        </w:rPr>
        <w:t xml:space="preserve"> </w:t>
      </w:r>
      <w:r w:rsidR="00C041A7">
        <w:rPr>
          <w:rStyle w:val="FootnoteReference"/>
          <w:rFonts w:ascii="Times New Roman" w:hAnsi="Times New Roman" w:cs="Times New Roman"/>
        </w:rPr>
        <w:footnoteReference w:id="115"/>
      </w:r>
      <w:r w:rsidR="00C041A7" w:rsidRPr="00BC2C4B">
        <w:rPr>
          <w:rFonts w:ascii="Times New Roman" w:hAnsi="Times New Roman" w:cs="Times New Roman"/>
        </w:rPr>
        <w:t xml:space="preserve"> </w:t>
      </w:r>
      <w:r w:rsidRPr="00BC2C4B">
        <w:rPr>
          <w:rFonts w:ascii="Times New Roman" w:hAnsi="Times New Roman" w:cs="Times New Roman"/>
        </w:rPr>
        <w:t xml:space="preserve"> </w:t>
      </w:r>
      <w:r>
        <w:rPr>
          <w:rFonts w:ascii="Times New Roman" w:hAnsi="Times New Roman" w:cs="Times New Roman"/>
        </w:rPr>
        <w:t>T</w:t>
      </w:r>
      <w:r w:rsidRPr="00BC2C4B">
        <w:rPr>
          <w:rFonts w:ascii="Times New Roman" w:hAnsi="Times New Roman" w:cs="Times New Roman"/>
        </w:rPr>
        <w:t>he second anti-colonial wave ended as the grievances with the colonial system were, to varying degrees, settled with the dissolution of the empires</w:t>
      </w:r>
      <w:r w:rsidR="00A25BB4">
        <w:rPr>
          <w:rFonts w:ascii="Times New Roman" w:hAnsi="Times New Roman" w:cs="Times New Roman"/>
        </w:rPr>
        <w:t>.</w:t>
      </w:r>
      <w:r>
        <w:rPr>
          <w:rStyle w:val="FootnoteReference"/>
          <w:rFonts w:ascii="Times New Roman" w:hAnsi="Times New Roman" w:cs="Times New Roman"/>
        </w:rPr>
        <w:footnoteReference w:id="116"/>
      </w:r>
      <w:r w:rsidRPr="00BC2C4B">
        <w:rPr>
          <w:rFonts w:ascii="Times New Roman" w:hAnsi="Times New Roman" w:cs="Times New Roman"/>
        </w:rPr>
        <w:t xml:space="preserve"> Those grievances that weren’t settled or that produced new grievances would lead to other terrorist groups being formed. The three causes of waves ending, as mentioned at the start, seem to have had little bearing in the decline of the first two</w:t>
      </w:r>
      <w:r>
        <w:rPr>
          <w:rFonts w:ascii="Times New Roman" w:hAnsi="Times New Roman" w:cs="Times New Roman"/>
        </w:rPr>
        <w:t xml:space="preserve"> waves</w:t>
      </w:r>
      <w:r w:rsidRPr="00BC2C4B">
        <w:rPr>
          <w:rFonts w:ascii="Times New Roman" w:hAnsi="Times New Roman" w:cs="Times New Roman"/>
        </w:rPr>
        <w:t>. Rather, they ended as a result of ‘exogenous precipitating events or large-scale social change’ that Gvineria claims are often the causes of waves</w:t>
      </w:r>
      <w:r w:rsidR="00A25BB4">
        <w:rPr>
          <w:rFonts w:ascii="Times New Roman" w:hAnsi="Times New Roman" w:cs="Times New Roman"/>
        </w:rPr>
        <w:t>.</w:t>
      </w:r>
      <w:r>
        <w:rPr>
          <w:rStyle w:val="FootnoteReference"/>
          <w:rFonts w:ascii="Times New Roman" w:hAnsi="Times New Roman" w:cs="Times New Roman"/>
        </w:rPr>
        <w:footnoteReference w:id="117"/>
      </w:r>
      <w:r w:rsidRPr="00BC2C4B">
        <w:rPr>
          <w:rFonts w:ascii="Times New Roman" w:hAnsi="Times New Roman" w:cs="Times New Roman"/>
        </w:rPr>
        <w:t xml:space="preserve"> However, in contrast to Gvineria’s argument </w:t>
      </w:r>
      <w:r w:rsidR="00C041A7">
        <w:rPr>
          <w:rFonts w:ascii="Times New Roman" w:hAnsi="Times New Roman" w:cs="Times New Roman"/>
        </w:rPr>
        <w:t xml:space="preserve">that </w:t>
      </w:r>
      <w:r w:rsidRPr="00BC2C4B">
        <w:rPr>
          <w:rFonts w:ascii="Times New Roman" w:hAnsi="Times New Roman" w:cs="Times New Roman"/>
        </w:rPr>
        <w:t xml:space="preserve">these changes have little bearing on the decline of specific groups, the decline of the second wave through these major changes was arguably driven by the individual groups. </w:t>
      </w:r>
      <w:r>
        <w:rPr>
          <w:rFonts w:ascii="Times New Roman" w:hAnsi="Times New Roman" w:cs="Times New Roman"/>
        </w:rPr>
        <w:t>T</w:t>
      </w:r>
      <w:r w:rsidRPr="00BC2C4B">
        <w:rPr>
          <w:rFonts w:ascii="Times New Roman" w:hAnsi="Times New Roman" w:cs="Times New Roman"/>
        </w:rPr>
        <w:t>he third wave was in part much more reliant on an (esoteric) ideology to mobilise the population, the provision of state support, and inter-group solidarity within the wave: this made them weak in terms of surviving beyond their initial membership and as international government co-operation increased and state support declined</w:t>
      </w:r>
      <w:r>
        <w:rPr>
          <w:rFonts w:ascii="Times New Roman" w:hAnsi="Times New Roman" w:cs="Times New Roman"/>
        </w:rPr>
        <w:t>,</w:t>
      </w:r>
      <w:r w:rsidRPr="00BC2C4B">
        <w:rPr>
          <w:rFonts w:ascii="Times New Roman" w:hAnsi="Times New Roman" w:cs="Times New Roman"/>
        </w:rPr>
        <w:t xml:space="preserve"> these groups found themselves defeated one-by-one</w:t>
      </w:r>
      <w:r w:rsidR="00A25BB4">
        <w:rPr>
          <w:rFonts w:ascii="Times New Roman" w:hAnsi="Times New Roman" w:cs="Times New Roman"/>
        </w:rPr>
        <w:t>.</w:t>
      </w:r>
      <w:r>
        <w:rPr>
          <w:rStyle w:val="FootnoteReference"/>
          <w:rFonts w:ascii="Times New Roman" w:hAnsi="Times New Roman" w:cs="Times New Roman"/>
        </w:rPr>
        <w:footnoteReference w:id="118"/>
      </w:r>
      <w:r w:rsidRPr="00BC2C4B">
        <w:rPr>
          <w:rFonts w:ascii="Times New Roman" w:hAnsi="Times New Roman" w:cs="Times New Roman"/>
        </w:rPr>
        <w:t xml:space="preserve"> The decline of this wave seems best served by focusing on the group level, as many of the causes of decline have been mentioned </w:t>
      </w:r>
      <w:r>
        <w:rPr>
          <w:rFonts w:ascii="Times New Roman" w:hAnsi="Times New Roman" w:cs="Times New Roman"/>
        </w:rPr>
        <w:t>above</w:t>
      </w:r>
      <w:r w:rsidRPr="00BC2C4B">
        <w:rPr>
          <w:rFonts w:ascii="Times New Roman" w:hAnsi="Times New Roman" w:cs="Times New Roman"/>
        </w:rPr>
        <w:t xml:space="preserve">. It also suggests that the decline of waves needs to be clarified in terms of how it is distinct merely from a collection of groups: thus, should the focus be upon the ideology, the zeitgeist, or the window of opportunity created by (e.g.) technological changes. In such a case, the interplay between the attitudes and behaviours of agents need to be assessed within their structural context – this would allow us to analyse how waves end. </w:t>
      </w:r>
    </w:p>
    <w:p w14:paraId="6EC1400D" w14:textId="77777777" w:rsidR="00293A51" w:rsidRDefault="000B0CCA" w:rsidP="00B57C7F">
      <w:pPr>
        <w:spacing w:line="360" w:lineRule="auto"/>
        <w:ind w:left="142" w:firstLine="578"/>
        <w:jc w:val="both"/>
        <w:rPr>
          <w:rFonts w:ascii="Times New Roman" w:hAnsi="Times New Roman" w:cs="Times New Roman"/>
        </w:rPr>
      </w:pPr>
      <w:r w:rsidRPr="00BC2C4B">
        <w:rPr>
          <w:rFonts w:ascii="Times New Roman" w:hAnsi="Times New Roman" w:cs="Times New Roman"/>
        </w:rPr>
        <w:t>The groups that survived the third wave shifted towards their support constituencies and tended to be primarily ethno-nationalist. The third wave is described as the New Left by Rapoport</w:t>
      </w:r>
      <w:r>
        <w:rPr>
          <w:rFonts w:ascii="Times New Roman" w:hAnsi="Times New Roman" w:cs="Times New Roman"/>
        </w:rPr>
        <w:t>,</w:t>
      </w:r>
      <w:r w:rsidRPr="00BC2C4B">
        <w:rPr>
          <w:rFonts w:ascii="Times New Roman" w:hAnsi="Times New Roman" w:cs="Times New Roman"/>
        </w:rPr>
        <w:t xml:space="preserve"> although it was certainly as much a </w:t>
      </w:r>
      <w:r w:rsidRPr="00BC2C4B">
        <w:rPr>
          <w:rFonts w:ascii="Times New Roman" w:hAnsi="Times New Roman" w:cs="Times New Roman"/>
        </w:rPr>
        <w:lastRenderedPageBreak/>
        <w:t>nationalist wave that continued from the anti-colonial movement and took on leftist characteristics</w:t>
      </w:r>
      <w:r w:rsidR="00A25BB4">
        <w:rPr>
          <w:rFonts w:ascii="Times New Roman" w:hAnsi="Times New Roman" w:cs="Times New Roman"/>
        </w:rPr>
        <w:t>.</w:t>
      </w:r>
      <w:r>
        <w:rPr>
          <w:rStyle w:val="FootnoteReference"/>
          <w:rFonts w:ascii="Times New Roman" w:hAnsi="Times New Roman" w:cs="Times New Roman"/>
        </w:rPr>
        <w:footnoteReference w:id="119"/>
      </w:r>
      <w:r w:rsidRPr="00BC2C4B">
        <w:rPr>
          <w:rFonts w:ascii="Times New Roman" w:hAnsi="Times New Roman" w:cs="Times New Roman"/>
        </w:rPr>
        <w:t xml:space="preserve"> Although the decline of this wave seemingly corresponds with the fallout from the collapse of the Soviet Union</w:t>
      </w:r>
      <w:r w:rsidR="00D51325">
        <w:rPr>
          <w:rFonts w:ascii="Times New Roman" w:hAnsi="Times New Roman" w:cs="Times New Roman"/>
        </w:rPr>
        <w:t>,</w:t>
      </w:r>
      <w:r>
        <w:rPr>
          <w:rStyle w:val="FootnoteReference"/>
          <w:rFonts w:ascii="Times New Roman" w:hAnsi="Times New Roman" w:cs="Times New Roman"/>
        </w:rPr>
        <w:footnoteReference w:id="120"/>
      </w:r>
      <w:r w:rsidRPr="00BC2C4B">
        <w:rPr>
          <w:rFonts w:ascii="Times New Roman" w:hAnsi="Times New Roman" w:cs="Times New Roman"/>
        </w:rPr>
        <w:t xml:space="preserve"> there were a few notable </w:t>
      </w:r>
      <w:r>
        <w:rPr>
          <w:rFonts w:ascii="Times New Roman" w:hAnsi="Times New Roman" w:cs="Times New Roman"/>
        </w:rPr>
        <w:t>‘</w:t>
      </w:r>
      <w:r w:rsidRPr="00BC2C4B">
        <w:rPr>
          <w:rFonts w:ascii="Times New Roman" w:hAnsi="Times New Roman" w:cs="Times New Roman"/>
        </w:rPr>
        <w:t>stragglers</w:t>
      </w:r>
      <w:r>
        <w:rPr>
          <w:rFonts w:ascii="Times New Roman" w:hAnsi="Times New Roman" w:cs="Times New Roman"/>
        </w:rPr>
        <w:t>’</w:t>
      </w:r>
      <w:r w:rsidR="00A25BB4">
        <w:rPr>
          <w:rFonts w:ascii="Times New Roman" w:hAnsi="Times New Roman" w:cs="Times New Roman"/>
        </w:rPr>
        <w:t>.</w:t>
      </w:r>
      <w:r>
        <w:rPr>
          <w:rStyle w:val="FootnoteReference"/>
          <w:rFonts w:ascii="Times New Roman" w:hAnsi="Times New Roman" w:cs="Times New Roman"/>
        </w:rPr>
        <w:footnoteReference w:id="121"/>
      </w:r>
      <w:r w:rsidRPr="00BC2C4B">
        <w:rPr>
          <w:rFonts w:ascii="Times New Roman" w:hAnsi="Times New Roman" w:cs="Times New Roman"/>
        </w:rPr>
        <w:t xml:space="preserve"> However, even these stragglers (the </w:t>
      </w:r>
      <w:r>
        <w:rPr>
          <w:rFonts w:ascii="Times New Roman" w:hAnsi="Times New Roman" w:cs="Times New Roman"/>
        </w:rPr>
        <w:t xml:space="preserve">Provisional </w:t>
      </w:r>
      <w:r w:rsidRPr="00BC2C4B">
        <w:rPr>
          <w:rFonts w:ascii="Times New Roman" w:hAnsi="Times New Roman" w:cs="Times New Roman"/>
        </w:rPr>
        <w:t xml:space="preserve">IRA, </w:t>
      </w:r>
      <w:r w:rsidR="00E92399">
        <w:rPr>
          <w:rFonts w:ascii="Times New Roman" w:hAnsi="Times New Roman" w:cs="Times New Roman"/>
        </w:rPr>
        <w:t>the Basque group ETA, and</w:t>
      </w:r>
      <w:r w:rsidRPr="00BC2C4B">
        <w:rPr>
          <w:rFonts w:ascii="Times New Roman" w:hAnsi="Times New Roman" w:cs="Times New Roman"/>
        </w:rPr>
        <w:t xml:space="preserve"> </w:t>
      </w:r>
      <w:r w:rsidR="00293A51">
        <w:rPr>
          <w:rFonts w:ascii="Times New Roman" w:hAnsi="Times New Roman" w:cs="Times New Roman"/>
        </w:rPr>
        <w:t xml:space="preserve">the </w:t>
      </w:r>
      <w:r w:rsidRPr="00BC2C4B">
        <w:rPr>
          <w:rFonts w:ascii="Times New Roman" w:hAnsi="Times New Roman" w:cs="Times New Roman"/>
        </w:rPr>
        <w:t xml:space="preserve">PLO) have </w:t>
      </w:r>
      <w:r>
        <w:rPr>
          <w:rFonts w:ascii="Times New Roman" w:hAnsi="Times New Roman" w:cs="Times New Roman"/>
        </w:rPr>
        <w:t>officially</w:t>
      </w:r>
      <w:r w:rsidRPr="00BC2C4B">
        <w:rPr>
          <w:rFonts w:ascii="Times New Roman" w:hAnsi="Times New Roman" w:cs="Times New Roman"/>
        </w:rPr>
        <w:t xml:space="preserve"> ended their campaigns, and thus ethno-national</w:t>
      </w:r>
      <w:r w:rsidR="00293A51">
        <w:rPr>
          <w:rFonts w:ascii="Times New Roman" w:hAnsi="Times New Roman" w:cs="Times New Roman"/>
        </w:rPr>
        <w:t xml:space="preserve"> terrorism</w:t>
      </w:r>
      <w:r w:rsidRPr="00BC2C4B">
        <w:rPr>
          <w:rFonts w:ascii="Times New Roman" w:hAnsi="Times New Roman" w:cs="Times New Roman"/>
        </w:rPr>
        <w:t xml:space="preserve"> (specifically in Europe) has declined significantly. The literature doesn’t address the issue of stragglers possibly because they are seen as simply exceptions to the ‘rule’ that are best explained at the group level.</w:t>
      </w:r>
      <w:r>
        <w:rPr>
          <w:rFonts w:ascii="Times New Roman" w:hAnsi="Times New Roman" w:cs="Times New Roman"/>
        </w:rPr>
        <w:t xml:space="preserve"> However, the thesis argues that the logic of waves of terrorism can be equally applied to the Irish Re</w:t>
      </w:r>
      <w:r w:rsidR="00293A51">
        <w:rPr>
          <w:rFonts w:ascii="Times New Roman" w:hAnsi="Times New Roman" w:cs="Times New Roman"/>
        </w:rPr>
        <w:t>publican movement – demonstrating</w:t>
      </w:r>
      <w:r>
        <w:rPr>
          <w:rFonts w:ascii="Times New Roman" w:hAnsi="Times New Roman" w:cs="Times New Roman"/>
        </w:rPr>
        <w:t xml:space="preserve"> the problem of how waves are defined. </w:t>
      </w:r>
    </w:p>
    <w:p w14:paraId="591D259A" w14:textId="06C323DE" w:rsidR="000B0CCA" w:rsidRPr="00BC2C4B" w:rsidRDefault="000B0CCA" w:rsidP="00B57C7F">
      <w:pPr>
        <w:spacing w:line="360" w:lineRule="auto"/>
        <w:ind w:left="142" w:firstLine="578"/>
        <w:jc w:val="both"/>
        <w:rPr>
          <w:rFonts w:ascii="Times New Roman" w:hAnsi="Times New Roman" w:cs="Times New Roman"/>
        </w:rPr>
      </w:pPr>
      <w:r>
        <w:rPr>
          <w:rFonts w:ascii="Times New Roman" w:hAnsi="Times New Roman" w:cs="Times New Roman"/>
        </w:rPr>
        <w:t xml:space="preserve">Therefore, studying the Irish Republican movement in relation to international events, changes in (global) structures and the perception of the movement throughout generations could help to explain how terrorism campaigns rise and decline beyond just group explanations. </w:t>
      </w:r>
      <w:r w:rsidRPr="00BC2C4B">
        <w:rPr>
          <w:rFonts w:ascii="Times New Roman" w:hAnsi="Times New Roman" w:cs="Times New Roman"/>
        </w:rPr>
        <w:t>Sageman suggests that ideas sustaining a specific wave of terrorism may no longer be considered ‘cool’ to a new generation</w:t>
      </w:r>
      <w:r w:rsidR="00D51325">
        <w:rPr>
          <w:rFonts w:ascii="Times New Roman" w:hAnsi="Times New Roman" w:cs="Times New Roman"/>
        </w:rPr>
        <w:t>,</w:t>
      </w:r>
      <w:r>
        <w:rPr>
          <w:rStyle w:val="FootnoteReference"/>
          <w:rFonts w:ascii="Times New Roman" w:hAnsi="Times New Roman" w:cs="Times New Roman"/>
        </w:rPr>
        <w:footnoteReference w:id="122"/>
      </w:r>
      <w:r w:rsidRPr="00BC2C4B">
        <w:rPr>
          <w:rFonts w:ascii="Times New Roman" w:hAnsi="Times New Roman" w:cs="Times New Roman"/>
        </w:rPr>
        <w:t xml:space="preserve"> but needless to say this is an oversimplification as the radical ideas might remain in some form but they are translated in non-violent ways (e.g. post-cold war Socialist and Communist groups in Europe or to an extent contemporary Anarchist groups). </w:t>
      </w:r>
      <w:r>
        <w:rPr>
          <w:rFonts w:ascii="Times New Roman" w:hAnsi="Times New Roman" w:cs="Times New Roman"/>
        </w:rPr>
        <w:t>Subsequently, the</w:t>
      </w:r>
      <w:r w:rsidR="00F01CCA">
        <w:rPr>
          <w:rFonts w:ascii="Times New Roman" w:hAnsi="Times New Roman" w:cs="Times New Roman"/>
        </w:rPr>
        <w:t xml:space="preserve"> thesis’</w:t>
      </w:r>
      <w:r>
        <w:rPr>
          <w:rFonts w:ascii="Times New Roman" w:hAnsi="Times New Roman" w:cs="Times New Roman"/>
        </w:rPr>
        <w:t xml:space="preserve"> focus of analysis </w:t>
      </w:r>
      <w:r w:rsidR="00F01CCA">
        <w:rPr>
          <w:rFonts w:ascii="Times New Roman" w:hAnsi="Times New Roman" w:cs="Times New Roman"/>
        </w:rPr>
        <w:t xml:space="preserve">on the interaction </w:t>
      </w:r>
      <w:r>
        <w:rPr>
          <w:rFonts w:ascii="Times New Roman" w:hAnsi="Times New Roman" w:cs="Times New Roman"/>
        </w:rPr>
        <w:t xml:space="preserve">between generations </w:t>
      </w:r>
      <w:r w:rsidR="00F01CCA">
        <w:rPr>
          <w:rFonts w:ascii="Times New Roman" w:hAnsi="Times New Roman" w:cs="Times New Roman"/>
        </w:rPr>
        <w:t>will</w:t>
      </w:r>
      <w:r>
        <w:rPr>
          <w:rFonts w:ascii="Times New Roman" w:hAnsi="Times New Roman" w:cs="Times New Roman"/>
        </w:rPr>
        <w:t xml:space="preserve"> not be on the ‘coolness’ of the movement or ideology, but on the perception </w:t>
      </w:r>
      <w:r w:rsidR="00A5648D">
        <w:rPr>
          <w:rFonts w:ascii="Times New Roman" w:hAnsi="Times New Roman" w:cs="Times New Roman"/>
        </w:rPr>
        <w:t xml:space="preserve">(or ‘coolness’) </w:t>
      </w:r>
      <w:r>
        <w:rPr>
          <w:rFonts w:ascii="Times New Roman" w:hAnsi="Times New Roman" w:cs="Times New Roman"/>
        </w:rPr>
        <w:t>of political violence. The waves on terrorism literature has been criticised for being interesting but having little relevance, and the thesis argues that this is because the focus of analysis is a self-defined ideology, rather than an actual movement with connections and linkages.</w:t>
      </w:r>
      <w:r w:rsidR="00F01CCA">
        <w:rPr>
          <w:rStyle w:val="FootnoteReference"/>
          <w:rFonts w:ascii="Times New Roman" w:hAnsi="Times New Roman" w:cs="Times New Roman"/>
        </w:rPr>
        <w:footnoteReference w:id="123"/>
      </w:r>
      <w:r>
        <w:rPr>
          <w:rFonts w:ascii="Times New Roman" w:hAnsi="Times New Roman" w:cs="Times New Roman"/>
        </w:rPr>
        <w:t xml:space="preserve"> The thesis argues that analysing the interaction between generations involved in political violence can help to account for how generational transformation takes place, in the context of broader structural change which removes or contains the grievances that inspired the previous generation. The combination of attitudinal change among the next </w:t>
      </w:r>
      <w:r>
        <w:rPr>
          <w:rFonts w:ascii="Times New Roman" w:hAnsi="Times New Roman" w:cs="Times New Roman"/>
        </w:rPr>
        <w:lastRenderedPageBreak/>
        <w:t xml:space="preserve">generation and durable structural change may decrease the likelihood of a return to violence. </w:t>
      </w:r>
    </w:p>
    <w:p w14:paraId="4E387377" w14:textId="77777777" w:rsidR="003B401A" w:rsidRDefault="003B401A" w:rsidP="00B57C7F">
      <w:pPr>
        <w:spacing w:line="360" w:lineRule="auto"/>
        <w:ind w:firstLine="720"/>
        <w:jc w:val="both"/>
      </w:pPr>
    </w:p>
    <w:p w14:paraId="66B272FF" w14:textId="77777777" w:rsidR="00DF3464" w:rsidRDefault="00DF3464" w:rsidP="00B57C7F">
      <w:pPr>
        <w:pStyle w:val="Heading3"/>
        <w:spacing w:before="120" w:line="360" w:lineRule="auto"/>
      </w:pPr>
      <w:bookmarkStart w:id="15" w:name="_Toc389208798"/>
      <w:r>
        <w:t>Disengagement and De-Radicalisation of</w:t>
      </w:r>
      <w:r w:rsidR="00175AF6">
        <w:t xml:space="preserve"> the Irish Republican Movement</w:t>
      </w:r>
      <w:bookmarkEnd w:id="15"/>
    </w:p>
    <w:p w14:paraId="0743B9C5" w14:textId="77777777" w:rsidR="00293A51" w:rsidRDefault="009E4AB1" w:rsidP="00B57C7F">
      <w:pPr>
        <w:spacing w:line="360" w:lineRule="auto"/>
        <w:jc w:val="both"/>
        <w:rPr>
          <w:rFonts w:ascii="Times New Roman" w:hAnsi="Times New Roman" w:cs="Times New Roman"/>
        </w:rPr>
      </w:pPr>
      <w:r>
        <w:tab/>
      </w:r>
      <w:r w:rsidR="00F72EF9">
        <w:rPr>
          <w:rFonts w:ascii="Times New Roman" w:hAnsi="Times New Roman" w:cs="Times New Roman"/>
        </w:rPr>
        <w:t>The chapter took the question of how terrorism end</w:t>
      </w:r>
      <w:r w:rsidR="00A763B4">
        <w:rPr>
          <w:rFonts w:ascii="Times New Roman" w:hAnsi="Times New Roman" w:cs="Times New Roman"/>
        </w:rPr>
        <w:t>s</w:t>
      </w:r>
      <w:r w:rsidR="00F72EF9">
        <w:rPr>
          <w:rFonts w:ascii="Times New Roman" w:hAnsi="Times New Roman" w:cs="Times New Roman"/>
        </w:rPr>
        <w:t xml:space="preserve"> and remain</w:t>
      </w:r>
      <w:r w:rsidR="00A763B4">
        <w:rPr>
          <w:rFonts w:ascii="Times New Roman" w:hAnsi="Times New Roman" w:cs="Times New Roman"/>
        </w:rPr>
        <w:t>s</w:t>
      </w:r>
      <w:r w:rsidR="00F72EF9">
        <w:rPr>
          <w:rFonts w:ascii="Times New Roman" w:hAnsi="Times New Roman" w:cs="Times New Roman"/>
        </w:rPr>
        <w:t xml:space="preserve"> </w:t>
      </w:r>
      <w:r w:rsidR="00A763B4">
        <w:rPr>
          <w:rFonts w:ascii="Times New Roman" w:hAnsi="Times New Roman" w:cs="Times New Roman"/>
        </w:rPr>
        <w:t>‘</w:t>
      </w:r>
      <w:r w:rsidR="00F72EF9">
        <w:rPr>
          <w:rFonts w:ascii="Times New Roman" w:hAnsi="Times New Roman" w:cs="Times New Roman"/>
        </w:rPr>
        <w:t>ended</w:t>
      </w:r>
      <w:r w:rsidR="00A763B4">
        <w:rPr>
          <w:rFonts w:ascii="Times New Roman" w:hAnsi="Times New Roman" w:cs="Times New Roman"/>
        </w:rPr>
        <w:t>’</w:t>
      </w:r>
      <w:r w:rsidR="00F72EF9">
        <w:rPr>
          <w:rFonts w:ascii="Times New Roman" w:hAnsi="Times New Roman" w:cs="Times New Roman"/>
        </w:rPr>
        <w:t xml:space="preserve"> as</w:t>
      </w:r>
      <w:r w:rsidR="00A5648D">
        <w:rPr>
          <w:rFonts w:ascii="Times New Roman" w:hAnsi="Times New Roman" w:cs="Times New Roman"/>
        </w:rPr>
        <w:t xml:space="preserve"> a</w:t>
      </w:r>
      <w:r w:rsidR="00F72EF9">
        <w:rPr>
          <w:rFonts w:ascii="Times New Roman" w:hAnsi="Times New Roman" w:cs="Times New Roman"/>
        </w:rPr>
        <w:t xml:space="preserve"> driving question, looking at three areas of literature in terrorism studies. It began by highlighting the continuity of terrorism and political violence in the Irish context, and despite substantial disengagement at an individual and group level, there are indications that the armed campaign is being passed on to a new generation. While this continuity has failed to manifest in anyway near to the level of the Provisional IRA, the historical legacy of Irish Republicanism serves as a warning against complacency: following its defeat in the 1920s, the IRA were still able to launch the 1950s Border Campaign despite </w:t>
      </w:r>
      <w:r w:rsidR="00A5648D">
        <w:rPr>
          <w:rFonts w:ascii="Times New Roman" w:hAnsi="Times New Roman" w:cs="Times New Roman"/>
        </w:rPr>
        <w:t xml:space="preserve">the lack of </w:t>
      </w:r>
      <w:r w:rsidR="00F72EF9">
        <w:rPr>
          <w:rFonts w:ascii="Times New Roman" w:hAnsi="Times New Roman" w:cs="Times New Roman"/>
        </w:rPr>
        <w:t>any substantial support, and their</w:t>
      </w:r>
      <w:r w:rsidR="00D85553">
        <w:rPr>
          <w:rFonts w:ascii="Times New Roman" w:hAnsi="Times New Roman" w:cs="Times New Roman"/>
        </w:rPr>
        <w:t xml:space="preserve"> continued existence provided the organisational framework for extensive mobilisation when the opportunity presented itself in the 1960s. Throughout one hundred years of the Irish Republican movement, </w:t>
      </w:r>
      <w:r w:rsidR="00A763B4">
        <w:rPr>
          <w:rFonts w:ascii="Times New Roman" w:hAnsi="Times New Roman" w:cs="Times New Roman"/>
        </w:rPr>
        <w:t>t</w:t>
      </w:r>
      <w:r w:rsidR="00D85553">
        <w:rPr>
          <w:rFonts w:ascii="Times New Roman" w:hAnsi="Times New Roman" w:cs="Times New Roman"/>
        </w:rPr>
        <w:t>here has been a history o</w:t>
      </w:r>
      <w:r w:rsidR="00A763B4">
        <w:rPr>
          <w:rFonts w:ascii="Times New Roman" w:hAnsi="Times New Roman" w:cs="Times New Roman"/>
        </w:rPr>
        <w:t>f</w:t>
      </w:r>
      <w:r w:rsidR="00D85553">
        <w:rPr>
          <w:rFonts w:ascii="Times New Roman" w:hAnsi="Times New Roman" w:cs="Times New Roman"/>
        </w:rPr>
        <w:t xml:space="preserve"> mobilisation and disengagement, with a small cadre acting as standard bearers to pass the torch to the next generation. In explaining how terrorism ends in this context, a multi-level analysis is needed to encapsulate </w:t>
      </w:r>
      <w:r w:rsidR="00175AF6">
        <w:rPr>
          <w:rFonts w:ascii="Times New Roman" w:hAnsi="Times New Roman" w:cs="Times New Roman"/>
        </w:rPr>
        <w:t>the different elements that account for the longevity of Irish Republicanism.</w:t>
      </w:r>
      <w:r w:rsidR="000D2883">
        <w:rPr>
          <w:rFonts w:ascii="Times New Roman" w:hAnsi="Times New Roman" w:cs="Times New Roman"/>
        </w:rPr>
        <w:t xml:space="preserve"> </w:t>
      </w:r>
    </w:p>
    <w:p w14:paraId="66F28783" w14:textId="301CDDD6" w:rsidR="00175AF6" w:rsidRDefault="000D2883" w:rsidP="00B57C7F">
      <w:pPr>
        <w:spacing w:line="360" w:lineRule="auto"/>
        <w:ind w:firstLine="720"/>
        <w:jc w:val="both"/>
        <w:rPr>
          <w:rFonts w:ascii="Times New Roman" w:hAnsi="Times New Roman" w:cs="Times New Roman"/>
        </w:rPr>
      </w:pPr>
      <w:r>
        <w:rPr>
          <w:rFonts w:ascii="Times New Roman" w:hAnsi="Times New Roman" w:cs="Times New Roman"/>
        </w:rPr>
        <w:t>Three key inter-related factors have been highlighted: attitudinal change; organisational disengagement; and structural change. In terms of attitudinal change, there needs to be a re-conceptualisation of what is being changed as de-radicalisation has been shown to be insufficient, but the thesis argues this is because of a lack of conceptual clarity more than anything. Research on organisational disengagement has tended to underplay the internal dynamics that shape whether or not disengagement is successful, and it has not sufficiently accounted for the impact of organisational disengagement on the movement and society. Structural explanations, such as counter-radicalisation, do provide a potentially beneficial approach but they do not sufficiently link to the group level of disengagement by being overly prescriptive and therefore margina</w:t>
      </w:r>
      <w:r w:rsidR="00293A51">
        <w:rPr>
          <w:rFonts w:ascii="Times New Roman" w:hAnsi="Times New Roman" w:cs="Times New Roman"/>
        </w:rPr>
        <w:t>lising the role of other actors.</w:t>
      </w:r>
      <w:r>
        <w:rPr>
          <w:rFonts w:ascii="Times New Roman" w:hAnsi="Times New Roman" w:cs="Times New Roman"/>
        </w:rPr>
        <w:t xml:space="preserve"> </w:t>
      </w:r>
      <w:r w:rsidR="00293A51">
        <w:rPr>
          <w:rFonts w:ascii="Times New Roman" w:hAnsi="Times New Roman" w:cs="Times New Roman"/>
        </w:rPr>
        <w:t>T</w:t>
      </w:r>
      <w:r>
        <w:rPr>
          <w:rFonts w:ascii="Times New Roman" w:hAnsi="Times New Roman" w:cs="Times New Roman"/>
        </w:rPr>
        <w:t xml:space="preserve">he over-emphasis </w:t>
      </w:r>
      <w:r>
        <w:rPr>
          <w:rFonts w:ascii="Times New Roman" w:hAnsi="Times New Roman" w:cs="Times New Roman"/>
        </w:rPr>
        <w:lastRenderedPageBreak/>
        <w:t xml:space="preserve">on Islamist groups has exaggerated the role of ideology in a similar way that the de-radicalisation literature has. Approaches that account for </w:t>
      </w:r>
      <w:r w:rsidR="00E46B2E">
        <w:rPr>
          <w:rFonts w:ascii="Times New Roman" w:hAnsi="Times New Roman" w:cs="Times New Roman"/>
        </w:rPr>
        <w:t xml:space="preserve">inter-generational change, such as waves of terrorism, need to be linked in to the individual and group level of analysis to ground them and demonstrate the changes that occur, which thus far they have </w:t>
      </w:r>
      <w:r w:rsidR="00A763B4">
        <w:rPr>
          <w:rFonts w:ascii="Times New Roman" w:hAnsi="Times New Roman" w:cs="Times New Roman"/>
        </w:rPr>
        <w:t>failed to do</w:t>
      </w:r>
      <w:r w:rsidR="00E46B2E">
        <w:rPr>
          <w:rFonts w:ascii="Times New Roman" w:hAnsi="Times New Roman" w:cs="Times New Roman"/>
        </w:rPr>
        <w:t>.</w:t>
      </w:r>
      <w:r w:rsidR="00442D69">
        <w:rPr>
          <w:rFonts w:ascii="Times New Roman" w:hAnsi="Times New Roman" w:cs="Times New Roman"/>
        </w:rPr>
        <w:t xml:space="preserve"> </w:t>
      </w:r>
      <w:r>
        <w:rPr>
          <w:rFonts w:ascii="Times New Roman" w:hAnsi="Times New Roman" w:cs="Times New Roman"/>
        </w:rPr>
        <w:t>Thus, m</w:t>
      </w:r>
      <w:r w:rsidR="00175AF6">
        <w:rPr>
          <w:rFonts w:ascii="Times New Roman" w:hAnsi="Times New Roman" w:cs="Times New Roman"/>
        </w:rPr>
        <w:t xml:space="preserve">oving beyond the levels of analysis outlined above, the thesis argues that it must focus on </w:t>
      </w:r>
      <w:r w:rsidR="00A763B4">
        <w:rPr>
          <w:rFonts w:ascii="Times New Roman" w:hAnsi="Times New Roman" w:cs="Times New Roman"/>
        </w:rPr>
        <w:t xml:space="preserve">the links between </w:t>
      </w:r>
      <w:r w:rsidR="00175AF6">
        <w:rPr>
          <w:rFonts w:ascii="Times New Roman" w:hAnsi="Times New Roman" w:cs="Times New Roman"/>
        </w:rPr>
        <w:t xml:space="preserve">attitudinal change, organisational disengagement and structural change in order to explain how terrorism ends and the risk of recidivism and a return to violence is reduced. </w:t>
      </w:r>
    </w:p>
    <w:p w14:paraId="5E771E07" w14:textId="77777777" w:rsidR="00293A51" w:rsidRDefault="00293A51" w:rsidP="00B57C7F">
      <w:pPr>
        <w:spacing w:line="360" w:lineRule="auto"/>
        <w:ind w:firstLine="720"/>
        <w:jc w:val="both"/>
        <w:rPr>
          <w:rFonts w:ascii="Times New Roman" w:hAnsi="Times New Roman" w:cs="Times New Roman"/>
        </w:rPr>
      </w:pPr>
    </w:p>
    <w:p w14:paraId="6584C1A3" w14:textId="77777777" w:rsidR="00175AF6" w:rsidRDefault="00175AF6" w:rsidP="00B57C7F">
      <w:pPr>
        <w:pStyle w:val="Heading4"/>
        <w:spacing w:before="120" w:line="360" w:lineRule="auto"/>
      </w:pPr>
      <w:bookmarkStart w:id="16" w:name="_Toc389208799"/>
      <w:r>
        <w:t>Research Questions</w:t>
      </w:r>
      <w:bookmarkEnd w:id="16"/>
      <w:r>
        <w:t xml:space="preserve"> </w:t>
      </w:r>
    </w:p>
    <w:p w14:paraId="31057344" w14:textId="77777777" w:rsidR="009E4AB1" w:rsidRDefault="00175AF6" w:rsidP="00B57C7F">
      <w:pPr>
        <w:spacing w:line="360" w:lineRule="auto"/>
        <w:jc w:val="both"/>
        <w:rPr>
          <w:rFonts w:ascii="Times New Roman" w:hAnsi="Times New Roman" w:cs="Times New Roman"/>
        </w:rPr>
      </w:pPr>
      <w:r>
        <w:tab/>
      </w:r>
      <w:r w:rsidR="00E1549B">
        <w:rPr>
          <w:rFonts w:ascii="Times New Roman" w:hAnsi="Times New Roman" w:cs="Times New Roman"/>
        </w:rPr>
        <w:t xml:space="preserve">The thesis is driven by one primary question which is used to segue into two specific </w:t>
      </w:r>
      <w:r w:rsidR="00A763B4">
        <w:rPr>
          <w:rFonts w:ascii="Times New Roman" w:hAnsi="Times New Roman" w:cs="Times New Roman"/>
        </w:rPr>
        <w:t>questions</w:t>
      </w:r>
      <w:r w:rsidR="00E1549B">
        <w:rPr>
          <w:rFonts w:ascii="Times New Roman" w:hAnsi="Times New Roman" w:cs="Times New Roman"/>
        </w:rPr>
        <w:t xml:space="preserve">. </w:t>
      </w:r>
      <w:r w:rsidR="005214A6">
        <w:rPr>
          <w:rFonts w:ascii="Times New Roman" w:hAnsi="Times New Roman" w:cs="Times New Roman"/>
        </w:rPr>
        <w:t>The three</w:t>
      </w:r>
      <w:r w:rsidR="00ED5309">
        <w:rPr>
          <w:rFonts w:ascii="Times New Roman" w:hAnsi="Times New Roman" w:cs="Times New Roman"/>
        </w:rPr>
        <w:t xml:space="preserve"> </w:t>
      </w:r>
      <w:r w:rsidR="00442D69">
        <w:rPr>
          <w:rFonts w:ascii="Times New Roman" w:hAnsi="Times New Roman" w:cs="Times New Roman"/>
        </w:rPr>
        <w:t xml:space="preserve">research </w:t>
      </w:r>
      <w:r w:rsidR="00E1549B">
        <w:rPr>
          <w:rFonts w:ascii="Times New Roman" w:hAnsi="Times New Roman" w:cs="Times New Roman"/>
        </w:rPr>
        <w:t>q</w:t>
      </w:r>
      <w:r w:rsidR="00ED5309">
        <w:rPr>
          <w:rFonts w:ascii="Times New Roman" w:hAnsi="Times New Roman" w:cs="Times New Roman"/>
        </w:rPr>
        <w:t>uestion</w:t>
      </w:r>
      <w:r w:rsidR="00E1549B">
        <w:rPr>
          <w:rFonts w:ascii="Times New Roman" w:hAnsi="Times New Roman" w:cs="Times New Roman"/>
        </w:rPr>
        <w:t xml:space="preserve"> will be addressed </w:t>
      </w:r>
      <w:r w:rsidR="005214A6">
        <w:rPr>
          <w:rFonts w:ascii="Times New Roman" w:hAnsi="Times New Roman" w:cs="Times New Roman"/>
        </w:rPr>
        <w:t xml:space="preserve">in multiple chapters and then </w:t>
      </w:r>
      <w:r w:rsidR="00E1549B">
        <w:rPr>
          <w:rFonts w:ascii="Times New Roman" w:hAnsi="Times New Roman" w:cs="Times New Roman"/>
        </w:rPr>
        <w:t xml:space="preserve">directly in the conclusion, </w:t>
      </w:r>
      <w:r w:rsidR="005214A6">
        <w:rPr>
          <w:rFonts w:ascii="Times New Roman" w:hAnsi="Times New Roman" w:cs="Times New Roman"/>
        </w:rPr>
        <w:t>as the structure of the chapter takes into account different time periods, with Chapter Four focusing on the 1994-2005 period and Chapter Five and Six focusing on the period from 1996 up to 2014</w:t>
      </w:r>
      <w:r w:rsidR="00D12D39">
        <w:rPr>
          <w:rFonts w:ascii="Times New Roman" w:hAnsi="Times New Roman" w:cs="Times New Roman"/>
        </w:rPr>
        <w:t xml:space="preserve">. </w:t>
      </w:r>
    </w:p>
    <w:p w14:paraId="3923CFF8" w14:textId="77777777" w:rsidR="0097485E" w:rsidRPr="00175AF6" w:rsidRDefault="0097485E" w:rsidP="00B57C7F">
      <w:pPr>
        <w:spacing w:line="360" w:lineRule="auto"/>
        <w:rPr>
          <w:rFonts w:ascii="Times New Roman" w:hAnsi="Times New Roman" w:cs="Times New Roman"/>
        </w:rPr>
      </w:pPr>
    </w:p>
    <w:p w14:paraId="2DEE35E3" w14:textId="77777777" w:rsidR="009E4AB1" w:rsidRPr="004F2CA3" w:rsidRDefault="00175AF6" w:rsidP="00B57C7F">
      <w:pPr>
        <w:pStyle w:val="ListParagraph"/>
        <w:numPr>
          <w:ilvl w:val="0"/>
          <w:numId w:val="18"/>
        </w:numPr>
        <w:spacing w:line="360" w:lineRule="auto"/>
        <w:ind w:right="567"/>
        <w:jc w:val="both"/>
        <w:rPr>
          <w:rFonts w:ascii="Times New Roman" w:hAnsi="Times New Roman" w:cs="Times New Roman"/>
          <w:b/>
          <w:bCs/>
        </w:rPr>
      </w:pPr>
      <w:r w:rsidRPr="004F2CA3">
        <w:rPr>
          <w:rFonts w:ascii="Times New Roman" w:hAnsi="Times New Roman" w:cs="Times New Roman"/>
          <w:b/>
          <w:bCs/>
        </w:rPr>
        <w:t>How</w:t>
      </w:r>
      <w:r w:rsidR="009E4AB1" w:rsidRPr="004F2CA3">
        <w:rPr>
          <w:rFonts w:ascii="Times New Roman" w:hAnsi="Times New Roman" w:cs="Times New Roman"/>
          <w:b/>
          <w:bCs/>
        </w:rPr>
        <w:t xml:space="preserve"> does terrorism </w:t>
      </w:r>
      <w:r w:rsidR="0097485E" w:rsidRPr="004F2CA3">
        <w:rPr>
          <w:rFonts w:ascii="Times New Roman" w:hAnsi="Times New Roman" w:cs="Times New Roman"/>
          <w:b/>
          <w:bCs/>
        </w:rPr>
        <w:t xml:space="preserve">and political violence </w:t>
      </w:r>
      <w:r w:rsidR="009464BD" w:rsidRPr="004F2CA3">
        <w:rPr>
          <w:rFonts w:ascii="Times New Roman" w:hAnsi="Times New Roman" w:cs="Times New Roman"/>
          <w:b/>
          <w:bCs/>
        </w:rPr>
        <w:t>end?</w:t>
      </w:r>
    </w:p>
    <w:p w14:paraId="2696024F" w14:textId="77777777" w:rsidR="0097485E" w:rsidRPr="0097485E" w:rsidRDefault="0097485E" w:rsidP="00B57C7F">
      <w:pPr>
        <w:pStyle w:val="ListParagraph"/>
        <w:spacing w:line="360" w:lineRule="auto"/>
        <w:rPr>
          <w:rFonts w:ascii="Times New Roman" w:hAnsi="Times New Roman" w:cs="Times New Roman"/>
          <w:b/>
          <w:bCs/>
        </w:rPr>
      </w:pPr>
    </w:p>
    <w:p w14:paraId="63E3570E" w14:textId="77777777" w:rsidR="0097485E" w:rsidRDefault="0098796C" w:rsidP="00B57C7F">
      <w:pPr>
        <w:spacing w:line="360" w:lineRule="auto"/>
        <w:ind w:firstLine="360"/>
        <w:jc w:val="both"/>
        <w:rPr>
          <w:rFonts w:ascii="Times New Roman" w:hAnsi="Times New Roman" w:cs="Times New Roman"/>
        </w:rPr>
      </w:pPr>
      <w:r>
        <w:rPr>
          <w:rFonts w:ascii="Times New Roman" w:hAnsi="Times New Roman" w:cs="Times New Roman"/>
        </w:rPr>
        <w:t>The question driving the thesis is ‘how does terrorism and political violence end’</w:t>
      </w:r>
      <w:r w:rsidR="002C320F">
        <w:rPr>
          <w:rFonts w:ascii="Times New Roman" w:hAnsi="Times New Roman" w:cs="Times New Roman"/>
        </w:rPr>
        <w:t xml:space="preserve"> but it is approached differently from the many other studies that have used an iteration of the same question. Firstly, the thesis builds upon the observations by Crenshaw, Cronin and Gvineria that the conceptualisation of terrorism ending is difficult to pin-point because of the risk of recidivism and that other actors in a society can continue from where the previous group ended. A number of studies have implied that a solution is a multi-level analysis, and while the thesis adopts this approach, the thesis will seek to evaluate the extent to which this analysis can explain how terrorism ends. Secondly, the invocation of this question draws it into the debates on the role of factors such as repression, negotiations and popular support in bringing about </w:t>
      </w:r>
      <w:r w:rsidR="00BE6031">
        <w:rPr>
          <w:rFonts w:ascii="Times New Roman" w:hAnsi="Times New Roman" w:cs="Times New Roman"/>
        </w:rPr>
        <w:t xml:space="preserve">an end to terrorism campaigns. While the thesis will address the significance of these factors, it is more concerned with how internal factors have been underplayed, therefore the question also refers to the </w:t>
      </w:r>
      <w:r w:rsidR="00BE6031" w:rsidRPr="00BE6031">
        <w:rPr>
          <w:rFonts w:ascii="Times New Roman" w:hAnsi="Times New Roman" w:cs="Times New Roman"/>
          <w:i/>
          <w:iCs/>
        </w:rPr>
        <w:t>process</w:t>
      </w:r>
      <w:r w:rsidR="00BE6031">
        <w:rPr>
          <w:rFonts w:ascii="Times New Roman" w:hAnsi="Times New Roman" w:cs="Times New Roman"/>
        </w:rPr>
        <w:t xml:space="preserve"> by which the group’s members came to accept and work toward an end to the campaign.</w:t>
      </w:r>
      <w:r w:rsidR="00475044">
        <w:rPr>
          <w:rFonts w:ascii="Times New Roman" w:hAnsi="Times New Roman" w:cs="Times New Roman"/>
        </w:rPr>
        <w:t xml:space="preserve"> </w:t>
      </w:r>
      <w:r w:rsidR="00475044" w:rsidRPr="00475044">
        <w:rPr>
          <w:rFonts w:ascii="Times New Roman" w:hAnsi="Times New Roman" w:cs="Times New Roman"/>
          <w:i/>
          <w:iCs/>
        </w:rPr>
        <w:lastRenderedPageBreak/>
        <w:t>Chapter Two</w:t>
      </w:r>
      <w:r w:rsidR="00475044">
        <w:rPr>
          <w:rFonts w:ascii="Times New Roman" w:hAnsi="Times New Roman" w:cs="Times New Roman"/>
        </w:rPr>
        <w:t xml:space="preserve"> will demonstrate how a multi-level analysis would work to account for how terrorism campaigns end and it will provide a framework on this very process. </w:t>
      </w:r>
      <w:r w:rsidR="00475044" w:rsidRPr="00475044">
        <w:rPr>
          <w:rFonts w:ascii="Times New Roman" w:hAnsi="Times New Roman" w:cs="Times New Roman"/>
          <w:i/>
          <w:iCs/>
        </w:rPr>
        <w:t>Chapter Three</w:t>
      </w:r>
      <w:r w:rsidR="00475044">
        <w:rPr>
          <w:rFonts w:ascii="Times New Roman" w:hAnsi="Times New Roman" w:cs="Times New Roman"/>
        </w:rPr>
        <w:t xml:space="preserve"> illustrates t</w:t>
      </w:r>
      <w:r w:rsidR="00ED5309">
        <w:rPr>
          <w:rFonts w:ascii="Times New Roman" w:hAnsi="Times New Roman" w:cs="Times New Roman"/>
        </w:rPr>
        <w:t>he fundamental problem in explaining how terrorism ends in Northern Ireland</w:t>
      </w:r>
      <w:r w:rsidR="00475044">
        <w:rPr>
          <w:rFonts w:ascii="Times New Roman" w:hAnsi="Times New Roman" w:cs="Times New Roman"/>
        </w:rPr>
        <w:t>, which</w:t>
      </w:r>
      <w:r w:rsidR="00ED5309">
        <w:rPr>
          <w:rFonts w:ascii="Times New Roman" w:hAnsi="Times New Roman" w:cs="Times New Roman"/>
        </w:rPr>
        <w:t xml:space="preserve"> </w:t>
      </w:r>
      <w:r w:rsidR="00475044">
        <w:rPr>
          <w:rFonts w:ascii="Times New Roman" w:hAnsi="Times New Roman" w:cs="Times New Roman"/>
        </w:rPr>
        <w:t xml:space="preserve">can be found in the history of the Irish Republican movement. There have been a number of cases where an iteration of the IRA has ended their campaign only for a new group under the same name to emerge in the future – it is this continuity which leads the thesis to challenge how we conceptualise how terrorism ends. </w:t>
      </w:r>
      <w:r w:rsidR="00832529">
        <w:rPr>
          <w:rFonts w:ascii="Times New Roman" w:hAnsi="Times New Roman" w:cs="Times New Roman"/>
        </w:rPr>
        <w:t xml:space="preserve"> </w:t>
      </w:r>
      <w:r w:rsidR="00BE6031">
        <w:rPr>
          <w:rFonts w:ascii="Times New Roman" w:hAnsi="Times New Roman" w:cs="Times New Roman"/>
        </w:rPr>
        <w:t xml:space="preserve"> </w:t>
      </w:r>
      <w:r w:rsidR="002C320F">
        <w:rPr>
          <w:rFonts w:ascii="Times New Roman" w:hAnsi="Times New Roman" w:cs="Times New Roman"/>
        </w:rPr>
        <w:t xml:space="preserve"> </w:t>
      </w:r>
    </w:p>
    <w:p w14:paraId="238FA36E" w14:textId="77777777" w:rsidR="004F2CA3" w:rsidRDefault="004F2CA3" w:rsidP="00B57C7F">
      <w:pPr>
        <w:spacing w:line="360" w:lineRule="auto"/>
        <w:ind w:firstLine="360"/>
        <w:jc w:val="both"/>
        <w:rPr>
          <w:rFonts w:ascii="Times New Roman" w:hAnsi="Times New Roman" w:cs="Times New Roman"/>
        </w:rPr>
      </w:pPr>
    </w:p>
    <w:p w14:paraId="587D89A7" w14:textId="77777777" w:rsidR="004F2CA3" w:rsidRPr="004F2CA3" w:rsidRDefault="004F2CA3" w:rsidP="00B57C7F">
      <w:pPr>
        <w:pStyle w:val="ListParagraph"/>
        <w:numPr>
          <w:ilvl w:val="0"/>
          <w:numId w:val="17"/>
        </w:numPr>
        <w:spacing w:line="360" w:lineRule="auto"/>
        <w:ind w:right="567"/>
        <w:jc w:val="both"/>
        <w:rPr>
          <w:rFonts w:ascii="Times New Roman" w:hAnsi="Times New Roman" w:cs="Times New Roman"/>
          <w:b/>
          <w:bCs/>
        </w:rPr>
      </w:pPr>
      <w:r w:rsidRPr="004F2CA3">
        <w:rPr>
          <w:rFonts w:ascii="Times New Roman" w:hAnsi="Times New Roman" w:cs="Times New Roman"/>
          <w:b/>
          <w:bCs/>
        </w:rPr>
        <w:t>What is de-radicalisation and what role does it play in the end of terrorism campaigns?</w:t>
      </w:r>
    </w:p>
    <w:p w14:paraId="322BC0D3" w14:textId="591F3357" w:rsidR="00160215" w:rsidRDefault="004F2CA3" w:rsidP="00B57C7F">
      <w:pPr>
        <w:spacing w:line="360" w:lineRule="auto"/>
        <w:ind w:firstLine="720"/>
        <w:jc w:val="both"/>
        <w:rPr>
          <w:rFonts w:ascii="Times New Roman" w:hAnsi="Times New Roman" w:cs="Times New Roman"/>
        </w:rPr>
      </w:pPr>
      <w:r>
        <w:rPr>
          <w:rFonts w:ascii="Times New Roman" w:hAnsi="Times New Roman" w:cs="Times New Roman"/>
        </w:rPr>
        <w:t xml:space="preserve">One of the debates in how terrorism campaigns end revolves around what type of attitudinal change among militants leads them to disengage, ensures that they remain disengaged, and encourages others to either disengage or not become involved in terrorism. De-radicalisation has been used to describe a change in attitudes that is most effective in ending terrorism as outlined above. Yet, the thesis finds that </w:t>
      </w:r>
      <w:r w:rsidR="00022518">
        <w:rPr>
          <w:rFonts w:ascii="Times New Roman" w:hAnsi="Times New Roman" w:cs="Times New Roman"/>
        </w:rPr>
        <w:t>there is little agreement of what this concept means and the definitions that do exist are insufficient. At the very heart of de-radicalisation as a concept is ascertaining the relationship between attitudes and behaviour, and as this has not been substantially explored, the thesis provides greater depth of conceptual understanding by exploring what</w:t>
      </w:r>
      <w:r w:rsidR="004E311A">
        <w:rPr>
          <w:rFonts w:ascii="Times New Roman" w:hAnsi="Times New Roman" w:cs="Times New Roman"/>
        </w:rPr>
        <w:t xml:space="preserve"> de-radicalisation means. Once</w:t>
      </w:r>
      <w:r w:rsidR="00022518">
        <w:rPr>
          <w:rFonts w:ascii="Times New Roman" w:hAnsi="Times New Roman" w:cs="Times New Roman"/>
        </w:rPr>
        <w:t xml:space="preserve"> clarity is provided with regard to de-radicalisation</w:t>
      </w:r>
      <w:r w:rsidR="005214A6">
        <w:rPr>
          <w:rFonts w:ascii="Times New Roman" w:hAnsi="Times New Roman" w:cs="Times New Roman"/>
        </w:rPr>
        <w:t xml:space="preserve"> in Chapter Two</w:t>
      </w:r>
      <w:r w:rsidR="00022518">
        <w:rPr>
          <w:rFonts w:ascii="Times New Roman" w:hAnsi="Times New Roman" w:cs="Times New Roman"/>
        </w:rPr>
        <w:t>, the thesis then explores the implications it has in the following ways: firstly, what causes de-radicalisation to occur and develop as a process</w:t>
      </w:r>
      <w:r w:rsidR="005214A6">
        <w:rPr>
          <w:rFonts w:ascii="Times New Roman" w:hAnsi="Times New Roman" w:cs="Times New Roman"/>
        </w:rPr>
        <w:t xml:space="preserve"> is explored in </w:t>
      </w:r>
      <w:r w:rsidR="005214A6" w:rsidRPr="005214A6">
        <w:rPr>
          <w:rFonts w:ascii="Times New Roman" w:hAnsi="Times New Roman" w:cs="Times New Roman"/>
          <w:i/>
          <w:iCs/>
        </w:rPr>
        <w:t>Chapter Four</w:t>
      </w:r>
      <w:r w:rsidR="00022518">
        <w:rPr>
          <w:rFonts w:ascii="Times New Roman" w:hAnsi="Times New Roman" w:cs="Times New Roman"/>
        </w:rPr>
        <w:t xml:space="preserve">; </w:t>
      </w:r>
      <w:r w:rsidR="005214A6">
        <w:rPr>
          <w:rFonts w:ascii="Times New Roman" w:hAnsi="Times New Roman" w:cs="Times New Roman"/>
        </w:rPr>
        <w:t>and secondly, how does the de-radicalisation process manifest over time as it</w:t>
      </w:r>
      <w:r w:rsidR="004E311A">
        <w:rPr>
          <w:rFonts w:ascii="Times New Roman" w:hAnsi="Times New Roman" w:cs="Times New Roman"/>
        </w:rPr>
        <w:t xml:space="preserve"> expands to the wider community is</w:t>
      </w:r>
      <w:r w:rsidR="005214A6">
        <w:rPr>
          <w:rFonts w:ascii="Times New Roman" w:hAnsi="Times New Roman" w:cs="Times New Roman"/>
        </w:rPr>
        <w:t xml:space="preserve"> discussed in </w:t>
      </w:r>
      <w:r w:rsidR="005214A6" w:rsidRPr="005214A6">
        <w:rPr>
          <w:rFonts w:ascii="Times New Roman" w:hAnsi="Times New Roman" w:cs="Times New Roman"/>
          <w:i/>
          <w:iCs/>
        </w:rPr>
        <w:t>Chapter Five</w:t>
      </w:r>
      <w:r w:rsidR="004E311A">
        <w:rPr>
          <w:rFonts w:ascii="Times New Roman" w:hAnsi="Times New Roman" w:cs="Times New Roman"/>
        </w:rPr>
        <w:t>, and how it transfers to the next generation</w:t>
      </w:r>
      <w:r w:rsidR="005214A6">
        <w:rPr>
          <w:rFonts w:ascii="Times New Roman" w:hAnsi="Times New Roman" w:cs="Times New Roman"/>
        </w:rPr>
        <w:t xml:space="preserve"> </w:t>
      </w:r>
      <w:r w:rsidR="004E311A">
        <w:rPr>
          <w:rFonts w:ascii="Times New Roman" w:hAnsi="Times New Roman" w:cs="Times New Roman"/>
        </w:rPr>
        <w:t xml:space="preserve">is </w:t>
      </w:r>
      <w:r w:rsidR="005214A6">
        <w:rPr>
          <w:rFonts w:ascii="Times New Roman" w:hAnsi="Times New Roman" w:cs="Times New Roman"/>
        </w:rPr>
        <w:t xml:space="preserve">discussed in </w:t>
      </w:r>
      <w:r w:rsidR="005214A6" w:rsidRPr="005214A6">
        <w:rPr>
          <w:rFonts w:ascii="Times New Roman" w:hAnsi="Times New Roman" w:cs="Times New Roman"/>
          <w:i/>
          <w:iCs/>
        </w:rPr>
        <w:t>Chapter Six</w:t>
      </w:r>
      <w:r w:rsidR="005214A6">
        <w:rPr>
          <w:rFonts w:ascii="Times New Roman" w:hAnsi="Times New Roman" w:cs="Times New Roman"/>
        </w:rPr>
        <w:t>.</w:t>
      </w:r>
    </w:p>
    <w:p w14:paraId="5E0B2637" w14:textId="77777777" w:rsidR="00160215" w:rsidRDefault="00160215" w:rsidP="00B57C7F">
      <w:pPr>
        <w:spacing w:line="360" w:lineRule="auto"/>
        <w:ind w:firstLine="720"/>
        <w:jc w:val="both"/>
        <w:rPr>
          <w:rFonts w:ascii="Times New Roman" w:hAnsi="Times New Roman" w:cs="Times New Roman"/>
        </w:rPr>
      </w:pPr>
    </w:p>
    <w:p w14:paraId="4293F19D" w14:textId="6341488E" w:rsidR="00160215" w:rsidRPr="00160215" w:rsidRDefault="00160215" w:rsidP="00B57C7F">
      <w:pPr>
        <w:pStyle w:val="ListParagraph"/>
        <w:numPr>
          <w:ilvl w:val="0"/>
          <w:numId w:val="17"/>
        </w:numPr>
        <w:spacing w:line="360" w:lineRule="auto"/>
        <w:jc w:val="both"/>
        <w:rPr>
          <w:rFonts w:ascii="Times New Roman" w:hAnsi="Times New Roman" w:cs="Times New Roman"/>
          <w:b/>
          <w:bCs/>
        </w:rPr>
      </w:pPr>
      <w:r w:rsidRPr="00160215">
        <w:rPr>
          <w:rFonts w:ascii="Times New Roman" w:hAnsi="Times New Roman" w:cs="Times New Roman"/>
          <w:b/>
          <w:bCs/>
        </w:rPr>
        <w:t>How do social movement terrorism campaigns end and reduce the risk of recidivism?</w:t>
      </w:r>
    </w:p>
    <w:p w14:paraId="043767B8" w14:textId="77777777" w:rsidR="00584FE6" w:rsidRDefault="00584FE6" w:rsidP="00B57C7F">
      <w:pPr>
        <w:spacing w:line="360" w:lineRule="auto"/>
        <w:ind w:firstLine="567"/>
        <w:rPr>
          <w:rFonts w:ascii="Times New Roman" w:hAnsi="Times New Roman" w:cs="Times New Roman"/>
        </w:rPr>
      </w:pPr>
    </w:p>
    <w:p w14:paraId="5C92A076" w14:textId="701512A2" w:rsidR="009E4AB1" w:rsidRDefault="00563BDF"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Once a group disengages, there still remains a risk that it or a splinter group will return to violence, thus rendering the claim that terrorism has ended to be irrelevant. </w:t>
      </w:r>
      <w:r w:rsidR="00074D4C">
        <w:rPr>
          <w:rFonts w:ascii="Times New Roman" w:hAnsi="Times New Roman" w:cs="Times New Roman"/>
        </w:rPr>
        <w:t xml:space="preserve">Furthermore, a re-emergence in terrorism may not come from former militants but a new generation of recruits, which directs the question to </w:t>
      </w:r>
      <w:r w:rsidR="00160215">
        <w:rPr>
          <w:rFonts w:ascii="Times New Roman" w:hAnsi="Times New Roman" w:cs="Times New Roman"/>
        </w:rPr>
        <w:t>consider how terrorism at the social movement level comes to an end</w:t>
      </w:r>
      <w:r w:rsidR="00074D4C">
        <w:rPr>
          <w:rFonts w:ascii="Times New Roman" w:hAnsi="Times New Roman" w:cs="Times New Roman"/>
        </w:rPr>
        <w:t xml:space="preserve">. </w:t>
      </w:r>
      <w:r w:rsidR="00160215">
        <w:rPr>
          <w:rFonts w:ascii="Times New Roman" w:hAnsi="Times New Roman" w:cs="Times New Roman"/>
        </w:rPr>
        <w:t>There are three factors which can explain disengagement in a social movement: attitudinal change (de-radicalisation); organisational disengagement; and political/structural change, which combine and interact to reduce the risk of recidivism within the social movement.</w:t>
      </w:r>
      <w:r>
        <w:rPr>
          <w:rFonts w:ascii="Times New Roman" w:hAnsi="Times New Roman" w:cs="Times New Roman"/>
        </w:rPr>
        <w:t xml:space="preserve"> The first </w:t>
      </w:r>
      <w:r w:rsidR="00074D4C">
        <w:rPr>
          <w:rFonts w:ascii="Times New Roman" w:hAnsi="Times New Roman" w:cs="Times New Roman"/>
        </w:rPr>
        <w:t>approach</w:t>
      </w:r>
      <w:r>
        <w:rPr>
          <w:rFonts w:ascii="Times New Roman" w:hAnsi="Times New Roman" w:cs="Times New Roman"/>
        </w:rPr>
        <w:t xml:space="preserve"> </w:t>
      </w:r>
      <w:r w:rsidR="004F2CA3">
        <w:rPr>
          <w:rFonts w:ascii="Times New Roman" w:hAnsi="Times New Roman" w:cs="Times New Roman"/>
        </w:rPr>
        <w:t>focuses on</w:t>
      </w:r>
      <w:r>
        <w:rPr>
          <w:rFonts w:ascii="Times New Roman" w:hAnsi="Times New Roman" w:cs="Times New Roman"/>
        </w:rPr>
        <w:t xml:space="preserve"> attitudinal change among the militants who have just disengaged, and this brings the thesis to participate in debates on whether de-radicalisation can provide stronger barriers against a return to violence than supposedly more superficial motivations for ending the campaign. </w:t>
      </w:r>
      <w:r w:rsidR="00074D4C">
        <w:rPr>
          <w:rFonts w:ascii="Times New Roman" w:hAnsi="Times New Roman" w:cs="Times New Roman"/>
        </w:rPr>
        <w:t>The second approach is with regard to organisational disengagement, whereby the assumption is that the disarmament, de-mobilisation and re-integration of militants into society can reduce the likelihood of them returning to violence but also in preventing others in society from engaging in violence. The third approach looks at structural factors and changes in the political system which incentivises actors to remain disengaged and limit opportunities for engagement in violence. The thesis engages with these three approaches</w:t>
      </w:r>
      <w:r w:rsidR="00DB2970">
        <w:rPr>
          <w:rFonts w:ascii="Times New Roman" w:hAnsi="Times New Roman" w:cs="Times New Roman"/>
        </w:rPr>
        <w:t xml:space="preserve"> and how they interact</w:t>
      </w:r>
      <w:r w:rsidR="00074D4C">
        <w:rPr>
          <w:rFonts w:ascii="Times New Roman" w:hAnsi="Times New Roman" w:cs="Times New Roman"/>
        </w:rPr>
        <w:t xml:space="preserve"> to provide a more holistic understanding of recidivism reduction</w:t>
      </w:r>
      <w:r w:rsidR="00DB2970">
        <w:rPr>
          <w:rFonts w:ascii="Times New Roman" w:hAnsi="Times New Roman" w:cs="Times New Roman"/>
        </w:rPr>
        <w:t>, which is a key part of explaining how terrorism ends</w:t>
      </w:r>
      <w:r w:rsidR="00074D4C">
        <w:rPr>
          <w:rFonts w:ascii="Times New Roman" w:hAnsi="Times New Roman" w:cs="Times New Roman"/>
        </w:rPr>
        <w:t>.</w:t>
      </w:r>
      <w:r w:rsidR="00D12D39">
        <w:rPr>
          <w:rFonts w:ascii="Times New Roman" w:hAnsi="Times New Roman" w:cs="Times New Roman"/>
        </w:rPr>
        <w:t xml:space="preserve"> Chapter Five specifically focuses on this research question</w:t>
      </w:r>
      <w:r w:rsidR="00442D69">
        <w:rPr>
          <w:rFonts w:ascii="Times New Roman" w:hAnsi="Times New Roman" w:cs="Times New Roman"/>
        </w:rPr>
        <w:t xml:space="preserve"> </w:t>
      </w:r>
      <w:r w:rsidR="00D12D39">
        <w:rPr>
          <w:rFonts w:ascii="Times New Roman" w:hAnsi="Times New Roman" w:cs="Times New Roman"/>
        </w:rPr>
        <w:t xml:space="preserve">more broadly while Chapter Six focuses on the younger generation. </w:t>
      </w:r>
      <w:r w:rsidR="00265D16">
        <w:rPr>
          <w:rFonts w:ascii="Times New Roman" w:hAnsi="Times New Roman" w:cs="Times New Roman"/>
        </w:rPr>
        <w:t xml:space="preserve">Having outlined the main questions driving the thesis, the chapter will now </w:t>
      </w:r>
      <w:r w:rsidR="00611B51">
        <w:rPr>
          <w:rFonts w:ascii="Times New Roman" w:hAnsi="Times New Roman" w:cs="Times New Roman"/>
        </w:rPr>
        <w:t>discuss the five original contributions it will make to the literature on terrorism and more broadly</w:t>
      </w:r>
      <w:r w:rsidR="00442D69">
        <w:rPr>
          <w:rFonts w:ascii="Times New Roman" w:hAnsi="Times New Roman" w:cs="Times New Roman"/>
        </w:rPr>
        <w:t>.</w:t>
      </w:r>
    </w:p>
    <w:p w14:paraId="0022A590" w14:textId="77777777" w:rsidR="004C27E9" w:rsidRDefault="004C27E9" w:rsidP="00B57C7F">
      <w:pPr>
        <w:spacing w:line="360" w:lineRule="auto"/>
      </w:pPr>
    </w:p>
    <w:p w14:paraId="4C363EDB" w14:textId="77777777" w:rsidR="004C27E9" w:rsidRDefault="004C27E9" w:rsidP="00B57C7F">
      <w:pPr>
        <w:pStyle w:val="Heading3"/>
        <w:spacing w:before="120" w:line="360" w:lineRule="auto"/>
      </w:pPr>
      <w:bookmarkStart w:id="17" w:name="_Toc389208800"/>
      <w:r>
        <w:t>Originality and Contribution</w:t>
      </w:r>
      <w:bookmarkEnd w:id="17"/>
    </w:p>
    <w:p w14:paraId="58164494" w14:textId="11E6E600" w:rsidR="004C27E9" w:rsidRDefault="004C27E9" w:rsidP="00B57C7F">
      <w:pPr>
        <w:spacing w:line="360" w:lineRule="auto"/>
        <w:ind w:firstLine="720"/>
        <w:jc w:val="both"/>
        <w:rPr>
          <w:rFonts w:ascii="Times New Roman" w:hAnsi="Times New Roman" w:cs="Times New Roman"/>
        </w:rPr>
      </w:pPr>
      <w:r>
        <w:rPr>
          <w:rFonts w:ascii="Times New Roman" w:hAnsi="Times New Roman" w:cs="Times New Roman"/>
        </w:rPr>
        <w:t>The thesis provides an original contribution to the terrorism literature in f</w:t>
      </w:r>
      <w:r w:rsidR="00387D2C">
        <w:rPr>
          <w:rFonts w:ascii="Times New Roman" w:hAnsi="Times New Roman" w:cs="Times New Roman"/>
        </w:rPr>
        <w:t>ive</w:t>
      </w:r>
      <w:r>
        <w:rPr>
          <w:rFonts w:ascii="Times New Roman" w:hAnsi="Times New Roman" w:cs="Times New Roman"/>
        </w:rPr>
        <w:t xml:space="preserve"> areas: </w:t>
      </w:r>
      <w:r w:rsidR="00387D2C">
        <w:rPr>
          <w:rFonts w:ascii="Times New Roman" w:hAnsi="Times New Roman" w:cs="Times New Roman"/>
        </w:rPr>
        <w:t xml:space="preserve">empirical data; </w:t>
      </w:r>
      <w:r>
        <w:rPr>
          <w:rFonts w:ascii="Times New Roman" w:hAnsi="Times New Roman" w:cs="Times New Roman"/>
        </w:rPr>
        <w:t>the re-conceptualisation of de-radicalisation; a multi-level analysis of disengagement</w:t>
      </w:r>
      <w:r w:rsidR="00387D2C">
        <w:rPr>
          <w:rFonts w:ascii="Times New Roman" w:hAnsi="Times New Roman" w:cs="Times New Roman"/>
        </w:rPr>
        <w:t xml:space="preserve"> through a social movement approach</w:t>
      </w:r>
      <w:r>
        <w:rPr>
          <w:rFonts w:ascii="Times New Roman" w:hAnsi="Times New Roman" w:cs="Times New Roman"/>
        </w:rPr>
        <w:t xml:space="preserve">; the study of inter-generational interaction; and the counter-terrorism role </w:t>
      </w:r>
      <w:r w:rsidR="004E311A">
        <w:rPr>
          <w:rFonts w:ascii="Times New Roman" w:hAnsi="Times New Roman" w:cs="Times New Roman"/>
        </w:rPr>
        <w:t xml:space="preserve">of </w:t>
      </w:r>
      <w:r>
        <w:rPr>
          <w:rFonts w:ascii="Times New Roman" w:hAnsi="Times New Roman" w:cs="Times New Roman"/>
        </w:rPr>
        <w:t>former combatant</w:t>
      </w:r>
      <w:r w:rsidR="004E311A">
        <w:rPr>
          <w:rFonts w:ascii="Times New Roman" w:hAnsi="Times New Roman" w:cs="Times New Roman"/>
        </w:rPr>
        <w:t>s in the community and schools.</w:t>
      </w:r>
    </w:p>
    <w:p w14:paraId="6951D501" w14:textId="77777777" w:rsidR="004C27E9" w:rsidRDefault="004C27E9" w:rsidP="00B57C7F">
      <w:pPr>
        <w:spacing w:line="360" w:lineRule="auto"/>
        <w:jc w:val="both"/>
        <w:rPr>
          <w:rFonts w:ascii="Times New Roman" w:hAnsi="Times New Roman" w:cs="Times New Roman"/>
        </w:rPr>
      </w:pPr>
    </w:p>
    <w:p w14:paraId="04DC64B1" w14:textId="160F8DEE" w:rsidR="004E311A" w:rsidRDefault="004E311A" w:rsidP="00B57C7F">
      <w:pPr>
        <w:pStyle w:val="Heading4"/>
        <w:spacing w:before="120" w:line="360" w:lineRule="auto"/>
      </w:pPr>
      <w:bookmarkStart w:id="18" w:name="_Toc389208801"/>
      <w:r>
        <w:lastRenderedPageBreak/>
        <w:t>Empirical Originality</w:t>
      </w:r>
      <w:bookmarkEnd w:id="18"/>
    </w:p>
    <w:p w14:paraId="03656F25" w14:textId="7CB30FF0" w:rsidR="00387D2C" w:rsidRPr="004E311A" w:rsidRDefault="00387D2C" w:rsidP="00B57C7F">
      <w:pPr>
        <w:spacing w:line="360" w:lineRule="auto"/>
        <w:ind w:firstLine="720"/>
        <w:jc w:val="both"/>
        <w:rPr>
          <w:rFonts w:ascii="Times New Roman" w:hAnsi="Times New Roman" w:cs="Times New Roman"/>
        </w:rPr>
      </w:pPr>
      <w:r w:rsidRPr="004E311A">
        <w:rPr>
          <w:rFonts w:ascii="Times New Roman" w:hAnsi="Times New Roman" w:cs="Times New Roman"/>
        </w:rPr>
        <w:t>The thesis presents original data from interviews with former combatants, community workers and security officials. This data provides</w:t>
      </w:r>
      <w:r w:rsidR="00665384" w:rsidRPr="004E311A">
        <w:rPr>
          <w:rFonts w:ascii="Times New Roman" w:hAnsi="Times New Roman" w:cs="Times New Roman"/>
        </w:rPr>
        <w:t xml:space="preserve"> in-depth</w:t>
      </w:r>
      <w:r w:rsidRPr="004E311A">
        <w:rPr>
          <w:rFonts w:ascii="Times New Roman" w:hAnsi="Times New Roman" w:cs="Times New Roman"/>
        </w:rPr>
        <w:t xml:space="preserve"> information on how former combatants perceive the legitimacy of using political violence</w:t>
      </w:r>
      <w:r w:rsidR="00A72A6B" w:rsidRPr="004E311A">
        <w:rPr>
          <w:rFonts w:ascii="Times New Roman" w:hAnsi="Times New Roman" w:cs="Times New Roman"/>
        </w:rPr>
        <w:t xml:space="preserve"> and their explanations of how this change in attitudes occurred, especially in the context of politics today. Therefore, the data contributes to build a picture of how attitudes among Republicans, and former Provisional IRA members specifically, has evolved through the years. Furthermore, while there has been much data collected on the role of prisoners in community work, there has been little in-depth interviews collected from interface workers and none of this has been in the context of terrorism and political violence.</w:t>
      </w:r>
      <w:r w:rsidR="00665384" w:rsidRPr="004E311A">
        <w:rPr>
          <w:rFonts w:ascii="Times New Roman" w:hAnsi="Times New Roman" w:cs="Times New Roman"/>
        </w:rPr>
        <w:t xml:space="preserve"> Also, the focus group with Sinn Fein Youth members</w:t>
      </w:r>
      <w:r w:rsidR="004E311A" w:rsidRPr="004E311A">
        <w:rPr>
          <w:rFonts w:ascii="Times New Roman" w:hAnsi="Times New Roman" w:cs="Times New Roman"/>
        </w:rPr>
        <w:t>, discussed in Chapter Two,</w:t>
      </w:r>
      <w:r w:rsidR="00665384" w:rsidRPr="004E311A">
        <w:rPr>
          <w:rFonts w:ascii="Times New Roman" w:hAnsi="Times New Roman" w:cs="Times New Roman"/>
        </w:rPr>
        <w:t xml:space="preserve"> provided original insights which contribute to much of the contemporary debates on Republican commemorations as a glorification of violence. This debate has been largely based on little evidence and the interview data presented in the thesis offers one of the first attempts to provide such evidence. Finally, previous research that has provided data from interviews with former</w:t>
      </w:r>
      <w:r w:rsidR="00C50866" w:rsidRPr="004E311A">
        <w:rPr>
          <w:rFonts w:ascii="Times New Roman" w:hAnsi="Times New Roman" w:cs="Times New Roman"/>
        </w:rPr>
        <w:t xml:space="preserve"> Provisional IRA members</w:t>
      </w:r>
      <w:r w:rsidR="00C50866">
        <w:rPr>
          <w:rStyle w:val="FootnoteReference"/>
          <w:rFonts w:ascii="Times New Roman" w:hAnsi="Times New Roman" w:cs="Times New Roman"/>
        </w:rPr>
        <w:footnoteReference w:id="124"/>
      </w:r>
      <w:r w:rsidR="00C50866" w:rsidRPr="004E311A">
        <w:rPr>
          <w:rFonts w:ascii="Times New Roman" w:hAnsi="Times New Roman" w:cs="Times New Roman"/>
        </w:rPr>
        <w:t xml:space="preserve"> can be problematic because many of them are ‘on-message’ and will be concerned to adhere to a party political line, particularly for those studies who </w:t>
      </w:r>
      <w:r w:rsidR="004E311A" w:rsidRPr="004E311A">
        <w:rPr>
          <w:rFonts w:ascii="Times New Roman" w:hAnsi="Times New Roman" w:cs="Times New Roman"/>
        </w:rPr>
        <w:t xml:space="preserve">have </w:t>
      </w:r>
      <w:r w:rsidR="00C50866" w:rsidRPr="004E311A">
        <w:rPr>
          <w:rFonts w:ascii="Times New Roman" w:hAnsi="Times New Roman" w:cs="Times New Roman"/>
        </w:rPr>
        <w:t>used prisoner groups to gain entry to interviews. The thesis recognised this problem and sought to interview community workers and security officials to help corroborate the arguments made by former combatants and to provide a broader perspective. For example, one community worker attended a meeting of senior paramilitary figures in Belfast in 2013, and the data provided here would not have been available from the former combatants themselves.</w:t>
      </w:r>
      <w:r w:rsidR="00A72A6B" w:rsidRPr="004E311A">
        <w:rPr>
          <w:rFonts w:ascii="Times New Roman" w:hAnsi="Times New Roman" w:cs="Times New Roman"/>
        </w:rPr>
        <w:t xml:space="preserve">   </w:t>
      </w:r>
    </w:p>
    <w:p w14:paraId="3FF986B4" w14:textId="77777777" w:rsidR="004E311A" w:rsidRDefault="004E311A" w:rsidP="00B57C7F">
      <w:pPr>
        <w:spacing w:line="360" w:lineRule="auto"/>
        <w:jc w:val="both"/>
        <w:rPr>
          <w:rFonts w:ascii="Times New Roman" w:hAnsi="Times New Roman" w:cs="Times New Roman"/>
        </w:rPr>
      </w:pPr>
    </w:p>
    <w:p w14:paraId="4618E100" w14:textId="1DA2488E" w:rsidR="004E311A" w:rsidRPr="004E311A" w:rsidRDefault="004E311A" w:rsidP="00B57C7F">
      <w:pPr>
        <w:pStyle w:val="Heading4"/>
        <w:spacing w:before="120" w:line="360" w:lineRule="auto"/>
      </w:pPr>
      <w:bookmarkStart w:id="19" w:name="_Toc389208802"/>
      <w:r>
        <w:t>Conceptual Originality: De-Radicalisation</w:t>
      </w:r>
      <w:bookmarkEnd w:id="19"/>
    </w:p>
    <w:p w14:paraId="69C54B6F" w14:textId="77777777" w:rsidR="004E311A" w:rsidRDefault="004C27E9" w:rsidP="00B57C7F">
      <w:pPr>
        <w:spacing w:line="360" w:lineRule="auto"/>
        <w:ind w:firstLine="720"/>
        <w:jc w:val="both"/>
        <w:rPr>
          <w:rFonts w:ascii="Times New Roman" w:hAnsi="Times New Roman" w:cs="Times New Roman"/>
        </w:rPr>
      </w:pPr>
      <w:r w:rsidRPr="004E311A">
        <w:rPr>
          <w:rFonts w:ascii="Times New Roman" w:hAnsi="Times New Roman" w:cs="Times New Roman"/>
        </w:rPr>
        <w:t xml:space="preserve">The concept of de-radicalisation has been widely noted to be unclear in terms of what it means and the thesis provides the first attempt to unpack it in depth. By engaging in the attitudes-behaviour debate in psychology, it breaks down the distinction between disengagement and (broad and narrow) de-radicalisation. As an </w:t>
      </w:r>
      <w:r w:rsidRPr="004E311A">
        <w:rPr>
          <w:rFonts w:ascii="Times New Roman" w:hAnsi="Times New Roman" w:cs="Times New Roman"/>
        </w:rPr>
        <w:lastRenderedPageBreak/>
        <w:t>alternative, it provides an original solution in terms of using frames analysis, typical</w:t>
      </w:r>
      <w:r w:rsidR="004E311A">
        <w:rPr>
          <w:rFonts w:ascii="Times New Roman" w:hAnsi="Times New Roman" w:cs="Times New Roman"/>
        </w:rPr>
        <w:t>ly used to explain mobilisation</w:t>
      </w:r>
      <w:r w:rsidRPr="004E311A">
        <w:rPr>
          <w:rFonts w:ascii="Times New Roman" w:hAnsi="Times New Roman" w:cs="Times New Roman"/>
        </w:rPr>
        <w:t xml:space="preserve">. </w:t>
      </w:r>
      <w:r w:rsidR="004E311A">
        <w:rPr>
          <w:rFonts w:ascii="Times New Roman" w:hAnsi="Times New Roman" w:cs="Times New Roman"/>
        </w:rPr>
        <w:t>N</w:t>
      </w:r>
      <w:r w:rsidRPr="004E311A">
        <w:rPr>
          <w:rFonts w:ascii="Times New Roman" w:hAnsi="Times New Roman" w:cs="Times New Roman"/>
        </w:rPr>
        <w:t xml:space="preserve">o study has applied frames analysis to this area of terrorism studies despite the increasing focus on counter-narratives; subsequently, the </w:t>
      </w:r>
      <w:r w:rsidR="004E311A">
        <w:rPr>
          <w:rFonts w:ascii="Times New Roman" w:hAnsi="Times New Roman" w:cs="Times New Roman"/>
        </w:rPr>
        <w:t>thesis demonstrates how this developed</w:t>
      </w:r>
      <w:r w:rsidRPr="004E311A">
        <w:rPr>
          <w:rFonts w:ascii="Times New Roman" w:hAnsi="Times New Roman" w:cs="Times New Roman"/>
        </w:rPr>
        <w:t xml:space="preserve"> approach can inform the relatively new and conceptually under-developed area of research on counter-narratives. </w:t>
      </w:r>
    </w:p>
    <w:p w14:paraId="65658182" w14:textId="6710F121" w:rsidR="004C27E9" w:rsidRDefault="004C27E9" w:rsidP="00B57C7F">
      <w:pPr>
        <w:spacing w:line="360" w:lineRule="auto"/>
        <w:ind w:firstLine="720"/>
        <w:jc w:val="both"/>
        <w:rPr>
          <w:rFonts w:ascii="Times New Roman" w:hAnsi="Times New Roman" w:cs="Times New Roman"/>
        </w:rPr>
      </w:pPr>
      <w:r w:rsidRPr="004E311A">
        <w:rPr>
          <w:rFonts w:ascii="Times New Roman" w:hAnsi="Times New Roman" w:cs="Times New Roman"/>
        </w:rPr>
        <w:t xml:space="preserve">Disengagement frames analysis shows the nuances in arguments that are presented </w:t>
      </w:r>
      <w:r w:rsidR="006F0E51">
        <w:rPr>
          <w:rFonts w:ascii="Times New Roman" w:hAnsi="Times New Roman" w:cs="Times New Roman"/>
        </w:rPr>
        <w:t xml:space="preserve">by a group </w:t>
      </w:r>
      <w:r w:rsidRPr="004E311A">
        <w:rPr>
          <w:rFonts w:ascii="Times New Roman" w:hAnsi="Times New Roman" w:cs="Times New Roman"/>
        </w:rPr>
        <w:t>and why the de-legitimisation of violence differs. This allows the thesis to identify different types of de-radicalisation, each of which has a different capacity to reduce the risk of recidivism by resonating with its audience. Whilst the original applications of de-radicalisation have suggested that it provides a greater or equal reduction in the risk of recidivism, the thesis’ use of frames analysis shows that this is not always the case. If the Provisional IRA utilised a disengagement frame that was underpinned by unconditional de-radicalisation – de-legitimising all Republican violence - it would have failed to resonate and would have provided an opportunity for terrorism and political violence in the Irish Republican movement to continue. Thus, the thesis shows that de-radicalisation can be conditional but that this is significantly different to tactical motivations behind disengagement and that the process of de-radicalisation can deepen to become more durable and unconditional. A senior counter-terr</w:t>
      </w:r>
      <w:r w:rsidR="006F0E51">
        <w:rPr>
          <w:rFonts w:ascii="Times New Roman" w:hAnsi="Times New Roman" w:cs="Times New Roman"/>
        </w:rPr>
        <w:t>orism policy-</w:t>
      </w:r>
      <w:r w:rsidRPr="004E311A">
        <w:rPr>
          <w:rFonts w:ascii="Times New Roman" w:hAnsi="Times New Roman" w:cs="Times New Roman"/>
        </w:rPr>
        <w:t xml:space="preserve">maker at the Home Office highlighted the problems with the concept of de-radicalisation as previously understood, instead emphasising counter-radicalisation, but the thesis demonstrates how both of these concepts overlap and makes de-radicalisation a workable concept that can inform counter-terrorism strategies. </w:t>
      </w:r>
    </w:p>
    <w:p w14:paraId="0FFF5CA7" w14:textId="77777777" w:rsidR="006F0E51" w:rsidRDefault="006F0E51" w:rsidP="00B57C7F">
      <w:pPr>
        <w:spacing w:line="360" w:lineRule="auto"/>
        <w:jc w:val="both"/>
        <w:rPr>
          <w:rFonts w:ascii="Times New Roman" w:hAnsi="Times New Roman" w:cs="Times New Roman"/>
        </w:rPr>
      </w:pPr>
    </w:p>
    <w:p w14:paraId="365BD510" w14:textId="7C0994A9" w:rsidR="006F0E51" w:rsidRPr="004E311A" w:rsidRDefault="006F0E51" w:rsidP="00B57C7F">
      <w:pPr>
        <w:pStyle w:val="Heading4"/>
        <w:spacing w:before="120" w:line="360" w:lineRule="auto"/>
      </w:pPr>
      <w:bookmarkStart w:id="20" w:name="_Toc389208803"/>
      <w:r>
        <w:t>Theoretical Contribution: a Social Movement Approach</w:t>
      </w:r>
      <w:bookmarkEnd w:id="20"/>
    </w:p>
    <w:p w14:paraId="0226325F" w14:textId="77777777" w:rsidR="004C27E9" w:rsidRDefault="004C27E9" w:rsidP="00B57C7F">
      <w:pPr>
        <w:spacing w:line="360" w:lineRule="auto"/>
        <w:ind w:firstLine="720"/>
        <w:jc w:val="both"/>
        <w:rPr>
          <w:rFonts w:ascii="Times New Roman" w:hAnsi="Times New Roman" w:cs="Times New Roman"/>
        </w:rPr>
      </w:pPr>
      <w:r w:rsidRPr="006F0E51">
        <w:rPr>
          <w:rFonts w:ascii="Times New Roman" w:hAnsi="Times New Roman" w:cs="Times New Roman"/>
        </w:rPr>
        <w:t>It has been widely noted that there is a need for a multi-level analysis to explain how terrorism campaigns end</w:t>
      </w:r>
      <w:r w:rsidR="00D51325" w:rsidRPr="006F0E51">
        <w:rPr>
          <w:rFonts w:ascii="Times New Roman" w:hAnsi="Times New Roman" w:cs="Times New Roman"/>
        </w:rPr>
        <w:t>.</w:t>
      </w:r>
      <w:r>
        <w:rPr>
          <w:rStyle w:val="FootnoteReference"/>
          <w:rFonts w:ascii="Times New Roman" w:hAnsi="Times New Roman" w:cs="Times New Roman"/>
        </w:rPr>
        <w:footnoteReference w:id="125"/>
      </w:r>
      <w:r w:rsidRPr="006F0E51">
        <w:rPr>
          <w:rFonts w:ascii="Times New Roman" w:hAnsi="Times New Roman" w:cs="Times New Roman"/>
        </w:rPr>
        <w:t xml:space="preserve"> Research on the group level of analysis strangely take splintering to be an explanation for how terrorism ends, yet quite </w:t>
      </w:r>
      <w:r w:rsidRPr="006F0E51">
        <w:rPr>
          <w:rFonts w:ascii="Times New Roman" w:hAnsi="Times New Roman" w:cs="Times New Roman"/>
        </w:rPr>
        <w:lastRenderedPageBreak/>
        <w:t>clearly this only means that it has been shifted in society. Approaches that occur at a societal or structural level are not sufficiently linked to the group level to ground the analysis which has meant they cannot explain attitudinal change between generations. By combining these three levels into a social movement approach, the thesis contributes a framework which can provide explanations for social change and how this affects terrorism, thus overcoming many of the criticisms against previous attempts to combine social movement theory and terrorism studies</w:t>
      </w:r>
      <w:r w:rsidR="00D51325" w:rsidRPr="006F0E51">
        <w:rPr>
          <w:rFonts w:ascii="Times New Roman" w:hAnsi="Times New Roman" w:cs="Times New Roman"/>
        </w:rPr>
        <w:t>.</w:t>
      </w:r>
      <w:r>
        <w:rPr>
          <w:rStyle w:val="FootnoteReference"/>
          <w:rFonts w:ascii="Times New Roman" w:hAnsi="Times New Roman" w:cs="Times New Roman"/>
        </w:rPr>
        <w:footnoteReference w:id="126"/>
      </w:r>
      <w:r w:rsidRPr="006F0E51">
        <w:rPr>
          <w:rFonts w:ascii="Times New Roman" w:hAnsi="Times New Roman" w:cs="Times New Roman"/>
        </w:rPr>
        <w:t xml:space="preserve"> This multi-level analysis overcomes the arbitrary distinction between the phenomenon of radicalisation, de-radicalisation, and counter-radicalisation, thus overcoming many of the obstacles that the lack of clarity on these concepts, and how they relate to each other, poses to terrorism studies</w:t>
      </w:r>
      <w:r w:rsidR="00D51325" w:rsidRPr="006F0E51">
        <w:rPr>
          <w:rFonts w:ascii="Times New Roman" w:hAnsi="Times New Roman" w:cs="Times New Roman"/>
        </w:rPr>
        <w:t>.</w:t>
      </w:r>
      <w:r>
        <w:rPr>
          <w:rStyle w:val="FootnoteReference"/>
          <w:rFonts w:ascii="Times New Roman" w:hAnsi="Times New Roman" w:cs="Times New Roman"/>
        </w:rPr>
        <w:footnoteReference w:id="127"/>
      </w:r>
      <w:r w:rsidRPr="006F0E51">
        <w:rPr>
          <w:rFonts w:ascii="Times New Roman" w:hAnsi="Times New Roman" w:cs="Times New Roman"/>
        </w:rPr>
        <w:t xml:space="preserve"> </w:t>
      </w:r>
    </w:p>
    <w:p w14:paraId="6C8B5654" w14:textId="77777777" w:rsidR="006F0E51" w:rsidRDefault="006F0E51" w:rsidP="00B57C7F">
      <w:pPr>
        <w:spacing w:line="360" w:lineRule="auto"/>
        <w:jc w:val="both"/>
        <w:rPr>
          <w:rFonts w:ascii="Times New Roman" w:hAnsi="Times New Roman" w:cs="Times New Roman"/>
        </w:rPr>
      </w:pPr>
    </w:p>
    <w:p w14:paraId="387BCDC0" w14:textId="58CDF182" w:rsidR="006F0E51" w:rsidRPr="006F0E51" w:rsidRDefault="006F0E51" w:rsidP="00B57C7F">
      <w:pPr>
        <w:pStyle w:val="Heading4"/>
        <w:spacing w:before="120" w:line="360" w:lineRule="auto"/>
      </w:pPr>
      <w:bookmarkStart w:id="21" w:name="_Toc389208804"/>
      <w:r>
        <w:t>Analytical Contribution: the Next Generation</w:t>
      </w:r>
      <w:bookmarkEnd w:id="21"/>
    </w:p>
    <w:p w14:paraId="5EF85431" w14:textId="01BDF747" w:rsidR="004E3123" w:rsidRPr="006F0E51" w:rsidRDefault="004C27E9" w:rsidP="00B57C7F">
      <w:pPr>
        <w:spacing w:line="360" w:lineRule="auto"/>
        <w:ind w:firstLine="720"/>
        <w:jc w:val="both"/>
        <w:rPr>
          <w:rFonts w:ascii="Times New Roman" w:hAnsi="Times New Roman" w:cs="Times New Roman"/>
        </w:rPr>
      </w:pPr>
      <w:r w:rsidRPr="006F0E51">
        <w:rPr>
          <w:rFonts w:ascii="Times New Roman" w:hAnsi="Times New Roman" w:cs="Times New Roman"/>
        </w:rPr>
        <w:t>The next generation has been highlighted as a significant factor in the decline in terrorism campaigns, but there has been no substantial analysis of the interaction between generations, specifically in the context of disengagement and de-radicalisation. Firstly, the thesis proposes the idea of generational hegemony as a contributing factor to the Provisional IRA’s disengagement: the concentration of members of a similar age and experience helped foster a shared understanding of the conflict and disengagement, and it meant there was greater control in the group to successfully bring a</w:t>
      </w:r>
      <w:r w:rsidR="006F0E51">
        <w:rPr>
          <w:rFonts w:ascii="Times New Roman" w:hAnsi="Times New Roman" w:cs="Times New Roman"/>
        </w:rPr>
        <w:t>long</w:t>
      </w:r>
      <w:r w:rsidRPr="006F0E51">
        <w:rPr>
          <w:rFonts w:ascii="Times New Roman" w:hAnsi="Times New Roman" w:cs="Times New Roman"/>
        </w:rPr>
        <w:t xml:space="preserve"> unconvinced members. Secondly, the thesis demonstrates the significance of de-radicalisation – in contrast to most arguments in the literature – insofar as it can challenge and shape the attitudes of the next generation. Whereas the IRA had managed to continue for decades from one generation to another prior to the 1960s, the Provisional IRA’s interaction with young people is helping to break this inter-generational link that supports the use of violence when the opportunity arises. </w:t>
      </w:r>
    </w:p>
    <w:p w14:paraId="0E670755" w14:textId="290A9EEC" w:rsidR="004C27E9" w:rsidRDefault="004E3123" w:rsidP="00B57C7F">
      <w:pPr>
        <w:spacing w:line="360" w:lineRule="auto"/>
        <w:ind w:firstLine="720"/>
        <w:jc w:val="both"/>
        <w:rPr>
          <w:rFonts w:ascii="Times New Roman" w:hAnsi="Times New Roman" w:cs="Times New Roman"/>
        </w:rPr>
      </w:pPr>
      <w:r w:rsidRPr="006F0E51">
        <w:rPr>
          <w:rFonts w:ascii="Times New Roman" w:hAnsi="Times New Roman" w:cs="Times New Roman"/>
        </w:rPr>
        <w:t xml:space="preserve">Furthermore, there has been very little to no research on schools as sites of disengagement, de-radicalisation and prevention. Schools provide a captive audience </w:t>
      </w:r>
      <w:r w:rsidRPr="006F0E51">
        <w:rPr>
          <w:rFonts w:ascii="Times New Roman" w:hAnsi="Times New Roman" w:cs="Times New Roman"/>
        </w:rPr>
        <w:lastRenderedPageBreak/>
        <w:t xml:space="preserve">to reach young people from a wide range of backgrounds who may otherwise be difficult to reach, some of whom may be susceptible to engaging in armed violence. Therefore, the thesis highlights an emerging trend in counter-terrorism strategy engaging in schools, inviting further research into the Home Office’s use of schools in its Prevent strategy. The bigger contribution the thesis makes in this regard is in its analysis of the Prison to Peace programme in Northern Ireland. It demonstrates how the involvement of former combatants in the project led to further de-radicalisation, firstly through the structure of the programme which amplified appropriate messages, and secondly through facilitating the former combatants to de-glamourise past violence. Former combatants have a role to play because they have credibility among young people most likely to become involved in violence. The intervention in schools by former combatants helps to prevent young people from participating in terrorism and political violence, and it boosts their understanding and confidence in the peace process which underpins the end of terrorism in Northern Ireland. Furthermore, the thesis shows that former combatants do not have to be entirely ‘repentant’ to have a role in schools, and in fact this may be counter-productive; although conditional de-radicalisation is necessary. The implications of this contribution are that actors who have previously been labelled as terrorists for their role in armed violence, in a structured intervention in schools, can prevent the most vulnerable young people from becoming involved in terrorism.   </w:t>
      </w:r>
    </w:p>
    <w:p w14:paraId="4FC8A187" w14:textId="77777777" w:rsidR="006F0E51" w:rsidRDefault="006F0E51" w:rsidP="00B57C7F">
      <w:pPr>
        <w:spacing w:line="360" w:lineRule="auto"/>
        <w:jc w:val="both"/>
        <w:rPr>
          <w:rFonts w:ascii="Times New Roman" w:hAnsi="Times New Roman" w:cs="Times New Roman"/>
        </w:rPr>
      </w:pPr>
    </w:p>
    <w:p w14:paraId="5EE98CC9" w14:textId="4B43C0E6" w:rsidR="006F0E51" w:rsidRPr="006F0E51" w:rsidRDefault="006F0E51" w:rsidP="00B57C7F">
      <w:pPr>
        <w:pStyle w:val="Heading4"/>
        <w:spacing w:before="120" w:line="360" w:lineRule="auto"/>
      </w:pPr>
      <w:bookmarkStart w:id="22" w:name="_Toc389208805"/>
      <w:r>
        <w:t>Analytical Contribution: Networks of Former Combatants</w:t>
      </w:r>
      <w:bookmarkEnd w:id="22"/>
    </w:p>
    <w:p w14:paraId="219110CA" w14:textId="2E9C6FB3" w:rsidR="004C27E9" w:rsidRPr="006F0E51" w:rsidRDefault="004C27E9" w:rsidP="00B57C7F">
      <w:pPr>
        <w:spacing w:line="360" w:lineRule="auto"/>
        <w:ind w:firstLine="720"/>
        <w:jc w:val="both"/>
        <w:rPr>
          <w:rFonts w:ascii="Times New Roman" w:hAnsi="Times New Roman" w:cs="Times New Roman"/>
        </w:rPr>
      </w:pPr>
      <w:r w:rsidRPr="006F0E51">
        <w:rPr>
          <w:rFonts w:ascii="Times New Roman" w:hAnsi="Times New Roman" w:cs="Times New Roman"/>
        </w:rPr>
        <w:t>The thesis contributes data that demonstrates that actors considered as terrorists and ex-terrorists can actually have a role in countering terrorism at the community level and in schools. Militant groups played an active role in policing communities in order to discourage violence from emerging which could lead to terrorism, and through this role, a number of the groups transformed to completely move away from violence themselves. A limited amount of research focuses on the role of the community in counter-terrorism</w:t>
      </w:r>
      <w:r w:rsidR="00D51325" w:rsidRPr="006F0E51">
        <w:rPr>
          <w:rFonts w:ascii="Times New Roman" w:hAnsi="Times New Roman" w:cs="Times New Roman"/>
        </w:rPr>
        <w:t>,</w:t>
      </w:r>
      <w:r>
        <w:rPr>
          <w:rStyle w:val="FootnoteReference"/>
          <w:rFonts w:ascii="Times New Roman" w:hAnsi="Times New Roman" w:cs="Times New Roman"/>
        </w:rPr>
        <w:footnoteReference w:id="128"/>
      </w:r>
      <w:r w:rsidRPr="006F0E51">
        <w:rPr>
          <w:rFonts w:ascii="Times New Roman" w:hAnsi="Times New Roman" w:cs="Times New Roman"/>
        </w:rPr>
        <w:t xml:space="preserve"> even less on the role that so-called terrorists play. The thesis’ contribution demonstrates how the organisational </w:t>
      </w:r>
      <w:r w:rsidRPr="006F0E51">
        <w:rPr>
          <w:rFonts w:ascii="Times New Roman" w:hAnsi="Times New Roman" w:cs="Times New Roman"/>
        </w:rPr>
        <w:lastRenderedPageBreak/>
        <w:t xml:space="preserve">disengagement of militants into social routes can help counter and prevent terrorism where the state and other actors may not have the legitimacy, and how such organisational disengagement can prepare the groundwork for the state’s role in the future. </w:t>
      </w:r>
      <w:r w:rsidR="004E3123" w:rsidRPr="006F0E51">
        <w:rPr>
          <w:rFonts w:ascii="Times New Roman" w:hAnsi="Times New Roman" w:cs="Times New Roman"/>
        </w:rPr>
        <w:t>In addition, the thesis argues that when militant groups organisa</w:t>
      </w:r>
      <w:r w:rsidR="006F0E51">
        <w:rPr>
          <w:rFonts w:ascii="Times New Roman" w:hAnsi="Times New Roman" w:cs="Times New Roman"/>
        </w:rPr>
        <w:t>tionally disengage - or they are ‘re-integrated’ into society -</w:t>
      </w:r>
      <w:r w:rsidR="004E3123" w:rsidRPr="006F0E51">
        <w:rPr>
          <w:rFonts w:ascii="Times New Roman" w:hAnsi="Times New Roman" w:cs="Times New Roman"/>
        </w:rPr>
        <w:t xml:space="preserve"> the group level of analysis neglects that informal networks of former combatants may continue to exist which can function similarly to a militant group. Therefore, the assumptions underpinning the concept of organisational disengagement – namely, that the process is crucial to reduce the risk of recidivism – is shown to not be strong, meaning that the organisational disengagement process needs to adopt a network focus too. The thesis demonstrates how a network organically developed to play a role in preventing violence, thus potentially having implications for many other programmes which have neglected this lesson from the Northern Ireland experience.</w:t>
      </w:r>
    </w:p>
    <w:p w14:paraId="553DD5BF" w14:textId="77777777" w:rsidR="00611B51" w:rsidRPr="00265D16" w:rsidRDefault="00611B51" w:rsidP="00B57C7F">
      <w:pPr>
        <w:spacing w:line="360" w:lineRule="auto"/>
        <w:ind w:firstLine="567"/>
        <w:jc w:val="both"/>
        <w:rPr>
          <w:rFonts w:ascii="Times New Roman" w:hAnsi="Times New Roman" w:cs="Times New Roman"/>
        </w:rPr>
      </w:pPr>
    </w:p>
    <w:p w14:paraId="403DDB5A" w14:textId="77777777" w:rsidR="00611B51" w:rsidRDefault="00611B51" w:rsidP="00B57C7F">
      <w:pPr>
        <w:pStyle w:val="Heading3"/>
        <w:spacing w:before="120" w:line="360" w:lineRule="auto"/>
      </w:pPr>
      <w:bookmarkStart w:id="23" w:name="_Toc389208806"/>
      <w:r>
        <w:t>Thesis Outline</w:t>
      </w:r>
      <w:bookmarkEnd w:id="23"/>
    </w:p>
    <w:p w14:paraId="2014D2CE" w14:textId="278ED5F6" w:rsidR="00611B51" w:rsidRDefault="00611B51" w:rsidP="00B57C7F">
      <w:pPr>
        <w:spacing w:line="360" w:lineRule="auto"/>
        <w:jc w:val="both"/>
        <w:rPr>
          <w:rFonts w:ascii="Times New Roman" w:hAnsi="Times New Roman" w:cs="Times New Roman"/>
        </w:rPr>
      </w:pPr>
      <w:r>
        <w:tab/>
      </w:r>
      <w:r>
        <w:rPr>
          <w:rFonts w:ascii="Times New Roman" w:hAnsi="Times New Roman" w:cs="Times New Roman"/>
        </w:rPr>
        <w:t xml:space="preserve">Having outlined the existing gaps in the literature and demonstrated the need for a multi-level analysis, </w:t>
      </w:r>
      <w:r w:rsidRPr="000D2883">
        <w:rPr>
          <w:rFonts w:ascii="Times New Roman" w:hAnsi="Times New Roman" w:cs="Times New Roman"/>
          <w:i/>
          <w:iCs/>
        </w:rPr>
        <w:t>Chapter Two</w:t>
      </w:r>
      <w:r>
        <w:rPr>
          <w:rFonts w:ascii="Times New Roman" w:hAnsi="Times New Roman" w:cs="Times New Roman"/>
        </w:rPr>
        <w:t xml:space="preserve"> sets out the thesis’ analytical framework. The analytical framework is grounded in </w:t>
      </w:r>
      <w:r w:rsidR="007D5FDB">
        <w:rPr>
          <w:rFonts w:ascii="Times New Roman" w:hAnsi="Times New Roman" w:cs="Times New Roman"/>
        </w:rPr>
        <w:t xml:space="preserve">a </w:t>
      </w:r>
      <w:r>
        <w:rPr>
          <w:rFonts w:ascii="Times New Roman" w:hAnsi="Times New Roman" w:cs="Times New Roman"/>
        </w:rPr>
        <w:t>social movement approaches. Frames analysis is used to explain attitudinal change, thus showing how disengagement frames are constructed, diffused and successfully resonate among Provisional IRA members. In terms of organisational disengagement, the thesis identifies different stages in the disengagement process which can have implications for reducing the risk of a slip-back into violence: disarmament; de-mobilisation; and re-integration. Structural change is examined in terms of how the consociational political system – which is a specific type of structure - can address the grievances that have driven the conflict and how it can constrain and enable opportunities for those who wish to use terrorism and political violence. These three factors are combined in a framework that shows how they interact to form a process that can be used to explain the ebbs and flows of the Irish Republican movement.</w:t>
      </w:r>
    </w:p>
    <w:p w14:paraId="59E7EAC6" w14:textId="2DB31729" w:rsidR="00611B51" w:rsidRDefault="00611B51" w:rsidP="00B57C7F">
      <w:pPr>
        <w:spacing w:line="360" w:lineRule="auto"/>
        <w:jc w:val="both"/>
        <w:rPr>
          <w:rFonts w:ascii="Times New Roman" w:hAnsi="Times New Roman" w:cs="Times New Roman"/>
        </w:rPr>
      </w:pPr>
      <w:r>
        <w:rPr>
          <w:rFonts w:ascii="Times New Roman" w:hAnsi="Times New Roman" w:cs="Times New Roman"/>
        </w:rPr>
        <w:tab/>
        <w:t xml:space="preserve">The Irish Republican movement is nuanced and contains multiple actors, therefore the aim of </w:t>
      </w:r>
      <w:r w:rsidRPr="00F21E6F">
        <w:rPr>
          <w:rFonts w:ascii="Times New Roman" w:hAnsi="Times New Roman" w:cs="Times New Roman"/>
          <w:i/>
          <w:iCs/>
        </w:rPr>
        <w:t>Chapter Three</w:t>
      </w:r>
      <w:r>
        <w:rPr>
          <w:rFonts w:ascii="Times New Roman" w:hAnsi="Times New Roman" w:cs="Times New Roman"/>
        </w:rPr>
        <w:t xml:space="preserve"> is to firstly provide an historical context for the movement, specifically focusing on the emergence of the Provisional IRA. The </w:t>
      </w:r>
      <w:r>
        <w:rPr>
          <w:rFonts w:ascii="Times New Roman" w:hAnsi="Times New Roman" w:cs="Times New Roman"/>
        </w:rPr>
        <w:lastRenderedPageBreak/>
        <w:t>chapter also provides a foundation for the rest of the thesis by outlining the different cases of disengagement that have been attempted by different iterations of the IRA. Furthermore, Chapter Three sets out the structural causes of the conflict and signposts the differences between the two generations of Republicans that existed in the Provisional IRA prior to disengagement. Specific focus is placed on the failed attempt at disengagement in 1975 to enable a comparative analysis with the 1994 disengagement in the preceding chapters.</w:t>
      </w:r>
    </w:p>
    <w:p w14:paraId="312681C7" w14:textId="77777777" w:rsidR="00611B51" w:rsidRDefault="00611B51" w:rsidP="00B57C7F">
      <w:pPr>
        <w:spacing w:line="360" w:lineRule="auto"/>
        <w:jc w:val="both"/>
        <w:rPr>
          <w:rFonts w:ascii="Times New Roman" w:hAnsi="Times New Roman" w:cs="Times New Roman"/>
        </w:rPr>
      </w:pPr>
      <w:r>
        <w:rPr>
          <w:rFonts w:ascii="Times New Roman" w:hAnsi="Times New Roman" w:cs="Times New Roman"/>
        </w:rPr>
        <w:tab/>
        <w:t xml:space="preserve">The aim of </w:t>
      </w:r>
      <w:r w:rsidRPr="00CF4C32">
        <w:rPr>
          <w:rFonts w:ascii="Times New Roman" w:hAnsi="Times New Roman" w:cs="Times New Roman"/>
          <w:i/>
          <w:iCs/>
        </w:rPr>
        <w:t>Chapter Four</w:t>
      </w:r>
      <w:r>
        <w:rPr>
          <w:rFonts w:ascii="Times New Roman" w:hAnsi="Times New Roman" w:cs="Times New Roman"/>
        </w:rPr>
        <w:t xml:space="preserve"> is to explain the Provisional IRA’s disengagement by using frames analysis to account for how it managed to convince most of its membership to support the strategy. The successful resonance of the disengagement frame helped to reduce the risk of recidivism and provided a solid foundation for diffusing the process throughout the movement later on. Over time, the Provisional IRA constructed a disengagement frame which maintained narrative fidelity by building on the legitimacy of armed struggle. The messengers of the frame had linkages throughout the movement because of organisational restructuring that had previously taken place, and because of the relative freedom to interact with other members, particularly in prisons. The messengers had credibility within the group through their experience in the conflict, prisons functioned to bestow credibility too, and external actors were utilised to provide further legitimacy. Through these linkages, the disengagement frame was diffused throughout the group in a series of meetings and discussions, which had a relative degree of openness to be judged fair but a degree of control to push the advantage to those advocating the disengagement frame. The Provisional IRA, broadly accepting disengagement, then began the process of organisational disengagement and the diffusion of the disengagement frame throughout the movement. </w:t>
      </w:r>
    </w:p>
    <w:p w14:paraId="2D4D6C96" w14:textId="0102E506" w:rsidR="00611B51" w:rsidRDefault="00611B51" w:rsidP="00B57C7F">
      <w:pPr>
        <w:spacing w:line="360" w:lineRule="auto"/>
        <w:jc w:val="both"/>
        <w:rPr>
          <w:rFonts w:ascii="Times New Roman" w:hAnsi="Times New Roman" w:cs="Times New Roman"/>
        </w:rPr>
      </w:pPr>
      <w:r>
        <w:rPr>
          <w:rFonts w:ascii="Times New Roman" w:hAnsi="Times New Roman" w:cs="Times New Roman"/>
        </w:rPr>
        <w:tab/>
      </w:r>
      <w:r w:rsidRPr="005E11EC">
        <w:rPr>
          <w:rFonts w:ascii="Times New Roman" w:hAnsi="Times New Roman" w:cs="Times New Roman"/>
          <w:i/>
          <w:iCs/>
        </w:rPr>
        <w:t>Chapter Five</w:t>
      </w:r>
      <w:r>
        <w:rPr>
          <w:rFonts w:ascii="Times New Roman" w:hAnsi="Times New Roman" w:cs="Times New Roman"/>
        </w:rPr>
        <w:t xml:space="preserve"> outlines how the risk of recidivism has been reduced in three dimensions: organisational disengagement; changes in the political system; and changes in attitudes toward violence. Recidivism is understood to refer to the Provisional IRA, other Republican groups, and, as a result of their ability to increase Republican violence, the Loyalist paramilitary groups. The Provisional IRA primarily disengaged into two routes: into political institutions and into community activism. The thesis focuses on the mobile phone networks that emerged to contain violence at interface areas where Republican and Loyalist communities meet. In </w:t>
      </w:r>
      <w:r>
        <w:rPr>
          <w:rFonts w:ascii="Times New Roman" w:hAnsi="Times New Roman" w:cs="Times New Roman"/>
        </w:rPr>
        <w:lastRenderedPageBreak/>
        <w:t>addition to providing incentives to remain disengaged, community activism worked to contain structural causes of violence which could escalate and provoke a wider return to violence. Community activism through the mobile phones network fostered co-operation between the Irish Republican and Loyalis</w:t>
      </w:r>
      <w:r w:rsidR="007D5FDB">
        <w:rPr>
          <w:rFonts w:ascii="Times New Roman" w:hAnsi="Times New Roman" w:cs="Times New Roman"/>
        </w:rPr>
        <w:t>t movements, which le</w:t>
      </w:r>
      <w:r>
        <w:rPr>
          <w:rFonts w:ascii="Times New Roman" w:hAnsi="Times New Roman" w:cs="Times New Roman"/>
        </w:rPr>
        <w:t xml:space="preserve">d other militant groups to disengage. While community activism has meant that the Provisional IRA has continued as an informal social network, meetings between the local leaders of militant groups have helped to contain violence at crucial flashpoints. However, tensions in the consociational political system can disrupt mechanisms such as the network and may in the long term provide more opportunities for groups who oppose disengagement, as the disengagement frame has maintained narrative fidelity on the condition of the utility of a political approach. Since the commitment to disengagement is perceived to be contingent on success at the political level, there have been calls for the Provisional IRA and Sinn Fein to adopt a ‘de-radicalised’ disengagement frame. However, the chapter argues that the disengagement frame is essential to maintain credibility and that limits the opportunities for those advocating violence to mobilise. Furthermore, despite accusations that it glorifies violence, the disengagement frame has matured to the extent that Provisional IRA members cannot see any logic to violence. </w:t>
      </w:r>
    </w:p>
    <w:p w14:paraId="6289A386" w14:textId="77777777" w:rsidR="00F4623B" w:rsidRDefault="00611B51" w:rsidP="00B57C7F">
      <w:pPr>
        <w:spacing w:line="360" w:lineRule="auto"/>
        <w:jc w:val="both"/>
        <w:rPr>
          <w:rFonts w:ascii="Times New Roman" w:hAnsi="Times New Roman" w:cs="Times New Roman"/>
        </w:rPr>
        <w:sectPr w:rsidR="00F4623B" w:rsidSect="005A37A6">
          <w:footerReference w:type="default" r:id="rId10"/>
          <w:footnotePr>
            <w:numRestart w:val="eachSect"/>
          </w:footnotePr>
          <w:pgSz w:w="11906" w:h="16838"/>
          <w:pgMar w:top="1440" w:right="1440" w:bottom="1440" w:left="2268" w:header="709" w:footer="709" w:gutter="0"/>
          <w:pgNumType w:start="1"/>
          <w:cols w:space="708"/>
          <w:docGrid w:linePitch="360"/>
        </w:sectPr>
      </w:pPr>
      <w:r>
        <w:rPr>
          <w:rFonts w:ascii="Times New Roman" w:hAnsi="Times New Roman" w:cs="Times New Roman"/>
        </w:rPr>
        <w:tab/>
        <w:t xml:space="preserve">While the disengagement frame is sufficient to end violence among the Provisional IRA, </w:t>
      </w:r>
      <w:r w:rsidRPr="005E11EC">
        <w:rPr>
          <w:rFonts w:ascii="Times New Roman" w:hAnsi="Times New Roman" w:cs="Times New Roman"/>
          <w:i/>
          <w:iCs/>
        </w:rPr>
        <w:t>Chapter Six</w:t>
      </w:r>
      <w:r>
        <w:rPr>
          <w:rFonts w:ascii="Times New Roman" w:hAnsi="Times New Roman" w:cs="Times New Roman"/>
        </w:rPr>
        <w:t xml:space="preserve"> addresses concerns that the younger generation are susceptible to supporting violence because of it. The aim of the chapter is to analyse how successfully the disengagement frame resonates with the younger generation, arguing that this can play a significant role in breaking the link between generations in terms of supporting violence. The chapter argues that the more young people are exposed to the disengagement frame in political networks, the more they can distinguish between narratives that supposedly glorify violence and the narratives that oppose the use of violence. The chapter explores one specific project which brings former combatants into schools to improve the knowledge of the conflict among young people and to help de-glamourise violence. It demonstrates how the interaction between former combatants and young people acts to diffuse the justifications for disengaging but in doing so it also leads to further de-radicalisation of the disengagement frame. The resonance of this new frame provides the next generation with the rationale for not becoming involved in armed violence. </w:t>
      </w:r>
    </w:p>
    <w:p w14:paraId="0E4B804D" w14:textId="4CBF50C0" w:rsidR="00611B51" w:rsidRPr="002541BA" w:rsidRDefault="00611B51" w:rsidP="00B57C7F">
      <w:pPr>
        <w:spacing w:line="360" w:lineRule="auto"/>
        <w:jc w:val="both"/>
        <w:rPr>
          <w:rFonts w:ascii="Times New Roman" w:hAnsi="Times New Roman" w:cs="Times New Roman"/>
        </w:rPr>
      </w:pPr>
    </w:p>
    <w:p w14:paraId="0185BA3B" w14:textId="77777777" w:rsidR="009E3DF5" w:rsidRDefault="009E3DF5" w:rsidP="00B57C7F">
      <w:pPr>
        <w:spacing w:line="360" w:lineRule="auto"/>
      </w:pPr>
    </w:p>
    <w:p w14:paraId="02461C04" w14:textId="77777777" w:rsidR="009E3DF5" w:rsidRPr="009E3DF5" w:rsidRDefault="009E3DF5" w:rsidP="00B57C7F">
      <w:pPr>
        <w:spacing w:line="360" w:lineRule="auto"/>
      </w:pPr>
    </w:p>
    <w:p w14:paraId="56AD69DE" w14:textId="77777777" w:rsidR="0008136F" w:rsidRDefault="0008136F" w:rsidP="00B57C7F">
      <w:pPr>
        <w:spacing w:after="200" w:line="360" w:lineRule="auto"/>
        <w:rPr>
          <w:rFonts w:ascii="Times New Roman" w:hAnsi="Times New Roman" w:cs="Times New Roman"/>
          <w:b/>
        </w:rPr>
      </w:pPr>
      <w:r>
        <w:rPr>
          <w:rFonts w:ascii="Times New Roman" w:hAnsi="Times New Roman" w:cs="Times New Roman"/>
          <w:b/>
        </w:rPr>
        <w:br w:type="page"/>
      </w:r>
    </w:p>
    <w:p w14:paraId="7F0A62B5" w14:textId="504D8846" w:rsidR="009E3DF5" w:rsidRPr="009E3DF5" w:rsidRDefault="009E3DF5" w:rsidP="00B57C7F">
      <w:pPr>
        <w:pStyle w:val="Heading2"/>
        <w:spacing w:before="120" w:line="360" w:lineRule="auto"/>
      </w:pPr>
      <w:bookmarkStart w:id="24" w:name="_Toc389208807"/>
      <w:r w:rsidRPr="009E3DF5">
        <w:lastRenderedPageBreak/>
        <w:t>CHAPTER TWO</w:t>
      </w:r>
      <w:bookmarkEnd w:id="24"/>
    </w:p>
    <w:p w14:paraId="4C79A906" w14:textId="77777777" w:rsidR="00D807B4" w:rsidRDefault="009E3DF5" w:rsidP="00B57C7F">
      <w:pPr>
        <w:spacing w:line="360" w:lineRule="auto"/>
        <w:ind w:right="1701"/>
        <w:rPr>
          <w:b/>
          <w:sz w:val="40"/>
          <w:szCs w:val="40"/>
        </w:rPr>
      </w:pPr>
      <w:r w:rsidRPr="001C3D76">
        <w:rPr>
          <w:b/>
          <w:sz w:val="40"/>
          <w:szCs w:val="40"/>
        </w:rPr>
        <w:t>A Social Move</w:t>
      </w:r>
      <w:r w:rsidR="00F40F10">
        <w:rPr>
          <w:b/>
          <w:sz w:val="40"/>
          <w:szCs w:val="40"/>
        </w:rPr>
        <w:t>ment Approach to Disengagement</w:t>
      </w:r>
    </w:p>
    <w:p w14:paraId="780265E0" w14:textId="77777777" w:rsidR="0082339A" w:rsidRDefault="00F40F10" w:rsidP="00B57C7F">
      <w:pPr>
        <w:spacing w:line="360" w:lineRule="auto"/>
        <w:ind w:firstLine="720"/>
        <w:jc w:val="both"/>
        <w:rPr>
          <w:rFonts w:ascii="Times New Roman" w:hAnsi="Times New Roman" w:cs="Times New Roman"/>
          <w:bCs/>
        </w:rPr>
      </w:pPr>
      <w:r>
        <w:rPr>
          <w:rFonts w:ascii="Times New Roman" w:hAnsi="Times New Roman" w:cs="Times New Roman"/>
          <w:bCs/>
        </w:rPr>
        <w:t>Th</w:t>
      </w:r>
      <w:r w:rsidR="009E3DF5">
        <w:rPr>
          <w:rFonts w:ascii="Times New Roman" w:hAnsi="Times New Roman" w:cs="Times New Roman"/>
          <w:bCs/>
        </w:rPr>
        <w:t xml:space="preserve">e function of Chapter Two is to outline the approach the thesis takes to address the problem it identified in the literature: how do terrorism campaigns end and what prevents a slip-back into violence – herein referred to as recidivism. As discussed in Chapter One, explanations of how terrorism campaigns end and recidivism is reduced can be grouped into three types: de-radicalisation/attitudinal change; disengagement/behavioural change; and structural change. Crucially, while the thesis is seeking to explain disengagement of a social movement – i.e. how that social movement ceases to engage in armed violence – the </w:t>
      </w:r>
      <w:r w:rsidR="009E3DF5" w:rsidRPr="00A25A56">
        <w:rPr>
          <w:rFonts w:ascii="Times New Roman" w:hAnsi="Times New Roman" w:cs="Times New Roman"/>
          <w:bCs/>
        </w:rPr>
        <w:t>disengagement process</w:t>
      </w:r>
      <w:r w:rsidR="009E3DF5" w:rsidRPr="00A25A56">
        <w:rPr>
          <w:rFonts w:ascii="Times New Roman" w:hAnsi="Times New Roman" w:cs="Times New Roman"/>
          <w:bCs/>
          <w:i/>
          <w:iCs/>
        </w:rPr>
        <w:t xml:space="preserve"> </w:t>
      </w:r>
      <w:r w:rsidR="009E3DF5">
        <w:rPr>
          <w:rFonts w:ascii="Times New Roman" w:hAnsi="Times New Roman" w:cs="Times New Roman"/>
          <w:bCs/>
        </w:rPr>
        <w:t xml:space="preserve">is also a cause of further disengagement </w:t>
      </w:r>
      <w:r w:rsidR="00F01CCA">
        <w:rPr>
          <w:rFonts w:ascii="Times New Roman" w:hAnsi="Times New Roman" w:cs="Times New Roman"/>
          <w:bCs/>
        </w:rPr>
        <w:t>and recidivism reduction: it can pull actors into other forms of disengagement, for example from ceasefires to handing in weapons, and it can encourage other actors to disengage, too, thus creating a domino-effect</w:t>
      </w:r>
      <w:r w:rsidR="00D51325">
        <w:rPr>
          <w:rFonts w:ascii="Times New Roman" w:hAnsi="Times New Roman" w:cs="Times New Roman"/>
          <w:bCs/>
        </w:rPr>
        <w:t>.</w:t>
      </w:r>
      <w:r w:rsidR="00F01CCA">
        <w:rPr>
          <w:rStyle w:val="FootnoteReference"/>
          <w:rFonts w:ascii="Times New Roman" w:hAnsi="Times New Roman" w:cs="Times New Roman"/>
          <w:bCs/>
        </w:rPr>
        <w:footnoteReference w:id="129"/>
      </w:r>
      <w:r w:rsidR="009E3DF5">
        <w:rPr>
          <w:rFonts w:ascii="Times New Roman" w:hAnsi="Times New Roman" w:cs="Times New Roman"/>
          <w:bCs/>
        </w:rPr>
        <w:t xml:space="preserve"> </w:t>
      </w:r>
    </w:p>
    <w:p w14:paraId="72561AFA" w14:textId="0F0B48A6" w:rsidR="009E3DF5" w:rsidRDefault="009E3DF5" w:rsidP="00B57C7F">
      <w:pPr>
        <w:spacing w:line="360" w:lineRule="auto"/>
        <w:ind w:firstLine="720"/>
        <w:jc w:val="both"/>
        <w:rPr>
          <w:rFonts w:ascii="Times New Roman" w:hAnsi="Times New Roman" w:cs="Times New Roman"/>
          <w:bCs/>
        </w:rPr>
      </w:pPr>
      <w:r w:rsidRPr="00A25A56">
        <w:rPr>
          <w:rFonts w:ascii="Times New Roman" w:hAnsi="Times New Roman" w:cs="Times New Roman"/>
          <w:bCs/>
          <w:i/>
          <w:iCs/>
        </w:rPr>
        <w:t>Disengagement</w:t>
      </w:r>
      <w:r>
        <w:rPr>
          <w:rFonts w:ascii="Times New Roman" w:hAnsi="Times New Roman" w:cs="Times New Roman"/>
          <w:bCs/>
        </w:rPr>
        <w:t xml:space="preserve"> refers to a behavioural change away from using armed violence, motivated by a change in priorities in response to changing circumstances, but this change in behaviour can be accompanied </w:t>
      </w:r>
      <w:r w:rsidR="0082339A">
        <w:rPr>
          <w:rFonts w:ascii="Times New Roman" w:hAnsi="Times New Roman" w:cs="Times New Roman"/>
          <w:bCs/>
        </w:rPr>
        <w:t xml:space="preserve">by the </w:t>
      </w:r>
      <w:r>
        <w:rPr>
          <w:rFonts w:ascii="Times New Roman" w:hAnsi="Times New Roman" w:cs="Times New Roman"/>
          <w:bCs/>
        </w:rPr>
        <w:t>maintenance of attitudes that drove involvement</w:t>
      </w:r>
      <w:r w:rsidR="00D51325">
        <w:rPr>
          <w:rFonts w:ascii="Times New Roman" w:hAnsi="Times New Roman" w:cs="Times New Roman"/>
          <w:bCs/>
        </w:rPr>
        <w:t>.</w:t>
      </w:r>
      <w:r>
        <w:rPr>
          <w:rStyle w:val="FootnoteReference"/>
          <w:rFonts w:ascii="Times New Roman" w:hAnsi="Times New Roman" w:cs="Times New Roman"/>
          <w:bCs/>
        </w:rPr>
        <w:footnoteReference w:id="130"/>
      </w:r>
      <w:r>
        <w:rPr>
          <w:rFonts w:ascii="Times New Roman" w:hAnsi="Times New Roman" w:cs="Times New Roman"/>
          <w:bCs/>
        </w:rPr>
        <w:t xml:space="preserve"> The </w:t>
      </w:r>
      <w:r w:rsidRPr="00A25A56">
        <w:rPr>
          <w:rFonts w:ascii="Times New Roman" w:hAnsi="Times New Roman" w:cs="Times New Roman"/>
          <w:bCs/>
          <w:i/>
          <w:iCs/>
        </w:rPr>
        <w:t>process of disengagement</w:t>
      </w:r>
      <w:r>
        <w:rPr>
          <w:rFonts w:ascii="Times New Roman" w:hAnsi="Times New Roman" w:cs="Times New Roman"/>
          <w:bCs/>
        </w:rPr>
        <w:t xml:space="preserve"> – or organisational disengagement - itself can act to encourage other groups to disengage and reduce the risk of recidivism through disarmament, demobilisation and re-integration</w:t>
      </w:r>
      <w:r w:rsidR="00A25BB4">
        <w:rPr>
          <w:rFonts w:ascii="Times New Roman" w:hAnsi="Times New Roman" w:cs="Times New Roman"/>
          <w:bCs/>
        </w:rPr>
        <w:t>.</w:t>
      </w:r>
      <w:r>
        <w:rPr>
          <w:rStyle w:val="FootnoteReference"/>
          <w:rFonts w:ascii="Times New Roman" w:hAnsi="Times New Roman" w:cs="Times New Roman"/>
          <w:bCs/>
        </w:rPr>
        <w:footnoteReference w:id="131"/>
      </w:r>
      <w:r>
        <w:rPr>
          <w:rFonts w:ascii="Times New Roman" w:hAnsi="Times New Roman" w:cs="Times New Roman"/>
          <w:bCs/>
        </w:rPr>
        <w:t xml:space="preserve"> </w:t>
      </w:r>
      <w:r w:rsidRPr="00A25A56">
        <w:rPr>
          <w:rFonts w:ascii="Times New Roman" w:hAnsi="Times New Roman" w:cs="Times New Roman"/>
          <w:bCs/>
          <w:i/>
          <w:iCs/>
        </w:rPr>
        <w:t>De-radicalisation</w:t>
      </w:r>
      <w:r>
        <w:rPr>
          <w:rFonts w:ascii="Times New Roman" w:hAnsi="Times New Roman" w:cs="Times New Roman"/>
          <w:bCs/>
        </w:rPr>
        <w:t xml:space="preserve"> refers to the motivations, ideology and attitudes to armed violence changing </w:t>
      </w:r>
      <w:r w:rsidRPr="00A25A56">
        <w:rPr>
          <w:rFonts w:ascii="Times New Roman" w:hAnsi="Times New Roman" w:cs="Times New Roman"/>
          <w:bCs/>
        </w:rPr>
        <w:t>genuinely</w:t>
      </w:r>
      <w:r>
        <w:rPr>
          <w:rFonts w:ascii="Times New Roman" w:hAnsi="Times New Roman" w:cs="Times New Roman"/>
          <w:bCs/>
        </w:rPr>
        <w:t>, meaning the indi</w:t>
      </w:r>
      <w:r w:rsidR="0082339A">
        <w:rPr>
          <w:rFonts w:ascii="Times New Roman" w:hAnsi="Times New Roman" w:cs="Times New Roman"/>
          <w:bCs/>
        </w:rPr>
        <w:t>vidual or group no longer wish</w:t>
      </w:r>
      <w:r>
        <w:rPr>
          <w:rFonts w:ascii="Times New Roman" w:hAnsi="Times New Roman" w:cs="Times New Roman"/>
          <w:bCs/>
        </w:rPr>
        <w:t xml:space="preserve"> to engage in armed violence, thus reducing the risk of recidivism</w:t>
      </w:r>
      <w:r w:rsidR="00A25BB4">
        <w:rPr>
          <w:rFonts w:ascii="Times New Roman" w:hAnsi="Times New Roman" w:cs="Times New Roman"/>
          <w:bCs/>
        </w:rPr>
        <w:t>.</w:t>
      </w:r>
      <w:r>
        <w:rPr>
          <w:rStyle w:val="FootnoteReference"/>
          <w:rFonts w:ascii="Times New Roman" w:hAnsi="Times New Roman" w:cs="Times New Roman"/>
          <w:bCs/>
        </w:rPr>
        <w:footnoteReference w:id="132"/>
      </w:r>
      <w:r>
        <w:rPr>
          <w:rFonts w:ascii="Times New Roman" w:hAnsi="Times New Roman" w:cs="Times New Roman"/>
          <w:bCs/>
        </w:rPr>
        <w:t xml:space="preserve"> </w:t>
      </w:r>
      <w:r w:rsidRPr="00A25A56">
        <w:rPr>
          <w:rFonts w:ascii="Times New Roman" w:hAnsi="Times New Roman" w:cs="Times New Roman"/>
          <w:bCs/>
          <w:i/>
          <w:iCs/>
        </w:rPr>
        <w:t>Structural change</w:t>
      </w:r>
      <w:r>
        <w:rPr>
          <w:rFonts w:ascii="Times New Roman" w:hAnsi="Times New Roman" w:cs="Times New Roman"/>
          <w:bCs/>
        </w:rPr>
        <w:t xml:space="preserve">, such as changes in technology, changes in the international arena such as the collapse of the Soviet Union and changes in political systems, can affect the group’s ability to </w:t>
      </w:r>
      <w:r>
        <w:rPr>
          <w:rFonts w:ascii="Times New Roman" w:hAnsi="Times New Roman" w:cs="Times New Roman"/>
          <w:bCs/>
        </w:rPr>
        <w:lastRenderedPageBreak/>
        <w:t>mobilise resources and limit opportunities</w:t>
      </w:r>
      <w:r w:rsidR="00A25BB4">
        <w:rPr>
          <w:rFonts w:ascii="Times New Roman" w:hAnsi="Times New Roman" w:cs="Times New Roman"/>
          <w:bCs/>
        </w:rPr>
        <w:t>.</w:t>
      </w:r>
      <w:r>
        <w:rPr>
          <w:rStyle w:val="FootnoteReference"/>
          <w:rFonts w:ascii="Times New Roman" w:hAnsi="Times New Roman" w:cs="Times New Roman"/>
          <w:bCs/>
        </w:rPr>
        <w:footnoteReference w:id="133"/>
      </w:r>
      <w:r>
        <w:rPr>
          <w:rFonts w:ascii="Times New Roman" w:hAnsi="Times New Roman" w:cs="Times New Roman"/>
          <w:bCs/>
        </w:rPr>
        <w:t xml:space="preserve"> One epiphenomenon of structural change is the changing attitudes of the next generation, whereby a militant group is unable to pass on the struggle to the next generation</w:t>
      </w:r>
      <w:r w:rsidR="00D51325">
        <w:rPr>
          <w:rFonts w:ascii="Times New Roman" w:hAnsi="Times New Roman" w:cs="Times New Roman"/>
          <w:bCs/>
        </w:rPr>
        <w:t>,</w:t>
      </w:r>
      <w:r>
        <w:rPr>
          <w:rStyle w:val="FootnoteReference"/>
          <w:rFonts w:ascii="Times New Roman" w:hAnsi="Times New Roman" w:cs="Times New Roman"/>
          <w:bCs/>
        </w:rPr>
        <w:footnoteReference w:id="134"/>
      </w:r>
      <w:r>
        <w:rPr>
          <w:rFonts w:ascii="Times New Roman" w:hAnsi="Times New Roman" w:cs="Times New Roman"/>
          <w:bCs/>
        </w:rPr>
        <w:t xml:space="preserve"> or passing the struggle to the next generation leads to its degradation into an isolated, apolitical gang</w:t>
      </w:r>
      <w:r w:rsidR="00A25BB4">
        <w:rPr>
          <w:rFonts w:ascii="Times New Roman" w:hAnsi="Times New Roman" w:cs="Times New Roman"/>
          <w:bCs/>
        </w:rPr>
        <w:t>.</w:t>
      </w:r>
      <w:r>
        <w:rPr>
          <w:rStyle w:val="FootnoteReference"/>
          <w:rFonts w:ascii="Times New Roman" w:hAnsi="Times New Roman" w:cs="Times New Roman"/>
          <w:bCs/>
        </w:rPr>
        <w:footnoteReference w:id="135"/>
      </w:r>
      <w:r>
        <w:rPr>
          <w:rFonts w:ascii="Times New Roman" w:hAnsi="Times New Roman" w:cs="Times New Roman"/>
          <w:bCs/>
        </w:rPr>
        <w:t xml:space="preserve"> While the previous chapter demonstrated how each of these approaches was insufficient, the function of Chapter Two is to bring these three strands together within a social movement approach. Before explaining the rationale for utilising a social movement approach, the thesis will address definitional problems that emerge from studying terrorism and Northern Ireland.  </w:t>
      </w:r>
    </w:p>
    <w:p w14:paraId="6C55D3D1" w14:textId="77777777" w:rsidR="009E3DF5" w:rsidRDefault="009E3DF5" w:rsidP="00B57C7F">
      <w:pPr>
        <w:spacing w:line="360" w:lineRule="auto"/>
        <w:jc w:val="both"/>
        <w:rPr>
          <w:rFonts w:ascii="Times New Roman" w:hAnsi="Times New Roman" w:cs="Times New Roman"/>
          <w:bCs/>
        </w:rPr>
      </w:pPr>
    </w:p>
    <w:p w14:paraId="1E4D6D4F" w14:textId="025939DE" w:rsidR="00595B8E" w:rsidRDefault="00595B8E" w:rsidP="00595B8E">
      <w:pPr>
        <w:pStyle w:val="Heading3"/>
        <w:spacing w:before="120" w:line="360" w:lineRule="auto"/>
        <w:rPr>
          <w:rFonts w:ascii="Times New Roman" w:hAnsi="Times New Roman"/>
          <w:bCs w:val="0"/>
        </w:rPr>
      </w:pPr>
      <w:r>
        <w:t>Ontological Position in Terrorism Studies: a Critical Realist Approach</w:t>
      </w:r>
    </w:p>
    <w:p w14:paraId="5B32C69C" w14:textId="77777777" w:rsidR="00985943" w:rsidRDefault="009E3DF5" w:rsidP="00985943">
      <w:pPr>
        <w:spacing w:line="360" w:lineRule="auto"/>
        <w:jc w:val="both"/>
        <w:rPr>
          <w:rFonts w:ascii="Times New Roman" w:hAnsi="Times New Roman" w:cs="Times New Roman"/>
          <w:bCs/>
        </w:rPr>
      </w:pPr>
      <w:r>
        <w:rPr>
          <w:rFonts w:ascii="Times New Roman" w:hAnsi="Times New Roman" w:cs="Times New Roman"/>
          <w:b/>
        </w:rPr>
        <w:tab/>
      </w:r>
      <w:r w:rsidR="00985943">
        <w:rPr>
          <w:rFonts w:ascii="Times New Roman" w:hAnsi="Times New Roman" w:cs="Times New Roman"/>
        </w:rPr>
        <w:t xml:space="preserve">The definitional problem in terrorism studies is in part a result of a lack of ontological exposition, which is often implicit. </w:t>
      </w:r>
      <w:r w:rsidR="00985943">
        <w:rPr>
          <w:rFonts w:ascii="Times New Roman" w:hAnsi="Times New Roman" w:cs="Times New Roman"/>
          <w:bCs/>
        </w:rPr>
        <w:t>The terrorism literature exhibits broadly two types of definition: the objective approach attempts to identify durable traits that constitute the act of terrorism and ‘the terrorist’;</w:t>
      </w:r>
      <w:r w:rsidR="00985943">
        <w:rPr>
          <w:rStyle w:val="FootnoteReference"/>
          <w:rFonts w:ascii="Times New Roman" w:hAnsi="Times New Roman" w:cs="Times New Roman"/>
          <w:bCs/>
        </w:rPr>
        <w:footnoteReference w:id="136"/>
      </w:r>
      <w:r w:rsidR="00985943">
        <w:rPr>
          <w:rFonts w:ascii="Times New Roman" w:hAnsi="Times New Roman" w:cs="Times New Roman"/>
          <w:bCs/>
        </w:rPr>
        <w:t xml:space="preserve"> the subjective approach highlights the contested nature of legitimacy, seeking to set out when terrorism is legitimate</w:t>
      </w:r>
      <w:r w:rsidR="00985943">
        <w:rPr>
          <w:rStyle w:val="FootnoteReference"/>
          <w:rFonts w:ascii="Times New Roman" w:hAnsi="Times New Roman" w:cs="Times New Roman"/>
          <w:bCs/>
        </w:rPr>
        <w:footnoteReference w:id="137"/>
      </w:r>
      <w:r w:rsidR="00985943">
        <w:rPr>
          <w:rFonts w:ascii="Times New Roman" w:hAnsi="Times New Roman" w:cs="Times New Roman"/>
          <w:bCs/>
        </w:rPr>
        <w:t xml:space="preserve"> or analysing how states and elites use the term to de-legitimise others and maintain power.</w:t>
      </w:r>
      <w:r w:rsidR="00985943">
        <w:rPr>
          <w:rStyle w:val="FootnoteReference"/>
          <w:rFonts w:ascii="Times New Roman" w:hAnsi="Times New Roman" w:cs="Times New Roman"/>
          <w:bCs/>
        </w:rPr>
        <w:footnoteReference w:id="138"/>
      </w:r>
      <w:r w:rsidR="00985943">
        <w:rPr>
          <w:rFonts w:ascii="Times New Roman" w:hAnsi="Times New Roman" w:cs="Times New Roman"/>
          <w:bCs/>
        </w:rPr>
        <w:t xml:space="preserve"> Thus, the ‘minimal foundationalist’ definition of terrorism, as discussed by Toros and Gunning,</w:t>
      </w:r>
      <w:r w:rsidR="00985943">
        <w:rPr>
          <w:rStyle w:val="FootnoteReference"/>
          <w:rFonts w:ascii="Times New Roman" w:hAnsi="Times New Roman" w:cs="Times New Roman"/>
          <w:bCs/>
        </w:rPr>
        <w:footnoteReference w:id="139"/>
      </w:r>
      <w:r w:rsidR="00985943">
        <w:rPr>
          <w:rFonts w:ascii="Times New Roman" w:hAnsi="Times New Roman" w:cs="Times New Roman"/>
          <w:bCs/>
        </w:rPr>
        <w:t xml:space="preserve"> will be adopted, not only for defining terrorism, but as the ontological underpinning of the thesis. </w:t>
      </w:r>
    </w:p>
    <w:p w14:paraId="45FA30E7" w14:textId="77777777" w:rsidR="00985943" w:rsidRDefault="00985943" w:rsidP="00985943">
      <w:pPr>
        <w:spacing w:line="360" w:lineRule="auto"/>
        <w:ind w:firstLine="720"/>
        <w:jc w:val="both"/>
        <w:rPr>
          <w:rFonts w:ascii="Times New Roman" w:hAnsi="Times New Roman" w:cs="Times New Roman"/>
        </w:rPr>
      </w:pPr>
      <w:r w:rsidRPr="00F90711">
        <w:rPr>
          <w:rFonts w:ascii="Times New Roman" w:hAnsi="Times New Roman" w:cs="Times New Roman"/>
        </w:rPr>
        <w:t>While Toros and Gunning do not explicitly make reference to it, their approach situates them within the critical realism ontological approach. The thesis’ ontology is influenced by Margaret Archer’s critical realism</w:t>
      </w:r>
      <w:r>
        <w:rPr>
          <w:rFonts w:ascii="Times New Roman" w:hAnsi="Times New Roman" w:cs="Times New Roman"/>
        </w:rPr>
        <w:t xml:space="preserve"> and critical realism in </w:t>
      </w:r>
      <w:r>
        <w:rPr>
          <w:rFonts w:ascii="Times New Roman" w:hAnsi="Times New Roman" w:cs="Times New Roman"/>
        </w:rPr>
        <w:lastRenderedPageBreak/>
        <w:t>general</w:t>
      </w:r>
      <w:r w:rsidRPr="00F90711">
        <w:rPr>
          <w:rFonts w:ascii="Times New Roman" w:hAnsi="Times New Roman" w:cs="Times New Roman"/>
        </w:rPr>
        <w:t>.</w:t>
      </w:r>
      <w:r>
        <w:rPr>
          <w:rFonts w:ascii="Times New Roman" w:hAnsi="Times New Roman" w:cs="Times New Roman"/>
        </w:rPr>
        <w:t xml:space="preserve"> Critical r</w:t>
      </w:r>
      <w:r w:rsidRPr="00AD1B1D">
        <w:rPr>
          <w:rFonts w:ascii="Times New Roman" w:hAnsi="Times New Roman" w:cs="Times New Roman"/>
        </w:rPr>
        <w:t>ealism challenges both positivism and postmodernism/social constructionism</w:t>
      </w:r>
      <w:r>
        <w:rPr>
          <w:rStyle w:val="FootnoteReference"/>
          <w:rFonts w:ascii="Times New Roman" w:hAnsi="Times New Roman" w:cs="Times New Roman"/>
        </w:rPr>
        <w:footnoteReference w:id="140"/>
      </w:r>
      <w:r w:rsidRPr="00AD1B1D">
        <w:rPr>
          <w:rFonts w:ascii="Times New Roman" w:hAnsi="Times New Roman" w:cs="Times New Roman"/>
        </w:rPr>
        <w:t xml:space="preserve"> </w:t>
      </w:r>
      <w:r w:rsidRPr="00AD1B1D">
        <w:rPr>
          <w:rFonts w:ascii="Times New Roman" w:hAnsi="Times New Roman" w:cs="Times New Roman"/>
        </w:rPr>
        <w:fldChar w:fldCharType="begin"/>
      </w:r>
      <w:r>
        <w:rPr>
          <w:rFonts w:ascii="Times New Roman" w:hAnsi="Times New Roman" w:cs="Times New Roman"/>
        </w:rPr>
        <w:instrText xml:space="preserve"> ADDIN EN.CITE &lt;EndNote&gt;&lt;Cite&gt;&lt;Author&gt;Cruickshank&lt;/Author&gt;&lt;Year&gt;2003&lt;/Year&gt;&lt;RecNum&gt;53&lt;/RecNum&gt;&lt;record&gt;&lt;rec-number&gt;53&lt;/rec-number&gt;&lt;foreign-keys&gt;&lt;key app="EN" db-id="s0ftft29jf2psaezx93xwz5s00fwpa9avrwv"&gt;53&lt;/key&gt;&lt;/foreign-keys&gt;&lt;ref-type name="Edited Book"&gt;28&lt;/ref-type&gt;&lt;contributors&gt;&lt;authors&gt;&lt;author&gt;Cruickshank, J&lt;/author&gt;&lt;/authors&gt;&lt;/contributors&gt;&lt;titles&gt;&lt;title&gt;Critical Realism: The difference that it makes&lt;/title&gt;&lt;/titles&gt;&lt;dates&gt;&lt;year&gt;2003&lt;/year&gt;&lt;/dates&gt;&lt;pub-location&gt;London&lt;/pub-location&gt;&lt;publisher&gt;Routledge&lt;/publisher&gt;&lt;urls&gt;&lt;/urls&gt;&lt;/record&gt;&lt;/Cite&gt;&lt;/EndNote&gt;</w:instrText>
      </w:r>
      <w:r w:rsidRPr="00AD1B1D">
        <w:rPr>
          <w:rFonts w:ascii="Times New Roman" w:hAnsi="Times New Roman" w:cs="Times New Roman"/>
        </w:rPr>
        <w:fldChar w:fldCharType="end"/>
      </w:r>
      <w:r w:rsidRPr="00AD1B1D">
        <w:rPr>
          <w:rFonts w:ascii="Times New Roman" w:hAnsi="Times New Roman" w:cs="Times New Roman"/>
        </w:rPr>
        <w:t xml:space="preserve"> and offers a ‘middle ground’ </w:t>
      </w:r>
      <w:r>
        <w:rPr>
          <w:rFonts w:ascii="Times New Roman" w:hAnsi="Times New Roman" w:cs="Times New Roman"/>
        </w:rPr>
        <w:t>based on ontological exposition</w:t>
      </w:r>
      <w:r w:rsidRPr="00AD1B1D">
        <w:rPr>
          <w:rFonts w:ascii="Times New Roman" w:hAnsi="Times New Roman" w:cs="Times New Roman"/>
        </w:rPr>
        <w:fldChar w:fldCharType="begin"/>
      </w:r>
      <w:r>
        <w:rPr>
          <w:rFonts w:ascii="Times New Roman" w:hAnsi="Times New Roman" w:cs="Times New Roman"/>
        </w:rPr>
        <w:instrText xml:space="preserve"> ADDIN EN.CITE &lt;EndNote&gt;&lt;Cite&gt;&lt;Author&gt;Patomaki&lt;/Author&gt;&lt;Year&gt;2000&lt;/Year&gt;&lt;RecNum&gt;135&lt;/RecNum&gt;&lt;record&gt;&lt;rec-number&gt;135&lt;/rec-number&gt;&lt;foreign-keys&gt;&lt;key app="EN" db-id="s0ftft29jf2psaezx93xwz5s00fwpa9avrwv"&gt;135&lt;/key&gt;&lt;/foreign-keys&gt;&lt;ref-type name="Journal Article"&gt;17&lt;/ref-type&gt;&lt;contributors&gt;&lt;authors&gt;&lt;author&gt;Patomaki, H&lt;/author&gt;&lt;author&gt;Wight, C&lt;/author&gt;&lt;/authors&gt;&lt;/contributors&gt;&lt;titles&gt;&lt;title&gt;After Postpositivism? The Promises of Critical Realism&lt;/title&gt;&lt;secondary-title&gt;International Studies Quarterly&lt;/secondary-title&gt;&lt;/titles&gt;&lt;dates&gt;&lt;year&gt;2000&lt;/year&gt;&lt;/dates&gt;&lt;urls&gt;&lt;/urls&gt;&lt;/record&gt;&lt;/Cite&gt;&lt;/EndNote&gt;</w:instrText>
      </w:r>
      <w:r w:rsidRPr="00AD1B1D">
        <w:rPr>
          <w:rFonts w:ascii="Times New Roman" w:hAnsi="Times New Roman" w:cs="Times New Roman"/>
        </w:rPr>
        <w:fldChar w:fldCharType="end"/>
      </w:r>
      <w:r w:rsidRPr="00AD1B1D">
        <w:rPr>
          <w:rFonts w:ascii="Times New Roman" w:hAnsi="Times New Roman" w:cs="Times New Roman"/>
        </w:rPr>
        <w:t>.</w:t>
      </w:r>
      <w:r>
        <w:rPr>
          <w:rStyle w:val="FootnoteReference"/>
          <w:rFonts w:ascii="Times New Roman" w:hAnsi="Times New Roman" w:cs="Times New Roman"/>
        </w:rPr>
        <w:footnoteReference w:id="141"/>
      </w:r>
      <w:r w:rsidRPr="00AD1B1D">
        <w:rPr>
          <w:rFonts w:ascii="Times New Roman" w:hAnsi="Times New Roman" w:cs="Times New Roman"/>
        </w:rPr>
        <w:t xml:space="preserve"> It aims to do this by combining and reconciling ontological realism, epistemological relativism and j</w:t>
      </w:r>
      <w:r>
        <w:rPr>
          <w:rFonts w:ascii="Times New Roman" w:hAnsi="Times New Roman" w:cs="Times New Roman"/>
        </w:rPr>
        <w:t>udgemental rationalism</w:t>
      </w:r>
      <w:r w:rsidRPr="00AD1B1D">
        <w:rPr>
          <w:rFonts w:ascii="Times New Roman" w:hAnsi="Times New Roman" w:cs="Times New Roman"/>
        </w:rPr>
        <w:fldChar w:fldCharType="begin"/>
      </w:r>
      <w:r>
        <w:rPr>
          <w:rFonts w:ascii="Times New Roman" w:hAnsi="Times New Roman" w:cs="Times New Roman"/>
        </w:rPr>
        <w:instrText xml:space="preserve"> ADDIN EN.CITE &lt;EndNote&gt;&lt;Cite&gt;&lt;Author&gt;Herring&lt;/Author&gt;&lt;Year&gt;2011&lt;/Year&gt;&lt;RecNum&gt;83&lt;/RecNum&gt;&lt;record&gt;&lt;rec-number&gt;83&lt;/rec-number&gt;&lt;foreign-keys&gt;&lt;key app="EN" db-id="s0ftft29jf2psaezx93xwz5s00fwpa9avrwv"&gt;83&lt;/key&gt;&lt;/foreign-keys&gt;&lt;ref-type name="Journal Article"&gt;17&lt;/ref-type&gt;&lt;contributors&gt;&lt;authors&gt;&lt;author&gt;Herring, E&lt;/author&gt;&lt;author&gt;Stokes, D&lt;/author&gt;&lt;/authors&gt;&lt;/contributors&gt;&lt;titles&gt;&lt;title&gt;Critical Realism and Historical Materialism as Resources for Critical Terrorism Studies&lt;/title&gt;&lt;secondary-title&gt;Critical Studies on Terrorism&lt;/secondary-title&gt;&lt;/titles&gt;&lt;volume&gt;Vol. 4&lt;/volume&gt;&lt;number&gt;No. 1&lt;/number&gt;&lt;dates&gt;&lt;year&gt;2011&lt;/year&gt;&lt;/dates&gt;&lt;urls&gt;&lt;/urls&gt;&lt;/record&gt;&lt;/Cite&gt;&lt;/EndNote&gt;</w:instrText>
      </w:r>
      <w:r w:rsidRPr="00AD1B1D">
        <w:rPr>
          <w:rFonts w:ascii="Times New Roman" w:hAnsi="Times New Roman" w:cs="Times New Roman"/>
        </w:rPr>
        <w:fldChar w:fldCharType="end"/>
      </w:r>
      <w:r w:rsidRPr="00AD1B1D">
        <w:rPr>
          <w:rFonts w:ascii="Times New Roman" w:hAnsi="Times New Roman" w:cs="Times New Roman"/>
        </w:rPr>
        <w:t>.</w:t>
      </w:r>
      <w:r>
        <w:rPr>
          <w:rStyle w:val="FootnoteReference"/>
          <w:rFonts w:ascii="Times New Roman" w:hAnsi="Times New Roman" w:cs="Times New Roman"/>
        </w:rPr>
        <w:footnoteReference w:id="142"/>
      </w:r>
      <w:r w:rsidRPr="00AD1B1D">
        <w:rPr>
          <w:rFonts w:ascii="Times New Roman" w:hAnsi="Times New Roman" w:cs="Times New Roman"/>
        </w:rPr>
        <w:t xml:space="preserve"> Unsurprisingly, </w:t>
      </w:r>
      <w:r>
        <w:rPr>
          <w:rFonts w:ascii="Times New Roman" w:hAnsi="Times New Roman" w:cs="Times New Roman"/>
        </w:rPr>
        <w:t>critical realism</w:t>
      </w:r>
      <w:r w:rsidRPr="00AD1B1D">
        <w:rPr>
          <w:rFonts w:ascii="Times New Roman" w:hAnsi="Times New Roman" w:cs="Times New Roman"/>
        </w:rPr>
        <w:t xml:space="preserve"> holds that there is an objective reality and not only is the world real it is differentiated, structured, laye</w:t>
      </w:r>
      <w:r>
        <w:rPr>
          <w:rFonts w:ascii="Times New Roman" w:hAnsi="Times New Roman" w:cs="Times New Roman"/>
        </w:rPr>
        <w:t>red and possesses causal powers</w:t>
      </w:r>
      <w:r w:rsidRPr="00AD1B1D">
        <w:rPr>
          <w:rFonts w:ascii="Times New Roman" w:hAnsi="Times New Roman" w:cs="Times New Roman"/>
        </w:rPr>
        <w:fldChar w:fldCharType="begin"/>
      </w:r>
      <w:r>
        <w:rPr>
          <w:rFonts w:ascii="Times New Roman" w:hAnsi="Times New Roman" w:cs="Times New Roman"/>
        </w:rPr>
        <w:instrText xml:space="preserve"> ADDIN EN.CITE &lt;EndNote&gt;&lt;Cite&gt;&lt;Author&gt;Patomaki&lt;/Author&gt;&lt;Year&gt;2002&lt;/Year&gt;&lt;RecNum&gt;133&lt;/RecNum&gt;&lt;record&gt;&lt;rec-number&gt;133&lt;/rec-number&gt;&lt;foreign-keys&gt;&lt;key app="EN" db-id="s0ftft29jf2psaezx93xwz5s00fwpa9avrwv"&gt;133&lt;/key&gt;&lt;/foreign-keys&gt;&lt;ref-type name="Book"&gt;6&lt;/ref-type&gt;&lt;contributors&gt;&lt;authors&gt;&lt;author&gt;Patomaki, H&lt;/author&gt;&lt;/authors&gt;&lt;/contributors&gt;&lt;titles&gt;&lt;title&gt;After International Relations&lt;/title&gt;&lt;/titles&gt;&lt;dates&gt;&lt;year&gt;2002&lt;/year&gt;&lt;/dates&gt;&lt;pub-location&gt;London&lt;/pub-location&gt;&lt;publisher&gt;Routledge&lt;/publisher&gt;&lt;urls&gt;&lt;/urls&gt;&lt;/record&gt;&lt;/Cite&gt;&lt;/EndNote&gt;</w:instrText>
      </w:r>
      <w:r w:rsidRPr="00AD1B1D">
        <w:rPr>
          <w:rFonts w:ascii="Times New Roman" w:hAnsi="Times New Roman" w:cs="Times New Roman"/>
        </w:rPr>
        <w:fldChar w:fldCharType="end"/>
      </w:r>
      <w:r w:rsidRPr="00AD1B1D">
        <w:rPr>
          <w:rFonts w:ascii="Times New Roman" w:hAnsi="Times New Roman" w:cs="Times New Roman"/>
        </w:rPr>
        <w:t>.</w:t>
      </w:r>
      <w:r>
        <w:rPr>
          <w:rStyle w:val="FootnoteReference"/>
          <w:rFonts w:ascii="Times New Roman" w:hAnsi="Times New Roman" w:cs="Times New Roman"/>
        </w:rPr>
        <w:footnoteReference w:id="143"/>
      </w:r>
      <w:r w:rsidRPr="00AD1B1D">
        <w:rPr>
          <w:rFonts w:ascii="Times New Roman" w:hAnsi="Times New Roman" w:cs="Times New Roman"/>
        </w:rPr>
        <w:t xml:space="preserve"> The basic building blocks of a </w:t>
      </w:r>
      <w:r>
        <w:rPr>
          <w:rFonts w:ascii="Times New Roman" w:hAnsi="Times New Roman" w:cs="Times New Roman"/>
        </w:rPr>
        <w:t>critical realism</w:t>
      </w:r>
      <w:r w:rsidRPr="00AD1B1D">
        <w:rPr>
          <w:rFonts w:ascii="Times New Roman" w:hAnsi="Times New Roman" w:cs="Times New Roman"/>
        </w:rPr>
        <w:t xml:space="preserve"> approach are objects as opposed to variables: objects can be people, organisations, structures, resources, ideas and attitudes. C</w:t>
      </w:r>
      <w:r>
        <w:rPr>
          <w:rFonts w:ascii="Times New Roman" w:hAnsi="Times New Roman" w:cs="Times New Roman"/>
        </w:rPr>
        <w:t>ritical realism</w:t>
      </w:r>
      <w:r w:rsidRPr="00AD1B1D">
        <w:rPr>
          <w:rFonts w:ascii="Times New Roman" w:hAnsi="Times New Roman" w:cs="Times New Roman"/>
        </w:rPr>
        <w:t xml:space="preserve"> is concerned with the fundamental nature and capabilities of things rather than their measurable properties</w:t>
      </w:r>
      <w:r w:rsidRPr="00AD1B1D">
        <w:rPr>
          <w:rFonts w:ascii="Times New Roman" w:hAnsi="Times New Roman" w:cs="Times New Roman"/>
        </w:rPr>
        <w:fldChar w:fldCharType="begin"/>
      </w:r>
      <w:r>
        <w:rPr>
          <w:rFonts w:ascii="Times New Roman" w:hAnsi="Times New Roman" w:cs="Times New Roman"/>
        </w:rPr>
        <w:instrText xml:space="preserve"> ADDIN EN.CITE &lt;EndNote&gt;&lt;Cite&gt;&lt;Author&gt;Sayer&lt;/Author&gt;&lt;Year&gt;1992&lt;/Year&gt;&lt;RecNum&gt;152&lt;/RecNum&gt;&lt;record&gt;&lt;rec-number&gt;152&lt;/rec-number&gt;&lt;foreign-keys&gt;&lt;key app="EN" db-id="s0ftft29jf2psaezx93xwz5s00fwpa9avrwv"&gt;152&lt;/key&gt;&lt;/foreign-keys&gt;&lt;ref-type name="Book"&gt;6&lt;/ref-type&gt;&lt;contributors&gt;&lt;authors&gt;&lt;author&gt;Sayer, A&lt;/author&gt;&lt;/authors&gt;&lt;/contributors&gt;&lt;titles&gt;&lt;title&gt;Method in Social Science: a realist approach&lt;/title&gt;&lt;/titles&gt;&lt;dates&gt;&lt;year&gt;1992&lt;/year&gt;&lt;/dates&gt;&lt;pub-location&gt;London&lt;/pub-location&gt;&lt;publisher&gt;Routledge&lt;/publisher&gt;&lt;urls&gt;&lt;/urls&gt;&lt;/record&gt;&lt;/Cite&gt;&lt;Cite&gt;&lt;Author&gt;Easton&lt;/Author&gt;&lt;Year&gt;2010&lt;/Year&gt;&lt;RecNum&gt;59&lt;/RecNum&gt;&lt;record&gt;&lt;rec-number&gt;59&lt;/rec-number&gt;&lt;foreign-keys&gt;&lt;key app="EN" db-id="s0ftft29jf2psaezx93xwz5s00fwpa9avrwv"&gt;59&lt;/key&gt;&lt;/foreign-keys&gt;&lt;ref-type name="Journal Article"&gt;17&lt;/ref-type&gt;&lt;contributors&gt;&lt;authors&gt;&lt;author&gt;Easton, G&lt;/author&gt;&lt;/authors&gt;&lt;/contributors&gt;&lt;titles&gt;&lt;title&gt;Critical Realism in Case Study Research&lt;/title&gt;&lt;secondary-title&gt;Industrial Marketing Management&lt;/secondary-title&gt;&lt;/titles&gt;&lt;volume&gt;Vol. 39&lt;/volume&gt;&lt;dates&gt;&lt;year&gt;2010&lt;/year&gt;&lt;/dates&gt;&lt;urls&gt;&lt;/urls&gt;&lt;/record&gt;&lt;/Cite&gt;&lt;/EndNote&gt;</w:instrText>
      </w:r>
      <w:r w:rsidRPr="00AD1B1D">
        <w:rPr>
          <w:rFonts w:ascii="Times New Roman" w:hAnsi="Times New Roman" w:cs="Times New Roman"/>
        </w:rPr>
        <w:fldChar w:fldCharType="end"/>
      </w:r>
      <w:r w:rsidRPr="00AD1B1D">
        <w:rPr>
          <w:rFonts w:ascii="Times New Roman" w:hAnsi="Times New Roman" w:cs="Times New Roman"/>
        </w:rPr>
        <w:t>.</w:t>
      </w:r>
      <w:r>
        <w:rPr>
          <w:rStyle w:val="FootnoteReference"/>
          <w:rFonts w:ascii="Times New Roman" w:hAnsi="Times New Roman" w:cs="Times New Roman"/>
        </w:rPr>
        <w:footnoteReference w:id="144"/>
      </w:r>
      <w:r w:rsidRPr="00AD1B1D">
        <w:rPr>
          <w:rFonts w:ascii="Times New Roman" w:hAnsi="Times New Roman" w:cs="Times New Roman"/>
        </w:rPr>
        <w:t xml:space="preserve"> Crucially, in contrast to positivists, critical realism argues that we </w:t>
      </w:r>
      <w:r w:rsidRPr="00AD1B1D">
        <w:rPr>
          <w:rFonts w:ascii="Times New Roman" w:hAnsi="Times New Roman" w:cs="Times New Roman"/>
          <w:i/>
          <w:iCs/>
        </w:rPr>
        <w:t xml:space="preserve">can </w:t>
      </w:r>
      <w:r w:rsidRPr="00AD1B1D">
        <w:rPr>
          <w:rFonts w:ascii="Times New Roman" w:hAnsi="Times New Roman" w:cs="Times New Roman"/>
        </w:rPr>
        <w:t>study unobservable phenomenon</w:t>
      </w:r>
      <w:r w:rsidRPr="00AD1B1D">
        <w:rPr>
          <w:rFonts w:ascii="Times New Roman" w:hAnsi="Times New Roman" w:cs="Times New Roman"/>
        </w:rPr>
        <w:fldChar w:fldCharType="begin"/>
      </w:r>
      <w:r>
        <w:rPr>
          <w:rFonts w:ascii="Times New Roman" w:hAnsi="Times New Roman" w:cs="Times New Roman"/>
        </w:rPr>
        <w:instrText xml:space="preserve"> ADDIN EN.CITE &lt;EndNote&gt;&lt;Cite&gt;&lt;Author&gt;Wendt&lt;/Author&gt;&lt;Year&gt;1999&lt;/Year&gt;&lt;RecNum&gt;171&lt;/RecNum&gt;&lt;record&gt;&lt;rec-number&gt;171&lt;/rec-number&gt;&lt;foreign-keys&gt;&lt;key app="EN" db-id="s0ftft29jf2psaezx93xwz5s00fwpa9avrwv"&gt;171&lt;/key&gt;&lt;/foreign-keys&gt;&lt;ref-type name="Book"&gt;6&lt;/ref-type&gt;&lt;contributors&gt;&lt;authors&gt;&lt;author&gt;Wendt, Alex&lt;/author&gt;&lt;/authors&gt;&lt;/contributors&gt;&lt;titles&gt;&lt;title&gt;Social Theory of International Politics&lt;/title&gt;&lt;/titles&gt;&lt;dates&gt;&lt;year&gt;1999&lt;/year&gt;&lt;/dates&gt;&lt;pub-location&gt;Cambridge&lt;/pub-location&gt;&lt;publisher&gt;Cambridge University Press&lt;/publisher&gt;&lt;urls&gt;&lt;/urls&gt;&lt;/record&gt;&lt;/Cite&gt;&lt;/EndNote&gt;</w:instrText>
      </w:r>
      <w:r w:rsidRPr="00AD1B1D">
        <w:rPr>
          <w:rFonts w:ascii="Times New Roman" w:hAnsi="Times New Roman" w:cs="Times New Roman"/>
        </w:rPr>
        <w:fldChar w:fldCharType="end"/>
      </w:r>
      <w:r w:rsidRPr="00AD1B1D">
        <w:rPr>
          <w:rFonts w:ascii="Times New Roman" w:hAnsi="Times New Roman" w:cs="Times New Roman"/>
        </w:rPr>
        <w:t>.</w:t>
      </w:r>
      <w:r>
        <w:rPr>
          <w:rStyle w:val="FootnoteReference"/>
          <w:rFonts w:ascii="Times New Roman" w:hAnsi="Times New Roman" w:cs="Times New Roman"/>
        </w:rPr>
        <w:footnoteReference w:id="145"/>
      </w:r>
      <w:r w:rsidRPr="00AD1B1D">
        <w:rPr>
          <w:rFonts w:ascii="Times New Roman" w:hAnsi="Times New Roman" w:cs="Times New Roman"/>
        </w:rPr>
        <w:t xml:space="preserve"> </w:t>
      </w:r>
      <w:r w:rsidRPr="00F90711">
        <w:rPr>
          <w:rFonts w:ascii="Times New Roman" w:hAnsi="Times New Roman" w:cs="Times New Roman"/>
        </w:rPr>
        <w:t xml:space="preserve"> </w:t>
      </w:r>
    </w:p>
    <w:p w14:paraId="2A32ECC7" w14:textId="77777777" w:rsidR="00985943" w:rsidRDefault="00985943" w:rsidP="00985943">
      <w:pPr>
        <w:spacing w:line="360" w:lineRule="auto"/>
        <w:ind w:firstLine="720"/>
        <w:jc w:val="both"/>
        <w:rPr>
          <w:rFonts w:ascii="Times New Roman" w:hAnsi="Times New Roman" w:cs="Times New Roman"/>
        </w:rPr>
      </w:pPr>
      <w:r w:rsidRPr="00F90711">
        <w:rPr>
          <w:rFonts w:ascii="Times New Roman" w:hAnsi="Times New Roman" w:cs="Times New Roman"/>
        </w:rPr>
        <w:t xml:space="preserve">To briefly sum up, the nature of the social world is defined by different strata of reality, meaning there are social objects that have relative durability in terms of how they can be explained objectively. Yet even this is bounded by the institutional setting of academia which, as a setting of (greater) ideal speech allows more durable and logical agreements on what is objective. The ontology recognises that ideal speech situations are very rare and therefore the world is also subjectively created. In terms of causality, the ontological approach informs an epistemological approach which can explain causality, but by recognising complexity and that causality, through structures, only enables and constrains agency, rather than determining it. In order to identify causality, structure and agency is analytically separated over different period of conditioning, interaction, and change/reproduction. </w:t>
      </w:r>
    </w:p>
    <w:p w14:paraId="170F73E3" w14:textId="0784741D" w:rsidR="00595B8E" w:rsidRPr="00AD1B1D" w:rsidRDefault="00985943" w:rsidP="00985943">
      <w:pPr>
        <w:spacing w:line="360" w:lineRule="auto"/>
        <w:ind w:firstLine="720"/>
        <w:jc w:val="both"/>
        <w:rPr>
          <w:rFonts w:ascii="Times New Roman" w:hAnsi="Times New Roman" w:cs="Times New Roman"/>
        </w:rPr>
      </w:pPr>
      <w:r w:rsidRPr="00AD1B1D">
        <w:rPr>
          <w:rFonts w:ascii="Times New Roman" w:hAnsi="Times New Roman" w:cs="Times New Roman"/>
        </w:rPr>
        <w:t xml:space="preserve">The issue of time is fundamental to the approach: agents are born into a world that is not of their making. In other words, they are born into a stratified world </w:t>
      </w:r>
      <w:r w:rsidRPr="00AD1B1D">
        <w:rPr>
          <w:rFonts w:ascii="Times New Roman" w:hAnsi="Times New Roman" w:cs="Times New Roman"/>
        </w:rPr>
        <w:lastRenderedPageBreak/>
        <w:t>which constrains and enables their behaviour by providing costs/benefits, but it does not determine it. Due to where agents are placed upon birth, they have vested interests in either maintaining or changing structures/culture. In order to understand social change Archer analyses the interaction between structure/culture and agency over time in three stages. Archer identifies three stages in the morphogenetic cycle. In each of these stages, she studies the relationship between structure and agency, culture and agency, and intersection points between these two analytically separated worlds. Stage one (T1) is characterised by a period of conditioning: agents are born into a stratified world not of their making and, although this does not determine their behaviour, it does place them in situational logics which incentivises and penalises certain types of actions and imbues agents with interests. Stage two (T2-3) is characterised by the interaction between structure/culture and agency. Stage three (T4) is the often unintended outcome of the interaction at stage two: this can produce morphogenesis (change) or morphostasis (reproduction). Morphogenesis can occur at the structural or cultural level which in the process can lead to morphogenesis of agency.</w:t>
      </w:r>
      <w:r w:rsidR="00595B8E">
        <w:rPr>
          <w:rStyle w:val="FootnoteReference"/>
          <w:rFonts w:ascii="Times New Roman" w:hAnsi="Times New Roman" w:cs="Times New Roman"/>
        </w:rPr>
        <w:footnoteReference w:id="146"/>
      </w:r>
      <w:r w:rsidR="00595B8E" w:rsidRPr="00AD1B1D">
        <w:rPr>
          <w:rFonts w:ascii="Times New Roman" w:hAnsi="Times New Roman" w:cs="Times New Roman"/>
        </w:rPr>
        <w:t xml:space="preserve"> </w:t>
      </w:r>
    </w:p>
    <w:p w14:paraId="5AC24B63" w14:textId="78D49CF8" w:rsidR="00942151" w:rsidRDefault="00F90711" w:rsidP="00F90711">
      <w:pPr>
        <w:spacing w:line="360" w:lineRule="auto"/>
        <w:ind w:firstLine="720"/>
        <w:jc w:val="both"/>
        <w:rPr>
          <w:rFonts w:ascii="Times New Roman" w:hAnsi="Times New Roman" w:cs="Times New Roman"/>
        </w:rPr>
      </w:pPr>
      <w:r w:rsidRPr="00F90711">
        <w:rPr>
          <w:rFonts w:ascii="Times New Roman" w:hAnsi="Times New Roman" w:cs="Times New Roman"/>
        </w:rPr>
        <w:t>Thus, a critical realist methodology includes direct observation and logic applied to both observable and unobservable structures, and the interpretation of social texts.</w:t>
      </w:r>
      <w:r>
        <w:rPr>
          <w:rStyle w:val="FootnoteReference"/>
          <w:rFonts w:ascii="Times New Roman" w:hAnsi="Times New Roman" w:cs="Times New Roman"/>
        </w:rPr>
        <w:footnoteReference w:id="147"/>
      </w:r>
      <w:r w:rsidR="00985943">
        <w:rPr>
          <w:rFonts w:ascii="Times New Roman" w:hAnsi="Times New Roman" w:cs="Times New Roman"/>
        </w:rPr>
        <w:t xml:space="preserve"> </w:t>
      </w:r>
      <w:r w:rsidR="003C4006">
        <w:rPr>
          <w:rFonts w:ascii="Times New Roman" w:hAnsi="Times New Roman" w:cs="Times New Roman"/>
        </w:rPr>
        <w:t>The difficulty in identifying these structures is a problem more broadly, and critical realism can provide a more grounded take on this.</w:t>
      </w:r>
      <w:r w:rsidRPr="00F90711">
        <w:rPr>
          <w:rFonts w:ascii="Times New Roman" w:hAnsi="Times New Roman" w:cs="Times New Roman"/>
        </w:rPr>
        <w:t xml:space="preserve"> </w:t>
      </w:r>
      <w:r w:rsidR="001422CB">
        <w:rPr>
          <w:rFonts w:ascii="Times New Roman" w:hAnsi="Times New Roman" w:cs="Times New Roman"/>
        </w:rPr>
        <w:t xml:space="preserve">In relation to the broader ontological and epistemological debates within politics and IR, the thesis locates itself closer to the critical realism of Wight than, for example, Patomaki, whose work has moved toward emphasising ontology rather than its epistemology </w:t>
      </w:r>
      <w:r w:rsidR="001422CB">
        <w:rPr>
          <w:rFonts w:ascii="Times New Roman" w:hAnsi="Times New Roman" w:cs="Times New Roman"/>
        </w:rPr>
        <w:lastRenderedPageBreak/>
        <w:t>and methodology.</w:t>
      </w:r>
      <w:r w:rsidR="001422CB">
        <w:rPr>
          <w:rStyle w:val="FootnoteReference"/>
          <w:rFonts w:ascii="Times New Roman" w:hAnsi="Times New Roman" w:cs="Times New Roman"/>
        </w:rPr>
        <w:footnoteReference w:id="148"/>
      </w:r>
      <w:r w:rsidR="001422CB">
        <w:rPr>
          <w:rFonts w:ascii="Times New Roman" w:hAnsi="Times New Roman" w:cs="Times New Roman"/>
        </w:rPr>
        <w:t xml:space="preserve"> As such, the application of Archer’s critical realism provides a framework for analysing social change insofar as structures both have a conditioning dynamic and their interpretation can shape behaviour in a certain direction without focusing too much on ontology. Critical realism’s emphasis on different strata of structure provides more ‘real’ analytical objects that can avoid epiphenomenon being grouped together by the observer. In International Relations and Terrorism Studies we se</w:t>
      </w:r>
      <w:r w:rsidR="00C678E1">
        <w:rPr>
          <w:rFonts w:ascii="Times New Roman" w:hAnsi="Times New Roman" w:cs="Times New Roman"/>
        </w:rPr>
        <w:t>e this occurring. David Rapoport’s waves of terrorism theory</w:t>
      </w:r>
      <w:r w:rsidR="00C678E1">
        <w:rPr>
          <w:rStyle w:val="FootnoteReference"/>
          <w:rFonts w:ascii="Times New Roman" w:hAnsi="Times New Roman" w:cs="Times New Roman"/>
        </w:rPr>
        <w:footnoteReference w:id="149"/>
      </w:r>
      <w:r w:rsidR="00C678E1">
        <w:rPr>
          <w:rFonts w:ascii="Times New Roman" w:hAnsi="Times New Roman" w:cs="Times New Roman"/>
        </w:rPr>
        <w:t xml:space="preserve"> groups together movements by ideology and temporality, but his overemphasis on structure (material and ideational) is at the expense of relations and networks. Consequently, he is unable to account for how different types of movements may be different – e.g. those which may be tied ideationally to a broader movement and those which may be tied relationally and structurally to a broader movement. In other words, Rapoport’s ontology and epistemology leads him to analyse the decline of movements which do not really exist or are only loosely connected with one another. Buzan’s concept of security complexes </w:t>
      </w:r>
      <w:r w:rsidR="00246A7C">
        <w:rPr>
          <w:rFonts w:ascii="Times New Roman" w:hAnsi="Times New Roman" w:cs="Times New Roman"/>
        </w:rPr>
        <w:t>is far more effective insofar as it focuses on regional interactions and systems</w:t>
      </w:r>
      <w:r w:rsidR="00246A7C">
        <w:rPr>
          <w:rStyle w:val="FootnoteReference"/>
          <w:rFonts w:ascii="Times New Roman" w:hAnsi="Times New Roman" w:cs="Times New Roman"/>
        </w:rPr>
        <w:footnoteReference w:id="150"/>
      </w:r>
      <w:r w:rsidR="00246A7C">
        <w:rPr>
          <w:rFonts w:ascii="Times New Roman" w:hAnsi="Times New Roman" w:cs="Times New Roman"/>
        </w:rPr>
        <w:t>, which could help explain the structural dynamics that would influence the Provisional IRA</w:t>
      </w:r>
      <w:r w:rsidR="00246A7C">
        <w:rPr>
          <w:rStyle w:val="FootnoteReference"/>
          <w:rFonts w:ascii="Times New Roman" w:hAnsi="Times New Roman" w:cs="Times New Roman"/>
        </w:rPr>
        <w:footnoteReference w:id="151"/>
      </w:r>
      <w:r w:rsidR="00246A7C">
        <w:rPr>
          <w:rFonts w:ascii="Times New Roman" w:hAnsi="Times New Roman" w:cs="Times New Roman"/>
        </w:rPr>
        <w:t xml:space="preserve"> better than analysing them as part of a nationalist wave of terrorism. However, where critical realism contributes to security complexes is it can take into account movements within these structures but, more importantly, </w:t>
      </w:r>
      <w:r w:rsidR="00AF64C9">
        <w:rPr>
          <w:rFonts w:ascii="Times New Roman" w:hAnsi="Times New Roman" w:cs="Times New Roman"/>
        </w:rPr>
        <w:t>analyse how they shape behaviour, how actors within them respond, and how security complexes change. For example, the Catholic civil rights movement interpreted the American civil rights movement as part of a broader security complex (if only briefly), which Buzan’s approach would not allow and which Rapoport’s approach would overemphasise.</w:t>
      </w:r>
      <w:r w:rsidR="00C678E1">
        <w:rPr>
          <w:rFonts w:ascii="Times New Roman" w:hAnsi="Times New Roman" w:cs="Times New Roman"/>
        </w:rPr>
        <w:t xml:space="preserve">  </w:t>
      </w:r>
      <w:r w:rsidR="001422CB">
        <w:rPr>
          <w:rFonts w:ascii="Times New Roman" w:hAnsi="Times New Roman" w:cs="Times New Roman"/>
        </w:rPr>
        <w:t xml:space="preserve">   </w:t>
      </w:r>
    </w:p>
    <w:p w14:paraId="6624C41F" w14:textId="70EFE745" w:rsidR="00595B8E" w:rsidRDefault="00942151" w:rsidP="00F90711">
      <w:pPr>
        <w:spacing w:line="360" w:lineRule="auto"/>
        <w:ind w:firstLine="720"/>
        <w:jc w:val="both"/>
        <w:rPr>
          <w:rFonts w:ascii="Times New Roman" w:hAnsi="Times New Roman" w:cs="Times New Roman"/>
        </w:rPr>
      </w:pPr>
      <w:r>
        <w:rPr>
          <w:rFonts w:ascii="Times New Roman" w:hAnsi="Times New Roman" w:cs="Times New Roman"/>
        </w:rPr>
        <w:t>In</w:t>
      </w:r>
      <w:r w:rsidR="002F731F">
        <w:rPr>
          <w:rFonts w:ascii="Times New Roman" w:hAnsi="Times New Roman" w:cs="Times New Roman"/>
        </w:rPr>
        <w:t xml:space="preserve"> terrorism studies, a number of scholars have sought to create a debate between critical theory approaches to terrorism and what they label as ‘traditional </w:t>
      </w:r>
      <w:r w:rsidR="002F731F">
        <w:rPr>
          <w:rFonts w:ascii="Times New Roman" w:hAnsi="Times New Roman" w:cs="Times New Roman"/>
        </w:rPr>
        <w:lastRenderedPageBreak/>
        <w:t>terrorism studies’.</w:t>
      </w:r>
      <w:r w:rsidR="002F731F">
        <w:rPr>
          <w:rStyle w:val="FootnoteReference"/>
          <w:rFonts w:ascii="Times New Roman" w:hAnsi="Times New Roman" w:cs="Times New Roman"/>
        </w:rPr>
        <w:footnoteReference w:id="152"/>
      </w:r>
      <w:r w:rsidR="002F731F">
        <w:rPr>
          <w:rFonts w:ascii="Times New Roman" w:hAnsi="Times New Roman" w:cs="Times New Roman"/>
        </w:rPr>
        <w:t xml:space="preserve"> </w:t>
      </w:r>
      <w:r w:rsidR="00B133FC">
        <w:rPr>
          <w:rFonts w:ascii="Times New Roman" w:hAnsi="Times New Roman" w:cs="Times New Roman"/>
        </w:rPr>
        <w:t>The thesis does not seek to engage in this debate in great depth for the following reasons. Firstly, ‘critical terrorism studies’ creates a straw-man of ‘traditional terrorism studies’ which only partly exists – the research (e.g. Martha Crenshaw) which does provide context, avoids normative claims and is not positivist (critical theory’s main claims), is co-opted into the critical school to avoid the false dichotomy it tries to create. Secondly, critical theory does have a lot to offer to terrorism studies, such as a greater focus on ideas, culture, norms and subjectivity, which can be reconciled with a material analysis.</w:t>
      </w:r>
      <w:r w:rsidR="00B133FC">
        <w:rPr>
          <w:rStyle w:val="FootnoteReference"/>
          <w:rFonts w:ascii="Times New Roman" w:hAnsi="Times New Roman" w:cs="Times New Roman"/>
        </w:rPr>
        <w:footnoteReference w:id="153"/>
      </w:r>
      <w:r w:rsidR="00B133FC">
        <w:rPr>
          <w:rFonts w:ascii="Times New Roman" w:hAnsi="Times New Roman" w:cs="Times New Roman"/>
        </w:rPr>
        <w:t xml:space="preserve"> Indeed, terrorism research has adopted m</w:t>
      </w:r>
      <w:r w:rsidR="002A06C7">
        <w:rPr>
          <w:rFonts w:ascii="Times New Roman" w:hAnsi="Times New Roman" w:cs="Times New Roman"/>
        </w:rPr>
        <w:t xml:space="preserve">any </w:t>
      </w:r>
      <w:r w:rsidR="00B133FC">
        <w:rPr>
          <w:rFonts w:ascii="Times New Roman" w:hAnsi="Times New Roman" w:cs="Times New Roman"/>
        </w:rPr>
        <w:t>of these insights without needing to label itself ‘critical’,</w:t>
      </w:r>
      <w:r w:rsidR="002A06C7">
        <w:rPr>
          <w:rStyle w:val="FootnoteReference"/>
          <w:rFonts w:ascii="Times New Roman" w:hAnsi="Times New Roman" w:cs="Times New Roman"/>
        </w:rPr>
        <w:footnoteReference w:id="154"/>
      </w:r>
      <w:r w:rsidR="00B133FC">
        <w:rPr>
          <w:rFonts w:ascii="Times New Roman" w:hAnsi="Times New Roman" w:cs="Times New Roman"/>
        </w:rPr>
        <w:t xml:space="preserve"> and if the ‘critical approach’s’ defining feature is emancipation,</w:t>
      </w:r>
      <w:r w:rsidR="002A06C7">
        <w:rPr>
          <w:rStyle w:val="FootnoteReference"/>
          <w:rFonts w:ascii="Times New Roman" w:hAnsi="Times New Roman" w:cs="Times New Roman"/>
        </w:rPr>
        <w:footnoteReference w:id="155"/>
      </w:r>
      <w:r w:rsidR="00B133FC">
        <w:rPr>
          <w:rFonts w:ascii="Times New Roman" w:hAnsi="Times New Roman" w:cs="Times New Roman"/>
        </w:rPr>
        <w:t xml:space="preserve"> then it is unclear how it is different from the worst excesses of ‘traditional terrorism studies’ which </w:t>
      </w:r>
      <w:r w:rsidR="002A06C7">
        <w:rPr>
          <w:rFonts w:ascii="Times New Roman" w:hAnsi="Times New Roman" w:cs="Times New Roman"/>
        </w:rPr>
        <w:t>is biased toward state interests. Therefore, while the thesis is underpinned by critical realism, the main strength of this approach is it bypasses the critiques of ‘critical terrorism studies’ by co-opting its reflexive analytical approach while not engaging in the normative agenda that underpins emancipation or normative pro-state ‘traditional terrorism studies’.</w:t>
      </w:r>
    </w:p>
    <w:p w14:paraId="2D968A6F" w14:textId="2B84BCD8" w:rsidR="00F90711" w:rsidRPr="00F90711" w:rsidRDefault="00F90711" w:rsidP="00F90711">
      <w:pPr>
        <w:spacing w:line="360" w:lineRule="auto"/>
        <w:ind w:firstLine="720"/>
        <w:jc w:val="both"/>
        <w:rPr>
          <w:rFonts w:ascii="Times New Roman" w:hAnsi="Times New Roman" w:cs="Times New Roman"/>
          <w:bCs/>
        </w:rPr>
      </w:pPr>
      <w:r w:rsidRPr="00F90711">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&lt;EndNote&gt;&lt;Cite&gt;&lt;Author&gt;Archer&lt;/Author&gt;&lt;Year&gt;1995&lt;/Year&gt;&lt;RecNum&gt;22&lt;/RecNum&gt;&lt;record&gt;&lt;rec-number&gt;22&lt;/rec-number&gt;&lt;foreign-keys&gt;&lt;key app="EN" db-id="s0ftft29jf2psaezx93xwz5s00fwpa9avrwv"&gt;22&lt;/key&gt;&lt;/foreign-keys&gt;&lt;ref-type name="Book"&gt;6&lt;/ref-type&gt;&lt;contributors&gt;&lt;authors&gt;&lt;author&gt;Archer, Margaret&lt;/author&gt;&lt;/authors&gt;&lt;/contributors&gt;&lt;titles&gt;&lt;title&gt;Realist social theory: the morphogenetic approach&lt;/title&gt;&lt;/titles&gt;&lt;dates&gt;&lt;year&gt;1995&lt;/year&gt;&lt;/dates&gt;&lt;publisher&gt;Cambridge University Press&lt;/publisher&gt;&lt;urls&gt;&lt;/urls&gt;&lt;/record&gt;&lt;/Cite&gt;&lt;/EndNote&gt;</w:instrText>
      </w:r>
      <w:r w:rsidRPr="00F90711">
        <w:rPr>
          <w:rFonts w:ascii="Times New Roman" w:hAnsi="Times New Roman" w:cs="Times New Roman"/>
        </w:rPr>
        <w:fldChar w:fldCharType="end"/>
      </w:r>
    </w:p>
    <w:p w14:paraId="6C053FE5" w14:textId="18934E05" w:rsidR="00595B8E" w:rsidRPr="001F0A0E" w:rsidRDefault="00595B8E" w:rsidP="00595B8E">
      <w:pPr>
        <w:pStyle w:val="Heading3"/>
        <w:spacing w:before="120" w:line="360" w:lineRule="auto"/>
      </w:pPr>
      <w:bookmarkStart w:id="25" w:name="_Toc389208808"/>
      <w:r>
        <w:t>Definitions</w:t>
      </w:r>
      <w:r w:rsidRPr="001F0A0E">
        <w:t>: Terrorism and the Problem with the Ex’s</w:t>
      </w:r>
      <w:bookmarkEnd w:id="25"/>
    </w:p>
    <w:p w14:paraId="63F4E19A" w14:textId="7B880E39" w:rsidR="00611B51" w:rsidRDefault="00F90711" w:rsidP="00F90711">
      <w:pPr>
        <w:spacing w:line="360" w:lineRule="auto"/>
        <w:ind w:firstLine="720"/>
        <w:jc w:val="both"/>
        <w:rPr>
          <w:rFonts w:ascii="Times New Roman" w:hAnsi="Times New Roman" w:cs="Times New Roman"/>
          <w:bCs/>
        </w:rPr>
      </w:pPr>
      <w:r>
        <w:rPr>
          <w:rFonts w:ascii="Times New Roman" w:hAnsi="Times New Roman" w:cs="Times New Roman"/>
          <w:bCs/>
        </w:rPr>
        <w:t xml:space="preserve">Having situated the thesis’ ontological and epistemological position within the terrorism literature, it can now move to deal with the definition of terrorism. </w:t>
      </w:r>
      <w:r w:rsidR="00611B51">
        <w:rPr>
          <w:rFonts w:ascii="Times New Roman" w:hAnsi="Times New Roman" w:cs="Times New Roman"/>
          <w:bCs/>
        </w:rPr>
        <w:t>Terrorism is defined by Toros and Gunning as: ‘a violent means aimed at triggering political change by affecting a larger audience than its immediate target, and which is broadly deemed illegitimate’.</w:t>
      </w:r>
      <w:r w:rsidR="00611B51">
        <w:rPr>
          <w:rStyle w:val="FootnoteReference"/>
          <w:rFonts w:ascii="Times New Roman" w:hAnsi="Times New Roman" w:cs="Times New Roman"/>
          <w:bCs/>
        </w:rPr>
        <w:footnoteReference w:id="156"/>
      </w:r>
      <w:r w:rsidR="00611B51">
        <w:rPr>
          <w:rFonts w:ascii="Times New Roman" w:hAnsi="Times New Roman" w:cs="Times New Roman"/>
          <w:bCs/>
        </w:rPr>
        <w:t xml:space="preserve"> Thus, both the objective and subjective approach to defining and studying terrorism are compatible. However, the specific definition of terrorism is not necessarily important, as it is the process of defining which can enrich the analysis of terrorism, as a tactic and a discourse.</w:t>
      </w:r>
    </w:p>
    <w:p w14:paraId="447FAF35" w14:textId="488A88EA" w:rsidR="009E3DF5" w:rsidRPr="007A20A2" w:rsidRDefault="009E3DF5" w:rsidP="00B57C7F">
      <w:pPr>
        <w:spacing w:line="360" w:lineRule="auto"/>
        <w:ind w:firstLine="720"/>
        <w:jc w:val="both"/>
        <w:rPr>
          <w:rFonts w:ascii="Times New Roman" w:hAnsi="Times New Roman" w:cs="Times New Roman"/>
          <w:bCs/>
        </w:rPr>
      </w:pPr>
      <w:r>
        <w:rPr>
          <w:rFonts w:ascii="Times New Roman" w:hAnsi="Times New Roman" w:cs="Times New Roman"/>
          <w:bCs/>
        </w:rPr>
        <w:lastRenderedPageBreak/>
        <w:t>In terms of the objective approach, there is a set of behaviours and acts that, for analytical purposes, can be identified as terrorism, such as the targeting of the ‘other’ to create fear, diffuse a particular message and mobilise support. While terrorism is just one tactic among a broader spectrum of political violence</w:t>
      </w:r>
      <w:r w:rsidR="00D51325">
        <w:rPr>
          <w:rFonts w:ascii="Times New Roman" w:hAnsi="Times New Roman" w:cs="Times New Roman"/>
          <w:bCs/>
        </w:rPr>
        <w:t>,</w:t>
      </w:r>
      <w:r>
        <w:rPr>
          <w:rStyle w:val="FootnoteReference"/>
          <w:rFonts w:ascii="Times New Roman" w:hAnsi="Times New Roman" w:cs="Times New Roman"/>
          <w:bCs/>
        </w:rPr>
        <w:footnoteReference w:id="157"/>
      </w:r>
      <w:r>
        <w:rPr>
          <w:rFonts w:ascii="Times New Roman" w:hAnsi="Times New Roman" w:cs="Times New Roman"/>
          <w:bCs/>
        </w:rPr>
        <w:t xml:space="preserve"> it does have a unique difference that merits its maintenance as a special category of violence</w:t>
      </w:r>
      <w:r w:rsidR="00611B51">
        <w:rPr>
          <w:rFonts w:ascii="Times New Roman" w:hAnsi="Times New Roman" w:cs="Times New Roman"/>
          <w:bCs/>
        </w:rPr>
        <w:t xml:space="preserve">. </w:t>
      </w:r>
      <w:r>
        <w:rPr>
          <w:rFonts w:ascii="Times New Roman" w:hAnsi="Times New Roman" w:cs="Times New Roman"/>
          <w:bCs/>
        </w:rPr>
        <w:t xml:space="preserve">Therefore, the thesis focuses on political violence but, when relevant, will refer to campaigns of terrorism specifically when </w:t>
      </w:r>
      <w:r w:rsidR="0082339A">
        <w:rPr>
          <w:rFonts w:ascii="Times New Roman" w:hAnsi="Times New Roman" w:cs="Times New Roman"/>
          <w:bCs/>
        </w:rPr>
        <w:t>salient</w:t>
      </w:r>
      <w:r>
        <w:rPr>
          <w:rFonts w:ascii="Times New Roman" w:hAnsi="Times New Roman" w:cs="Times New Roman"/>
          <w:bCs/>
        </w:rPr>
        <w:t xml:space="preserve">. The identification of an act of political violence as terrorism </w:t>
      </w:r>
      <w:r w:rsidR="00611B51">
        <w:rPr>
          <w:rFonts w:ascii="Times New Roman" w:hAnsi="Times New Roman" w:cs="Times New Roman"/>
          <w:bCs/>
        </w:rPr>
        <w:t xml:space="preserve">in the thesis </w:t>
      </w:r>
      <w:r>
        <w:rPr>
          <w:rFonts w:ascii="Times New Roman" w:hAnsi="Times New Roman" w:cs="Times New Roman"/>
          <w:bCs/>
        </w:rPr>
        <w:t>is to not make claims on its legitimacy, and even militant groups and states in private will acknowledge they have used terrorism tactics</w:t>
      </w:r>
      <w:r w:rsidR="00D51325">
        <w:rPr>
          <w:rFonts w:ascii="Times New Roman" w:hAnsi="Times New Roman" w:cs="Times New Roman"/>
          <w:bCs/>
        </w:rPr>
        <w:t>.</w:t>
      </w:r>
      <w:r>
        <w:rPr>
          <w:rStyle w:val="FootnoteReference"/>
          <w:rFonts w:ascii="Times New Roman" w:hAnsi="Times New Roman" w:cs="Times New Roman"/>
          <w:bCs/>
        </w:rPr>
        <w:footnoteReference w:id="158"/>
      </w:r>
      <w:r>
        <w:rPr>
          <w:rFonts w:ascii="Times New Roman" w:hAnsi="Times New Roman" w:cs="Times New Roman"/>
          <w:bCs/>
        </w:rPr>
        <w:t xml:space="preserve"> However, </w:t>
      </w:r>
      <w:r w:rsidR="00F01CCA">
        <w:rPr>
          <w:rFonts w:ascii="Times New Roman" w:hAnsi="Times New Roman" w:cs="Times New Roman"/>
          <w:bCs/>
        </w:rPr>
        <w:t>there is little</w:t>
      </w:r>
      <w:r>
        <w:rPr>
          <w:rFonts w:ascii="Times New Roman" w:hAnsi="Times New Roman" w:cs="Times New Roman"/>
          <w:bCs/>
        </w:rPr>
        <w:t xml:space="preserve"> benefit </w:t>
      </w:r>
      <w:r w:rsidR="00F01CCA">
        <w:rPr>
          <w:rFonts w:ascii="Times New Roman" w:hAnsi="Times New Roman" w:cs="Times New Roman"/>
          <w:bCs/>
        </w:rPr>
        <w:t>in describing</w:t>
      </w:r>
      <w:r>
        <w:rPr>
          <w:rFonts w:ascii="Times New Roman" w:hAnsi="Times New Roman" w:cs="Times New Roman"/>
          <w:bCs/>
        </w:rPr>
        <w:t xml:space="preserve"> these actors as ‘terrorists’ or ‘state terrorists’ because it has more analytical purchase to avoid labelling actors in this way, firstly because it marginalises other identities</w:t>
      </w:r>
      <w:r w:rsidR="00D51325">
        <w:rPr>
          <w:rFonts w:ascii="Times New Roman" w:hAnsi="Times New Roman" w:cs="Times New Roman"/>
          <w:bCs/>
        </w:rPr>
        <w:t>,</w:t>
      </w:r>
      <w:r>
        <w:rPr>
          <w:rStyle w:val="FootnoteReference"/>
          <w:rFonts w:ascii="Times New Roman" w:hAnsi="Times New Roman" w:cs="Times New Roman"/>
          <w:bCs/>
        </w:rPr>
        <w:footnoteReference w:id="159"/>
      </w:r>
      <w:r>
        <w:rPr>
          <w:rFonts w:ascii="Times New Roman" w:hAnsi="Times New Roman" w:cs="Times New Roman"/>
          <w:bCs/>
        </w:rPr>
        <w:t xml:space="preserve"> secondly, it more overtly leads to engaging in public discourse of who is legitimate and who is not, and thirdly, there are ethical and practical issues with referring to people as ‘terrorists’ or ‘ex-terrorists’ after conducting interviews with them. But while the thesis argues that it is most appropriate to try detaching itself from making subjective claims on legitimacy, it does not abandon the subjective approach entirely. The subjective approach to terrorism involves recognising that, in the public sphere, it is a contested concept and that it is used by actors to delegitimise the claims of others. However, a far more interesting outcome of using a subjective approach is it is possible to identify the different processes of labelling and how, through language, actors attempt to build or deny legitimacy. </w:t>
      </w:r>
    </w:p>
    <w:p w14:paraId="71714B0F" w14:textId="4D5E0651" w:rsidR="009E3DF5" w:rsidRDefault="002D2205" w:rsidP="00B57C7F">
      <w:pPr>
        <w:spacing w:line="360" w:lineRule="auto"/>
        <w:ind w:firstLine="720"/>
        <w:jc w:val="both"/>
        <w:rPr>
          <w:rFonts w:ascii="Times New Roman" w:hAnsi="Times New Roman" w:cs="Times New Roman"/>
          <w:bCs/>
        </w:rPr>
      </w:pPr>
      <w:r>
        <w:rPr>
          <w:rFonts w:ascii="Times New Roman" w:hAnsi="Times New Roman" w:cs="Times New Roman"/>
          <w:bCs/>
        </w:rPr>
        <w:t xml:space="preserve">In </w:t>
      </w:r>
      <w:r w:rsidR="009E3DF5">
        <w:rPr>
          <w:rFonts w:ascii="Times New Roman" w:hAnsi="Times New Roman" w:cs="Times New Roman"/>
          <w:bCs/>
        </w:rPr>
        <w:t xml:space="preserve">Republicanism and Northern Ireland </w:t>
      </w:r>
      <w:r>
        <w:rPr>
          <w:rFonts w:ascii="Times New Roman" w:hAnsi="Times New Roman" w:cs="Times New Roman"/>
          <w:bCs/>
        </w:rPr>
        <w:t xml:space="preserve">there </w:t>
      </w:r>
      <w:r w:rsidR="009E3DF5">
        <w:rPr>
          <w:rFonts w:ascii="Times New Roman" w:hAnsi="Times New Roman" w:cs="Times New Roman"/>
          <w:bCs/>
        </w:rPr>
        <w:t xml:space="preserve">is quite </w:t>
      </w:r>
      <w:r>
        <w:rPr>
          <w:rFonts w:ascii="Times New Roman" w:hAnsi="Times New Roman" w:cs="Times New Roman"/>
          <w:bCs/>
        </w:rPr>
        <w:t xml:space="preserve">a </w:t>
      </w:r>
      <w:r w:rsidR="009E3DF5">
        <w:rPr>
          <w:rFonts w:ascii="Times New Roman" w:hAnsi="Times New Roman" w:cs="Times New Roman"/>
          <w:bCs/>
        </w:rPr>
        <w:t xml:space="preserve">unique range of terminology that exists which also serves a similar pejorative function as ‘terrorist’, which is further complicated by the problem of the ex’s. The term dissident Republican, historically, has been used to de-legitimise groups who have strayed from the path of ‘true Republicanism’. Currently, the term is used to identify groups such as the Real IRA, Continuity IRA and the New IRA who oppose the peace process and continue to engage in political violence. The thesis uses the term </w:t>
      </w:r>
      <w:r w:rsidR="009E3DF5" w:rsidRPr="00C45C7C">
        <w:rPr>
          <w:rFonts w:ascii="Times New Roman" w:hAnsi="Times New Roman" w:cs="Times New Roman"/>
          <w:bCs/>
          <w:i/>
          <w:iCs/>
        </w:rPr>
        <w:t xml:space="preserve">militant </w:t>
      </w:r>
      <w:r w:rsidR="009E3DF5" w:rsidRPr="00C45C7C">
        <w:rPr>
          <w:rFonts w:ascii="Times New Roman" w:hAnsi="Times New Roman" w:cs="Times New Roman"/>
          <w:bCs/>
          <w:i/>
          <w:iCs/>
        </w:rPr>
        <w:lastRenderedPageBreak/>
        <w:t>Republican</w:t>
      </w:r>
      <w:r w:rsidR="009E3DF5">
        <w:rPr>
          <w:rFonts w:ascii="Times New Roman" w:hAnsi="Times New Roman" w:cs="Times New Roman"/>
          <w:bCs/>
        </w:rPr>
        <w:t xml:space="preserve"> (or militant Loyalist) to identify the groups who engage in physical force. However, even this term is not entirely clear-cut, as a number of groups, such as the Ulster Volunteer Force</w:t>
      </w:r>
      <w:r w:rsidR="00611B51">
        <w:rPr>
          <w:rFonts w:ascii="Times New Roman" w:hAnsi="Times New Roman" w:cs="Times New Roman"/>
          <w:bCs/>
        </w:rPr>
        <w:t xml:space="preserve"> – a Loyalist paramilitary group -</w:t>
      </w:r>
      <w:r w:rsidR="009E3DF5">
        <w:rPr>
          <w:rFonts w:ascii="Times New Roman" w:hAnsi="Times New Roman" w:cs="Times New Roman"/>
          <w:bCs/>
        </w:rPr>
        <w:t xml:space="preserve"> can be defined as militant despite officially having ended their armed campaign, and this represents a broader problem of the ex’s.</w:t>
      </w:r>
    </w:p>
    <w:p w14:paraId="2259713E" w14:textId="73933F09" w:rsidR="009E3DF5" w:rsidRDefault="009E3DF5" w:rsidP="00B57C7F">
      <w:pPr>
        <w:spacing w:line="360" w:lineRule="auto"/>
        <w:jc w:val="both"/>
        <w:rPr>
          <w:rFonts w:ascii="Times New Roman" w:hAnsi="Times New Roman" w:cs="Times New Roman"/>
          <w:bCs/>
        </w:rPr>
      </w:pPr>
      <w:r>
        <w:rPr>
          <w:rFonts w:ascii="Times New Roman" w:hAnsi="Times New Roman" w:cs="Times New Roman"/>
          <w:bCs/>
        </w:rPr>
        <w:tab/>
      </w:r>
      <w:r w:rsidR="00D14EAD">
        <w:rPr>
          <w:rFonts w:ascii="Times New Roman" w:hAnsi="Times New Roman" w:cs="Times New Roman"/>
          <w:bCs/>
        </w:rPr>
        <w:t>A number of scholars have</w:t>
      </w:r>
      <w:r>
        <w:rPr>
          <w:rFonts w:ascii="Times New Roman" w:hAnsi="Times New Roman" w:cs="Times New Roman"/>
          <w:bCs/>
        </w:rPr>
        <w:t xml:space="preserve"> argued the label ex-prisoner, ex-terrorist, former-paramilitary or former-combatant can restrict their ability to ‘move on’, but there is a more practical problem in the case of Northern Ireland.</w:t>
      </w:r>
      <w:r w:rsidR="00D51325" w:rsidRPr="00D51325">
        <w:rPr>
          <w:rStyle w:val="FootnoteReference"/>
          <w:rFonts w:ascii="Times New Roman" w:hAnsi="Times New Roman" w:cs="Times New Roman"/>
          <w:bCs/>
        </w:rPr>
        <w:t xml:space="preserve"> </w:t>
      </w:r>
      <w:r w:rsidR="00D51325">
        <w:rPr>
          <w:rStyle w:val="FootnoteReference"/>
          <w:rFonts w:ascii="Times New Roman" w:hAnsi="Times New Roman" w:cs="Times New Roman"/>
          <w:bCs/>
        </w:rPr>
        <w:footnoteReference w:id="160"/>
      </w:r>
      <w:r>
        <w:rPr>
          <w:rFonts w:ascii="Times New Roman" w:hAnsi="Times New Roman" w:cs="Times New Roman"/>
          <w:bCs/>
        </w:rPr>
        <w:t xml:space="preserve"> Firstly, many members of the paramilitary groups still refer to each other in the present tense: figures representing the Provisional IRA, and the other Republican and Loyalist groups still meet; and they still refer to each other in such terms. Secondly, these paramilitary groups still exist either as formal command structures, or as informal social networks that are mediated through the structures of political parties, or former prisoner groups, thus maintaining a degree of command, discipline and loyalty between </w:t>
      </w:r>
      <w:r w:rsidR="009F4279">
        <w:rPr>
          <w:rFonts w:ascii="Times New Roman" w:hAnsi="Times New Roman" w:cs="Times New Roman"/>
          <w:bCs/>
        </w:rPr>
        <w:t xml:space="preserve">(ex) </w:t>
      </w:r>
      <w:r>
        <w:rPr>
          <w:rFonts w:ascii="Times New Roman" w:hAnsi="Times New Roman" w:cs="Times New Roman"/>
          <w:bCs/>
        </w:rPr>
        <w:t>members</w:t>
      </w:r>
      <w:r w:rsidR="00D51325">
        <w:rPr>
          <w:rFonts w:ascii="Times New Roman" w:hAnsi="Times New Roman" w:cs="Times New Roman"/>
          <w:bCs/>
        </w:rPr>
        <w:t>.</w:t>
      </w:r>
      <w:r>
        <w:rPr>
          <w:rStyle w:val="FootnoteReference"/>
          <w:rFonts w:ascii="Times New Roman" w:hAnsi="Times New Roman" w:cs="Times New Roman"/>
          <w:bCs/>
        </w:rPr>
        <w:footnoteReference w:id="161"/>
      </w:r>
      <w:r>
        <w:rPr>
          <w:rFonts w:ascii="Times New Roman" w:hAnsi="Times New Roman" w:cs="Times New Roman"/>
          <w:bCs/>
        </w:rPr>
        <w:t xml:space="preserve"> </w:t>
      </w:r>
      <w:r w:rsidR="00611B51">
        <w:rPr>
          <w:rFonts w:ascii="Times New Roman" w:hAnsi="Times New Roman" w:cs="Times New Roman"/>
          <w:bCs/>
        </w:rPr>
        <w:t xml:space="preserve">Of course, this may be a wider issue that challenges previous notions of how terrorism ends and disengagement processes: the organisations may be disbanded but a network of members may still exist, thus posing the same risk of recidivism that would be assumed with an organisational structure being maintained. </w:t>
      </w:r>
      <w:r>
        <w:rPr>
          <w:rFonts w:ascii="Times New Roman" w:hAnsi="Times New Roman" w:cs="Times New Roman"/>
          <w:bCs/>
        </w:rPr>
        <w:t>Therefore, for the sake of simplicity, the thesis refers to groups such as the Provisional IRA in the present tense, but this not</w:t>
      </w:r>
      <w:r w:rsidR="000D7952">
        <w:rPr>
          <w:rFonts w:ascii="Times New Roman" w:hAnsi="Times New Roman" w:cs="Times New Roman"/>
          <w:bCs/>
        </w:rPr>
        <w:t xml:space="preserve"> to deny that </w:t>
      </w:r>
      <w:r>
        <w:rPr>
          <w:rFonts w:ascii="Times New Roman" w:hAnsi="Times New Roman" w:cs="Times New Roman"/>
          <w:bCs/>
        </w:rPr>
        <w:t xml:space="preserve">the IRA </w:t>
      </w:r>
      <w:r w:rsidR="000D7952">
        <w:rPr>
          <w:rFonts w:ascii="Times New Roman" w:hAnsi="Times New Roman" w:cs="Times New Roman"/>
          <w:bCs/>
        </w:rPr>
        <w:t>‘</w:t>
      </w:r>
      <w:r>
        <w:rPr>
          <w:rFonts w:ascii="Times New Roman" w:hAnsi="Times New Roman" w:cs="Times New Roman"/>
          <w:bCs/>
        </w:rPr>
        <w:t>have gone away, you know’</w:t>
      </w:r>
      <w:r w:rsidR="00D51325">
        <w:rPr>
          <w:rFonts w:ascii="Times New Roman" w:hAnsi="Times New Roman" w:cs="Times New Roman"/>
          <w:bCs/>
        </w:rPr>
        <w:t>,</w:t>
      </w:r>
      <w:r w:rsidR="000D7952">
        <w:rPr>
          <w:rStyle w:val="FootnoteReference"/>
          <w:rFonts w:ascii="Times New Roman" w:hAnsi="Times New Roman" w:cs="Times New Roman"/>
          <w:bCs/>
        </w:rPr>
        <w:footnoteReference w:id="162"/>
      </w:r>
      <w:r>
        <w:rPr>
          <w:rFonts w:ascii="Times New Roman" w:hAnsi="Times New Roman" w:cs="Times New Roman"/>
          <w:bCs/>
        </w:rPr>
        <w:t xml:space="preserve"> but merely to acknowledge that the informal continuity exists and it is difficult to identify when the paramilitary group should be referred to as ‘former’ or not. Thus to summarise, the term </w:t>
      </w:r>
      <w:r w:rsidRPr="004A0E92">
        <w:rPr>
          <w:rFonts w:ascii="Times New Roman" w:hAnsi="Times New Roman" w:cs="Times New Roman"/>
          <w:bCs/>
          <w:i/>
          <w:iCs/>
        </w:rPr>
        <w:t>paramilitary group</w:t>
      </w:r>
      <w:r>
        <w:rPr>
          <w:rFonts w:ascii="Times New Roman" w:hAnsi="Times New Roman" w:cs="Times New Roman"/>
          <w:bCs/>
        </w:rPr>
        <w:t xml:space="preserve"> is used to refer to all the groups which to different degrees over the last few decades have been </w:t>
      </w:r>
      <w:r w:rsidRPr="004A0E92">
        <w:rPr>
          <w:rFonts w:ascii="Times New Roman" w:hAnsi="Times New Roman" w:cs="Times New Roman"/>
          <w:bCs/>
          <w:i/>
          <w:iCs/>
        </w:rPr>
        <w:t>militant groups</w:t>
      </w:r>
      <w:r>
        <w:rPr>
          <w:rFonts w:ascii="Times New Roman" w:hAnsi="Times New Roman" w:cs="Times New Roman"/>
          <w:bCs/>
        </w:rPr>
        <w:t xml:space="preserve"> – thus using political violence and terrorism. The conglomeration of militant groups that exist throughout the island of Ireland will be contextualised within a social movemen</w:t>
      </w:r>
      <w:r w:rsidR="00611B51">
        <w:rPr>
          <w:rFonts w:ascii="Times New Roman" w:hAnsi="Times New Roman" w:cs="Times New Roman"/>
          <w:bCs/>
        </w:rPr>
        <w:t>t, which will be discussed next.</w:t>
      </w:r>
      <w:r>
        <w:rPr>
          <w:rFonts w:ascii="Times New Roman" w:hAnsi="Times New Roman" w:cs="Times New Roman"/>
          <w:bCs/>
        </w:rPr>
        <w:t xml:space="preserve">  </w:t>
      </w:r>
    </w:p>
    <w:p w14:paraId="5C5A157D" w14:textId="77777777" w:rsidR="009E3DF5" w:rsidRPr="00E97AB9" w:rsidRDefault="009E3DF5" w:rsidP="00B57C7F">
      <w:pPr>
        <w:spacing w:line="360" w:lineRule="auto"/>
        <w:jc w:val="both"/>
        <w:rPr>
          <w:rFonts w:ascii="Times New Roman" w:hAnsi="Times New Roman" w:cs="Times New Roman"/>
          <w:bCs/>
        </w:rPr>
      </w:pPr>
    </w:p>
    <w:p w14:paraId="06F73E92" w14:textId="77777777" w:rsidR="009E3DF5" w:rsidRDefault="009E3DF5" w:rsidP="00B57C7F">
      <w:pPr>
        <w:pStyle w:val="Heading3"/>
        <w:spacing w:before="120" w:line="360" w:lineRule="auto"/>
      </w:pPr>
      <w:bookmarkStart w:id="26" w:name="_Toc389208809"/>
      <w:r>
        <w:t>A Social Movement Approach</w:t>
      </w:r>
      <w:bookmarkEnd w:id="26"/>
    </w:p>
    <w:p w14:paraId="56281891" w14:textId="77777777" w:rsidR="00241EF0" w:rsidRDefault="009E3DF5" w:rsidP="00B57C7F">
      <w:pPr>
        <w:spacing w:line="360" w:lineRule="auto"/>
        <w:jc w:val="both"/>
        <w:rPr>
          <w:rFonts w:ascii="Times New Roman" w:hAnsi="Times New Roman" w:cs="Times New Roman"/>
        </w:rPr>
      </w:pPr>
      <w:r>
        <w:rPr>
          <w:rFonts w:ascii="Times New Roman" w:hAnsi="Times New Roman" w:cs="Times New Roman"/>
          <w:bCs/>
        </w:rPr>
        <w:tab/>
      </w:r>
      <w:r w:rsidR="00D1586D">
        <w:rPr>
          <w:rFonts w:ascii="Times New Roman" w:hAnsi="Times New Roman" w:cs="Times New Roman"/>
          <w:bCs/>
        </w:rPr>
        <w:t>The lack of a multi-level analysis</w:t>
      </w:r>
      <w:r w:rsidR="00241EF0">
        <w:rPr>
          <w:rFonts w:ascii="Times New Roman" w:hAnsi="Times New Roman" w:cs="Times New Roman"/>
          <w:bCs/>
        </w:rPr>
        <w:t xml:space="preserve"> – as shown in Chapter One -</w:t>
      </w:r>
      <w:r w:rsidR="00D1586D">
        <w:rPr>
          <w:rFonts w:ascii="Times New Roman" w:hAnsi="Times New Roman" w:cs="Times New Roman"/>
          <w:bCs/>
        </w:rPr>
        <w:t xml:space="preserve"> has </w:t>
      </w:r>
      <w:r w:rsidR="00241EF0">
        <w:rPr>
          <w:rFonts w:ascii="Times New Roman" w:hAnsi="Times New Roman" w:cs="Times New Roman"/>
          <w:bCs/>
        </w:rPr>
        <w:t xml:space="preserve">meant that </w:t>
      </w:r>
      <w:r w:rsidR="00D1586D">
        <w:rPr>
          <w:rFonts w:ascii="Times New Roman" w:hAnsi="Times New Roman" w:cs="Times New Roman"/>
          <w:bCs/>
        </w:rPr>
        <w:t>explanations of how terrorism campaigns end</w:t>
      </w:r>
      <w:r w:rsidR="00241EF0">
        <w:rPr>
          <w:rFonts w:ascii="Times New Roman" w:hAnsi="Times New Roman" w:cs="Times New Roman"/>
          <w:bCs/>
        </w:rPr>
        <w:t xml:space="preserve"> have faced a number of problems</w:t>
      </w:r>
      <w:r w:rsidR="00D1586D">
        <w:rPr>
          <w:rFonts w:ascii="Times New Roman" w:hAnsi="Times New Roman" w:cs="Times New Roman"/>
          <w:bCs/>
        </w:rPr>
        <w:t xml:space="preserve">. </w:t>
      </w:r>
      <w:r w:rsidRPr="005B3DFC">
        <w:rPr>
          <w:rFonts w:ascii="Times New Roman" w:hAnsi="Times New Roman" w:cs="Times New Roman"/>
        </w:rPr>
        <w:t xml:space="preserve">Gvineria states that a consequence of ‘a near-exclusive preoccupation with terrorist [groups] as the unit of analysis’ is that the literature ‘often equates decline of an </w:t>
      </w:r>
      <w:r w:rsidR="00CE1BFF">
        <w:rPr>
          <w:rFonts w:ascii="Times New Roman" w:hAnsi="Times New Roman" w:cs="Times New Roman"/>
        </w:rPr>
        <w:t>organisation</w:t>
      </w:r>
      <w:r w:rsidRPr="005B3DFC">
        <w:rPr>
          <w:rFonts w:ascii="Times New Roman" w:hAnsi="Times New Roman" w:cs="Times New Roman"/>
        </w:rPr>
        <w:t xml:space="preserve"> with the end of terrorism’</w:t>
      </w:r>
      <w:r w:rsidR="00D51325">
        <w:rPr>
          <w:rFonts w:ascii="Times New Roman" w:hAnsi="Times New Roman" w:cs="Times New Roman"/>
        </w:rPr>
        <w:t>.</w:t>
      </w:r>
      <w:r>
        <w:rPr>
          <w:rStyle w:val="FootnoteReference"/>
          <w:rFonts w:ascii="Times New Roman" w:hAnsi="Times New Roman" w:cs="Times New Roman"/>
        </w:rPr>
        <w:footnoteReference w:id="163"/>
      </w:r>
      <w:r w:rsidRPr="005B3DFC">
        <w:rPr>
          <w:rFonts w:ascii="Times New Roman" w:hAnsi="Times New Roman" w:cs="Times New Roman"/>
        </w:rPr>
        <w:t xml:space="preserve"> Crenshaw highlights the difficulties in assessing when terrorism has declined: some groups continue to exist despite apparent passivity and it is unknown when terrorism is likely to be reactivated</w:t>
      </w:r>
      <w:r w:rsidR="00D51325">
        <w:rPr>
          <w:rFonts w:ascii="Times New Roman" w:hAnsi="Times New Roman" w:cs="Times New Roman"/>
        </w:rPr>
        <w:t>.</w:t>
      </w:r>
      <w:r>
        <w:rPr>
          <w:rStyle w:val="FootnoteReference"/>
          <w:rFonts w:ascii="Times New Roman" w:hAnsi="Times New Roman" w:cs="Times New Roman"/>
        </w:rPr>
        <w:footnoteReference w:id="164"/>
      </w:r>
      <w:r>
        <w:rPr>
          <w:rFonts w:ascii="Times New Roman" w:hAnsi="Times New Roman" w:cs="Times New Roman"/>
        </w:rPr>
        <w:t xml:space="preserve"> Thus, disengagement and de-radicalisation </w:t>
      </w:r>
      <w:r w:rsidR="00DA50D2">
        <w:rPr>
          <w:rFonts w:ascii="Times New Roman" w:hAnsi="Times New Roman" w:cs="Times New Roman"/>
        </w:rPr>
        <w:t xml:space="preserve">processes </w:t>
      </w:r>
      <w:r>
        <w:rPr>
          <w:rFonts w:ascii="Times New Roman" w:hAnsi="Times New Roman" w:cs="Times New Roman"/>
        </w:rPr>
        <w:t>are staircases that can be climbed up and down at any stage</w:t>
      </w:r>
      <w:r>
        <w:rPr>
          <w:rStyle w:val="FootnoteReference"/>
          <w:rFonts w:ascii="Times New Roman" w:hAnsi="Times New Roman" w:cs="Times New Roman"/>
        </w:rPr>
        <w:footnoteReference w:id="165"/>
      </w:r>
      <w:r>
        <w:rPr>
          <w:rFonts w:ascii="Times New Roman" w:hAnsi="Times New Roman" w:cs="Times New Roman"/>
        </w:rPr>
        <w:t xml:space="preserve"> – former militants can become militants again</w:t>
      </w:r>
      <w:r>
        <w:rPr>
          <w:rStyle w:val="FootnoteReference"/>
          <w:rFonts w:ascii="Times New Roman" w:hAnsi="Times New Roman" w:cs="Times New Roman"/>
        </w:rPr>
        <w:footnoteReference w:id="166"/>
      </w:r>
      <w:r>
        <w:rPr>
          <w:rFonts w:ascii="Times New Roman" w:hAnsi="Times New Roman" w:cs="Times New Roman"/>
        </w:rPr>
        <w:t xml:space="preserve"> - but these metaphorical staircases to and from using armed violence can also be utilised by the next generation if </w:t>
      </w:r>
      <w:r w:rsidR="00BF001B">
        <w:rPr>
          <w:rFonts w:ascii="Times New Roman" w:hAnsi="Times New Roman" w:cs="Times New Roman"/>
        </w:rPr>
        <w:t>the push and pull factors which cause of terrorism</w:t>
      </w:r>
      <w:r>
        <w:rPr>
          <w:rStyle w:val="FootnoteReference"/>
          <w:rFonts w:ascii="Times New Roman" w:hAnsi="Times New Roman" w:cs="Times New Roman"/>
        </w:rPr>
        <w:footnoteReference w:id="167"/>
      </w:r>
      <w:r>
        <w:rPr>
          <w:rFonts w:ascii="Times New Roman" w:hAnsi="Times New Roman" w:cs="Times New Roman"/>
        </w:rPr>
        <w:t xml:space="preserve"> still remain within a society. </w:t>
      </w:r>
      <w:r w:rsidR="00241EF0">
        <w:rPr>
          <w:rFonts w:ascii="Times New Roman" w:hAnsi="Times New Roman" w:cs="Times New Roman"/>
        </w:rPr>
        <w:t>The closest approach in terrorism studies to a multi-level analysis</w:t>
      </w:r>
      <w:r w:rsidR="00DA50D2">
        <w:rPr>
          <w:rFonts w:ascii="Times New Roman" w:hAnsi="Times New Roman" w:cs="Times New Roman"/>
        </w:rPr>
        <w:t xml:space="preserve"> that would take into account these factors</w:t>
      </w:r>
      <w:r w:rsidR="00241EF0">
        <w:rPr>
          <w:rFonts w:ascii="Times New Roman" w:hAnsi="Times New Roman" w:cs="Times New Roman"/>
        </w:rPr>
        <w:t xml:space="preserve"> has been waves of terrorism theory. Yet, a problem with the waves of terrorism theory is the object of analysis was too broad, conflating groups such as ETA, the Provisional IRA, the PLO and many other nationalist movements together</w:t>
      </w:r>
      <w:r w:rsidR="00DA50D2">
        <w:rPr>
          <w:rFonts w:ascii="Times New Roman" w:hAnsi="Times New Roman" w:cs="Times New Roman"/>
        </w:rPr>
        <w:t xml:space="preserve"> – in other words, the theory is not grounded</w:t>
      </w:r>
      <w:r w:rsidR="00241EF0">
        <w:rPr>
          <w:rFonts w:ascii="Times New Roman" w:hAnsi="Times New Roman" w:cs="Times New Roman"/>
        </w:rPr>
        <w:t xml:space="preserve">. </w:t>
      </w:r>
      <w:r w:rsidR="00DA50D2">
        <w:rPr>
          <w:rFonts w:ascii="Times New Roman" w:hAnsi="Times New Roman" w:cs="Times New Roman"/>
        </w:rPr>
        <w:t>W</w:t>
      </w:r>
      <w:r w:rsidR="00241EF0">
        <w:rPr>
          <w:rFonts w:ascii="Times New Roman" w:hAnsi="Times New Roman" w:cs="Times New Roman"/>
        </w:rPr>
        <w:t>hile it groups together militant groups, it does not necessarily take into account the context each of these groups operate within, namely sympathisers, potential sympathisers and competitor groups who don’t necessarily fit into the ‘nationalist wave’– such as Hamas (Islamist-Nationalist), the Irish National Liberation Army (Marxist-Nationalist), or the Ulster Volunteer Force (Loyalist-Nationalism).</w:t>
      </w:r>
    </w:p>
    <w:p w14:paraId="5B434EFC" w14:textId="77777777" w:rsidR="0018310A" w:rsidRDefault="009E3DF5" w:rsidP="00B57C7F">
      <w:pPr>
        <w:spacing w:line="360" w:lineRule="auto"/>
        <w:ind w:firstLine="720"/>
        <w:jc w:val="both"/>
        <w:rPr>
          <w:rFonts w:ascii="Times New Roman" w:hAnsi="Times New Roman" w:cs="Times New Roman"/>
        </w:rPr>
      </w:pPr>
      <w:r>
        <w:rPr>
          <w:rFonts w:ascii="Times New Roman" w:hAnsi="Times New Roman" w:cs="Times New Roman"/>
        </w:rPr>
        <w:t>Thus, Del</w:t>
      </w:r>
      <w:r w:rsidR="0089595F">
        <w:rPr>
          <w:rFonts w:ascii="Times New Roman" w:hAnsi="Times New Roman" w:cs="Times New Roman"/>
        </w:rPr>
        <w:t xml:space="preserve">la Porta and LaFree argue that </w:t>
      </w:r>
      <w:r>
        <w:rPr>
          <w:rFonts w:ascii="Times New Roman" w:hAnsi="Times New Roman" w:cs="Times New Roman"/>
        </w:rPr>
        <w:t>de-radicalisation needs to be scrutinised on micro, meso and macro levels, and most importantly the int</w:t>
      </w:r>
      <w:r w:rsidR="0089595F">
        <w:rPr>
          <w:rFonts w:ascii="Times New Roman" w:hAnsi="Times New Roman" w:cs="Times New Roman"/>
        </w:rPr>
        <w:t xml:space="preserve">erplay </w:t>
      </w:r>
      <w:r w:rsidR="0089595F">
        <w:rPr>
          <w:rFonts w:ascii="Times New Roman" w:hAnsi="Times New Roman" w:cs="Times New Roman"/>
        </w:rPr>
        <w:lastRenderedPageBreak/>
        <w:t>between these dimensions</w:t>
      </w:r>
      <w:r w:rsidR="00BF001B">
        <w:rPr>
          <w:rFonts w:ascii="Times New Roman" w:hAnsi="Times New Roman" w:cs="Times New Roman"/>
        </w:rPr>
        <w:t>, which a social movement approach does</w:t>
      </w:r>
      <w:r w:rsidR="00D51325">
        <w:rPr>
          <w:rFonts w:ascii="Times New Roman" w:hAnsi="Times New Roman" w:cs="Times New Roman"/>
        </w:rPr>
        <w:t>.</w:t>
      </w:r>
      <w:r>
        <w:rPr>
          <w:rStyle w:val="FootnoteReference"/>
          <w:rFonts w:ascii="Times New Roman" w:hAnsi="Times New Roman" w:cs="Times New Roman"/>
        </w:rPr>
        <w:footnoteReference w:id="168"/>
      </w:r>
      <w:r>
        <w:rPr>
          <w:rFonts w:ascii="Times New Roman" w:hAnsi="Times New Roman" w:cs="Times New Roman"/>
        </w:rPr>
        <w:t xml:space="preserve"> Schmid argues for concepts of radicalisation, de-radicalisation and counter-radicalisation to be brought under one conceptual framework which also moves the focus of analysis away from the individual level to encompass the meso and macro levels of analysis</w:t>
      </w:r>
      <w:r w:rsidR="00D51325">
        <w:rPr>
          <w:rFonts w:ascii="Times New Roman" w:hAnsi="Times New Roman" w:cs="Times New Roman"/>
        </w:rPr>
        <w:t>.</w:t>
      </w:r>
      <w:r>
        <w:rPr>
          <w:rStyle w:val="FootnoteReference"/>
          <w:rFonts w:ascii="Times New Roman" w:hAnsi="Times New Roman" w:cs="Times New Roman"/>
        </w:rPr>
        <w:footnoteReference w:id="169"/>
      </w:r>
      <w:r>
        <w:rPr>
          <w:rFonts w:ascii="Times New Roman" w:hAnsi="Times New Roman" w:cs="Times New Roman"/>
        </w:rPr>
        <w:t xml:space="preserve"> For Schmid, disengagement and de-radicalisation has focused too much on those actively engaged in terrorism, yet it has neglected the radical milieu – sympathisers who can continue the struggle without being engaged in terrorism. Furthermore, Schmid highlights the link between the different causes of terrorism and how terrorism campaigns decline. Subsequently, there is a clear recognition of a gap in the literature where attitudinal, behavioural and structural changes are analysed together, within a framework which can be applied beyond a militant or militant group. </w:t>
      </w:r>
      <w:r w:rsidR="00220517">
        <w:rPr>
          <w:rFonts w:ascii="Times New Roman" w:hAnsi="Times New Roman" w:cs="Times New Roman"/>
        </w:rPr>
        <w:t xml:space="preserve">Social movement theory </w:t>
      </w:r>
      <w:r>
        <w:rPr>
          <w:rFonts w:ascii="Times New Roman" w:hAnsi="Times New Roman" w:cs="Times New Roman"/>
        </w:rPr>
        <w:t xml:space="preserve">provides a grounded and contextualised </w:t>
      </w:r>
      <w:r w:rsidR="002D2205">
        <w:rPr>
          <w:rFonts w:ascii="Times New Roman" w:hAnsi="Times New Roman" w:cs="Times New Roman"/>
        </w:rPr>
        <w:t xml:space="preserve">framework </w:t>
      </w:r>
      <w:r>
        <w:rPr>
          <w:rFonts w:ascii="Times New Roman" w:hAnsi="Times New Roman" w:cs="Times New Roman"/>
        </w:rPr>
        <w:t>of analysis</w:t>
      </w:r>
      <w:r w:rsidR="00241EF0">
        <w:rPr>
          <w:rFonts w:ascii="Times New Roman" w:hAnsi="Times New Roman" w:cs="Times New Roman"/>
        </w:rPr>
        <w:t xml:space="preserve"> that can incorporate individual, group and structural explanations</w:t>
      </w:r>
      <w:r w:rsidR="00B20C96">
        <w:rPr>
          <w:rFonts w:ascii="Times New Roman" w:hAnsi="Times New Roman" w:cs="Times New Roman"/>
        </w:rPr>
        <w:t>, enabling an analysis of the interaction between each level</w:t>
      </w:r>
      <w:r w:rsidR="00241EF0">
        <w:rPr>
          <w:rFonts w:ascii="Times New Roman" w:hAnsi="Times New Roman" w:cs="Times New Roman"/>
        </w:rPr>
        <w:t>.</w:t>
      </w:r>
      <w:r w:rsidR="00220517" w:rsidRPr="00220517">
        <w:rPr>
          <w:rStyle w:val="FootnoteReference"/>
          <w:rFonts w:ascii="Times New Roman" w:hAnsi="Times New Roman" w:cs="Times New Roman"/>
          <w:bCs/>
        </w:rPr>
        <w:t xml:space="preserve"> </w:t>
      </w:r>
      <w:r w:rsidR="00220517">
        <w:rPr>
          <w:rStyle w:val="FootnoteReference"/>
          <w:rFonts w:ascii="Times New Roman" w:hAnsi="Times New Roman" w:cs="Times New Roman"/>
          <w:bCs/>
        </w:rPr>
        <w:footnoteReference w:id="170"/>
      </w:r>
      <w:r>
        <w:rPr>
          <w:rFonts w:ascii="Times New Roman" w:hAnsi="Times New Roman" w:cs="Times New Roman"/>
        </w:rPr>
        <w:t xml:space="preserve"> </w:t>
      </w:r>
    </w:p>
    <w:p w14:paraId="403A115C" w14:textId="22AD5D12" w:rsidR="00241EF0" w:rsidRDefault="009E3DF5" w:rsidP="00B57C7F">
      <w:pPr>
        <w:spacing w:line="360" w:lineRule="auto"/>
        <w:ind w:firstLine="720"/>
        <w:jc w:val="both"/>
        <w:rPr>
          <w:rFonts w:ascii="Times New Roman" w:hAnsi="Times New Roman" w:cs="Times New Roman"/>
        </w:rPr>
      </w:pPr>
      <w:r>
        <w:rPr>
          <w:rFonts w:ascii="Times New Roman" w:hAnsi="Times New Roman" w:cs="Times New Roman"/>
        </w:rPr>
        <w:t>Social movements, defined by Della Porta and Diani, are i</w:t>
      </w:r>
      <w:r w:rsidRPr="00907607">
        <w:rPr>
          <w:rFonts w:ascii="Times New Roman" w:hAnsi="Times New Roman" w:cs="Times New Roman"/>
        </w:rPr>
        <w:t>nformal networks,</w:t>
      </w:r>
      <w:r>
        <w:rPr>
          <w:rFonts w:ascii="Times New Roman" w:hAnsi="Times New Roman" w:cs="Times New Roman"/>
        </w:rPr>
        <w:t xml:space="preserve"> based on shared beliefs and solidarity, which mobilise a</w:t>
      </w:r>
      <w:r w:rsidR="0011394B">
        <w:rPr>
          <w:rFonts w:ascii="Times New Roman" w:hAnsi="Times New Roman" w:cs="Times New Roman"/>
        </w:rPr>
        <w:t xml:space="preserve">round </w:t>
      </w:r>
      <w:r>
        <w:rPr>
          <w:rFonts w:ascii="Times New Roman" w:hAnsi="Times New Roman" w:cs="Times New Roman"/>
        </w:rPr>
        <w:t>conflictual issues, through the frequent use of various forms of protest</w:t>
      </w:r>
      <w:r w:rsidR="00D51325">
        <w:rPr>
          <w:rFonts w:ascii="Times New Roman" w:hAnsi="Times New Roman" w:cs="Times New Roman"/>
        </w:rPr>
        <w:t>.</w:t>
      </w:r>
      <w:r>
        <w:rPr>
          <w:rStyle w:val="FootnoteReference"/>
          <w:rFonts w:ascii="Times New Roman" w:hAnsi="Times New Roman" w:cs="Times New Roman"/>
        </w:rPr>
        <w:footnoteReference w:id="171"/>
      </w:r>
      <w:r>
        <w:rPr>
          <w:rFonts w:ascii="Times New Roman" w:hAnsi="Times New Roman" w:cs="Times New Roman"/>
        </w:rPr>
        <w:t xml:space="preserve"> </w:t>
      </w:r>
      <w:r w:rsidR="00EF1941">
        <w:rPr>
          <w:rFonts w:ascii="Times New Roman" w:hAnsi="Times New Roman" w:cs="Times New Roman"/>
        </w:rPr>
        <w:t xml:space="preserve">However, recent studies have moved beyond seeing social movements as only informal networks. Social movements consist of groups and organisations with various levels of formalisation, ‘linked in patterns of interaction which run from the fairly centralised to the totally </w:t>
      </w:r>
      <w:r w:rsidR="00DA50D2">
        <w:rPr>
          <w:rFonts w:ascii="Times New Roman" w:hAnsi="Times New Roman" w:cs="Times New Roman"/>
        </w:rPr>
        <w:t>decentralis</w:t>
      </w:r>
      <w:r w:rsidR="00EF1941">
        <w:rPr>
          <w:rFonts w:ascii="Times New Roman" w:hAnsi="Times New Roman" w:cs="Times New Roman"/>
        </w:rPr>
        <w:t>ed, from the cooperative to the explicitly hostile’.</w:t>
      </w:r>
      <w:r w:rsidR="0011394B" w:rsidRPr="0011394B">
        <w:rPr>
          <w:rStyle w:val="FootnoteReference"/>
          <w:rFonts w:ascii="Times New Roman" w:hAnsi="Times New Roman" w:cs="Times New Roman"/>
        </w:rPr>
        <w:t xml:space="preserve"> </w:t>
      </w:r>
      <w:r w:rsidR="0011394B">
        <w:rPr>
          <w:rStyle w:val="FootnoteReference"/>
          <w:rFonts w:ascii="Times New Roman" w:hAnsi="Times New Roman" w:cs="Times New Roman"/>
        </w:rPr>
        <w:footnoteReference w:id="172"/>
      </w:r>
      <w:r w:rsidR="00EF1941">
        <w:rPr>
          <w:rFonts w:ascii="Times New Roman" w:hAnsi="Times New Roman" w:cs="Times New Roman"/>
        </w:rPr>
        <w:t xml:space="preserve"> They can be networks of individuals or networks of organisations, or they can consist of a mix of multiple networks of organisations and networks of individuals.</w:t>
      </w:r>
      <w:r w:rsidR="0011394B">
        <w:rPr>
          <w:rStyle w:val="FootnoteReference"/>
          <w:rFonts w:ascii="Times New Roman" w:hAnsi="Times New Roman" w:cs="Times New Roman"/>
        </w:rPr>
        <w:footnoteReference w:id="173"/>
      </w:r>
      <w:r w:rsidR="00EF1941">
        <w:rPr>
          <w:rFonts w:ascii="Times New Roman" w:hAnsi="Times New Roman" w:cs="Times New Roman"/>
        </w:rPr>
        <w:t xml:space="preserve"> As discussed above, most terrorism research focuses on militant groups</w:t>
      </w:r>
      <w:r w:rsidR="00340399">
        <w:rPr>
          <w:rFonts w:ascii="Times New Roman" w:hAnsi="Times New Roman" w:cs="Times New Roman"/>
        </w:rPr>
        <w:t xml:space="preserve">, however </w:t>
      </w:r>
      <w:r w:rsidR="00EF1941">
        <w:rPr>
          <w:rFonts w:ascii="Times New Roman" w:hAnsi="Times New Roman" w:cs="Times New Roman"/>
        </w:rPr>
        <w:t>militant groups</w:t>
      </w:r>
      <w:r w:rsidR="00340399">
        <w:rPr>
          <w:rFonts w:ascii="Times New Roman" w:hAnsi="Times New Roman" w:cs="Times New Roman"/>
        </w:rPr>
        <w:t xml:space="preserve"> such as the </w:t>
      </w:r>
      <w:r w:rsidR="00340399">
        <w:rPr>
          <w:rFonts w:ascii="Times New Roman" w:hAnsi="Times New Roman" w:cs="Times New Roman"/>
        </w:rPr>
        <w:lastRenderedPageBreak/>
        <w:t>Provisional IRA and Hamas</w:t>
      </w:r>
      <w:r w:rsidR="00EF1941">
        <w:rPr>
          <w:rFonts w:ascii="Times New Roman" w:hAnsi="Times New Roman" w:cs="Times New Roman"/>
        </w:rPr>
        <w:t xml:space="preserve"> are typically part of larger social movements</w:t>
      </w:r>
      <w:r w:rsidR="00340399">
        <w:rPr>
          <w:rFonts w:ascii="Times New Roman" w:hAnsi="Times New Roman" w:cs="Times New Roman"/>
        </w:rPr>
        <w:t>. A social movement approach not only helps to put terrorism and political violence in a broader context, it also contextualises the militant group and how it emerged.</w:t>
      </w:r>
      <w:r w:rsidR="00340399">
        <w:rPr>
          <w:rStyle w:val="FootnoteReference"/>
          <w:rFonts w:ascii="Times New Roman" w:hAnsi="Times New Roman" w:cs="Times New Roman"/>
        </w:rPr>
        <w:footnoteReference w:id="174"/>
      </w:r>
    </w:p>
    <w:p w14:paraId="0EB8BAE9" w14:textId="0F9A6028" w:rsidR="00683B58" w:rsidRDefault="009E3DF5" w:rsidP="00B57C7F">
      <w:pPr>
        <w:spacing w:line="360" w:lineRule="auto"/>
        <w:ind w:firstLine="720"/>
        <w:jc w:val="both"/>
        <w:rPr>
          <w:rFonts w:ascii="Times New Roman" w:hAnsi="Times New Roman" w:cs="Times New Roman"/>
        </w:rPr>
      </w:pPr>
      <w:r>
        <w:rPr>
          <w:rFonts w:ascii="Times New Roman" w:hAnsi="Times New Roman" w:cs="Times New Roman"/>
        </w:rPr>
        <w:t xml:space="preserve">Applied to the Irish context, an Irish Republican social </w:t>
      </w:r>
      <w:r w:rsidR="00683B58">
        <w:rPr>
          <w:rFonts w:ascii="Times New Roman" w:hAnsi="Times New Roman" w:cs="Times New Roman"/>
        </w:rPr>
        <w:t xml:space="preserve">movement </w:t>
      </w:r>
      <w:r>
        <w:rPr>
          <w:rFonts w:ascii="Times New Roman" w:hAnsi="Times New Roman" w:cs="Times New Roman"/>
        </w:rPr>
        <w:t xml:space="preserve">can be identified as: 1) consisting of a mix of formal </w:t>
      </w:r>
      <w:r w:rsidR="00372FF8">
        <w:rPr>
          <w:rFonts w:ascii="Times New Roman" w:hAnsi="Times New Roman" w:cs="Times New Roman"/>
        </w:rPr>
        <w:t>(</w:t>
      </w:r>
      <w:r w:rsidR="00113FEB">
        <w:rPr>
          <w:rFonts w:ascii="Times New Roman" w:hAnsi="Times New Roman" w:cs="Times New Roman"/>
        </w:rPr>
        <w:t xml:space="preserve">militant and non-militant </w:t>
      </w:r>
      <w:r w:rsidR="00372FF8">
        <w:rPr>
          <w:rFonts w:ascii="Times New Roman" w:hAnsi="Times New Roman" w:cs="Times New Roman"/>
        </w:rPr>
        <w:t xml:space="preserve">organisations) </w:t>
      </w:r>
      <w:r>
        <w:rPr>
          <w:rFonts w:ascii="Times New Roman" w:hAnsi="Times New Roman" w:cs="Times New Roman"/>
        </w:rPr>
        <w:t xml:space="preserve">and informal </w:t>
      </w:r>
      <w:r w:rsidR="00372FF8">
        <w:rPr>
          <w:rFonts w:ascii="Times New Roman" w:hAnsi="Times New Roman" w:cs="Times New Roman"/>
        </w:rPr>
        <w:t xml:space="preserve">(e.g. friendships) </w:t>
      </w:r>
      <w:r>
        <w:rPr>
          <w:rFonts w:ascii="Times New Roman" w:hAnsi="Times New Roman" w:cs="Times New Roman"/>
        </w:rPr>
        <w:t xml:space="preserve">networks; 2) based on a desire to establish a united Irish socialist republic; 3) mobilised against partition, the British presence and Unionist hegemony; 4) through the use of civil rights protests, insurgency, terrorism and political </w:t>
      </w:r>
      <w:r w:rsidR="00683B58">
        <w:rPr>
          <w:rFonts w:ascii="Times New Roman" w:hAnsi="Times New Roman" w:cs="Times New Roman"/>
        </w:rPr>
        <w:t>participation. The Provisional IRA and Sinn Fein have been the most influential formal networks within the Irish Republican social movement, but both of these groups do not always overlap – for example, one interviewee was a member of the Provisional IRA but not Sinn Fein. The Irish Republican movement consists of a number of other groups, such as t</w:t>
      </w:r>
      <w:r w:rsidR="00D32F06">
        <w:rPr>
          <w:rFonts w:ascii="Times New Roman" w:hAnsi="Times New Roman" w:cs="Times New Roman"/>
        </w:rPr>
        <w:t>he INLA, the Real IRA, the New</w:t>
      </w:r>
      <w:r w:rsidR="00683B58">
        <w:rPr>
          <w:rFonts w:ascii="Times New Roman" w:hAnsi="Times New Roman" w:cs="Times New Roman"/>
        </w:rPr>
        <w:t xml:space="preserve"> IRA, and non-militant activist</w:t>
      </w:r>
      <w:r w:rsidR="00113FEB">
        <w:rPr>
          <w:rFonts w:ascii="Times New Roman" w:hAnsi="Times New Roman" w:cs="Times New Roman"/>
        </w:rPr>
        <w:t xml:space="preserve"> groups</w:t>
      </w:r>
      <w:r w:rsidR="00683B58">
        <w:rPr>
          <w:rFonts w:ascii="Times New Roman" w:hAnsi="Times New Roman" w:cs="Times New Roman"/>
        </w:rPr>
        <w:t xml:space="preserve"> such as Eirigi</w:t>
      </w:r>
      <w:r w:rsidR="00113FEB">
        <w:rPr>
          <w:rFonts w:ascii="Times New Roman" w:hAnsi="Times New Roman" w:cs="Times New Roman"/>
        </w:rPr>
        <w:t xml:space="preserve"> and the Republican Network for Unity</w:t>
      </w:r>
      <w:r w:rsidR="00683B58">
        <w:rPr>
          <w:rFonts w:ascii="Times New Roman" w:hAnsi="Times New Roman" w:cs="Times New Roman"/>
        </w:rPr>
        <w:t>. Furthermore, using a social movement approach takes into account the changes that occur in a social movement over time. Just as the Provisional IRA emerged from non-militant social networks in the shape of the 1960s Civil Rights movement,</w:t>
      </w:r>
      <w:r w:rsidR="00372FF8">
        <w:rPr>
          <w:rStyle w:val="FootnoteReference"/>
          <w:rFonts w:ascii="Times New Roman" w:hAnsi="Times New Roman" w:cs="Times New Roman"/>
        </w:rPr>
        <w:footnoteReference w:id="175"/>
      </w:r>
      <w:r w:rsidR="00683B58">
        <w:rPr>
          <w:rFonts w:ascii="Times New Roman" w:hAnsi="Times New Roman" w:cs="Times New Roman"/>
        </w:rPr>
        <w:t xml:space="preserve"> the disbandment of the Provisional IRA has led to the constitution of a variety of networks, from the former prisoner groups, the conflict resolution networks and </w:t>
      </w:r>
      <w:r w:rsidR="00372FF8">
        <w:rPr>
          <w:rFonts w:ascii="Times New Roman" w:hAnsi="Times New Roman" w:cs="Times New Roman"/>
        </w:rPr>
        <w:t xml:space="preserve">networks of taxi drivers and tour guides. The transition into multiple networks provides these actors with greater agency but they are still a part of the broader movement, in terms of links with former Provisional IRA members and Sinn Fein, but also with other Republican activists and sympathisers. </w:t>
      </w:r>
      <w:r w:rsidR="00113FEB">
        <w:rPr>
          <w:rFonts w:ascii="Times New Roman" w:hAnsi="Times New Roman" w:cs="Times New Roman"/>
        </w:rPr>
        <w:t xml:space="preserve">In effect, since 2005 the Provisional IRA has split up to spawn a more diffuse network however it still retains a degree of coherence </w:t>
      </w:r>
      <w:r w:rsidR="00DA50D2">
        <w:rPr>
          <w:rFonts w:ascii="Times New Roman" w:hAnsi="Times New Roman" w:cs="Times New Roman"/>
        </w:rPr>
        <w:t>and a command structure</w:t>
      </w:r>
      <w:r w:rsidR="00DA50D2">
        <w:rPr>
          <w:rStyle w:val="FootnoteReference"/>
          <w:rFonts w:ascii="Times New Roman" w:hAnsi="Times New Roman" w:cs="Times New Roman"/>
        </w:rPr>
        <w:footnoteReference w:id="176"/>
      </w:r>
      <w:r w:rsidR="00DA50D2">
        <w:rPr>
          <w:rFonts w:ascii="Times New Roman" w:hAnsi="Times New Roman" w:cs="Times New Roman"/>
        </w:rPr>
        <w:t xml:space="preserve"> </w:t>
      </w:r>
      <w:r w:rsidR="00113FEB">
        <w:rPr>
          <w:rFonts w:ascii="Times New Roman" w:hAnsi="Times New Roman" w:cs="Times New Roman"/>
        </w:rPr>
        <w:t xml:space="preserve">– hence why the thesis, and actors in the field, still describe these different groups and networks as the Provisional IRA. Therefore to reiterate, the </w:t>
      </w:r>
      <w:r w:rsidR="00113FEB">
        <w:rPr>
          <w:rFonts w:ascii="Times New Roman" w:hAnsi="Times New Roman" w:cs="Times New Roman"/>
        </w:rPr>
        <w:lastRenderedPageBreak/>
        <w:t xml:space="preserve">Provisional IRA, consisting of various networks but </w:t>
      </w:r>
      <w:r w:rsidR="00DA50D2">
        <w:rPr>
          <w:rFonts w:ascii="Times New Roman" w:hAnsi="Times New Roman" w:cs="Times New Roman"/>
        </w:rPr>
        <w:t xml:space="preserve">which are </w:t>
      </w:r>
      <w:r w:rsidR="00113FEB">
        <w:rPr>
          <w:rFonts w:ascii="Times New Roman" w:hAnsi="Times New Roman" w:cs="Times New Roman"/>
        </w:rPr>
        <w:t xml:space="preserve">relatively homogenous, </w:t>
      </w:r>
      <w:r w:rsidR="00DA50D2">
        <w:rPr>
          <w:rFonts w:ascii="Times New Roman" w:hAnsi="Times New Roman" w:cs="Times New Roman"/>
        </w:rPr>
        <w:t>is</w:t>
      </w:r>
      <w:r w:rsidR="00113FEB">
        <w:rPr>
          <w:rFonts w:ascii="Times New Roman" w:hAnsi="Times New Roman" w:cs="Times New Roman"/>
        </w:rPr>
        <w:t xml:space="preserve"> a key actor within a wider Irish Republican social movement.  </w:t>
      </w:r>
    </w:p>
    <w:p w14:paraId="5FE730DE" w14:textId="77777777" w:rsidR="006655BC" w:rsidRDefault="009E3DF5" w:rsidP="00B57C7F">
      <w:pPr>
        <w:spacing w:line="360" w:lineRule="auto"/>
        <w:ind w:firstLine="720"/>
        <w:jc w:val="both"/>
        <w:rPr>
          <w:rFonts w:ascii="Times New Roman" w:hAnsi="Times New Roman" w:cs="Times New Roman"/>
        </w:rPr>
      </w:pPr>
      <w:r>
        <w:rPr>
          <w:rFonts w:ascii="Times New Roman" w:hAnsi="Times New Roman" w:cs="Times New Roman"/>
        </w:rPr>
        <w:t xml:space="preserve">The definition set above would include a vast number of actors, especially if it is situated within the Nationalist, Catholic community which Irish Republicanism primarily seeks to mobilise. While the </w:t>
      </w:r>
      <w:r w:rsidR="00986DA7">
        <w:rPr>
          <w:rFonts w:ascii="Times New Roman" w:hAnsi="Times New Roman" w:cs="Times New Roman"/>
        </w:rPr>
        <w:t xml:space="preserve">Irish Republican </w:t>
      </w:r>
      <w:r>
        <w:rPr>
          <w:rFonts w:ascii="Times New Roman" w:hAnsi="Times New Roman" w:cs="Times New Roman"/>
        </w:rPr>
        <w:t>social movement could be analysed collectively, this would limit the extent to which individual and group disengagement could be included. As such</w:t>
      </w:r>
      <w:r w:rsidR="002D2205">
        <w:rPr>
          <w:rFonts w:ascii="Times New Roman" w:hAnsi="Times New Roman" w:cs="Times New Roman"/>
        </w:rPr>
        <w:t>, while</w:t>
      </w:r>
      <w:r>
        <w:rPr>
          <w:rFonts w:ascii="Times New Roman" w:hAnsi="Times New Roman" w:cs="Times New Roman"/>
        </w:rPr>
        <w:t xml:space="preserve"> an expansive application of the social movement approach would be out of the scope of the study, the thesis will focus on the Provisional IRA, who were (and still are to an extent) the main actor within the social movement</w:t>
      </w:r>
      <w:r w:rsidR="00986DA7">
        <w:rPr>
          <w:rFonts w:ascii="Times New Roman" w:hAnsi="Times New Roman" w:cs="Times New Roman"/>
        </w:rPr>
        <w:t>, and then analyse how the Provisional IRA interacts with</w:t>
      </w:r>
      <w:r w:rsidR="000929A6">
        <w:rPr>
          <w:rFonts w:ascii="Times New Roman" w:hAnsi="Times New Roman" w:cs="Times New Roman"/>
        </w:rPr>
        <w:t xml:space="preserve"> and impacts upon</w:t>
      </w:r>
      <w:r w:rsidR="00986DA7">
        <w:rPr>
          <w:rFonts w:ascii="Times New Roman" w:hAnsi="Times New Roman" w:cs="Times New Roman"/>
        </w:rPr>
        <w:t xml:space="preserve"> the rest of the Irish Republican movement</w:t>
      </w:r>
      <w:r>
        <w:rPr>
          <w:rFonts w:ascii="Times New Roman" w:hAnsi="Times New Roman" w:cs="Times New Roman"/>
        </w:rPr>
        <w:t xml:space="preserve">. </w:t>
      </w:r>
      <w:r w:rsidR="000929A6">
        <w:rPr>
          <w:rFonts w:ascii="Times New Roman" w:hAnsi="Times New Roman" w:cs="Times New Roman"/>
        </w:rPr>
        <w:t xml:space="preserve">One final aspect of social movements which has tended to be neglected is the role of the next generation within it. The younger generation are firstly socialised within a social network from birth, where they eventually may become an active part of it. So the thesis’ application of the social movement approach is three-fold: firstly, it analyses interaction within the Provisional IRA; secondly, it analyses the interaction between the Provisional IRA and the wider Irish Republican movement; and thirdly, it analyses the interaction between the younger generation born in </w:t>
      </w:r>
      <w:r w:rsidR="006655BC">
        <w:rPr>
          <w:rFonts w:ascii="Times New Roman" w:hAnsi="Times New Roman" w:cs="Times New Roman"/>
        </w:rPr>
        <w:t>Republican areas and the Irish Republican movement (which the Provisional IRA is a part of).</w:t>
      </w:r>
    </w:p>
    <w:p w14:paraId="434AA5A4" w14:textId="156452F2" w:rsidR="009E3DF5" w:rsidRDefault="000929A6" w:rsidP="00B57C7F">
      <w:pPr>
        <w:spacing w:line="360" w:lineRule="auto"/>
        <w:ind w:firstLine="720"/>
        <w:jc w:val="both"/>
        <w:rPr>
          <w:rFonts w:ascii="Times New Roman" w:hAnsi="Times New Roman" w:cs="Times New Roman"/>
        </w:rPr>
      </w:pPr>
      <w:r>
        <w:rPr>
          <w:rFonts w:ascii="Times New Roman" w:hAnsi="Times New Roman" w:cs="Times New Roman"/>
        </w:rPr>
        <w:t xml:space="preserve"> </w:t>
      </w:r>
      <w:r w:rsidR="009E3DF5">
        <w:rPr>
          <w:rFonts w:ascii="Times New Roman" w:hAnsi="Times New Roman" w:cs="Times New Roman"/>
        </w:rPr>
        <w:t xml:space="preserve">However, while the thesis places the Provisional IRA within the context of the Irish Republican movement, analysing the interaction between the two, this still neglects one key element: the Loyalists paramilitary groups. </w:t>
      </w:r>
      <w:r w:rsidR="006B3B02">
        <w:rPr>
          <w:rFonts w:ascii="Times New Roman" w:hAnsi="Times New Roman" w:cs="Times New Roman"/>
        </w:rPr>
        <w:t xml:space="preserve">The thesis does not focus on the Loyalist movement nor does it offer a comparison between the movements, hence why the historical </w:t>
      </w:r>
      <w:r w:rsidR="00D32F06">
        <w:rPr>
          <w:rFonts w:ascii="Times New Roman" w:hAnsi="Times New Roman" w:cs="Times New Roman"/>
        </w:rPr>
        <w:t>overview (Chapter Three)</w:t>
      </w:r>
      <w:r w:rsidR="006B3B02">
        <w:rPr>
          <w:rFonts w:ascii="Times New Roman" w:hAnsi="Times New Roman" w:cs="Times New Roman"/>
        </w:rPr>
        <w:t xml:space="preserve"> will not discuss</w:t>
      </w:r>
      <w:r w:rsidR="00281E1D">
        <w:rPr>
          <w:rFonts w:ascii="Times New Roman" w:hAnsi="Times New Roman" w:cs="Times New Roman"/>
        </w:rPr>
        <w:t xml:space="preserve"> </w:t>
      </w:r>
      <w:r w:rsidR="00D32F06">
        <w:rPr>
          <w:rFonts w:ascii="Times New Roman" w:hAnsi="Times New Roman" w:cs="Times New Roman"/>
        </w:rPr>
        <w:t>Loyalism in great depth</w:t>
      </w:r>
      <w:r w:rsidR="006B3B02">
        <w:rPr>
          <w:rFonts w:ascii="Times New Roman" w:hAnsi="Times New Roman" w:cs="Times New Roman"/>
        </w:rPr>
        <w:t xml:space="preserve">. However, Loyalism and fieldwork data from Loyalists will deepen the analysis of the Republican movement in three ways. Firstly, </w:t>
      </w:r>
      <w:r w:rsidR="009E3DF5">
        <w:rPr>
          <w:rFonts w:ascii="Times New Roman" w:hAnsi="Times New Roman" w:cs="Times New Roman"/>
        </w:rPr>
        <w:t>Loyalist paramilitary groups</w:t>
      </w:r>
      <w:r w:rsidR="006B3B02">
        <w:rPr>
          <w:rFonts w:ascii="Times New Roman" w:hAnsi="Times New Roman" w:cs="Times New Roman"/>
        </w:rPr>
        <w:t xml:space="preserve"> </w:t>
      </w:r>
      <w:r w:rsidR="008A44F8">
        <w:rPr>
          <w:rFonts w:ascii="Times New Roman" w:hAnsi="Times New Roman" w:cs="Times New Roman"/>
        </w:rPr>
        <w:t>perceived themselves</w:t>
      </w:r>
      <w:r w:rsidR="009E3DF5">
        <w:rPr>
          <w:rFonts w:ascii="Times New Roman" w:hAnsi="Times New Roman" w:cs="Times New Roman"/>
        </w:rPr>
        <w:t xml:space="preserve"> as a reactive appendage of t</w:t>
      </w:r>
      <w:r w:rsidR="006B3B02">
        <w:rPr>
          <w:rFonts w:ascii="Times New Roman" w:hAnsi="Times New Roman" w:cs="Times New Roman"/>
        </w:rPr>
        <w:t>he British security forces, and as</w:t>
      </w:r>
      <w:r w:rsidR="008A44F8">
        <w:rPr>
          <w:rFonts w:ascii="Times New Roman" w:hAnsi="Times New Roman" w:cs="Times New Roman"/>
        </w:rPr>
        <w:t xml:space="preserve"> </w:t>
      </w:r>
      <w:r w:rsidR="00281E1D">
        <w:rPr>
          <w:rFonts w:ascii="Times New Roman" w:hAnsi="Times New Roman" w:cs="Times New Roman"/>
        </w:rPr>
        <w:t>s</w:t>
      </w:r>
      <w:r w:rsidR="008A44F8">
        <w:rPr>
          <w:rFonts w:ascii="Times New Roman" w:hAnsi="Times New Roman" w:cs="Times New Roman"/>
        </w:rPr>
        <w:t>ocial movements develop and operate in interaction with the existing political system, state practices towards</w:t>
      </w:r>
      <w:r w:rsidR="006B3B02">
        <w:rPr>
          <w:rFonts w:ascii="Times New Roman" w:hAnsi="Times New Roman" w:cs="Times New Roman"/>
        </w:rPr>
        <w:t xml:space="preserve"> opposition</w:t>
      </w:r>
      <w:r w:rsidR="008A44F8">
        <w:rPr>
          <w:rFonts w:ascii="Times New Roman" w:hAnsi="Times New Roman" w:cs="Times New Roman"/>
        </w:rPr>
        <w:t>, and elite alliances – otherwise known as the political opportunity structure</w:t>
      </w:r>
      <w:r w:rsidR="008A44F8">
        <w:rPr>
          <w:rStyle w:val="FootnoteReference"/>
          <w:rFonts w:ascii="Times New Roman" w:hAnsi="Times New Roman" w:cs="Times New Roman"/>
        </w:rPr>
        <w:footnoteReference w:id="177"/>
      </w:r>
      <w:r w:rsidR="008A44F8">
        <w:rPr>
          <w:rFonts w:ascii="Times New Roman" w:hAnsi="Times New Roman" w:cs="Times New Roman"/>
        </w:rPr>
        <w:t xml:space="preserve">  - Loyalist groups also constitute this political opportunity structure. Therefore, the thesis utilises interview </w:t>
      </w:r>
      <w:r w:rsidR="008A44F8">
        <w:rPr>
          <w:rFonts w:ascii="Times New Roman" w:hAnsi="Times New Roman" w:cs="Times New Roman"/>
        </w:rPr>
        <w:lastRenderedPageBreak/>
        <w:t>data from Loyalist paramilitary figures to contextualise the environment in which the Irish Republican movement operates within.</w:t>
      </w:r>
      <w:r w:rsidR="006B3B02">
        <w:rPr>
          <w:rFonts w:ascii="Times New Roman" w:hAnsi="Times New Roman" w:cs="Times New Roman"/>
        </w:rPr>
        <w:t xml:space="preserve"> Secondly, </w:t>
      </w:r>
      <w:r w:rsidR="001012D1">
        <w:rPr>
          <w:rFonts w:ascii="Times New Roman" w:hAnsi="Times New Roman" w:cs="Times New Roman"/>
        </w:rPr>
        <w:t xml:space="preserve">interaction between the Republican movement and Loyalists has had a significant influence on the Republican movement, with Ashour arguing that interaction with the ‘other’ </w:t>
      </w:r>
      <w:r w:rsidR="00281E1D">
        <w:rPr>
          <w:rFonts w:ascii="Times New Roman" w:hAnsi="Times New Roman" w:cs="Times New Roman"/>
        </w:rPr>
        <w:t>is</w:t>
      </w:r>
      <w:r w:rsidR="001012D1">
        <w:rPr>
          <w:rFonts w:ascii="Times New Roman" w:hAnsi="Times New Roman" w:cs="Times New Roman"/>
        </w:rPr>
        <w:t xml:space="preserve"> a factor in de-radicalisation.</w:t>
      </w:r>
      <w:r w:rsidR="001012D1">
        <w:rPr>
          <w:rStyle w:val="FootnoteReference"/>
          <w:rFonts w:ascii="Times New Roman" w:hAnsi="Times New Roman" w:cs="Times New Roman"/>
        </w:rPr>
        <w:footnoteReference w:id="178"/>
      </w:r>
      <w:r w:rsidR="006B3B02">
        <w:rPr>
          <w:rFonts w:ascii="Times New Roman" w:hAnsi="Times New Roman" w:cs="Times New Roman"/>
        </w:rPr>
        <w:t xml:space="preserve"> </w:t>
      </w:r>
      <w:r w:rsidR="001012D1">
        <w:rPr>
          <w:rFonts w:ascii="Times New Roman" w:hAnsi="Times New Roman" w:cs="Times New Roman"/>
        </w:rPr>
        <w:t xml:space="preserve">Thirdly, Republican interaction with the next generation is often done along with Loyalists, therefore the thesis presents data from Loyalist youngsters but this is in the context of limiting the opportunities that could facilitate Republican violence. Thus, the thesis focuses on the interaction between the Provisional IRA and the rest of the Republican movement (including the next generation), and the interaction of the Republican movement with political opportunity structures, which includes the state and Loyalist paramilitaries.  </w:t>
      </w:r>
    </w:p>
    <w:p w14:paraId="21C15B1F" w14:textId="6932B472" w:rsidR="00802C52" w:rsidRDefault="009E3DF5" w:rsidP="00B57C7F">
      <w:pPr>
        <w:spacing w:line="360" w:lineRule="auto"/>
        <w:ind w:firstLine="720"/>
        <w:jc w:val="both"/>
        <w:rPr>
          <w:rFonts w:ascii="Times New Roman" w:hAnsi="Times New Roman" w:cs="Times New Roman"/>
          <w:color w:val="000000" w:themeColor="text1"/>
        </w:rPr>
      </w:pPr>
      <w:r>
        <w:rPr>
          <w:rFonts w:ascii="Times New Roman" w:hAnsi="Times New Roman" w:cs="Times New Roman"/>
        </w:rPr>
        <w:t>Therefore, the aim of the thesis is to analyse changes at the group level (or formal network) that led to their disengagement, and how this has impacted upon the Irish Republican movement, thus creating a domino-effect of disengagement and acting to reduce the risk of recidivism in the social movement. The domino-effect is a term coined by Ashour, who observes that the disengagement of Islamist groups diffuses to other groups within the movement, bringing him to conclude that its dynamics ought to be a subject of future research</w:t>
      </w:r>
      <w:r w:rsidR="00D51325">
        <w:rPr>
          <w:rFonts w:ascii="Times New Roman" w:hAnsi="Times New Roman" w:cs="Times New Roman"/>
        </w:rPr>
        <w:t>.</w:t>
      </w:r>
      <w:r>
        <w:rPr>
          <w:rStyle w:val="FootnoteReference"/>
          <w:rFonts w:ascii="Times New Roman" w:hAnsi="Times New Roman" w:cs="Times New Roman"/>
        </w:rPr>
        <w:footnoteReference w:id="179"/>
      </w:r>
      <w:r>
        <w:rPr>
          <w:rFonts w:ascii="Times New Roman" w:hAnsi="Times New Roman" w:cs="Times New Roman"/>
        </w:rPr>
        <w:t xml:space="preserve"> The thesis would add that this domino-effect no</w:t>
      </w:r>
      <w:r w:rsidR="00FF28BC">
        <w:rPr>
          <w:rFonts w:ascii="Times New Roman" w:hAnsi="Times New Roman" w:cs="Times New Roman"/>
        </w:rPr>
        <w:t>t only diffuses to other groups;</w:t>
      </w:r>
      <w:r>
        <w:rPr>
          <w:rFonts w:ascii="Times New Roman" w:hAnsi="Times New Roman" w:cs="Times New Roman"/>
        </w:rPr>
        <w:t xml:space="preserve"> it diffuses throughout the movement, thus affecting the radical milieu and the next generation, and even Loyalist paramilitary groups. Thus, </w:t>
      </w:r>
      <w:r w:rsidR="00FF28BC">
        <w:rPr>
          <w:rFonts w:ascii="Times New Roman" w:hAnsi="Times New Roman" w:cs="Times New Roman"/>
        </w:rPr>
        <w:t xml:space="preserve">by </w:t>
      </w:r>
      <w:r>
        <w:rPr>
          <w:rFonts w:ascii="Times New Roman" w:hAnsi="Times New Roman" w:cs="Times New Roman"/>
        </w:rPr>
        <w:t>situating the Provisional IRA’s disengagem</w:t>
      </w:r>
      <w:r w:rsidR="00FF28BC">
        <w:rPr>
          <w:rFonts w:ascii="Times New Roman" w:hAnsi="Times New Roman" w:cs="Times New Roman"/>
        </w:rPr>
        <w:t>ent within a broader context, the thesis</w:t>
      </w:r>
      <w:r>
        <w:rPr>
          <w:rFonts w:ascii="Times New Roman" w:hAnsi="Times New Roman" w:cs="Times New Roman"/>
        </w:rPr>
        <w:t xml:space="preserve"> can analyse the link between group disengagement and social movement disengagement, which can provide indicators of not only how terrorism ends but how the risk of recidivism is reduced. Whereas recidivism – or a slip-back into violence - has referred to individual disengagement, its application to a social movement requires a broader definition. Recidivism</w:t>
      </w:r>
      <w:r w:rsidRPr="0081112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at a societal level </w:t>
      </w:r>
      <w:r w:rsidRPr="00811125">
        <w:rPr>
          <w:rFonts w:ascii="Times New Roman" w:hAnsi="Times New Roman" w:cs="Times New Roman"/>
          <w:color w:val="000000" w:themeColor="text1"/>
        </w:rPr>
        <w:t xml:space="preserve">can be expanded to have a number of dimensions which involve: </w:t>
      </w:r>
      <w:r w:rsidR="00FF28BC">
        <w:rPr>
          <w:rFonts w:ascii="Times New Roman" w:hAnsi="Times New Roman" w:cs="Times New Roman"/>
          <w:color w:val="000000" w:themeColor="text1"/>
        </w:rPr>
        <w:t xml:space="preserve">a) </w:t>
      </w:r>
      <w:r w:rsidRPr="00811125">
        <w:rPr>
          <w:rFonts w:ascii="Times New Roman" w:hAnsi="Times New Roman" w:cs="Times New Roman"/>
          <w:color w:val="000000" w:themeColor="text1"/>
        </w:rPr>
        <w:t xml:space="preserve">the Provisional IRA </w:t>
      </w:r>
      <w:r>
        <w:rPr>
          <w:rFonts w:ascii="Times New Roman" w:hAnsi="Times New Roman" w:cs="Times New Roman"/>
          <w:color w:val="000000" w:themeColor="text1"/>
        </w:rPr>
        <w:t xml:space="preserve">and Sinn Fein officially returning to violence; </w:t>
      </w:r>
      <w:r w:rsidR="00FF28BC">
        <w:rPr>
          <w:rFonts w:ascii="Times New Roman" w:hAnsi="Times New Roman" w:cs="Times New Roman"/>
          <w:color w:val="000000" w:themeColor="text1"/>
        </w:rPr>
        <w:t xml:space="preserve">b) </w:t>
      </w:r>
      <w:r w:rsidRPr="00811125">
        <w:rPr>
          <w:rFonts w:ascii="Times New Roman" w:hAnsi="Times New Roman" w:cs="Times New Roman"/>
          <w:color w:val="000000" w:themeColor="text1"/>
        </w:rPr>
        <w:t xml:space="preserve">some of its members returning to violence; </w:t>
      </w:r>
      <w:r w:rsidR="00FF28BC">
        <w:rPr>
          <w:rFonts w:ascii="Times New Roman" w:hAnsi="Times New Roman" w:cs="Times New Roman"/>
          <w:color w:val="000000" w:themeColor="text1"/>
        </w:rPr>
        <w:t xml:space="preserve">c) </w:t>
      </w:r>
      <w:r w:rsidRPr="00811125">
        <w:rPr>
          <w:rFonts w:ascii="Times New Roman" w:hAnsi="Times New Roman" w:cs="Times New Roman"/>
          <w:color w:val="000000" w:themeColor="text1"/>
        </w:rPr>
        <w:t>or emerging opportunities that strengthen dissident Republicans</w:t>
      </w:r>
      <w:r>
        <w:rPr>
          <w:rFonts w:ascii="Times New Roman" w:hAnsi="Times New Roman" w:cs="Times New Roman"/>
          <w:color w:val="000000" w:themeColor="text1"/>
        </w:rPr>
        <w:t xml:space="preserve"> or maintain the existence </w:t>
      </w:r>
      <w:r w:rsidR="00802C52">
        <w:rPr>
          <w:rFonts w:ascii="Times New Roman" w:hAnsi="Times New Roman" w:cs="Times New Roman"/>
          <w:color w:val="000000" w:themeColor="text1"/>
        </w:rPr>
        <w:t>of</w:t>
      </w:r>
      <w:r>
        <w:rPr>
          <w:rFonts w:ascii="Times New Roman" w:hAnsi="Times New Roman" w:cs="Times New Roman"/>
          <w:color w:val="000000" w:themeColor="text1"/>
        </w:rPr>
        <w:t xml:space="preserve"> Republican militant groups;</w:t>
      </w:r>
      <w:r w:rsidRPr="00811125">
        <w:rPr>
          <w:rFonts w:ascii="Times New Roman" w:hAnsi="Times New Roman" w:cs="Times New Roman"/>
          <w:color w:val="000000" w:themeColor="text1"/>
        </w:rPr>
        <w:t xml:space="preserve"> and </w:t>
      </w:r>
      <w:r w:rsidR="00FF28BC">
        <w:rPr>
          <w:rFonts w:ascii="Times New Roman" w:hAnsi="Times New Roman" w:cs="Times New Roman"/>
          <w:color w:val="000000" w:themeColor="text1"/>
        </w:rPr>
        <w:t xml:space="preserve">d) </w:t>
      </w:r>
      <w:r w:rsidRPr="00811125">
        <w:rPr>
          <w:rFonts w:ascii="Times New Roman" w:hAnsi="Times New Roman" w:cs="Times New Roman"/>
          <w:color w:val="000000" w:themeColor="text1"/>
        </w:rPr>
        <w:t>pass</w:t>
      </w:r>
      <w:r>
        <w:rPr>
          <w:rFonts w:ascii="Times New Roman" w:hAnsi="Times New Roman" w:cs="Times New Roman"/>
          <w:color w:val="000000" w:themeColor="text1"/>
        </w:rPr>
        <w:t>ing</w:t>
      </w:r>
      <w:r w:rsidRPr="00811125">
        <w:rPr>
          <w:rFonts w:ascii="Times New Roman" w:hAnsi="Times New Roman" w:cs="Times New Roman"/>
          <w:color w:val="000000" w:themeColor="text1"/>
        </w:rPr>
        <w:t xml:space="preserve"> on the armed struggle to the next generation</w:t>
      </w:r>
      <w:r>
        <w:rPr>
          <w:rFonts w:ascii="Times New Roman" w:hAnsi="Times New Roman" w:cs="Times New Roman"/>
          <w:color w:val="000000" w:themeColor="text1"/>
        </w:rPr>
        <w:t xml:space="preserve">. </w:t>
      </w:r>
    </w:p>
    <w:p w14:paraId="11D1863D" w14:textId="59416B27" w:rsidR="009E3DF5" w:rsidRDefault="00921841" w:rsidP="00B57C7F">
      <w:pPr>
        <w:spacing w:line="360" w:lineRule="auto"/>
        <w:ind w:firstLine="720"/>
        <w:jc w:val="both"/>
        <w:rPr>
          <w:rFonts w:ascii="Times New Roman" w:hAnsi="Times New Roman" w:cs="Times New Roman"/>
          <w:bCs/>
        </w:rPr>
      </w:pPr>
      <w:r>
        <w:rPr>
          <w:rFonts w:ascii="Times New Roman" w:hAnsi="Times New Roman" w:cs="Times New Roman"/>
          <w:bCs/>
        </w:rPr>
        <w:lastRenderedPageBreak/>
        <w:t xml:space="preserve">Having outlined the </w:t>
      </w:r>
      <w:r w:rsidR="001453A7">
        <w:rPr>
          <w:rFonts w:ascii="Times New Roman" w:hAnsi="Times New Roman" w:cs="Times New Roman"/>
          <w:bCs/>
        </w:rPr>
        <w:t xml:space="preserve">benefits of a </w:t>
      </w:r>
      <w:r>
        <w:rPr>
          <w:rFonts w:ascii="Times New Roman" w:hAnsi="Times New Roman" w:cs="Times New Roman"/>
          <w:bCs/>
        </w:rPr>
        <w:t>social movement approach</w:t>
      </w:r>
      <w:r w:rsidR="001453A7">
        <w:rPr>
          <w:rFonts w:ascii="Times New Roman" w:hAnsi="Times New Roman" w:cs="Times New Roman"/>
          <w:bCs/>
        </w:rPr>
        <w:t xml:space="preserve"> and what this consists of, the chapter will now outline the theories that underpin this approach, which will inform the thesis’ framework.</w:t>
      </w:r>
      <w:r w:rsidR="00AC7FA6">
        <w:rPr>
          <w:rFonts w:ascii="Times New Roman" w:hAnsi="Times New Roman" w:cs="Times New Roman"/>
          <w:bCs/>
        </w:rPr>
        <w:t xml:space="preserve"> ‘Social movement theory is neither homogenous, nor a theory in the strictest sense of the word. It contains a broad set of analytical frameworks for exploring social movement dynamics’.</w:t>
      </w:r>
      <w:r w:rsidR="00AC7FA6">
        <w:rPr>
          <w:rStyle w:val="FootnoteReference"/>
          <w:rFonts w:ascii="Times New Roman" w:hAnsi="Times New Roman" w:cs="Times New Roman"/>
          <w:bCs/>
        </w:rPr>
        <w:footnoteReference w:id="180"/>
      </w:r>
      <w:r w:rsidR="00AC7FA6">
        <w:rPr>
          <w:rFonts w:ascii="Times New Roman" w:hAnsi="Times New Roman" w:cs="Times New Roman"/>
          <w:bCs/>
        </w:rPr>
        <w:t xml:space="preserve"> This broad set of analytical frameworks overlap and have therefore tended to be synthesised,</w:t>
      </w:r>
      <w:r w:rsidR="00AC7FA6">
        <w:rPr>
          <w:rStyle w:val="FootnoteReference"/>
          <w:rFonts w:ascii="Times New Roman" w:hAnsi="Times New Roman" w:cs="Times New Roman"/>
          <w:bCs/>
        </w:rPr>
        <w:footnoteReference w:id="181"/>
      </w:r>
      <w:r w:rsidR="00AC7FA6">
        <w:rPr>
          <w:rFonts w:ascii="Times New Roman" w:hAnsi="Times New Roman" w:cs="Times New Roman"/>
          <w:bCs/>
        </w:rPr>
        <w:t xml:space="preserve"> as each social movement theory explains different social movement dynamics.</w:t>
      </w:r>
      <w:r w:rsidR="00F13BC5">
        <w:rPr>
          <w:rFonts w:ascii="Times New Roman" w:hAnsi="Times New Roman" w:cs="Times New Roman"/>
          <w:bCs/>
        </w:rPr>
        <w:t xml:space="preserve"> </w:t>
      </w:r>
      <w:r w:rsidR="00F35E89">
        <w:rPr>
          <w:rFonts w:ascii="Times New Roman" w:hAnsi="Times New Roman" w:cs="Times New Roman"/>
          <w:bCs/>
        </w:rPr>
        <w:t xml:space="preserve">In order to explain attitudinal change – or de-radicalisation – the thesis utilises a frames analysis approach, which will be used to explain how the Provisional IRA re-framed its conceptualisation of armed struggle and convinced its members and the rest of the social movement of the need for disengagement. </w:t>
      </w:r>
      <w:r w:rsidR="00F13BC5">
        <w:rPr>
          <w:rFonts w:ascii="Times New Roman" w:hAnsi="Times New Roman" w:cs="Times New Roman"/>
          <w:bCs/>
        </w:rPr>
        <w:t>A frames analysis enables the thesis to demonstrate how these frames have changed over time and the extent to which they resonate with the Irish Republican social movement and the next generation. However, the thesis</w:t>
      </w:r>
      <w:r w:rsidR="00F35E89">
        <w:rPr>
          <w:rFonts w:ascii="Times New Roman" w:hAnsi="Times New Roman" w:cs="Times New Roman"/>
          <w:bCs/>
        </w:rPr>
        <w:t xml:space="preserve"> </w:t>
      </w:r>
      <w:r w:rsidR="00F13BC5">
        <w:rPr>
          <w:rFonts w:ascii="Times New Roman" w:hAnsi="Times New Roman" w:cs="Times New Roman"/>
          <w:bCs/>
        </w:rPr>
        <w:t xml:space="preserve">also recognises the significance of group dynamics and structural dynamics, and therefore </w:t>
      </w:r>
      <w:r w:rsidR="0040645E">
        <w:rPr>
          <w:rFonts w:ascii="Times New Roman" w:hAnsi="Times New Roman" w:cs="Times New Roman"/>
          <w:bCs/>
        </w:rPr>
        <w:t>the framework emphasises: a) the organisational structure and shape of networks;</w:t>
      </w:r>
      <w:r w:rsidR="0040645E">
        <w:rPr>
          <w:rStyle w:val="FootnoteReference"/>
          <w:rFonts w:ascii="Times New Roman" w:hAnsi="Times New Roman" w:cs="Times New Roman"/>
          <w:bCs/>
        </w:rPr>
        <w:footnoteReference w:id="182"/>
      </w:r>
      <w:r w:rsidR="0040645E">
        <w:rPr>
          <w:rFonts w:ascii="Times New Roman" w:hAnsi="Times New Roman" w:cs="Times New Roman"/>
          <w:bCs/>
        </w:rPr>
        <w:t xml:space="preserve"> b) the stages and cycles a movement undergoes, and how each of these differ;</w:t>
      </w:r>
      <w:r w:rsidR="0040645E">
        <w:rPr>
          <w:rStyle w:val="FootnoteReference"/>
          <w:rFonts w:ascii="Times New Roman" w:hAnsi="Times New Roman" w:cs="Times New Roman"/>
          <w:bCs/>
        </w:rPr>
        <w:footnoteReference w:id="183"/>
      </w:r>
      <w:r w:rsidR="0040645E">
        <w:rPr>
          <w:rFonts w:ascii="Times New Roman" w:hAnsi="Times New Roman" w:cs="Times New Roman"/>
          <w:bCs/>
        </w:rPr>
        <w:t xml:space="preserve"> c) how the structural environment and the political system can provide opportunities for those wishing to use </w:t>
      </w:r>
      <w:r w:rsidR="00912699">
        <w:rPr>
          <w:rFonts w:ascii="Times New Roman" w:hAnsi="Times New Roman" w:cs="Times New Roman"/>
          <w:bCs/>
        </w:rPr>
        <w:t xml:space="preserve">(or not use) </w:t>
      </w:r>
      <w:r w:rsidR="0040645E">
        <w:rPr>
          <w:rFonts w:ascii="Times New Roman" w:hAnsi="Times New Roman" w:cs="Times New Roman"/>
          <w:bCs/>
        </w:rPr>
        <w:t>terrorism and political violence.</w:t>
      </w:r>
      <w:r w:rsidR="0040645E">
        <w:rPr>
          <w:rStyle w:val="FootnoteReference"/>
          <w:rFonts w:ascii="Times New Roman" w:hAnsi="Times New Roman" w:cs="Times New Roman"/>
          <w:bCs/>
        </w:rPr>
        <w:footnoteReference w:id="184"/>
      </w:r>
      <w:r w:rsidR="0040645E">
        <w:rPr>
          <w:rFonts w:ascii="Times New Roman" w:hAnsi="Times New Roman" w:cs="Times New Roman"/>
          <w:bCs/>
        </w:rPr>
        <w:t xml:space="preserve"> Each of these aspects help</w:t>
      </w:r>
      <w:r w:rsidR="00494694">
        <w:rPr>
          <w:rFonts w:ascii="Times New Roman" w:hAnsi="Times New Roman" w:cs="Times New Roman"/>
          <w:bCs/>
        </w:rPr>
        <w:t>s</w:t>
      </w:r>
      <w:r w:rsidR="0040645E">
        <w:rPr>
          <w:rFonts w:ascii="Times New Roman" w:hAnsi="Times New Roman" w:cs="Times New Roman"/>
          <w:bCs/>
        </w:rPr>
        <w:t xml:space="preserve"> to explain how terrorism ends in a social movement. </w:t>
      </w:r>
    </w:p>
    <w:p w14:paraId="24C7E1AC" w14:textId="77777777" w:rsidR="00A9576A" w:rsidRDefault="00A9576A" w:rsidP="00B57C7F">
      <w:pPr>
        <w:spacing w:line="360" w:lineRule="auto"/>
        <w:ind w:firstLine="720"/>
        <w:jc w:val="both"/>
        <w:rPr>
          <w:rFonts w:ascii="Times New Roman" w:hAnsi="Times New Roman" w:cs="Times New Roman"/>
          <w:bCs/>
        </w:rPr>
      </w:pPr>
    </w:p>
    <w:p w14:paraId="55CAE2C4" w14:textId="77777777" w:rsidR="00B65BA0" w:rsidRPr="00B65BA0" w:rsidRDefault="009E3DF5" w:rsidP="00B57C7F">
      <w:pPr>
        <w:pStyle w:val="Heading3"/>
        <w:spacing w:before="120" w:line="360" w:lineRule="auto"/>
      </w:pPr>
      <w:bookmarkStart w:id="27" w:name="_Toc389208810"/>
      <w:r>
        <w:lastRenderedPageBreak/>
        <w:t>Attitudinal Change and Frames Analysis</w:t>
      </w:r>
      <w:bookmarkEnd w:id="27"/>
    </w:p>
    <w:p w14:paraId="636A6CD1" w14:textId="77777777" w:rsidR="009E3DF5" w:rsidRDefault="009E3DF5" w:rsidP="00B57C7F">
      <w:pPr>
        <w:spacing w:line="360" w:lineRule="auto"/>
        <w:jc w:val="both"/>
        <w:rPr>
          <w:rFonts w:ascii="Times New Roman" w:hAnsi="Times New Roman" w:cs="Times New Roman"/>
          <w:bCs/>
        </w:rPr>
      </w:pPr>
      <w:r>
        <w:rPr>
          <w:rFonts w:ascii="Times New Roman" w:hAnsi="Times New Roman" w:cs="Times New Roman"/>
          <w:bCs/>
        </w:rPr>
        <w:tab/>
        <w:t xml:space="preserve">Chapter One demonstrated that much of the literature on de-radicalisation is damning on the extent it actually reduces recidivism. Those who underplay de-radicalisation instead emphasise disengagement, which they argue is a combination of structural factors (state monitoring, political incentives, repression etc.) and tactical attitudinal change (deciding to disengage because of </w:t>
      </w:r>
      <w:r w:rsidR="00FC4B2B">
        <w:rPr>
          <w:rFonts w:ascii="Times New Roman" w:hAnsi="Times New Roman" w:cs="Times New Roman"/>
          <w:bCs/>
        </w:rPr>
        <w:t>a change in opportunities</w:t>
      </w:r>
      <w:r>
        <w:rPr>
          <w:rFonts w:ascii="Times New Roman" w:hAnsi="Times New Roman" w:cs="Times New Roman"/>
          <w:bCs/>
        </w:rPr>
        <w:t>). However, the thesis criticises this false dichotomisation of the debate and argues that this has emerged through a lack of engagement with the relationship between attitudes and behaviour, a lack of clarity on which type of attitudes are a part of de-radicalisation and which type are a part of disengagement, and an over-emphasis on the individual level of analysis. As a result, the thesis argues that the literature has underplayed the significance and nuance of attitudinal change and conflated agency with structure, which the thesis will separate to analyse the interaction between the two.</w:t>
      </w:r>
    </w:p>
    <w:p w14:paraId="04DD722F" w14:textId="4FC97C6B" w:rsidR="009E3DF5" w:rsidRDefault="009E3DF5" w:rsidP="00B57C7F">
      <w:pPr>
        <w:spacing w:line="360" w:lineRule="auto"/>
        <w:ind w:firstLine="720"/>
        <w:jc w:val="both"/>
        <w:rPr>
          <w:rFonts w:ascii="Times New Roman" w:hAnsi="Times New Roman" w:cs="Times New Roman"/>
        </w:rPr>
      </w:pPr>
      <w:r>
        <w:rPr>
          <w:rFonts w:ascii="Times New Roman" w:hAnsi="Times New Roman" w:cs="Times New Roman"/>
          <w:bCs/>
        </w:rPr>
        <w:t xml:space="preserve">At the core of the de-radicalisation versus disengagement debate is the assumption that certain attitudes lead to certain behaviour. </w:t>
      </w:r>
      <w:r>
        <w:rPr>
          <w:rFonts w:ascii="Times New Roman" w:hAnsi="Times New Roman" w:cs="Times New Roman"/>
        </w:rPr>
        <w:t xml:space="preserve">With regard to the behaviour, it generally refers to involvement in or support for groups who use political violence and terrorism, or in the use of political violence and terrorism itself. The thesis highlights a lack of agreement on what the attitudes encompass, with one perspective emphasising radical ideology, beliefs, goals and tactics, while another perspective emphasises tactics. The distinction is important: in </w:t>
      </w:r>
      <w:r w:rsidR="00FC4B2B">
        <w:rPr>
          <w:rFonts w:ascii="Times New Roman" w:hAnsi="Times New Roman" w:cs="Times New Roman"/>
        </w:rPr>
        <w:t>the first perspective</w:t>
      </w:r>
      <w:r>
        <w:rPr>
          <w:rFonts w:ascii="Times New Roman" w:hAnsi="Times New Roman" w:cs="Times New Roman"/>
        </w:rPr>
        <w:t xml:space="preserve"> (the broad approach), an actor believing in Republicanism, the removal of British influence from Ireland, and the validity of armed struggle makes it likely for them to engage in or support armed struggle; in </w:t>
      </w:r>
      <w:r w:rsidR="00FC4B2B">
        <w:rPr>
          <w:rFonts w:ascii="Times New Roman" w:hAnsi="Times New Roman" w:cs="Times New Roman"/>
        </w:rPr>
        <w:t>the second perspective</w:t>
      </w:r>
      <w:r>
        <w:rPr>
          <w:rFonts w:ascii="Times New Roman" w:hAnsi="Times New Roman" w:cs="Times New Roman"/>
        </w:rPr>
        <w:t xml:space="preserve"> (the narrow approach), an actor believing in the validity of armed struggle</w:t>
      </w:r>
      <w:r w:rsidR="007D7523">
        <w:rPr>
          <w:rFonts w:ascii="Times New Roman" w:hAnsi="Times New Roman" w:cs="Times New Roman"/>
        </w:rPr>
        <w:t xml:space="preserve"> alone</w:t>
      </w:r>
      <w:r>
        <w:rPr>
          <w:rFonts w:ascii="Times New Roman" w:hAnsi="Times New Roman" w:cs="Times New Roman"/>
        </w:rPr>
        <w:t xml:space="preserve"> makes it likely for them to engage in or support armed </w:t>
      </w:r>
      <w:r w:rsidR="007D7523">
        <w:rPr>
          <w:rFonts w:ascii="Times New Roman" w:hAnsi="Times New Roman" w:cs="Times New Roman"/>
        </w:rPr>
        <w:t>violence</w:t>
      </w:r>
      <w:r>
        <w:rPr>
          <w:rFonts w:ascii="Times New Roman" w:hAnsi="Times New Roman" w:cs="Times New Roman"/>
        </w:rPr>
        <w:t xml:space="preserve">. The narrow approach would </w:t>
      </w:r>
      <w:r w:rsidR="00282A34">
        <w:rPr>
          <w:rFonts w:ascii="Times New Roman" w:hAnsi="Times New Roman" w:cs="Times New Roman"/>
        </w:rPr>
        <w:t xml:space="preserve">lead one to </w:t>
      </w:r>
      <w:r>
        <w:rPr>
          <w:rFonts w:ascii="Times New Roman" w:hAnsi="Times New Roman" w:cs="Times New Roman"/>
        </w:rPr>
        <w:t xml:space="preserve">argue that de-legitimising </w:t>
      </w:r>
      <w:r w:rsidR="007D7523">
        <w:rPr>
          <w:rFonts w:ascii="Times New Roman" w:hAnsi="Times New Roman" w:cs="Times New Roman"/>
        </w:rPr>
        <w:t>such</w:t>
      </w:r>
      <w:r>
        <w:rPr>
          <w:rFonts w:ascii="Times New Roman" w:hAnsi="Times New Roman" w:cs="Times New Roman"/>
        </w:rPr>
        <w:t xml:space="preserve"> violence is sufficient to reduce the risk of recidivism and spread disengagement to others, whilst still being ideologically committed to the cause</w:t>
      </w:r>
      <w:r w:rsidR="00D51325">
        <w:rPr>
          <w:rFonts w:ascii="Times New Roman" w:hAnsi="Times New Roman" w:cs="Times New Roman"/>
        </w:rPr>
        <w:t>.</w:t>
      </w:r>
      <w:r>
        <w:rPr>
          <w:rStyle w:val="FootnoteReference"/>
          <w:rFonts w:ascii="Times New Roman" w:hAnsi="Times New Roman" w:cs="Times New Roman"/>
        </w:rPr>
        <w:footnoteReference w:id="185"/>
      </w:r>
      <w:r>
        <w:rPr>
          <w:rFonts w:ascii="Times New Roman" w:hAnsi="Times New Roman" w:cs="Times New Roman"/>
        </w:rPr>
        <w:t xml:space="preserve"> </w:t>
      </w:r>
      <w:r w:rsidR="00282A34">
        <w:rPr>
          <w:rFonts w:ascii="Times New Roman" w:hAnsi="Times New Roman" w:cs="Times New Roman"/>
        </w:rPr>
        <w:t>T</w:t>
      </w:r>
      <w:r>
        <w:rPr>
          <w:rFonts w:ascii="Times New Roman" w:hAnsi="Times New Roman" w:cs="Times New Roman"/>
        </w:rPr>
        <w:t xml:space="preserve">here is a lack of consensus on whether the narrow approach should even be considered de-radicalisation in academia and in policy circles. Silke refers to the public de-legitimisation of armed violence by European leftist militants as </w:t>
      </w:r>
      <w:r>
        <w:rPr>
          <w:rFonts w:ascii="Times New Roman" w:hAnsi="Times New Roman" w:cs="Times New Roman"/>
        </w:rPr>
        <w:lastRenderedPageBreak/>
        <w:t>disengagement and not de-radicalisation, despite this surely being the core aspect of de-radicalisation rather than ideological change</w:t>
      </w:r>
      <w:r w:rsidR="00D51325">
        <w:rPr>
          <w:rFonts w:ascii="Times New Roman" w:hAnsi="Times New Roman" w:cs="Times New Roman"/>
        </w:rPr>
        <w:t>.</w:t>
      </w:r>
      <w:r w:rsidR="002619BE">
        <w:rPr>
          <w:rStyle w:val="FootnoteReference"/>
          <w:rFonts w:ascii="Times New Roman" w:hAnsi="Times New Roman" w:cs="Times New Roman"/>
        </w:rPr>
        <w:footnoteReference w:id="186"/>
      </w:r>
      <w:r>
        <w:rPr>
          <w:rFonts w:ascii="Times New Roman" w:hAnsi="Times New Roman" w:cs="Times New Roman"/>
        </w:rPr>
        <w:t xml:space="preserve"> Schmid argues that continuing to hold a radical ideology can be a factor in radicalising others, hence why the broad approach to de-radicalisation is important</w:t>
      </w:r>
      <w:r w:rsidR="00D51325">
        <w:rPr>
          <w:rFonts w:ascii="Times New Roman" w:hAnsi="Times New Roman" w:cs="Times New Roman"/>
        </w:rPr>
        <w:t>.</w:t>
      </w:r>
      <w:r w:rsidR="002619BE">
        <w:rPr>
          <w:rStyle w:val="FootnoteReference"/>
          <w:rFonts w:ascii="Times New Roman" w:hAnsi="Times New Roman" w:cs="Times New Roman"/>
        </w:rPr>
        <w:footnoteReference w:id="187"/>
      </w:r>
      <w:r>
        <w:rPr>
          <w:rFonts w:ascii="Times New Roman" w:hAnsi="Times New Roman" w:cs="Times New Roman"/>
        </w:rPr>
        <w:t xml:space="preserve"> One senior British counter-terrorism policy-maker referred to the de-legitimisation of armed violence as disengagement</w:t>
      </w:r>
      <w:r>
        <w:rPr>
          <w:rStyle w:val="FootnoteReference"/>
          <w:rFonts w:ascii="Times New Roman" w:hAnsi="Times New Roman" w:cs="Times New Roman"/>
        </w:rPr>
        <w:footnoteReference w:id="188"/>
      </w:r>
      <w:r>
        <w:rPr>
          <w:rFonts w:ascii="Times New Roman" w:hAnsi="Times New Roman" w:cs="Times New Roman"/>
        </w:rPr>
        <w:t xml:space="preserve"> rather than de-radicalisation</w:t>
      </w:r>
      <w:r w:rsidR="00D51325">
        <w:rPr>
          <w:rFonts w:ascii="Times New Roman" w:hAnsi="Times New Roman" w:cs="Times New Roman"/>
        </w:rPr>
        <w:t>.</w:t>
      </w:r>
      <w:r>
        <w:rPr>
          <w:rStyle w:val="FootnoteReference"/>
          <w:rFonts w:ascii="Times New Roman" w:hAnsi="Times New Roman" w:cs="Times New Roman"/>
        </w:rPr>
        <w:footnoteReference w:id="189"/>
      </w:r>
      <w:r>
        <w:rPr>
          <w:rFonts w:ascii="Times New Roman" w:hAnsi="Times New Roman" w:cs="Times New Roman"/>
        </w:rPr>
        <w:t xml:space="preserve"> The desire of states to combat (Islamist) ideologies that contradict the values which the state wishes to promote</w:t>
      </w:r>
      <w:r>
        <w:rPr>
          <w:rStyle w:val="FootnoteReference"/>
          <w:rFonts w:ascii="Times New Roman" w:hAnsi="Times New Roman" w:cs="Times New Roman"/>
        </w:rPr>
        <w:footnoteReference w:id="190"/>
      </w:r>
      <w:r>
        <w:rPr>
          <w:rFonts w:ascii="Times New Roman" w:hAnsi="Times New Roman" w:cs="Times New Roman"/>
        </w:rPr>
        <w:t xml:space="preserve"> has led to an unhelpful over-emphasis of the broad approach in academic research. However, given that research on attitudes-behaviour in the discipline of psychology have widely criticised broad approaches</w:t>
      </w:r>
      <w:r w:rsidR="00D51325">
        <w:rPr>
          <w:rFonts w:ascii="Times New Roman" w:hAnsi="Times New Roman" w:cs="Times New Roman"/>
        </w:rPr>
        <w:t>,</w:t>
      </w:r>
      <w:r>
        <w:rPr>
          <w:rStyle w:val="FootnoteReference"/>
          <w:rFonts w:ascii="Times New Roman" w:hAnsi="Times New Roman" w:cs="Times New Roman"/>
        </w:rPr>
        <w:footnoteReference w:id="191"/>
      </w:r>
      <w:r>
        <w:rPr>
          <w:rFonts w:ascii="Times New Roman" w:hAnsi="Times New Roman" w:cs="Times New Roman"/>
        </w:rPr>
        <w:t xml:space="preserve"> it should not come as a surprise that the broad approach to de-radicalisation has </w:t>
      </w:r>
      <w:r w:rsidR="00282A34">
        <w:rPr>
          <w:rFonts w:ascii="Times New Roman" w:hAnsi="Times New Roman" w:cs="Times New Roman"/>
        </w:rPr>
        <w:t xml:space="preserve">been </w:t>
      </w:r>
      <w:r>
        <w:rPr>
          <w:rFonts w:ascii="Times New Roman" w:hAnsi="Times New Roman" w:cs="Times New Roman"/>
        </w:rPr>
        <w:t>found to have little bearing on participation in violence.</w:t>
      </w:r>
    </w:p>
    <w:p w14:paraId="283C4E83" w14:textId="77777777" w:rsidR="00280028" w:rsidRDefault="009E3DF5" w:rsidP="00B57C7F">
      <w:pPr>
        <w:spacing w:line="360" w:lineRule="auto"/>
        <w:ind w:firstLine="720"/>
        <w:jc w:val="both"/>
        <w:rPr>
          <w:rFonts w:ascii="Times New Roman" w:hAnsi="Times New Roman" w:cs="Times New Roman"/>
        </w:rPr>
      </w:pPr>
      <w:r>
        <w:rPr>
          <w:rFonts w:ascii="Times New Roman" w:hAnsi="Times New Roman" w:cs="Times New Roman"/>
        </w:rPr>
        <w:t>Building on a range of theories that seek to explain the relationship between attitudes and behaviour, Fishbein and Ajzen identify three ‘attitudinal objects’ that need to be ascertained in order to identify a correlation with behaviour</w:t>
      </w:r>
      <w:r w:rsidR="00D51325">
        <w:rPr>
          <w:rFonts w:ascii="Times New Roman" w:hAnsi="Times New Roman" w:cs="Times New Roman"/>
        </w:rPr>
        <w:t>.</w:t>
      </w:r>
      <w:r>
        <w:rPr>
          <w:rStyle w:val="FootnoteReference"/>
          <w:rFonts w:ascii="Times New Roman" w:hAnsi="Times New Roman" w:cs="Times New Roman"/>
        </w:rPr>
        <w:footnoteReference w:id="192"/>
      </w:r>
      <w:r w:rsidR="007D7523">
        <w:rPr>
          <w:rFonts w:ascii="Times New Roman" w:hAnsi="Times New Roman" w:cs="Times New Roman"/>
        </w:rPr>
        <w:t xml:space="preserve"> Applied to political violence, the following </w:t>
      </w:r>
      <w:r w:rsidR="001C4367">
        <w:rPr>
          <w:rFonts w:ascii="Times New Roman" w:hAnsi="Times New Roman" w:cs="Times New Roman"/>
        </w:rPr>
        <w:t>attitudes would be important</w:t>
      </w:r>
      <w:r>
        <w:rPr>
          <w:rFonts w:ascii="Times New Roman" w:hAnsi="Times New Roman" w:cs="Times New Roman"/>
        </w:rPr>
        <w:t>: the perceived (strategic) benefit of political violence; the perceived control over being able to use political violence; and the perceived norms surrounding the use of political violence. Therefore, ideological beliefs, which the broad approach emphasises, are not necessarily a substantial factor in shaping behaviour: one’s ideology may shape all of these factors but they are not contingent upon ideology. Fishbein and Ajzen’s approach provides a better framework for ascertaining the connection between attitudes and behaviour</w:t>
      </w:r>
      <w:r w:rsidR="002619BE">
        <w:rPr>
          <w:rFonts w:ascii="Times New Roman" w:hAnsi="Times New Roman" w:cs="Times New Roman"/>
        </w:rPr>
        <w:t xml:space="preserve"> than has been offered in the terrorism literature</w:t>
      </w:r>
      <w:r>
        <w:rPr>
          <w:rFonts w:ascii="Times New Roman" w:hAnsi="Times New Roman" w:cs="Times New Roman"/>
        </w:rPr>
        <w:t xml:space="preserve">. There are some clear problems in applying it as a method to the field of terrorism, namely that people are unlikely to identify what they feel about terrorism, when they plan to engage in terrorism, how easy they think it would be to use terrorism, and what their loved-ones think about them using terrorism. </w:t>
      </w:r>
    </w:p>
    <w:p w14:paraId="3E7229E6" w14:textId="2C9CC00C" w:rsidR="009E3DF5" w:rsidRDefault="009E3DF5"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Furthermore, the approach does not transfer well from the individual level analysis to the group or social movement level. </w:t>
      </w:r>
      <w:r w:rsidR="009368D8">
        <w:rPr>
          <w:rFonts w:ascii="Times New Roman" w:hAnsi="Times New Roman" w:cs="Times New Roman"/>
        </w:rPr>
        <w:t xml:space="preserve">The thesis will make reference to the three types of attitudes that Fishbein and Ajzen discuss, but it is not possible to apply this model consistently. </w:t>
      </w:r>
      <w:r>
        <w:rPr>
          <w:rFonts w:ascii="Times New Roman" w:hAnsi="Times New Roman" w:cs="Times New Roman"/>
        </w:rPr>
        <w:t>However, by building on Fishbein and Ajzen’s approach, the thesis comes to the following conclusion: de-radicalisation and disengagement is much more nuanced than presented and their current dichotomisation does not capture the relevant types of attitude</w:t>
      </w:r>
      <w:r w:rsidR="00282A34">
        <w:rPr>
          <w:rFonts w:ascii="Times New Roman" w:hAnsi="Times New Roman" w:cs="Times New Roman"/>
        </w:rPr>
        <w:t>s</w:t>
      </w:r>
      <w:r>
        <w:rPr>
          <w:rFonts w:ascii="Times New Roman" w:hAnsi="Times New Roman" w:cs="Times New Roman"/>
        </w:rPr>
        <w:t xml:space="preserve"> that actually correspond to behaviour. If all that is left from the de-radicalisation versus disengagement debate is a narrow definition of de-radicalisation – i.e. the public de-legitimisation of armed violence – and if social norms are more significant than ideological change, then de-radicalisation is a social process as much as an individual </w:t>
      </w:r>
      <w:r w:rsidR="002C1113">
        <w:rPr>
          <w:rFonts w:ascii="Times New Roman" w:hAnsi="Times New Roman" w:cs="Times New Roman"/>
        </w:rPr>
        <w:t>one</w:t>
      </w:r>
      <w:r>
        <w:rPr>
          <w:rFonts w:ascii="Times New Roman" w:hAnsi="Times New Roman" w:cs="Times New Roman"/>
        </w:rPr>
        <w:t>. As it is difficult to apply Fishbein and Ajzen’s approach to the social level, and as this approach has shown existing conceptualisations of attitudinal change to be weak, the thesis utilises social movement theory to overcome this problem.</w:t>
      </w:r>
      <w:r w:rsidR="009368D8">
        <w:rPr>
          <w:rFonts w:ascii="Times New Roman" w:hAnsi="Times New Roman" w:cs="Times New Roman"/>
        </w:rPr>
        <w:t xml:space="preserve"> </w:t>
      </w:r>
    </w:p>
    <w:p w14:paraId="3156C202" w14:textId="77777777" w:rsidR="00C523FA" w:rsidRDefault="009E3DF5" w:rsidP="00B57C7F">
      <w:pPr>
        <w:spacing w:line="360" w:lineRule="auto"/>
        <w:ind w:firstLine="720"/>
        <w:jc w:val="both"/>
        <w:rPr>
          <w:rFonts w:ascii="Times New Roman" w:hAnsi="Times New Roman" w:cs="Times New Roman"/>
        </w:rPr>
      </w:pPr>
      <w:r>
        <w:rPr>
          <w:rFonts w:ascii="Times New Roman" w:hAnsi="Times New Roman" w:cs="Times New Roman"/>
        </w:rPr>
        <w:t xml:space="preserve">Subsequently, the thesis applies frames analysis to explain attitudinal change and the impact it has on disengagement. </w:t>
      </w:r>
      <w:r w:rsidRPr="00C35BEC">
        <w:rPr>
          <w:rFonts w:ascii="Times New Roman" w:eastAsia="Times New Roman" w:hAnsi="Times New Roman" w:cs="Times New Roman"/>
          <w:color w:val="000000"/>
        </w:rPr>
        <w:t xml:space="preserve">The frames analysis approach is derived </w:t>
      </w:r>
      <w:r>
        <w:rPr>
          <w:rFonts w:ascii="Times New Roman" w:eastAsia="Times New Roman" w:hAnsi="Times New Roman" w:cs="Times New Roman"/>
          <w:color w:val="000000"/>
        </w:rPr>
        <w:t>from Goffman’s research:</w:t>
      </w:r>
      <w:r w:rsidRPr="00C35B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C35BEC">
        <w:rPr>
          <w:rFonts w:ascii="Times New Roman" w:eastAsia="Times New Roman" w:hAnsi="Times New Roman" w:cs="Times New Roman"/>
          <w:color w:val="000000"/>
        </w:rPr>
        <w:t xml:space="preserve"> frame denotes a schema of interpret</w:t>
      </w:r>
      <w:r>
        <w:rPr>
          <w:rFonts w:ascii="Times New Roman" w:eastAsia="Times New Roman" w:hAnsi="Times New Roman" w:cs="Times New Roman"/>
          <w:color w:val="000000"/>
        </w:rPr>
        <w:t>ation which function</w:t>
      </w:r>
      <w:r w:rsidR="00FC4B2B">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to organis</w:t>
      </w:r>
      <w:r w:rsidRPr="00C35BEC">
        <w:rPr>
          <w:rFonts w:ascii="Times New Roman" w:eastAsia="Times New Roman" w:hAnsi="Times New Roman" w:cs="Times New Roman"/>
          <w:color w:val="000000"/>
        </w:rPr>
        <w:t>e experience and guide action, whether individual or collective</w:t>
      </w:r>
      <w:r w:rsidR="00D51325">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193"/>
      </w:r>
      <w:r>
        <w:rPr>
          <w:rFonts w:ascii="Times New Roman" w:eastAsia="Times New Roman" w:hAnsi="Times New Roman" w:cs="Times New Roman"/>
          <w:color w:val="000000"/>
        </w:rPr>
        <w:t xml:space="preserve"> </w:t>
      </w:r>
      <w:r w:rsidR="006637D5">
        <w:rPr>
          <w:rFonts w:ascii="Times New Roman" w:eastAsia="Times New Roman" w:hAnsi="Times New Roman" w:cs="Times New Roman"/>
          <w:color w:val="000000"/>
        </w:rPr>
        <w:t>Frames are often constructed by polit</w:t>
      </w:r>
      <w:r w:rsidR="00282A34">
        <w:rPr>
          <w:rFonts w:ascii="Times New Roman" w:eastAsia="Times New Roman" w:hAnsi="Times New Roman" w:cs="Times New Roman"/>
          <w:color w:val="000000"/>
        </w:rPr>
        <w:t>ical entrepreneurs – actors who</w:t>
      </w:r>
      <w:r w:rsidR="006637D5">
        <w:rPr>
          <w:rFonts w:ascii="Times New Roman" w:eastAsia="Times New Roman" w:hAnsi="Times New Roman" w:cs="Times New Roman"/>
          <w:color w:val="000000"/>
        </w:rPr>
        <w:t xml:space="preserve"> take the initiative in mobilising resources – and the frame is promoted by them and others who act as messengers. </w:t>
      </w:r>
      <w:r w:rsidRPr="00AD1B1D">
        <w:rPr>
          <w:rFonts w:ascii="Times New Roman" w:hAnsi="Times New Roman" w:cs="Times New Roman"/>
        </w:rPr>
        <w:t>According to framing theory, social movements seek to create linkages with unmobilised ‘aggregates of individuals’ who have common grievances. They create such linkages by diffusing information through interpersonal and intergroup networks</w:t>
      </w:r>
      <w:r>
        <w:rPr>
          <w:rFonts w:ascii="Times New Roman" w:hAnsi="Times New Roman" w:cs="Times New Roman"/>
        </w:rPr>
        <w:t>, mass media, the internet etc</w:t>
      </w:r>
      <w:r w:rsidR="00D51325">
        <w:rPr>
          <w:rFonts w:ascii="Times New Roman" w:hAnsi="Times New Roman" w:cs="Times New Roman"/>
        </w:rPr>
        <w:t>.</w:t>
      </w:r>
      <w:r>
        <w:rPr>
          <w:rStyle w:val="FootnoteReference"/>
          <w:rFonts w:ascii="Times New Roman" w:hAnsi="Times New Roman" w:cs="Times New Roman"/>
        </w:rPr>
        <w:footnoteReference w:id="194"/>
      </w:r>
      <w:r w:rsidRPr="00AD1B1D">
        <w:rPr>
          <w:rFonts w:ascii="Times New Roman" w:hAnsi="Times New Roman" w:cs="Times New Roman"/>
        </w:rPr>
        <w:t xml:space="preserve"> There are three main components in a group’s frame which they use to mobilise their target population and generate support: firstly, frames diagnose a problem</w:t>
      </w:r>
      <w:r>
        <w:rPr>
          <w:rFonts w:ascii="Times New Roman" w:hAnsi="Times New Roman" w:cs="Times New Roman"/>
        </w:rPr>
        <w:t xml:space="preserve"> and who this problem is attributed to</w:t>
      </w:r>
      <w:r w:rsidRPr="00AD1B1D">
        <w:rPr>
          <w:rFonts w:ascii="Times New Roman" w:hAnsi="Times New Roman" w:cs="Times New Roman"/>
        </w:rPr>
        <w:t>; secondly, they state how such problems are to be solved; and thirdly, they seek to provide motivation by incentivising actio</w:t>
      </w:r>
      <w:r>
        <w:rPr>
          <w:rFonts w:ascii="Times New Roman" w:hAnsi="Times New Roman" w:cs="Times New Roman"/>
        </w:rPr>
        <w:t>n</w:t>
      </w:r>
      <w:r w:rsidR="00D51325">
        <w:rPr>
          <w:rFonts w:ascii="Times New Roman" w:hAnsi="Times New Roman" w:cs="Times New Roman"/>
        </w:rPr>
        <w:t>.</w:t>
      </w:r>
      <w:r>
        <w:rPr>
          <w:rStyle w:val="FootnoteReference"/>
          <w:rFonts w:ascii="Times New Roman" w:hAnsi="Times New Roman" w:cs="Times New Roman"/>
        </w:rPr>
        <w:footnoteReference w:id="195"/>
      </w:r>
      <w:r w:rsidRPr="00AD1B1D">
        <w:rPr>
          <w:rFonts w:ascii="Times New Roman" w:hAnsi="Times New Roman" w:cs="Times New Roman"/>
        </w:rPr>
        <w:t xml:space="preserve"> In addition, the gap </w:t>
      </w:r>
      <w:r w:rsidRPr="00AD1B1D">
        <w:rPr>
          <w:rFonts w:ascii="Times New Roman" w:hAnsi="Times New Roman" w:cs="Times New Roman"/>
        </w:rPr>
        <w:lastRenderedPageBreak/>
        <w:t>between attribution framing within society and amongst social movement or</w:t>
      </w:r>
      <w:r w:rsidR="00282A34">
        <w:rPr>
          <w:rFonts w:ascii="Times New Roman" w:hAnsi="Times New Roman" w:cs="Times New Roman"/>
        </w:rPr>
        <w:t xml:space="preserve">ganisations should be explored - </w:t>
      </w:r>
      <w:r w:rsidRPr="00AD1B1D">
        <w:rPr>
          <w:rFonts w:ascii="Times New Roman" w:hAnsi="Times New Roman" w:cs="Times New Roman"/>
        </w:rPr>
        <w:t xml:space="preserve">known as </w:t>
      </w:r>
      <w:r w:rsidRPr="00282A34">
        <w:rPr>
          <w:rFonts w:ascii="Times New Roman" w:hAnsi="Times New Roman" w:cs="Times New Roman"/>
          <w:i/>
          <w:iCs/>
        </w:rPr>
        <w:t>resonance</w:t>
      </w:r>
      <w:r w:rsidRPr="00AD1B1D">
        <w:rPr>
          <w:rFonts w:ascii="Times New Roman" w:hAnsi="Times New Roman" w:cs="Times New Roman"/>
        </w:rPr>
        <w:t>. The credibility of framing is dependent on frame consistency, empirical credibility and c</w:t>
      </w:r>
      <w:r>
        <w:rPr>
          <w:rFonts w:ascii="Times New Roman" w:hAnsi="Times New Roman" w:cs="Times New Roman"/>
        </w:rPr>
        <w:t>redibility of the articulators</w:t>
      </w:r>
      <w:r w:rsidR="00D51325">
        <w:rPr>
          <w:rFonts w:ascii="Times New Roman" w:hAnsi="Times New Roman" w:cs="Times New Roman"/>
        </w:rPr>
        <w:t>.</w:t>
      </w:r>
      <w:r>
        <w:rPr>
          <w:rStyle w:val="FootnoteReference"/>
          <w:rFonts w:ascii="Times New Roman" w:hAnsi="Times New Roman" w:cs="Times New Roman"/>
        </w:rPr>
        <w:footnoteReference w:id="196"/>
      </w:r>
      <w:r w:rsidRPr="00AD1B1D">
        <w:rPr>
          <w:rFonts w:ascii="Times New Roman" w:hAnsi="Times New Roman" w:cs="Times New Roman"/>
        </w:rPr>
        <w:t xml:space="preserve">  The resonance of framing also depends on factors pertaining to the targets for mobilisation: 1) </w:t>
      </w:r>
      <w:r w:rsidRPr="00AD1B1D">
        <w:rPr>
          <w:rFonts w:ascii="Times New Roman" w:hAnsi="Times New Roman" w:cs="Times New Roman"/>
          <w:i/>
          <w:iCs/>
        </w:rPr>
        <w:t>centrality</w:t>
      </w:r>
      <w:r w:rsidRPr="00AD1B1D">
        <w:rPr>
          <w:rFonts w:ascii="Times New Roman" w:hAnsi="Times New Roman" w:cs="Times New Roman"/>
        </w:rPr>
        <w:t xml:space="preserve"> refers to how essential the beliefs and goals of the organisation are to the lives of the targets of mobilisation (typically hierarchical); 2) </w:t>
      </w:r>
      <w:r w:rsidRPr="00AD1B1D">
        <w:rPr>
          <w:rFonts w:ascii="Times New Roman" w:hAnsi="Times New Roman" w:cs="Times New Roman"/>
          <w:i/>
          <w:iCs/>
        </w:rPr>
        <w:t>experiential commensurability</w:t>
      </w:r>
      <w:r w:rsidRPr="00AD1B1D">
        <w:rPr>
          <w:rFonts w:ascii="Times New Roman" w:hAnsi="Times New Roman" w:cs="Times New Roman"/>
        </w:rPr>
        <w:t xml:space="preserve"> asks to what extent does the frame resonate with the personal, everyday experiences or is f</w:t>
      </w:r>
      <w:r w:rsidR="003105CA">
        <w:rPr>
          <w:rFonts w:ascii="Times New Roman" w:hAnsi="Times New Roman" w:cs="Times New Roman"/>
        </w:rPr>
        <w:t>raming too abstract and distant;</w:t>
      </w:r>
      <w:r w:rsidRPr="00AD1B1D">
        <w:rPr>
          <w:rFonts w:ascii="Times New Roman" w:hAnsi="Times New Roman" w:cs="Times New Roman"/>
        </w:rPr>
        <w:t xml:space="preserve"> and 3) </w:t>
      </w:r>
      <w:r w:rsidRPr="00AD1B1D">
        <w:rPr>
          <w:rFonts w:ascii="Times New Roman" w:hAnsi="Times New Roman" w:cs="Times New Roman"/>
          <w:i/>
          <w:iCs/>
        </w:rPr>
        <w:t>narrative fidelity</w:t>
      </w:r>
      <w:r w:rsidRPr="00AD1B1D">
        <w:rPr>
          <w:rFonts w:ascii="Times New Roman" w:hAnsi="Times New Roman" w:cs="Times New Roman"/>
        </w:rPr>
        <w:t xml:space="preserve"> refers to the extent a frame resonates with the targets’ cultural narration, or ‘m</w:t>
      </w:r>
      <w:r>
        <w:rPr>
          <w:rFonts w:ascii="Times New Roman" w:hAnsi="Times New Roman" w:cs="Times New Roman"/>
        </w:rPr>
        <w:t>yths’ and ‘domain assumptions’</w:t>
      </w:r>
      <w:r w:rsidR="00D51325">
        <w:rPr>
          <w:rFonts w:ascii="Times New Roman" w:hAnsi="Times New Roman" w:cs="Times New Roman"/>
        </w:rPr>
        <w:t>.</w:t>
      </w:r>
      <w:r>
        <w:rPr>
          <w:rStyle w:val="FootnoteReference"/>
          <w:rFonts w:ascii="Times New Roman" w:hAnsi="Times New Roman" w:cs="Times New Roman"/>
        </w:rPr>
        <w:footnoteReference w:id="197"/>
      </w:r>
      <w:r>
        <w:rPr>
          <w:rFonts w:ascii="Times New Roman" w:hAnsi="Times New Roman" w:cs="Times New Roman"/>
        </w:rPr>
        <w:t xml:space="preserve"> </w:t>
      </w:r>
    </w:p>
    <w:p w14:paraId="48A57CC2" w14:textId="77777777" w:rsidR="00EA2F1C" w:rsidRDefault="00EA2F1C" w:rsidP="00EA2F1C">
      <w:pPr>
        <w:spacing w:line="360" w:lineRule="auto"/>
        <w:jc w:val="both"/>
        <w:rPr>
          <w:rFonts w:ascii="Times New Roman" w:hAnsi="Times New Roman" w:cs="Times New Roman"/>
        </w:rPr>
      </w:pPr>
      <w:r>
        <w:rPr>
          <w:rFonts w:ascii="Times New Roman" w:hAnsi="Times New Roman" w:cs="Times New Roman"/>
        </w:rPr>
        <w:tab/>
        <w:t xml:space="preserve">The use of a frames analysis is aimed to provide a better indication of likely behaviour, but this is contingent on a frame accurately reflecting attitudes. The only way to ascertain an actor’s attitudes is through behaviour, which can include the verbalisation of attitudes toward a type of behaviour. However, this gives way for actors behaving in contradictory ways to different audiences, which leads to the issue of whether de-radicalisation reflects a genuine change on the part of former militants. Subsequently, the frame an actor espouses that is taken to indicate de-radicalisation may be different from their ‘genuine’ attitudes in other contexts. However, there is still a link between frames and attitudes that mean a frames approach can shed light on attitudinal change. Firstly, the act of repeating a frame to an audience, while perhaps not initially reflecting genuine attitudes entirely, can lead to a change in attitudes itself in order to avoid cognitive dissonance – that is, when there is a discrepancy between attitudes and behaviour. Secondly, attitudes are expressed in social settings which can incentivise or discourage certain attitudes being expressed or being held, and this is where the issue of discrepancy or disingenuousness can emerge. However, a frames analysis can better reflect the attitudes of actors because it recognises that frame audiences can shape the message and therefore attitudes: by analysing frames within social networks, it can better reflect attitudes and how they change. Therefore, a frames approach can better reflect the attitudes of actors to explain behaviour, and while this may not be as accurate as the methods used in the </w:t>
      </w:r>
      <w:r>
        <w:rPr>
          <w:rFonts w:ascii="Times New Roman" w:hAnsi="Times New Roman" w:cs="Times New Roman"/>
        </w:rPr>
        <w:lastRenderedPageBreak/>
        <w:t xml:space="preserve">aforementioned Reasoned Action Theory, it provides a greater reflection than studies on de-radicalisation precisely because it puts attitudinal change in a social context.   </w:t>
      </w:r>
    </w:p>
    <w:p w14:paraId="362BFEB7" w14:textId="5F4BB56F" w:rsidR="00280028" w:rsidRDefault="00C523FA" w:rsidP="00C523FA">
      <w:pPr>
        <w:spacing w:line="360" w:lineRule="auto"/>
        <w:ind w:firstLine="720"/>
        <w:jc w:val="both"/>
        <w:rPr>
          <w:rFonts w:ascii="Times New Roman" w:hAnsi="Times New Roman" w:cs="Times New Roman"/>
          <w:bCs/>
        </w:rPr>
      </w:pPr>
      <w:r>
        <w:rPr>
          <w:rFonts w:ascii="Times New Roman" w:hAnsi="Times New Roman" w:cs="Times New Roman"/>
        </w:rPr>
        <w:t>While</w:t>
      </w:r>
      <w:r w:rsidR="009E3DF5">
        <w:rPr>
          <w:rFonts w:ascii="Times New Roman" w:hAnsi="Times New Roman" w:cs="Times New Roman"/>
        </w:rPr>
        <w:t xml:space="preserve"> frames analysis is primarily used to explain mobilisation, the thesis is the first to use it in the context of disengagement and de-radicalisation</w:t>
      </w:r>
      <w:r>
        <w:rPr>
          <w:rFonts w:ascii="Times New Roman" w:hAnsi="Times New Roman" w:cs="Times New Roman"/>
        </w:rPr>
        <w:t>, therefore the approach needs to be adapted to reflect the different dynamics in disengagement</w:t>
      </w:r>
      <w:r w:rsidR="009E3DF5">
        <w:rPr>
          <w:rFonts w:ascii="Times New Roman" w:hAnsi="Times New Roman" w:cs="Times New Roman"/>
        </w:rPr>
        <w:t>.</w:t>
      </w:r>
      <w:r>
        <w:rPr>
          <w:rFonts w:ascii="Times New Roman" w:hAnsi="Times New Roman" w:cs="Times New Roman"/>
        </w:rPr>
        <w:t xml:space="preserve"> </w:t>
      </w:r>
      <w:r w:rsidR="009E3DF5">
        <w:rPr>
          <w:rFonts w:ascii="Times New Roman" w:hAnsi="Times New Roman" w:cs="Times New Roman"/>
          <w:bCs/>
        </w:rPr>
        <w:t xml:space="preserve">Prior to a militant group voluntarily disengaging, </w:t>
      </w:r>
      <w:r w:rsidR="006637D5">
        <w:rPr>
          <w:rFonts w:ascii="Times New Roman" w:hAnsi="Times New Roman" w:cs="Times New Roman"/>
          <w:bCs/>
        </w:rPr>
        <w:t>political entrepreneurs</w:t>
      </w:r>
      <w:r w:rsidR="009E3DF5">
        <w:rPr>
          <w:rFonts w:ascii="Times New Roman" w:hAnsi="Times New Roman" w:cs="Times New Roman"/>
          <w:bCs/>
        </w:rPr>
        <w:t xml:space="preserve">, typically the leadership, will begin the process of constructing a </w:t>
      </w:r>
      <w:r w:rsidR="009E3DF5" w:rsidRPr="0017070F">
        <w:rPr>
          <w:rFonts w:ascii="Times New Roman" w:hAnsi="Times New Roman" w:cs="Times New Roman"/>
          <w:bCs/>
          <w:i/>
          <w:iCs/>
        </w:rPr>
        <w:t>disengagement frame</w:t>
      </w:r>
      <w:r w:rsidR="009E3DF5">
        <w:rPr>
          <w:rFonts w:ascii="Times New Roman" w:hAnsi="Times New Roman" w:cs="Times New Roman"/>
          <w:bCs/>
        </w:rPr>
        <w:t xml:space="preserve">. </w:t>
      </w:r>
      <w:r w:rsidR="006637D5">
        <w:rPr>
          <w:rFonts w:ascii="Times New Roman" w:hAnsi="Times New Roman" w:cs="Times New Roman"/>
          <w:bCs/>
        </w:rPr>
        <w:t>The political entrepreneurs bring together the different types of attitudinal change that are occurring to inform a coherent disengagement frame</w:t>
      </w:r>
      <w:r w:rsidR="00787C07">
        <w:rPr>
          <w:rFonts w:ascii="Times New Roman" w:hAnsi="Times New Roman" w:cs="Times New Roman"/>
          <w:bCs/>
        </w:rPr>
        <w:t xml:space="preserve">. In cases where there is little leadership </w:t>
      </w:r>
      <w:r w:rsidR="00FC4B2B">
        <w:rPr>
          <w:rFonts w:ascii="Times New Roman" w:hAnsi="Times New Roman" w:cs="Times New Roman"/>
          <w:bCs/>
        </w:rPr>
        <w:t xml:space="preserve">or the organisational upper echelons are divided </w:t>
      </w:r>
      <w:r w:rsidR="00787C07">
        <w:rPr>
          <w:rFonts w:ascii="Times New Roman" w:hAnsi="Times New Roman" w:cs="Times New Roman"/>
          <w:bCs/>
        </w:rPr>
        <w:t>in creating a disengagement frame, the different attitudes within an organisation can coalesce around different political entrepreneurs within a movement, resulting in multiple frames existing which can undermine the case for disengagement.</w:t>
      </w:r>
      <w:r w:rsidR="006637D5">
        <w:rPr>
          <w:rFonts w:ascii="Times New Roman" w:hAnsi="Times New Roman" w:cs="Times New Roman"/>
          <w:bCs/>
        </w:rPr>
        <w:t xml:space="preserve"> </w:t>
      </w:r>
      <w:r w:rsidR="009E3DF5">
        <w:rPr>
          <w:rFonts w:ascii="Times New Roman" w:hAnsi="Times New Roman" w:cs="Times New Roman"/>
          <w:bCs/>
        </w:rPr>
        <w:t>A disengagement frame makes the case for demobilising, and while this frame may not be overtly calling for disengagement in the initial stages of the process, as the process develops it becomes more refined. Crucially, a disengagement frame will need to build on the mobilising frame</w:t>
      </w:r>
      <w:r w:rsidR="003105CA">
        <w:rPr>
          <w:rFonts w:ascii="Times New Roman" w:hAnsi="Times New Roman" w:cs="Times New Roman"/>
          <w:bCs/>
        </w:rPr>
        <w:t xml:space="preserve"> (narrative fidelity)</w:t>
      </w:r>
      <w:r w:rsidR="009E3DF5">
        <w:rPr>
          <w:rFonts w:ascii="Times New Roman" w:hAnsi="Times New Roman" w:cs="Times New Roman"/>
          <w:bCs/>
        </w:rPr>
        <w:t>. The components of a disengagement frame are</w:t>
      </w:r>
      <w:r w:rsidR="00787C07">
        <w:rPr>
          <w:rFonts w:ascii="Times New Roman" w:hAnsi="Times New Roman" w:cs="Times New Roman"/>
          <w:bCs/>
        </w:rPr>
        <w:t xml:space="preserve"> as follows</w:t>
      </w:r>
      <w:r w:rsidR="009E3DF5">
        <w:rPr>
          <w:rFonts w:ascii="Times New Roman" w:hAnsi="Times New Roman" w:cs="Times New Roman"/>
          <w:bCs/>
        </w:rPr>
        <w:t>: it diagnoses a problem with the mobilising frame, which may be ideological, strategic or tactical, or recognising a change with who</w:t>
      </w:r>
      <w:r w:rsidR="003105CA">
        <w:rPr>
          <w:rFonts w:ascii="Times New Roman" w:hAnsi="Times New Roman" w:cs="Times New Roman"/>
          <w:bCs/>
        </w:rPr>
        <w:t>m</w:t>
      </w:r>
      <w:r w:rsidR="009E3DF5">
        <w:rPr>
          <w:rFonts w:ascii="Times New Roman" w:hAnsi="Times New Roman" w:cs="Times New Roman"/>
          <w:bCs/>
        </w:rPr>
        <w:t xml:space="preserve"> the problem is attributed to; a new approach that does not involve the use of armed violence will be identified; new </w:t>
      </w:r>
      <w:r w:rsidR="00B65BA0">
        <w:rPr>
          <w:rFonts w:ascii="Times New Roman" w:hAnsi="Times New Roman" w:cs="Times New Roman"/>
          <w:bCs/>
        </w:rPr>
        <w:t xml:space="preserve">or previously dormant </w:t>
      </w:r>
      <w:r w:rsidR="009E3DF5">
        <w:rPr>
          <w:rFonts w:ascii="Times New Roman" w:hAnsi="Times New Roman" w:cs="Times New Roman"/>
          <w:bCs/>
        </w:rPr>
        <w:t xml:space="preserve">components to the frame will be developed </w:t>
      </w:r>
      <w:r w:rsidR="00B65BA0">
        <w:rPr>
          <w:rFonts w:ascii="Times New Roman" w:hAnsi="Times New Roman" w:cs="Times New Roman"/>
          <w:bCs/>
        </w:rPr>
        <w:t xml:space="preserve">(frame extension and frame amplification respectively) </w:t>
      </w:r>
      <w:r w:rsidR="009E3DF5">
        <w:rPr>
          <w:rFonts w:ascii="Times New Roman" w:hAnsi="Times New Roman" w:cs="Times New Roman"/>
          <w:bCs/>
        </w:rPr>
        <w:t xml:space="preserve">to motivate current members or mobilise new constituencies. </w:t>
      </w:r>
    </w:p>
    <w:p w14:paraId="688CEE9C" w14:textId="50D784D3" w:rsidR="009E3DF5" w:rsidRDefault="009E3DF5" w:rsidP="00280028">
      <w:pPr>
        <w:spacing w:line="360" w:lineRule="auto"/>
        <w:ind w:firstLine="720"/>
        <w:jc w:val="both"/>
        <w:rPr>
          <w:rFonts w:ascii="Times New Roman" w:hAnsi="Times New Roman" w:cs="Times New Roman"/>
          <w:bCs/>
        </w:rPr>
      </w:pPr>
      <w:r>
        <w:rPr>
          <w:rFonts w:ascii="Times New Roman" w:hAnsi="Times New Roman" w:cs="Times New Roman"/>
          <w:bCs/>
        </w:rPr>
        <w:t>Fundamental to the success of a disengagement frame is the extent it resonates with the movement</w:t>
      </w:r>
      <w:r w:rsidR="007B3A44">
        <w:rPr>
          <w:rFonts w:ascii="Times New Roman" w:hAnsi="Times New Roman" w:cs="Times New Roman"/>
          <w:bCs/>
        </w:rPr>
        <w:t xml:space="preserve"> (frame alignment)</w:t>
      </w:r>
      <w:r>
        <w:rPr>
          <w:rFonts w:ascii="Times New Roman" w:hAnsi="Times New Roman" w:cs="Times New Roman"/>
          <w:bCs/>
        </w:rPr>
        <w:t>, and the thesis focuses on three factors that affect the resonance of a frame. Firstly, there must be sufficient linkages between the network attempting to diffuse the frame and those they are targeting. Given the illicit nature of militant organisations, the ability to develop linkages can be influenced by the amount of repression and the organisational structure. Another key factor is the medium of linkages and dialogue, which builds on Ashour’s argument that successful disengagement is partly contingent on internal discussion</w:t>
      </w:r>
      <w:r w:rsidR="00D51325">
        <w:rPr>
          <w:rFonts w:ascii="Times New Roman" w:hAnsi="Times New Roman" w:cs="Times New Roman"/>
          <w:bCs/>
        </w:rPr>
        <w:t>.</w:t>
      </w:r>
      <w:r>
        <w:rPr>
          <w:rStyle w:val="FootnoteReference"/>
          <w:rFonts w:ascii="Times New Roman" w:hAnsi="Times New Roman" w:cs="Times New Roman"/>
          <w:bCs/>
        </w:rPr>
        <w:footnoteReference w:id="198"/>
      </w:r>
      <w:r>
        <w:rPr>
          <w:rFonts w:ascii="Times New Roman" w:hAnsi="Times New Roman" w:cs="Times New Roman"/>
          <w:bCs/>
        </w:rPr>
        <w:t xml:space="preserve"> </w:t>
      </w:r>
      <w:r w:rsidR="00D05700">
        <w:rPr>
          <w:rFonts w:ascii="Times New Roman" w:hAnsi="Times New Roman" w:cs="Times New Roman"/>
          <w:bCs/>
        </w:rPr>
        <w:lastRenderedPageBreak/>
        <w:t>Dialogue</w:t>
      </w:r>
      <w:r>
        <w:rPr>
          <w:rFonts w:ascii="Times New Roman" w:hAnsi="Times New Roman" w:cs="Times New Roman"/>
          <w:bCs/>
        </w:rPr>
        <w:t xml:space="preserve"> </w:t>
      </w:r>
      <w:r w:rsidR="00D05700">
        <w:rPr>
          <w:rFonts w:ascii="Times New Roman" w:hAnsi="Times New Roman" w:cs="Times New Roman"/>
          <w:bCs/>
        </w:rPr>
        <w:t>and debate</w:t>
      </w:r>
      <w:r>
        <w:rPr>
          <w:rFonts w:ascii="Times New Roman" w:hAnsi="Times New Roman" w:cs="Times New Roman"/>
          <w:bCs/>
        </w:rPr>
        <w:t xml:space="preserve"> can be sufficient to produce attitudinal change</w:t>
      </w:r>
      <w:r w:rsidR="00D05700">
        <w:rPr>
          <w:rFonts w:ascii="Times New Roman" w:hAnsi="Times New Roman" w:cs="Times New Roman"/>
          <w:bCs/>
        </w:rPr>
        <w:t xml:space="preserve"> or adjust their attitudes to align it with imposed behaviour to avoid cognitive </w:t>
      </w:r>
      <w:r w:rsidR="008D4900">
        <w:rPr>
          <w:rFonts w:ascii="Times New Roman" w:hAnsi="Times New Roman" w:cs="Times New Roman"/>
          <w:bCs/>
        </w:rPr>
        <w:t>dissonance</w:t>
      </w:r>
      <w:r w:rsidR="00D51325">
        <w:rPr>
          <w:rFonts w:ascii="Times New Roman" w:hAnsi="Times New Roman" w:cs="Times New Roman"/>
          <w:bCs/>
        </w:rPr>
        <w:t>,</w:t>
      </w:r>
      <w:r>
        <w:rPr>
          <w:rStyle w:val="FootnoteReference"/>
          <w:rFonts w:ascii="Times New Roman" w:hAnsi="Times New Roman" w:cs="Times New Roman"/>
          <w:bCs/>
        </w:rPr>
        <w:footnoteReference w:id="199"/>
      </w:r>
      <w:r>
        <w:rPr>
          <w:rFonts w:ascii="Times New Roman" w:hAnsi="Times New Roman" w:cs="Times New Roman"/>
          <w:bCs/>
        </w:rPr>
        <w:t xml:space="preserve"> but crucially, the unique aspect of a disengagement frame is that it has a normative function, which through personal networks and influence, can mean people will adhere to frames and use them as scripts when in dialogue even if they do not </w:t>
      </w:r>
      <w:r w:rsidR="003105CA">
        <w:rPr>
          <w:rFonts w:ascii="Times New Roman" w:hAnsi="Times New Roman" w:cs="Times New Roman"/>
          <w:bCs/>
        </w:rPr>
        <w:t xml:space="preserve">fully </w:t>
      </w:r>
      <w:r>
        <w:rPr>
          <w:rFonts w:ascii="Times New Roman" w:hAnsi="Times New Roman" w:cs="Times New Roman"/>
          <w:bCs/>
        </w:rPr>
        <w:t>believe in it</w:t>
      </w:r>
      <w:r w:rsidR="003105CA">
        <w:rPr>
          <w:rFonts w:ascii="Times New Roman" w:hAnsi="Times New Roman" w:cs="Times New Roman"/>
          <w:bCs/>
        </w:rPr>
        <w:t xml:space="preserve"> at first</w:t>
      </w:r>
      <w:r>
        <w:rPr>
          <w:rFonts w:ascii="Times New Roman" w:hAnsi="Times New Roman" w:cs="Times New Roman"/>
          <w:bCs/>
        </w:rPr>
        <w:t>. Secondly, the ‘messengers’ of the frame must be perceived to have credibility – not charismatic leadership as Ashour emphasises</w:t>
      </w:r>
      <w:r w:rsidR="00D51325">
        <w:rPr>
          <w:rFonts w:ascii="Times New Roman" w:hAnsi="Times New Roman" w:cs="Times New Roman"/>
          <w:bCs/>
        </w:rPr>
        <w:t>.</w:t>
      </w:r>
      <w:r>
        <w:rPr>
          <w:rStyle w:val="FootnoteReference"/>
          <w:rFonts w:ascii="Times New Roman" w:hAnsi="Times New Roman" w:cs="Times New Roman"/>
          <w:bCs/>
        </w:rPr>
        <w:footnoteReference w:id="200"/>
      </w:r>
      <w:r>
        <w:rPr>
          <w:rFonts w:ascii="Times New Roman" w:hAnsi="Times New Roman" w:cs="Times New Roman"/>
          <w:bCs/>
        </w:rPr>
        <w:t xml:space="preserve"> Therefore the thesis’ framework highlights the significance of analysing what provides the messengers with credibility, how this affects resonance, and how credible messengers are utilised in diffusing the frame. Thirdly, the disengagement frame must maintain narrative fidelity; that is, it cannot deviate substantially from the mobilising frame and attitudes within society</w:t>
      </w:r>
      <w:r w:rsidR="003105CA">
        <w:rPr>
          <w:rFonts w:ascii="Times New Roman" w:hAnsi="Times New Roman" w:cs="Times New Roman"/>
          <w:bCs/>
        </w:rPr>
        <w:t xml:space="preserve"> (thus leading to the term ‘rubber-band diplomacy’ being coined by Provisional IRA members)</w:t>
      </w:r>
      <w:r>
        <w:rPr>
          <w:rFonts w:ascii="Times New Roman" w:hAnsi="Times New Roman" w:cs="Times New Roman"/>
          <w:bCs/>
        </w:rPr>
        <w:t xml:space="preserve">. Finally, while the diffusion of the disengagement frame will be primarily targeted internally, the frame will also be influenced by external actors who seek to define its parameters and the militant group will also diffuse the frame externally to its sympathisers and target community.    </w:t>
      </w:r>
    </w:p>
    <w:p w14:paraId="01AAD202" w14:textId="77777777" w:rsidR="007B3A44" w:rsidRDefault="007B3A44" w:rsidP="00B57C7F">
      <w:pPr>
        <w:spacing w:line="360" w:lineRule="auto"/>
        <w:jc w:val="both"/>
        <w:rPr>
          <w:rFonts w:ascii="Times New Roman" w:hAnsi="Times New Roman" w:cs="Times New Roman"/>
          <w:bCs/>
        </w:rPr>
      </w:pPr>
      <w:r>
        <w:rPr>
          <w:rFonts w:ascii="Times New Roman" w:hAnsi="Times New Roman" w:cs="Times New Roman"/>
          <w:bCs/>
        </w:rPr>
        <w:tab/>
        <w:t xml:space="preserve">The development of a disengagement frame can occur over a long period of time, transforming substantially. Each stage in the disengagement frame is connected because of the need to maintain narrative fidelity. Therefore, if a disengagement frame has three identifiable stages over a ten-year period, for example, the frame used in the first stage will shape and constrain frames in the second and third stage. As an example, the Provisional IRA’s frame in the first stage legitimised past violence, therefore in the third stage when members realised this was counter-productive with talking to young people, they were not able to de-legitimise past violence as their credibility had been built on the frame at the first stage. Instead, in the third stage, some Provisional IRA members sought to de-glamourise past violence to overcome this problem. As well as frames being causally bound, they can also have an escalatory mechanism, whereby the adoption of the frame at one stage will push it to develop into another stage where more disengagement is expected, and frames have to adapt to reflect this. As will be demonstrated in later chapters, the </w:t>
      </w:r>
      <w:r>
        <w:rPr>
          <w:rFonts w:ascii="Times New Roman" w:hAnsi="Times New Roman" w:cs="Times New Roman"/>
          <w:bCs/>
        </w:rPr>
        <w:lastRenderedPageBreak/>
        <w:t>very acceptance of disengagement to gain political benefits by the Provisional IRA drew them in further, where they then had to disarm and de-legitimise violence, which a disengagement frame had to justify while also being bounded to previous arguments. Therefore, the successful resonance of a disengagement frame can act to push groups toward greater disengagement, which leads to a new stage in the frame emerging that is constrained and shaped by the old stage</w:t>
      </w:r>
      <w:r w:rsidR="00165A13">
        <w:rPr>
          <w:rFonts w:ascii="Times New Roman" w:hAnsi="Times New Roman" w:cs="Times New Roman"/>
          <w:bCs/>
        </w:rPr>
        <w:t>, therefore the frames build on each other</w:t>
      </w:r>
      <w:r>
        <w:rPr>
          <w:rFonts w:ascii="Times New Roman" w:hAnsi="Times New Roman" w:cs="Times New Roman"/>
          <w:bCs/>
        </w:rPr>
        <w:t>.</w:t>
      </w:r>
      <w:r w:rsidR="00165A13">
        <w:rPr>
          <w:rFonts w:ascii="Times New Roman" w:hAnsi="Times New Roman" w:cs="Times New Roman"/>
          <w:bCs/>
        </w:rPr>
        <w:t xml:space="preserve"> </w:t>
      </w:r>
      <w:r>
        <w:rPr>
          <w:rFonts w:ascii="Times New Roman" w:hAnsi="Times New Roman" w:cs="Times New Roman"/>
          <w:bCs/>
        </w:rPr>
        <w:t xml:space="preserve">  </w:t>
      </w:r>
    </w:p>
    <w:p w14:paraId="58055C2A" w14:textId="77777777" w:rsidR="00280028" w:rsidRDefault="009E3DF5" w:rsidP="00B57C7F">
      <w:pPr>
        <w:spacing w:line="360" w:lineRule="auto"/>
        <w:jc w:val="both"/>
        <w:rPr>
          <w:rFonts w:ascii="Times New Roman" w:hAnsi="Times New Roman" w:cs="Times New Roman"/>
          <w:bCs/>
        </w:rPr>
      </w:pPr>
      <w:r>
        <w:rPr>
          <w:rFonts w:ascii="Times New Roman" w:hAnsi="Times New Roman" w:cs="Times New Roman"/>
          <w:bCs/>
        </w:rPr>
        <w:tab/>
      </w:r>
      <w:r w:rsidR="00B65BA0">
        <w:rPr>
          <w:rFonts w:ascii="Times New Roman" w:hAnsi="Times New Roman" w:cs="Times New Roman"/>
          <w:bCs/>
        </w:rPr>
        <w:t>The concept of de-ra</w:t>
      </w:r>
      <w:r w:rsidR="00787C07">
        <w:rPr>
          <w:rFonts w:ascii="Times New Roman" w:hAnsi="Times New Roman" w:cs="Times New Roman"/>
          <w:bCs/>
        </w:rPr>
        <w:t>dicalisation is not lost</w:t>
      </w:r>
      <w:r w:rsidR="00B65BA0">
        <w:rPr>
          <w:rFonts w:ascii="Times New Roman" w:hAnsi="Times New Roman" w:cs="Times New Roman"/>
          <w:bCs/>
        </w:rPr>
        <w:t xml:space="preserve">, as </w:t>
      </w:r>
      <w:r w:rsidR="00787C07">
        <w:rPr>
          <w:rFonts w:ascii="Times New Roman" w:hAnsi="Times New Roman" w:cs="Times New Roman"/>
          <w:bCs/>
        </w:rPr>
        <w:t>frames can be underpinned by a range of attitudes which may constitute de-radicalisation</w:t>
      </w:r>
      <w:r w:rsidR="00FA565B">
        <w:rPr>
          <w:rFonts w:ascii="Times New Roman" w:hAnsi="Times New Roman" w:cs="Times New Roman"/>
          <w:bCs/>
        </w:rPr>
        <w:t>. However, a frames analysis provides scope to analyse the nuances, which leads t</w:t>
      </w:r>
      <w:r w:rsidR="007D255F">
        <w:rPr>
          <w:rFonts w:ascii="Times New Roman" w:hAnsi="Times New Roman" w:cs="Times New Roman"/>
          <w:bCs/>
        </w:rPr>
        <w:t>he</w:t>
      </w:r>
      <w:r w:rsidR="00FA565B">
        <w:rPr>
          <w:rFonts w:ascii="Times New Roman" w:hAnsi="Times New Roman" w:cs="Times New Roman"/>
          <w:bCs/>
        </w:rPr>
        <w:t xml:space="preserve"> thesis to expand the disengagement or (narrow) de-radicalisation dichotomy. One problem</w:t>
      </w:r>
      <w:r w:rsidR="007D255F">
        <w:rPr>
          <w:rFonts w:ascii="Times New Roman" w:hAnsi="Times New Roman" w:cs="Times New Roman"/>
          <w:bCs/>
        </w:rPr>
        <w:t xml:space="preserve"> of</w:t>
      </w:r>
      <w:r w:rsidR="00FA565B">
        <w:rPr>
          <w:rFonts w:ascii="Times New Roman" w:hAnsi="Times New Roman" w:cs="Times New Roman"/>
          <w:bCs/>
        </w:rPr>
        <w:t xml:space="preserve"> both </w:t>
      </w:r>
      <w:r w:rsidR="00896D27">
        <w:rPr>
          <w:rFonts w:ascii="Times New Roman" w:hAnsi="Times New Roman" w:cs="Times New Roman"/>
          <w:bCs/>
        </w:rPr>
        <w:t xml:space="preserve">narrow and broad </w:t>
      </w:r>
      <w:r w:rsidR="00FA565B">
        <w:rPr>
          <w:rFonts w:ascii="Times New Roman" w:hAnsi="Times New Roman" w:cs="Times New Roman"/>
          <w:bCs/>
        </w:rPr>
        <w:t xml:space="preserve">approaches to de-radicalisation is the inability to recognise it as a conditional process. In this context, </w:t>
      </w:r>
      <w:r w:rsidR="00A711EC">
        <w:rPr>
          <w:rFonts w:ascii="Times New Roman" w:hAnsi="Times New Roman" w:cs="Times New Roman"/>
          <w:bCs/>
        </w:rPr>
        <w:t>conditionality</w:t>
      </w:r>
      <w:r w:rsidR="00FA565B">
        <w:rPr>
          <w:rFonts w:ascii="Times New Roman" w:hAnsi="Times New Roman" w:cs="Times New Roman"/>
          <w:bCs/>
        </w:rPr>
        <w:t xml:space="preserve"> refers to when violence is de-legitimised in c</w:t>
      </w:r>
      <w:r w:rsidR="00A53BA7">
        <w:rPr>
          <w:rFonts w:ascii="Times New Roman" w:hAnsi="Times New Roman" w:cs="Times New Roman"/>
          <w:bCs/>
        </w:rPr>
        <w:t xml:space="preserve">ertain conditions over time, </w:t>
      </w:r>
      <w:r w:rsidR="00FA565B">
        <w:rPr>
          <w:rFonts w:ascii="Times New Roman" w:hAnsi="Times New Roman" w:cs="Times New Roman"/>
          <w:bCs/>
        </w:rPr>
        <w:t>place</w:t>
      </w:r>
      <w:r w:rsidR="00A53BA7">
        <w:rPr>
          <w:rFonts w:ascii="Times New Roman" w:hAnsi="Times New Roman" w:cs="Times New Roman"/>
          <w:bCs/>
        </w:rPr>
        <w:t xml:space="preserve"> or actor/movement</w:t>
      </w:r>
      <w:r w:rsidR="00EB5B1F">
        <w:rPr>
          <w:rStyle w:val="FootnoteReference"/>
          <w:rFonts w:ascii="Times New Roman" w:hAnsi="Times New Roman" w:cs="Times New Roman"/>
          <w:bCs/>
        </w:rPr>
        <w:footnoteReference w:id="201"/>
      </w:r>
      <w:r w:rsidR="007D255F">
        <w:rPr>
          <w:rFonts w:ascii="Times New Roman" w:hAnsi="Times New Roman" w:cs="Times New Roman"/>
          <w:bCs/>
        </w:rPr>
        <w:t xml:space="preserve"> and the thesis expands this to take into account three forms of conditionality</w:t>
      </w:r>
      <w:r w:rsidR="00FA565B">
        <w:rPr>
          <w:rFonts w:ascii="Times New Roman" w:hAnsi="Times New Roman" w:cs="Times New Roman"/>
          <w:bCs/>
        </w:rPr>
        <w:t xml:space="preserve">: </w:t>
      </w:r>
      <w:r w:rsidR="008274FB">
        <w:rPr>
          <w:rFonts w:ascii="Times New Roman" w:hAnsi="Times New Roman" w:cs="Times New Roman"/>
          <w:bCs/>
        </w:rPr>
        <w:t xml:space="preserve">1) </w:t>
      </w:r>
      <w:r w:rsidR="008274FB" w:rsidRPr="008274FB">
        <w:rPr>
          <w:rFonts w:ascii="Times New Roman" w:hAnsi="Times New Roman" w:cs="Times New Roman"/>
          <w:bCs/>
          <w:i/>
          <w:iCs/>
        </w:rPr>
        <w:t>temporal conditionality</w:t>
      </w:r>
      <w:r w:rsidR="008274FB">
        <w:rPr>
          <w:rFonts w:ascii="Times New Roman" w:hAnsi="Times New Roman" w:cs="Times New Roman"/>
          <w:bCs/>
        </w:rPr>
        <w:t xml:space="preserve"> - </w:t>
      </w:r>
      <w:r w:rsidR="00FA565B">
        <w:rPr>
          <w:rFonts w:ascii="Times New Roman" w:hAnsi="Times New Roman" w:cs="Times New Roman"/>
          <w:bCs/>
        </w:rPr>
        <w:t>a militant group may de-legitimise violence occurring today but legitimise the past use of violence</w:t>
      </w:r>
      <w:r w:rsidR="00FA78DB">
        <w:rPr>
          <w:rFonts w:ascii="Times New Roman" w:hAnsi="Times New Roman" w:cs="Times New Roman"/>
          <w:bCs/>
        </w:rPr>
        <w:t xml:space="preserve"> by the same movement</w:t>
      </w:r>
      <w:r w:rsidR="00FA565B">
        <w:rPr>
          <w:rFonts w:ascii="Times New Roman" w:hAnsi="Times New Roman" w:cs="Times New Roman"/>
          <w:bCs/>
        </w:rPr>
        <w:t xml:space="preserve"> (as with the Provisional IRA); </w:t>
      </w:r>
      <w:r w:rsidR="008274FB">
        <w:rPr>
          <w:rFonts w:ascii="Times New Roman" w:hAnsi="Times New Roman" w:cs="Times New Roman"/>
          <w:bCs/>
        </w:rPr>
        <w:t xml:space="preserve">2) </w:t>
      </w:r>
      <w:r w:rsidR="008274FB" w:rsidRPr="008274FB">
        <w:rPr>
          <w:rFonts w:ascii="Times New Roman" w:hAnsi="Times New Roman" w:cs="Times New Roman"/>
          <w:bCs/>
          <w:i/>
          <w:iCs/>
        </w:rPr>
        <w:t>spatial conditionality</w:t>
      </w:r>
      <w:r w:rsidR="008274FB">
        <w:rPr>
          <w:rFonts w:ascii="Times New Roman" w:hAnsi="Times New Roman" w:cs="Times New Roman"/>
          <w:bCs/>
        </w:rPr>
        <w:t xml:space="preserve"> - </w:t>
      </w:r>
      <w:r w:rsidR="00FA565B">
        <w:rPr>
          <w:rFonts w:ascii="Times New Roman" w:hAnsi="Times New Roman" w:cs="Times New Roman"/>
          <w:bCs/>
        </w:rPr>
        <w:t>a militant may de-legitimise violence in Saudi Arabia or the UK but legitimise it in Syria or Palestine</w:t>
      </w:r>
      <w:r w:rsidR="00D51325">
        <w:rPr>
          <w:rFonts w:ascii="Times New Roman" w:hAnsi="Times New Roman" w:cs="Times New Roman"/>
          <w:bCs/>
        </w:rPr>
        <w:t>;</w:t>
      </w:r>
      <w:r w:rsidR="00EB5B1F">
        <w:rPr>
          <w:rStyle w:val="FootnoteReference"/>
          <w:rFonts w:ascii="Times New Roman" w:hAnsi="Times New Roman" w:cs="Times New Roman"/>
          <w:bCs/>
        </w:rPr>
        <w:footnoteReference w:id="202"/>
      </w:r>
      <w:r w:rsidR="00FA565B">
        <w:rPr>
          <w:rFonts w:ascii="Times New Roman" w:hAnsi="Times New Roman" w:cs="Times New Roman"/>
          <w:bCs/>
        </w:rPr>
        <w:t xml:space="preserve"> </w:t>
      </w:r>
      <w:r w:rsidR="00A53BA7">
        <w:rPr>
          <w:rFonts w:ascii="Times New Roman" w:hAnsi="Times New Roman" w:cs="Times New Roman"/>
          <w:bCs/>
        </w:rPr>
        <w:t xml:space="preserve">3) </w:t>
      </w:r>
      <w:r w:rsidR="00A53BA7" w:rsidRPr="00A53BA7">
        <w:rPr>
          <w:rFonts w:ascii="Times New Roman" w:hAnsi="Times New Roman" w:cs="Times New Roman"/>
          <w:bCs/>
          <w:i/>
          <w:iCs/>
        </w:rPr>
        <w:t>intersectional conditionality</w:t>
      </w:r>
      <w:r w:rsidR="00A53BA7">
        <w:rPr>
          <w:rFonts w:ascii="Times New Roman" w:hAnsi="Times New Roman" w:cs="Times New Roman"/>
          <w:bCs/>
        </w:rPr>
        <w:t xml:space="preserve"> - </w:t>
      </w:r>
      <w:r w:rsidR="00EB5B1F">
        <w:rPr>
          <w:rFonts w:ascii="Times New Roman" w:hAnsi="Times New Roman" w:cs="Times New Roman"/>
          <w:bCs/>
        </w:rPr>
        <w:t>a shift in the type of movement’s violence being legitimised</w:t>
      </w:r>
      <w:r w:rsidR="00A53BA7">
        <w:rPr>
          <w:rFonts w:ascii="Times New Roman" w:hAnsi="Times New Roman" w:cs="Times New Roman"/>
          <w:bCs/>
        </w:rPr>
        <w:t xml:space="preserve"> (e.g. from Post-Colonial Wave to Leftist Wave)</w:t>
      </w:r>
      <w:r w:rsidR="00FA78DB">
        <w:rPr>
          <w:rFonts w:ascii="Times New Roman" w:hAnsi="Times New Roman" w:cs="Times New Roman"/>
          <w:bCs/>
        </w:rPr>
        <w:t>, the actor may still legitimise violence that is distant (e.g. glorifying historical battles)</w:t>
      </w:r>
      <w:r w:rsidR="00EB5B1F">
        <w:rPr>
          <w:rFonts w:ascii="Times New Roman" w:hAnsi="Times New Roman" w:cs="Times New Roman"/>
          <w:bCs/>
        </w:rPr>
        <w:t xml:space="preserve"> or the actor may shift to legitimising state violence</w:t>
      </w:r>
      <w:r w:rsidR="00A53BA7">
        <w:rPr>
          <w:rFonts w:ascii="Times New Roman" w:hAnsi="Times New Roman" w:cs="Times New Roman"/>
          <w:bCs/>
        </w:rPr>
        <w:t xml:space="preserve"> (e.g. from Irgun/Stern Gang to Israel)</w:t>
      </w:r>
      <w:r w:rsidR="00EB5B1F">
        <w:rPr>
          <w:rFonts w:ascii="Times New Roman" w:hAnsi="Times New Roman" w:cs="Times New Roman"/>
          <w:bCs/>
        </w:rPr>
        <w:t xml:space="preserve">. </w:t>
      </w:r>
      <w:r w:rsidR="008274FB">
        <w:rPr>
          <w:rFonts w:ascii="Times New Roman" w:hAnsi="Times New Roman" w:cs="Times New Roman"/>
          <w:bCs/>
        </w:rPr>
        <w:t>Rabasa et al reject conditionality as not being ‘genuine de-radicalisation’</w:t>
      </w:r>
      <w:r w:rsidR="008274FB">
        <w:rPr>
          <w:rStyle w:val="FootnoteReference"/>
          <w:rFonts w:ascii="Times New Roman" w:hAnsi="Times New Roman" w:cs="Times New Roman"/>
          <w:bCs/>
        </w:rPr>
        <w:footnoteReference w:id="203"/>
      </w:r>
      <w:r w:rsidR="008274FB">
        <w:rPr>
          <w:rFonts w:ascii="Times New Roman" w:hAnsi="Times New Roman" w:cs="Times New Roman"/>
          <w:bCs/>
        </w:rPr>
        <w:t xml:space="preserve"> and others, including policy-makers, dismiss it as being a part of disengagement (behavioural change)</w:t>
      </w:r>
      <w:r w:rsidR="00D51325">
        <w:rPr>
          <w:rFonts w:ascii="Times New Roman" w:hAnsi="Times New Roman" w:cs="Times New Roman"/>
          <w:bCs/>
        </w:rPr>
        <w:t>.</w:t>
      </w:r>
      <w:r w:rsidR="008274FB">
        <w:rPr>
          <w:rStyle w:val="FootnoteReference"/>
          <w:rFonts w:ascii="Times New Roman" w:hAnsi="Times New Roman" w:cs="Times New Roman"/>
          <w:bCs/>
        </w:rPr>
        <w:footnoteReference w:id="204"/>
      </w:r>
      <w:r w:rsidR="008274FB">
        <w:rPr>
          <w:rFonts w:ascii="Times New Roman" w:hAnsi="Times New Roman" w:cs="Times New Roman"/>
          <w:bCs/>
        </w:rPr>
        <w:t xml:space="preserve"> </w:t>
      </w:r>
      <w:r w:rsidR="00280028">
        <w:rPr>
          <w:rFonts w:ascii="Times New Roman" w:hAnsi="Times New Roman" w:cs="Times New Roman"/>
          <w:bCs/>
        </w:rPr>
        <w:t>However, t</w:t>
      </w:r>
      <w:r w:rsidR="00A53BA7">
        <w:rPr>
          <w:rFonts w:ascii="Times New Roman" w:hAnsi="Times New Roman" w:cs="Times New Roman"/>
          <w:bCs/>
        </w:rPr>
        <w:t>he thesis contends that by using frames analysis, a broader typology of attitudinal change can be accounted for which can help explain how terrorism ends and the risk of recidivism</w:t>
      </w:r>
      <w:r w:rsidR="00787C07">
        <w:rPr>
          <w:rFonts w:ascii="Times New Roman" w:hAnsi="Times New Roman" w:cs="Times New Roman"/>
          <w:bCs/>
        </w:rPr>
        <w:t xml:space="preserve"> is reduced</w:t>
      </w:r>
      <w:r w:rsidR="00A53BA7">
        <w:rPr>
          <w:rFonts w:ascii="Times New Roman" w:hAnsi="Times New Roman" w:cs="Times New Roman"/>
          <w:bCs/>
        </w:rPr>
        <w:t xml:space="preserve">. </w:t>
      </w:r>
    </w:p>
    <w:p w14:paraId="11474975" w14:textId="60AD9D02" w:rsidR="00640D1A" w:rsidRDefault="00165A13" w:rsidP="00280028">
      <w:pPr>
        <w:spacing w:line="360" w:lineRule="auto"/>
        <w:ind w:firstLine="720"/>
        <w:jc w:val="both"/>
        <w:rPr>
          <w:rFonts w:ascii="Times New Roman" w:hAnsi="Times New Roman" w:cs="Times New Roman"/>
          <w:bCs/>
        </w:rPr>
      </w:pPr>
      <w:r>
        <w:rPr>
          <w:rFonts w:ascii="Times New Roman" w:hAnsi="Times New Roman" w:cs="Times New Roman"/>
          <w:bCs/>
        </w:rPr>
        <w:lastRenderedPageBreak/>
        <w:t>While recognising there will be more categories and at times they will overlap, t</w:t>
      </w:r>
      <w:r w:rsidR="00FA78DB">
        <w:rPr>
          <w:rFonts w:ascii="Times New Roman" w:hAnsi="Times New Roman" w:cs="Times New Roman"/>
          <w:bCs/>
        </w:rPr>
        <w:t>hree broad categories are used to identify disengagement frame types: tactical disengagement (behavioural change with no de-legitimisation of violence); conditional de-radicalisation (delegitimises violence with temporal and/or spatial conditions</w:t>
      </w:r>
      <w:r>
        <w:rPr>
          <w:rFonts w:ascii="Times New Roman" w:hAnsi="Times New Roman" w:cs="Times New Roman"/>
          <w:bCs/>
        </w:rPr>
        <w:t>, or bases disengagement on conditions</w:t>
      </w:r>
      <w:r w:rsidR="00FA78DB">
        <w:rPr>
          <w:rFonts w:ascii="Times New Roman" w:hAnsi="Times New Roman" w:cs="Times New Roman"/>
          <w:bCs/>
        </w:rPr>
        <w:t>); unconditional de-radicalisation (</w:t>
      </w:r>
      <w:r>
        <w:rPr>
          <w:rFonts w:ascii="Times New Roman" w:hAnsi="Times New Roman" w:cs="Times New Roman"/>
          <w:bCs/>
        </w:rPr>
        <w:t xml:space="preserve">de-glamourises and/or </w:t>
      </w:r>
      <w:r w:rsidR="00FA78DB">
        <w:rPr>
          <w:rFonts w:ascii="Times New Roman" w:hAnsi="Times New Roman" w:cs="Times New Roman"/>
          <w:bCs/>
        </w:rPr>
        <w:t>de-legitimises all violence</w:t>
      </w:r>
      <w:r w:rsidR="00EC3735">
        <w:rPr>
          <w:rFonts w:ascii="Times New Roman" w:hAnsi="Times New Roman" w:cs="Times New Roman"/>
          <w:bCs/>
        </w:rPr>
        <w:t>, perhaps</w:t>
      </w:r>
      <w:r w:rsidR="00FA78DB">
        <w:rPr>
          <w:rFonts w:ascii="Times New Roman" w:hAnsi="Times New Roman" w:cs="Times New Roman"/>
          <w:bCs/>
        </w:rPr>
        <w:t xml:space="preserve"> with the exception of intersectional conditionality).</w:t>
      </w:r>
      <w:r w:rsidR="00787C07">
        <w:rPr>
          <w:rFonts w:ascii="Times New Roman" w:hAnsi="Times New Roman" w:cs="Times New Roman"/>
          <w:bCs/>
        </w:rPr>
        <w:t xml:space="preserve"> Crucially, the thesis argues that de-legitimisation of violence should be seen separately as the de-glamourisation of violence.</w:t>
      </w:r>
      <w:r>
        <w:rPr>
          <w:rFonts w:ascii="Times New Roman" w:hAnsi="Times New Roman" w:cs="Times New Roman"/>
          <w:bCs/>
        </w:rPr>
        <w:t xml:space="preserve"> Furthermore, depending on the nuance of the frame, each frame type can contain escalatory mechanisms which bridge one frame to another – therefore the adoption of a certain tactical disengagement frame can cause an actor’s frame to develop into unconditional de-radicalisation.</w:t>
      </w:r>
      <w:r w:rsidR="00FA78DB">
        <w:rPr>
          <w:rFonts w:ascii="Times New Roman" w:hAnsi="Times New Roman" w:cs="Times New Roman"/>
          <w:bCs/>
        </w:rPr>
        <w:t xml:space="preserve"> </w:t>
      </w:r>
      <w:r w:rsidR="00EC3735">
        <w:rPr>
          <w:rFonts w:ascii="Times New Roman" w:hAnsi="Times New Roman" w:cs="Times New Roman"/>
          <w:bCs/>
        </w:rPr>
        <w:t>These three typologies manifest in the Irish Republican movement and help explain the different outcomes of disengagement, thus challenging the literature’s assumptions on whether attitudinal change is necessary to reduce the risk of recidivism.</w:t>
      </w:r>
      <w:r w:rsidR="00370EB0">
        <w:rPr>
          <w:rFonts w:ascii="Times New Roman" w:hAnsi="Times New Roman" w:cs="Times New Roman"/>
          <w:bCs/>
        </w:rPr>
        <w:t xml:space="preserve"> Given how there is much contestation over what attitudes are shaped by tactical considerations and what attitudes constitute de-legitimisation, the thesis will now explore this issue in greater detail. This debate is crucial to the thesis as the majority of studies and policy-mak</w:t>
      </w:r>
      <w:r w:rsidR="00896D27">
        <w:rPr>
          <w:rFonts w:ascii="Times New Roman" w:hAnsi="Times New Roman" w:cs="Times New Roman"/>
          <w:bCs/>
        </w:rPr>
        <w:t>ers</w:t>
      </w:r>
      <w:r w:rsidR="00370EB0">
        <w:rPr>
          <w:rFonts w:ascii="Times New Roman" w:hAnsi="Times New Roman" w:cs="Times New Roman"/>
          <w:bCs/>
        </w:rPr>
        <w:t xml:space="preserve"> accept that the Provisional IRA’s disengagement only constituted the first type of frame (below).</w:t>
      </w:r>
      <w:r w:rsidR="00545B77">
        <w:rPr>
          <w:rFonts w:ascii="Times New Roman" w:hAnsi="Times New Roman" w:cs="Times New Roman"/>
          <w:bCs/>
        </w:rPr>
        <w:t xml:space="preserve"> </w:t>
      </w:r>
      <w:r w:rsidR="00EC3735">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3374"/>
        <w:gridCol w:w="5040"/>
      </w:tblGrid>
      <w:tr w:rsidR="00640D1A" w14:paraId="59DDA509" w14:textId="77777777" w:rsidTr="00280028">
        <w:tc>
          <w:tcPr>
            <w:tcW w:w="8414" w:type="dxa"/>
            <w:gridSpan w:val="2"/>
            <w:shd w:val="clear" w:color="auto" w:fill="A6A6A6" w:themeFill="background1" w:themeFillShade="A6"/>
          </w:tcPr>
          <w:p w14:paraId="1AA227CD" w14:textId="77777777" w:rsidR="00640D1A" w:rsidRPr="0021470D" w:rsidRDefault="00640D1A" w:rsidP="00B57C7F">
            <w:pPr>
              <w:spacing w:line="360" w:lineRule="auto"/>
              <w:jc w:val="center"/>
              <w:rPr>
                <w:rFonts w:ascii="Times New Roman" w:hAnsi="Times New Roman" w:cs="Times New Roman"/>
                <w:b/>
              </w:rPr>
            </w:pPr>
            <w:r w:rsidRPr="0021470D">
              <w:rPr>
                <w:rFonts w:ascii="Times New Roman" w:hAnsi="Times New Roman" w:cs="Times New Roman"/>
                <w:b/>
              </w:rPr>
              <w:t>Types of Disengagement Frames</w:t>
            </w:r>
          </w:p>
        </w:tc>
      </w:tr>
      <w:tr w:rsidR="00640D1A" w14:paraId="6FC2EC77" w14:textId="77777777" w:rsidTr="00280028">
        <w:trPr>
          <w:trHeight w:val="1119"/>
        </w:trPr>
        <w:tc>
          <w:tcPr>
            <w:tcW w:w="3374" w:type="dxa"/>
            <w:shd w:val="clear" w:color="auto" w:fill="EEECE1" w:themeFill="background2"/>
          </w:tcPr>
          <w:p w14:paraId="271121A3" w14:textId="77777777" w:rsidR="00640D1A" w:rsidRPr="0021470D" w:rsidRDefault="00640D1A" w:rsidP="00B57C7F">
            <w:pPr>
              <w:spacing w:line="360" w:lineRule="auto"/>
              <w:jc w:val="center"/>
              <w:rPr>
                <w:rFonts w:ascii="Times New Roman" w:hAnsi="Times New Roman" w:cs="Times New Roman"/>
                <w:b/>
              </w:rPr>
            </w:pPr>
            <w:r w:rsidRPr="0021470D">
              <w:rPr>
                <w:rFonts w:ascii="Times New Roman" w:hAnsi="Times New Roman" w:cs="Times New Roman"/>
                <w:b/>
              </w:rPr>
              <w:t>Tactical Disengagement</w:t>
            </w:r>
          </w:p>
        </w:tc>
        <w:tc>
          <w:tcPr>
            <w:tcW w:w="5040" w:type="dxa"/>
          </w:tcPr>
          <w:p w14:paraId="57443C1C" w14:textId="77777777" w:rsidR="00640D1A" w:rsidRDefault="00640D1A" w:rsidP="00B57C7F">
            <w:pPr>
              <w:spacing w:line="360" w:lineRule="auto"/>
              <w:jc w:val="both"/>
              <w:rPr>
                <w:rFonts w:ascii="Times New Roman" w:hAnsi="Times New Roman" w:cs="Times New Roman"/>
                <w:bCs/>
              </w:rPr>
            </w:pPr>
            <w:r>
              <w:rPr>
                <w:rFonts w:ascii="Times New Roman" w:hAnsi="Times New Roman" w:cs="Times New Roman"/>
                <w:bCs/>
              </w:rPr>
              <w:t>Violence is stopped because of tactical considerations – there is no de-legitimisation of violence</w:t>
            </w:r>
          </w:p>
        </w:tc>
      </w:tr>
      <w:tr w:rsidR="00640D1A" w14:paraId="709B32E2" w14:textId="77777777" w:rsidTr="00280028">
        <w:trPr>
          <w:trHeight w:val="1121"/>
        </w:trPr>
        <w:tc>
          <w:tcPr>
            <w:tcW w:w="3374" w:type="dxa"/>
            <w:shd w:val="clear" w:color="auto" w:fill="EEECE1" w:themeFill="background2"/>
          </w:tcPr>
          <w:p w14:paraId="23F67975" w14:textId="77777777" w:rsidR="00640D1A" w:rsidRPr="0021470D" w:rsidRDefault="00640D1A" w:rsidP="00B57C7F">
            <w:pPr>
              <w:spacing w:line="360" w:lineRule="auto"/>
              <w:jc w:val="center"/>
              <w:rPr>
                <w:rFonts w:ascii="Times New Roman" w:hAnsi="Times New Roman" w:cs="Times New Roman"/>
                <w:b/>
              </w:rPr>
            </w:pPr>
            <w:r w:rsidRPr="0021470D">
              <w:rPr>
                <w:rFonts w:ascii="Times New Roman" w:hAnsi="Times New Roman" w:cs="Times New Roman"/>
                <w:b/>
              </w:rPr>
              <w:t>Conditional De-Radicalisation</w:t>
            </w:r>
          </w:p>
        </w:tc>
        <w:tc>
          <w:tcPr>
            <w:tcW w:w="5040" w:type="dxa"/>
          </w:tcPr>
          <w:p w14:paraId="419E4A75" w14:textId="77777777" w:rsidR="00640D1A" w:rsidRDefault="00640D1A" w:rsidP="00B57C7F">
            <w:pPr>
              <w:spacing w:line="360" w:lineRule="auto"/>
              <w:jc w:val="both"/>
              <w:rPr>
                <w:rFonts w:ascii="Times New Roman" w:hAnsi="Times New Roman" w:cs="Times New Roman"/>
                <w:bCs/>
              </w:rPr>
            </w:pPr>
            <w:r>
              <w:rPr>
                <w:rFonts w:ascii="Times New Roman" w:hAnsi="Times New Roman" w:cs="Times New Roman"/>
                <w:bCs/>
              </w:rPr>
              <w:t xml:space="preserve">Violence by a movement will be de-legitimised because of the conditions in one time and place, but violence by the movement may still be legitimised in other conditions. </w:t>
            </w:r>
          </w:p>
        </w:tc>
      </w:tr>
      <w:tr w:rsidR="00640D1A" w14:paraId="4AB031F2" w14:textId="77777777" w:rsidTr="00280028">
        <w:trPr>
          <w:trHeight w:val="1123"/>
        </w:trPr>
        <w:tc>
          <w:tcPr>
            <w:tcW w:w="3374" w:type="dxa"/>
            <w:shd w:val="clear" w:color="auto" w:fill="EEECE1" w:themeFill="background2"/>
          </w:tcPr>
          <w:p w14:paraId="0CFBF3C7" w14:textId="77777777" w:rsidR="00640D1A" w:rsidRPr="0021470D" w:rsidRDefault="00640D1A" w:rsidP="00B57C7F">
            <w:pPr>
              <w:spacing w:line="360" w:lineRule="auto"/>
              <w:jc w:val="center"/>
              <w:rPr>
                <w:rFonts w:ascii="Times New Roman" w:hAnsi="Times New Roman" w:cs="Times New Roman"/>
                <w:b/>
              </w:rPr>
            </w:pPr>
            <w:r w:rsidRPr="0021470D">
              <w:rPr>
                <w:rFonts w:ascii="Times New Roman" w:hAnsi="Times New Roman" w:cs="Times New Roman"/>
                <w:b/>
              </w:rPr>
              <w:t>Unconditional De-Radicalisation</w:t>
            </w:r>
          </w:p>
        </w:tc>
        <w:tc>
          <w:tcPr>
            <w:tcW w:w="5040" w:type="dxa"/>
          </w:tcPr>
          <w:p w14:paraId="38C3CD85" w14:textId="77777777" w:rsidR="00640D1A" w:rsidRDefault="00640D1A" w:rsidP="00B57C7F">
            <w:pPr>
              <w:spacing w:line="360" w:lineRule="auto"/>
              <w:jc w:val="both"/>
              <w:rPr>
                <w:rFonts w:ascii="Times New Roman" w:hAnsi="Times New Roman" w:cs="Times New Roman"/>
                <w:bCs/>
              </w:rPr>
            </w:pPr>
            <w:r>
              <w:rPr>
                <w:rFonts w:ascii="Times New Roman" w:hAnsi="Times New Roman" w:cs="Times New Roman"/>
                <w:bCs/>
              </w:rPr>
              <w:t>Violence perpetrated by the movement is rejected and is de-legitimised</w:t>
            </w:r>
            <w:r w:rsidR="00856195">
              <w:rPr>
                <w:rFonts w:ascii="Times New Roman" w:hAnsi="Times New Roman" w:cs="Times New Roman"/>
                <w:bCs/>
              </w:rPr>
              <w:t>, or de-glamourised</w:t>
            </w:r>
            <w:r>
              <w:rPr>
                <w:rFonts w:ascii="Times New Roman" w:hAnsi="Times New Roman" w:cs="Times New Roman"/>
                <w:bCs/>
              </w:rPr>
              <w:t>. Some historical cases of violence may still be legitimised</w:t>
            </w:r>
            <w:r w:rsidR="00856195">
              <w:rPr>
                <w:rFonts w:ascii="Times New Roman" w:hAnsi="Times New Roman" w:cs="Times New Roman"/>
                <w:bCs/>
              </w:rPr>
              <w:t xml:space="preserve">, but this will function as </w:t>
            </w:r>
            <w:r w:rsidR="00856195">
              <w:rPr>
                <w:rFonts w:ascii="Times New Roman" w:hAnsi="Times New Roman" w:cs="Times New Roman"/>
                <w:bCs/>
              </w:rPr>
              <w:lastRenderedPageBreak/>
              <w:t>commemorations that justify disengagement</w:t>
            </w:r>
            <w:r w:rsidR="00A711EC">
              <w:rPr>
                <w:rFonts w:ascii="Times New Roman" w:hAnsi="Times New Roman" w:cs="Times New Roman"/>
                <w:bCs/>
              </w:rPr>
              <w:t>.</w:t>
            </w:r>
          </w:p>
        </w:tc>
      </w:tr>
    </w:tbl>
    <w:p w14:paraId="6478E774" w14:textId="77777777" w:rsidR="00B65BA0" w:rsidRDefault="00EC3735" w:rsidP="00B57C7F">
      <w:pPr>
        <w:spacing w:line="360" w:lineRule="auto"/>
        <w:jc w:val="both"/>
        <w:rPr>
          <w:rFonts w:ascii="Times New Roman" w:hAnsi="Times New Roman" w:cs="Times New Roman"/>
          <w:bCs/>
        </w:rPr>
      </w:pPr>
      <w:r>
        <w:rPr>
          <w:rFonts w:ascii="Times New Roman" w:hAnsi="Times New Roman" w:cs="Times New Roman"/>
          <w:bCs/>
        </w:rPr>
        <w:lastRenderedPageBreak/>
        <w:t xml:space="preserve"> </w:t>
      </w:r>
      <w:r w:rsidR="00FA78DB">
        <w:rPr>
          <w:rFonts w:ascii="Times New Roman" w:hAnsi="Times New Roman" w:cs="Times New Roman"/>
          <w:bCs/>
        </w:rPr>
        <w:t xml:space="preserve"> </w:t>
      </w:r>
    </w:p>
    <w:p w14:paraId="0D54457B" w14:textId="28A211A6" w:rsidR="007D255F" w:rsidRDefault="00370EB0" w:rsidP="00B57C7F">
      <w:pPr>
        <w:spacing w:line="360" w:lineRule="auto"/>
        <w:ind w:firstLine="720"/>
        <w:jc w:val="both"/>
        <w:rPr>
          <w:rFonts w:ascii="Times New Roman" w:hAnsi="Times New Roman" w:cs="Times New Roman"/>
          <w:bCs/>
        </w:rPr>
      </w:pPr>
      <w:r>
        <w:rPr>
          <w:rFonts w:ascii="Times New Roman" w:hAnsi="Times New Roman" w:cs="Times New Roman"/>
          <w:bCs/>
        </w:rPr>
        <w:t xml:space="preserve">Tactical disengagement consists of attitudes which oppose the use of violence because of its tactical efficacy. In this case, the capacity to use violence is diminished and, in relation to other tactics, violence is not effective or preferable for achieving certain goals. When disengagement is underpinned by these attitudes </w:t>
      </w:r>
      <w:r w:rsidR="00896D27">
        <w:rPr>
          <w:rFonts w:ascii="Times New Roman" w:hAnsi="Times New Roman" w:cs="Times New Roman"/>
          <w:bCs/>
        </w:rPr>
        <w:t>–</w:t>
      </w:r>
      <w:r>
        <w:rPr>
          <w:rFonts w:ascii="Times New Roman" w:hAnsi="Times New Roman" w:cs="Times New Roman"/>
          <w:bCs/>
        </w:rPr>
        <w:t xml:space="preserve"> </w:t>
      </w:r>
      <w:r w:rsidR="00896D27">
        <w:rPr>
          <w:rFonts w:ascii="Times New Roman" w:hAnsi="Times New Roman" w:cs="Times New Roman"/>
          <w:bCs/>
        </w:rPr>
        <w:t xml:space="preserve">as </w:t>
      </w:r>
      <w:r>
        <w:rPr>
          <w:rFonts w:ascii="Times New Roman" w:hAnsi="Times New Roman" w:cs="Times New Roman"/>
          <w:bCs/>
        </w:rPr>
        <w:t xml:space="preserve">the mainstream argument suggests – then there is a higher risk of a return to violence when the opportunity arises because the tactic is still perceived as legitimate but just not </w:t>
      </w:r>
      <w:r w:rsidR="004B0186">
        <w:rPr>
          <w:rFonts w:ascii="Times New Roman" w:hAnsi="Times New Roman" w:cs="Times New Roman"/>
          <w:bCs/>
        </w:rPr>
        <w:t>effective. In the fieldwork</w:t>
      </w:r>
      <w:r w:rsidR="007D255F">
        <w:rPr>
          <w:rFonts w:ascii="Times New Roman" w:hAnsi="Times New Roman" w:cs="Times New Roman"/>
          <w:bCs/>
        </w:rPr>
        <w:t xml:space="preserve"> conducted</w:t>
      </w:r>
      <w:r w:rsidR="0016282B">
        <w:rPr>
          <w:rFonts w:ascii="Times New Roman" w:hAnsi="Times New Roman" w:cs="Times New Roman"/>
          <w:bCs/>
        </w:rPr>
        <w:t xml:space="preserve"> (discussed below)</w:t>
      </w:r>
      <w:r w:rsidR="004B0186">
        <w:rPr>
          <w:rFonts w:ascii="Times New Roman" w:hAnsi="Times New Roman" w:cs="Times New Roman"/>
          <w:bCs/>
        </w:rPr>
        <w:t>, both a former Provisional IRA member and a 32CSM/Real IRA member used similar arguments on the tactical efficacy of violence in the current situation but quite clearly there are differences, and these differences are not because of institutional setting but because the opposition to violence is qualitatively different. The thesis argues that arguments against violence on the basis of tactical efficacy are not exclusive from the de-legitimisation of violence: tactical disengagement can become based on conditions, which then adds a de-legitimising aspect to the argument.</w:t>
      </w:r>
      <w:r w:rsidR="00165A13">
        <w:rPr>
          <w:rFonts w:ascii="Times New Roman" w:hAnsi="Times New Roman" w:cs="Times New Roman"/>
          <w:bCs/>
        </w:rPr>
        <w:t xml:space="preserve"> Depending on the conditions that underpin tactical disengagement, the door can be open</w:t>
      </w:r>
      <w:r w:rsidR="00896D27">
        <w:rPr>
          <w:rFonts w:ascii="Times New Roman" w:hAnsi="Times New Roman" w:cs="Times New Roman"/>
          <w:bCs/>
        </w:rPr>
        <w:t>ed</w:t>
      </w:r>
      <w:r w:rsidR="00165A13">
        <w:rPr>
          <w:rFonts w:ascii="Times New Roman" w:hAnsi="Times New Roman" w:cs="Times New Roman"/>
          <w:bCs/>
        </w:rPr>
        <w:t xml:space="preserve"> for a group to begin to de-legitimise violence. For example, the PLO’s ceasefire was conditional on the peace process, which when achieved, incentivised them to de-legitimise violence</w:t>
      </w:r>
      <w:r w:rsidR="00896D27">
        <w:rPr>
          <w:rFonts w:ascii="Times New Roman" w:hAnsi="Times New Roman" w:cs="Times New Roman"/>
          <w:bCs/>
        </w:rPr>
        <w:t xml:space="preserve"> as long as the peace process conditions were maintained</w:t>
      </w:r>
      <w:r w:rsidR="00165A13">
        <w:rPr>
          <w:rFonts w:ascii="Times New Roman" w:hAnsi="Times New Roman" w:cs="Times New Roman"/>
          <w:bCs/>
        </w:rPr>
        <w:t>.</w:t>
      </w:r>
      <w:r w:rsidR="004B0186">
        <w:rPr>
          <w:rFonts w:ascii="Times New Roman" w:hAnsi="Times New Roman" w:cs="Times New Roman"/>
          <w:bCs/>
        </w:rPr>
        <w:t xml:space="preserve"> Thus, the logic of </w:t>
      </w:r>
      <w:r w:rsidR="00896D27">
        <w:rPr>
          <w:rFonts w:ascii="Times New Roman" w:hAnsi="Times New Roman" w:cs="Times New Roman"/>
          <w:bCs/>
        </w:rPr>
        <w:t xml:space="preserve">tactical </w:t>
      </w:r>
      <w:r w:rsidR="004B0186">
        <w:rPr>
          <w:rFonts w:ascii="Times New Roman" w:hAnsi="Times New Roman" w:cs="Times New Roman"/>
          <w:bCs/>
        </w:rPr>
        <w:t xml:space="preserve">efficacy over time can lead to the logic of appropriateness, whereby actors make normative claims against the use of violence in conditions, but while also still critiquing its tactical efficacy. </w:t>
      </w:r>
    </w:p>
    <w:p w14:paraId="74FA2838" w14:textId="1F74A231" w:rsidR="00370EB0" w:rsidRDefault="006617ED" w:rsidP="00B57C7F">
      <w:pPr>
        <w:spacing w:line="360" w:lineRule="auto"/>
        <w:ind w:firstLine="720"/>
        <w:jc w:val="both"/>
        <w:rPr>
          <w:rFonts w:ascii="Times New Roman" w:hAnsi="Times New Roman" w:cs="Times New Roman"/>
          <w:bCs/>
        </w:rPr>
      </w:pPr>
      <w:r>
        <w:rPr>
          <w:rFonts w:ascii="Times New Roman" w:hAnsi="Times New Roman" w:cs="Times New Roman"/>
          <w:bCs/>
        </w:rPr>
        <w:t>This argument leads to a) what is legitimacy and b) why is de-legitimisation significant? Actors are ‘engaged in endless strategies of legitimation’ whereby they seek to set out what is appropriate conduct</w:t>
      </w:r>
      <w:r w:rsidR="00D51325">
        <w:rPr>
          <w:rFonts w:ascii="Times New Roman" w:hAnsi="Times New Roman" w:cs="Times New Roman"/>
          <w:bCs/>
        </w:rPr>
        <w:t>.</w:t>
      </w:r>
      <w:r>
        <w:rPr>
          <w:rStyle w:val="FootnoteReference"/>
          <w:rFonts w:ascii="Times New Roman" w:hAnsi="Times New Roman" w:cs="Times New Roman"/>
          <w:bCs/>
        </w:rPr>
        <w:footnoteReference w:id="205"/>
      </w:r>
      <w:r>
        <w:rPr>
          <w:rFonts w:ascii="Times New Roman" w:hAnsi="Times New Roman" w:cs="Times New Roman"/>
          <w:bCs/>
        </w:rPr>
        <w:t xml:space="preserve"> According to Clark, the practice of legitimacy draws upon the norms of legality, morality, and constitutionality</w:t>
      </w:r>
      <w:r w:rsidR="009D74F6">
        <w:rPr>
          <w:rFonts w:ascii="Times New Roman" w:hAnsi="Times New Roman" w:cs="Times New Roman"/>
          <w:bCs/>
        </w:rPr>
        <w:t xml:space="preserve"> (and spirituality could also be added to this)</w:t>
      </w:r>
      <w:r w:rsidR="00EC2070">
        <w:rPr>
          <w:rFonts w:ascii="Times New Roman" w:hAnsi="Times New Roman" w:cs="Times New Roman"/>
          <w:bCs/>
        </w:rPr>
        <w:t xml:space="preserve">. In analysing the arguments used by Provisional IRA members since the 1998 GFA, arguments against violence have </w:t>
      </w:r>
      <w:r w:rsidR="00EC2070">
        <w:rPr>
          <w:rFonts w:ascii="Times New Roman" w:hAnsi="Times New Roman" w:cs="Times New Roman"/>
          <w:bCs/>
        </w:rPr>
        <w:lastRenderedPageBreak/>
        <w:t xml:space="preserve">become based </w:t>
      </w:r>
      <w:r w:rsidR="00896D27">
        <w:rPr>
          <w:rFonts w:ascii="Times New Roman" w:hAnsi="Times New Roman" w:cs="Times New Roman"/>
          <w:bCs/>
        </w:rPr>
        <w:t xml:space="preserve">more </w:t>
      </w:r>
      <w:r w:rsidR="00EC2070">
        <w:rPr>
          <w:rFonts w:ascii="Times New Roman" w:hAnsi="Times New Roman" w:cs="Times New Roman"/>
          <w:bCs/>
        </w:rPr>
        <w:t xml:space="preserve">on </w:t>
      </w:r>
      <w:r w:rsidR="00247389">
        <w:rPr>
          <w:rFonts w:ascii="Times New Roman" w:hAnsi="Times New Roman" w:cs="Times New Roman"/>
          <w:bCs/>
        </w:rPr>
        <w:t>legality, morality and constitutionality.</w:t>
      </w:r>
      <w:r w:rsidR="00EC2070">
        <w:rPr>
          <w:rFonts w:ascii="Times New Roman" w:hAnsi="Times New Roman" w:cs="Times New Roman"/>
          <w:bCs/>
        </w:rPr>
        <w:t xml:space="preserve"> </w:t>
      </w:r>
      <w:r w:rsidR="00247389">
        <w:rPr>
          <w:rFonts w:ascii="Times New Roman" w:hAnsi="Times New Roman" w:cs="Times New Roman"/>
          <w:bCs/>
        </w:rPr>
        <w:t xml:space="preserve">With regard to legality, </w:t>
      </w:r>
      <w:r w:rsidR="00EC2070">
        <w:rPr>
          <w:rFonts w:ascii="Times New Roman" w:hAnsi="Times New Roman" w:cs="Times New Roman"/>
          <w:bCs/>
        </w:rPr>
        <w:t>when one former Provisional IRA member discussed dissident Republican prisoners, she stated that she ‘would not legitimise criminality’</w:t>
      </w:r>
      <w:r w:rsidR="00D51325">
        <w:rPr>
          <w:rFonts w:ascii="Times New Roman" w:hAnsi="Times New Roman" w:cs="Times New Roman"/>
          <w:bCs/>
        </w:rPr>
        <w:t>.</w:t>
      </w:r>
      <w:r w:rsidR="00EC2070">
        <w:rPr>
          <w:rStyle w:val="FootnoteReference"/>
          <w:rFonts w:ascii="Times New Roman" w:hAnsi="Times New Roman" w:cs="Times New Roman"/>
          <w:bCs/>
        </w:rPr>
        <w:footnoteReference w:id="206"/>
      </w:r>
      <w:r w:rsidR="00247389">
        <w:rPr>
          <w:rFonts w:ascii="Times New Roman" w:hAnsi="Times New Roman" w:cs="Times New Roman"/>
          <w:bCs/>
        </w:rPr>
        <w:t xml:space="preserve"> In terms of morality,</w:t>
      </w:r>
      <w:r w:rsidR="0018523A">
        <w:rPr>
          <w:rFonts w:ascii="Times New Roman" w:hAnsi="Times New Roman" w:cs="Times New Roman"/>
          <w:bCs/>
        </w:rPr>
        <w:t xml:space="preserve"> the same interviewee stated: ‘</w:t>
      </w:r>
      <w:r w:rsidR="0018523A" w:rsidRPr="0018523A">
        <w:rPr>
          <w:rFonts w:ascii="Times New Roman" w:hAnsi="Times New Roman" w:cs="Times New Roman"/>
        </w:rPr>
        <w:t>To me, the armed struggle, we fought it when it was the only option to defend ourselves and then to progress our struggle we did that, but if the conditions no longer existed, we were morally compelled to examine other possibilities</w:t>
      </w:r>
      <w:r w:rsidR="0018523A">
        <w:rPr>
          <w:rFonts w:ascii="Times New Roman" w:hAnsi="Times New Roman" w:cs="Times New Roman"/>
        </w:rPr>
        <w:t>’</w:t>
      </w:r>
      <w:r w:rsidR="00D51325">
        <w:rPr>
          <w:rFonts w:ascii="Times New Roman" w:hAnsi="Times New Roman" w:cs="Times New Roman"/>
        </w:rPr>
        <w:t>.</w:t>
      </w:r>
      <w:r w:rsidR="0018523A">
        <w:rPr>
          <w:rStyle w:val="FootnoteReference"/>
          <w:rFonts w:ascii="Times New Roman" w:hAnsi="Times New Roman" w:cs="Times New Roman"/>
        </w:rPr>
        <w:footnoteReference w:id="207"/>
      </w:r>
      <w:r w:rsidR="0018523A">
        <w:rPr>
          <w:rFonts w:ascii="Times New Roman" w:hAnsi="Times New Roman" w:cs="Times New Roman"/>
        </w:rPr>
        <w:t xml:space="preserve"> All four former Provisional IRA interviewees seek to de-legitimise dissident Republican violence </w:t>
      </w:r>
      <w:r w:rsidR="007944BE">
        <w:rPr>
          <w:rFonts w:ascii="Times New Roman" w:hAnsi="Times New Roman" w:cs="Times New Roman"/>
        </w:rPr>
        <w:t>based on the institutions of the peace process and the constitutional opportunities that these provide.</w:t>
      </w:r>
      <w:r w:rsidR="00247389" w:rsidRPr="0018523A">
        <w:rPr>
          <w:rFonts w:ascii="Times New Roman" w:hAnsi="Times New Roman" w:cs="Times New Roman"/>
          <w:bCs/>
        </w:rPr>
        <w:t xml:space="preserve"> </w:t>
      </w:r>
      <w:r w:rsidR="0018523A">
        <w:rPr>
          <w:rFonts w:ascii="Times New Roman" w:hAnsi="Times New Roman" w:cs="Times New Roman"/>
          <w:bCs/>
        </w:rPr>
        <w:t>A</w:t>
      </w:r>
      <w:r w:rsidR="00247389">
        <w:rPr>
          <w:rFonts w:ascii="Times New Roman" w:hAnsi="Times New Roman" w:cs="Times New Roman"/>
          <w:bCs/>
        </w:rPr>
        <w:t>rguments</w:t>
      </w:r>
      <w:r w:rsidR="0018523A">
        <w:rPr>
          <w:rFonts w:ascii="Times New Roman" w:hAnsi="Times New Roman" w:cs="Times New Roman"/>
          <w:bCs/>
        </w:rPr>
        <w:t xml:space="preserve"> against current violence underpinned by tactical efficacy</w:t>
      </w:r>
      <w:r w:rsidR="00247389">
        <w:rPr>
          <w:rFonts w:ascii="Times New Roman" w:hAnsi="Times New Roman" w:cs="Times New Roman"/>
          <w:bCs/>
        </w:rPr>
        <w:t xml:space="preserve"> </w:t>
      </w:r>
      <w:r w:rsidR="0018523A">
        <w:rPr>
          <w:rFonts w:ascii="Times New Roman" w:hAnsi="Times New Roman" w:cs="Times New Roman"/>
          <w:bCs/>
        </w:rPr>
        <w:t>are</w:t>
      </w:r>
      <w:r w:rsidR="00247389">
        <w:rPr>
          <w:rFonts w:ascii="Times New Roman" w:hAnsi="Times New Roman" w:cs="Times New Roman"/>
          <w:bCs/>
        </w:rPr>
        <w:t xml:space="preserve"> still certainly used, for example: [with regard to the deaths of the two soldiers in 2011], </w:t>
      </w:r>
      <w:r w:rsidR="00247389" w:rsidRPr="00247389">
        <w:rPr>
          <w:rFonts w:ascii="Times New Roman" w:hAnsi="Times New Roman" w:cs="Times New Roman"/>
          <w:bCs/>
        </w:rPr>
        <w:t>‘</w:t>
      </w:r>
      <w:r w:rsidR="00247389" w:rsidRPr="00247389">
        <w:rPr>
          <w:rFonts w:ascii="Times New Roman" w:hAnsi="Times New Roman" w:cs="Times New Roman"/>
        </w:rPr>
        <w:t xml:space="preserve">waste of a life, two soldiers, they are taking lives and getting them nowhere, is it making them relevant, it’s not. Why would you want to take someone’s life unless you firmly believe 100% that it is going to get you closer </w:t>
      </w:r>
      <w:r w:rsidR="00247389">
        <w:rPr>
          <w:rFonts w:ascii="Times New Roman" w:hAnsi="Times New Roman" w:cs="Times New Roman"/>
        </w:rPr>
        <w:t>to your goals, or making change?</w:t>
      </w:r>
      <w:r w:rsidR="00247389" w:rsidRPr="00247389">
        <w:rPr>
          <w:rFonts w:ascii="Times New Roman" w:hAnsi="Times New Roman" w:cs="Times New Roman"/>
        </w:rPr>
        <w:t xml:space="preserve"> These killings in isolation will never do it’</w:t>
      </w:r>
      <w:r w:rsidR="00D51325">
        <w:rPr>
          <w:rFonts w:ascii="Times New Roman" w:hAnsi="Times New Roman" w:cs="Times New Roman"/>
        </w:rPr>
        <w:t>.</w:t>
      </w:r>
      <w:r w:rsidR="00247389">
        <w:rPr>
          <w:rStyle w:val="FootnoteReference"/>
          <w:rFonts w:ascii="Times New Roman" w:hAnsi="Times New Roman" w:cs="Times New Roman"/>
        </w:rPr>
        <w:footnoteReference w:id="208"/>
      </w:r>
      <w:r w:rsidR="00247389">
        <w:rPr>
          <w:rFonts w:ascii="Times New Roman" w:hAnsi="Times New Roman" w:cs="Times New Roman"/>
          <w:bCs/>
        </w:rPr>
        <w:t xml:space="preserve"> However, these arguments are made in conjunction with de-legitimisation</w:t>
      </w:r>
      <w:r w:rsidR="00247389">
        <w:rPr>
          <w:rStyle w:val="FootnoteReference"/>
          <w:rFonts w:ascii="Times New Roman" w:hAnsi="Times New Roman" w:cs="Times New Roman"/>
          <w:bCs/>
        </w:rPr>
        <w:footnoteReference w:id="209"/>
      </w:r>
      <w:r w:rsidR="00247389">
        <w:rPr>
          <w:rFonts w:ascii="Times New Roman" w:hAnsi="Times New Roman" w:cs="Times New Roman"/>
          <w:bCs/>
        </w:rPr>
        <w:t>and the nested nature of de-radicalisation, whereby tactical disengagement can co-exist with conditional de-radicalisation, provides a plurality of arguments that can resonate with multiple audiences.</w:t>
      </w:r>
      <w:r w:rsidR="00EC2070">
        <w:rPr>
          <w:rFonts w:ascii="Times New Roman" w:hAnsi="Times New Roman" w:cs="Times New Roman"/>
          <w:bCs/>
        </w:rPr>
        <w:t xml:space="preserve">   </w:t>
      </w:r>
    </w:p>
    <w:p w14:paraId="3BE5D073" w14:textId="36583504" w:rsidR="00AE5B6A" w:rsidRDefault="00AE5B6A" w:rsidP="00B57C7F">
      <w:pPr>
        <w:spacing w:line="360" w:lineRule="auto"/>
        <w:ind w:firstLine="720"/>
        <w:jc w:val="both"/>
        <w:rPr>
          <w:rFonts w:ascii="Times New Roman" w:hAnsi="Times New Roman" w:cs="Times New Roman"/>
          <w:bCs/>
        </w:rPr>
      </w:pPr>
      <w:r>
        <w:rPr>
          <w:rFonts w:ascii="Times New Roman" w:hAnsi="Times New Roman" w:cs="Times New Roman"/>
          <w:bCs/>
        </w:rPr>
        <w:t xml:space="preserve">Frames that de-legitimise violence have a tangible outcome when they resonate with a target audience because it can challenge attitudes that lead to violent behaviour. As noted with regard to Fishbein and Ajzen’s theory, actors behave in a certain way when they perceive the behaviour to have a positive role in achieving an objective, that it is possible for the actor to ‘perform the behaviour’ (i.e. engage in violence), and </w:t>
      </w:r>
      <w:r w:rsidRPr="00AE5B6A">
        <w:rPr>
          <w:rFonts w:ascii="Times New Roman" w:hAnsi="Times New Roman" w:cs="Times New Roman"/>
          <w:bCs/>
          <w:i/>
          <w:iCs/>
        </w:rPr>
        <w:t>that it is normatively permissive</w:t>
      </w:r>
      <w:r>
        <w:rPr>
          <w:rFonts w:ascii="Times New Roman" w:hAnsi="Times New Roman" w:cs="Times New Roman"/>
          <w:bCs/>
        </w:rPr>
        <w:t>. Therefore</w:t>
      </w:r>
      <w:r w:rsidR="00F35939">
        <w:rPr>
          <w:rFonts w:ascii="Times New Roman" w:hAnsi="Times New Roman" w:cs="Times New Roman"/>
          <w:bCs/>
        </w:rPr>
        <w:t>, when Actor A</w:t>
      </w:r>
      <w:r w:rsidR="00851270">
        <w:rPr>
          <w:rFonts w:ascii="Times New Roman" w:hAnsi="Times New Roman" w:cs="Times New Roman"/>
          <w:bCs/>
        </w:rPr>
        <w:t xml:space="preserve"> is persuading Actor B to disengage by using the arguments in the frame (frame diffusion), and if the frame resonates with Actor B, then Actor A is setting out what </w:t>
      </w:r>
      <w:r w:rsidR="00851270">
        <w:rPr>
          <w:rFonts w:ascii="Times New Roman" w:hAnsi="Times New Roman" w:cs="Times New Roman"/>
          <w:bCs/>
        </w:rPr>
        <w:lastRenderedPageBreak/>
        <w:t xml:space="preserve">is normatively acceptable behaviour. Thus, disengagement frames which de-legitimise violence seek to challenge the ‘attitude-objects’ that correspond with behaviour, thus theoretically reducing the likelihood of that behaviour occurring. Furthermore, the process of de-glamourising violence – seeking to make a </w:t>
      </w:r>
      <w:r w:rsidR="003D1945">
        <w:rPr>
          <w:rFonts w:ascii="Times New Roman" w:hAnsi="Times New Roman" w:cs="Times New Roman"/>
          <w:bCs/>
        </w:rPr>
        <w:t xml:space="preserve">certain type of </w:t>
      </w:r>
      <w:r w:rsidR="00851270">
        <w:rPr>
          <w:rFonts w:ascii="Times New Roman" w:hAnsi="Times New Roman" w:cs="Times New Roman"/>
          <w:bCs/>
        </w:rPr>
        <w:t>behaviour seem unappealing – affects the attitudes that assume the behaviour in question is positive. To conclude, disengagement frames can have a tangible effect on behaviour, and each type of disengagement frame that has been identified af</w:t>
      </w:r>
      <w:r w:rsidR="003D1945">
        <w:rPr>
          <w:rFonts w:ascii="Times New Roman" w:hAnsi="Times New Roman" w:cs="Times New Roman"/>
          <w:bCs/>
        </w:rPr>
        <w:t>fects the attitudes that lead certain</w:t>
      </w:r>
      <w:r w:rsidR="00851270">
        <w:rPr>
          <w:rFonts w:ascii="Times New Roman" w:hAnsi="Times New Roman" w:cs="Times New Roman"/>
          <w:bCs/>
        </w:rPr>
        <w:t xml:space="preserve"> behaviour to occur. </w:t>
      </w:r>
      <w:r w:rsidR="00126C2B">
        <w:rPr>
          <w:rFonts w:ascii="Times New Roman" w:hAnsi="Times New Roman" w:cs="Times New Roman"/>
          <w:bCs/>
        </w:rPr>
        <w:t xml:space="preserve">This approach overcomes the inability to analyse attitude-change specifically as the main objective is to ascertain whether the frame has resonated, or even, that the frame exists and is being diffused, which will then reduce the risk of actors engaging in terrorism and political violence. While this makes the thesis contingent on Fishbein and Ajzen’s model of attitudes-behaviour being accurate, </w:t>
      </w:r>
      <w:r w:rsidR="00EC2070">
        <w:rPr>
          <w:rFonts w:ascii="Times New Roman" w:hAnsi="Times New Roman" w:cs="Times New Roman"/>
          <w:bCs/>
        </w:rPr>
        <w:t>this approach is a substantial improvement on the assumptions hitherto made with regard to de-radicalisation.</w:t>
      </w:r>
    </w:p>
    <w:p w14:paraId="7A7A9906" w14:textId="3F89A3C8" w:rsidR="009E3DF5" w:rsidRDefault="009E3DF5" w:rsidP="00B57C7F">
      <w:pPr>
        <w:spacing w:line="360" w:lineRule="auto"/>
        <w:ind w:firstLine="720"/>
        <w:jc w:val="both"/>
        <w:rPr>
          <w:rFonts w:ascii="Times New Roman" w:hAnsi="Times New Roman" w:cs="Times New Roman"/>
          <w:bCs/>
        </w:rPr>
      </w:pPr>
      <w:r>
        <w:rPr>
          <w:rFonts w:ascii="Times New Roman" w:hAnsi="Times New Roman" w:cs="Times New Roman"/>
          <w:bCs/>
        </w:rPr>
        <w:t>A benefit of this approach is instead of assuming that a change in ideology or a de-legitimisation of armed violence (both broad and narrow definitions of de-radicalisation) are indicative of a successful reduction in the risk of recidivism, it will take the successful resonance of the disengagement frame</w:t>
      </w:r>
      <w:r w:rsidR="00EC3735">
        <w:rPr>
          <w:rFonts w:ascii="Times New Roman" w:hAnsi="Times New Roman" w:cs="Times New Roman"/>
          <w:bCs/>
        </w:rPr>
        <w:t>, and which type of frame,</w:t>
      </w:r>
      <w:r>
        <w:rPr>
          <w:rFonts w:ascii="Times New Roman" w:hAnsi="Times New Roman" w:cs="Times New Roman"/>
          <w:bCs/>
        </w:rPr>
        <w:t xml:space="preserve"> as </w:t>
      </w:r>
      <w:r w:rsidR="00B65BA0">
        <w:rPr>
          <w:rFonts w:ascii="Times New Roman" w:hAnsi="Times New Roman" w:cs="Times New Roman"/>
          <w:bCs/>
        </w:rPr>
        <w:t>an indication</w:t>
      </w:r>
      <w:r w:rsidR="003D1945">
        <w:rPr>
          <w:rFonts w:ascii="Times New Roman" w:hAnsi="Times New Roman" w:cs="Times New Roman"/>
          <w:bCs/>
        </w:rPr>
        <w:t xml:space="preserve"> of this</w:t>
      </w:r>
      <w:r>
        <w:rPr>
          <w:rFonts w:ascii="Times New Roman" w:hAnsi="Times New Roman" w:cs="Times New Roman"/>
          <w:bCs/>
        </w:rPr>
        <w:t>.</w:t>
      </w:r>
      <w:r w:rsidR="00EC3735">
        <w:rPr>
          <w:rFonts w:ascii="Times New Roman" w:hAnsi="Times New Roman" w:cs="Times New Roman"/>
          <w:bCs/>
        </w:rPr>
        <w:t xml:space="preserve"> A reasonable assumption to make would be that frames that promote unconditional de-radicalisation may offer a greater reduction in the risk of </w:t>
      </w:r>
      <w:r w:rsidR="00233DC3">
        <w:rPr>
          <w:rFonts w:ascii="Times New Roman" w:hAnsi="Times New Roman" w:cs="Times New Roman"/>
          <w:bCs/>
        </w:rPr>
        <w:t>recidivism;</w:t>
      </w:r>
      <w:r w:rsidR="00EC3735">
        <w:rPr>
          <w:rFonts w:ascii="Times New Roman" w:hAnsi="Times New Roman" w:cs="Times New Roman"/>
          <w:bCs/>
        </w:rPr>
        <w:t xml:space="preserve"> </w:t>
      </w:r>
      <w:r w:rsidR="00233DC3">
        <w:rPr>
          <w:rFonts w:ascii="Times New Roman" w:hAnsi="Times New Roman" w:cs="Times New Roman"/>
          <w:bCs/>
        </w:rPr>
        <w:t>however, a frame that is built around conditional de-radicalisation may resonate more even if some violence is still legitimised.</w:t>
      </w:r>
      <w:r w:rsidR="00EC3735">
        <w:rPr>
          <w:rFonts w:ascii="Times New Roman" w:hAnsi="Times New Roman" w:cs="Times New Roman"/>
          <w:bCs/>
        </w:rPr>
        <w:t xml:space="preserve"> </w:t>
      </w:r>
      <w:r>
        <w:rPr>
          <w:rFonts w:ascii="Times New Roman" w:hAnsi="Times New Roman" w:cs="Times New Roman"/>
          <w:bCs/>
        </w:rPr>
        <w:t xml:space="preserve">This unique application of frames analysis will provide an in-depth explanation of how disengagement emerges within a group – compensating for the emphasis on external factors and providing a richer understanding of attitudinal change than offered by </w:t>
      </w:r>
      <w:r w:rsidR="00233DC3">
        <w:rPr>
          <w:rFonts w:ascii="Times New Roman" w:hAnsi="Times New Roman" w:cs="Times New Roman"/>
          <w:bCs/>
        </w:rPr>
        <w:t>the literature’s false dichotomy of disengagement or de-radicalisation</w:t>
      </w:r>
      <w:r>
        <w:rPr>
          <w:rFonts w:ascii="Times New Roman" w:hAnsi="Times New Roman" w:cs="Times New Roman"/>
          <w:bCs/>
        </w:rPr>
        <w:t>. It will also provide a means of assessing the extent to which it is likely that the group will slip back into violence. The thesis will apply</w:t>
      </w:r>
      <w:r w:rsidR="003D1945">
        <w:rPr>
          <w:rFonts w:ascii="Times New Roman" w:hAnsi="Times New Roman" w:cs="Times New Roman"/>
          <w:bCs/>
        </w:rPr>
        <w:t xml:space="preserve"> a</w:t>
      </w:r>
      <w:r>
        <w:rPr>
          <w:rFonts w:ascii="Times New Roman" w:hAnsi="Times New Roman" w:cs="Times New Roman"/>
          <w:bCs/>
        </w:rPr>
        <w:t xml:space="preserve"> frames analysis in Chapter Four to analyse how the leadership in the Provisional IRA constructed the disengagement frame and the manner in which this successfully resonated with most of the group. Chapter Five will analyse how the disengagement frame was diffused throughout the social movement and the impact this had. Chapter Six will analyse the extent the disengagement frame resonates with the younger generation. Crucially, just as the </w:t>
      </w:r>
      <w:r>
        <w:rPr>
          <w:rFonts w:ascii="Times New Roman" w:hAnsi="Times New Roman" w:cs="Times New Roman"/>
          <w:bCs/>
        </w:rPr>
        <w:lastRenderedPageBreak/>
        <w:t xml:space="preserve">development and successful resonance of the disengagement frame can motivate a militant group to leave violence behind, the actual implementation of disengagement can facilitate its diffusion. </w:t>
      </w:r>
    </w:p>
    <w:p w14:paraId="4C4D85CC" w14:textId="77777777" w:rsidR="009E3DF5" w:rsidRDefault="009E3DF5" w:rsidP="00B57C7F">
      <w:pPr>
        <w:spacing w:line="360" w:lineRule="auto"/>
        <w:jc w:val="both"/>
        <w:rPr>
          <w:rFonts w:ascii="Times New Roman" w:hAnsi="Times New Roman" w:cs="Times New Roman"/>
          <w:bCs/>
        </w:rPr>
      </w:pPr>
    </w:p>
    <w:p w14:paraId="5512BE72" w14:textId="77777777" w:rsidR="009E3DF5" w:rsidRPr="00366D90" w:rsidRDefault="009E3DF5" w:rsidP="00B57C7F">
      <w:pPr>
        <w:pStyle w:val="Heading3"/>
        <w:spacing w:before="120" w:line="360" w:lineRule="auto"/>
      </w:pPr>
      <w:bookmarkStart w:id="28" w:name="_Toc389208811"/>
      <w:r w:rsidRPr="00366D90">
        <w:t>Organisational Disengagement</w:t>
      </w:r>
      <w:r>
        <w:t xml:space="preserve"> and Networks</w:t>
      </w:r>
      <w:bookmarkEnd w:id="28"/>
    </w:p>
    <w:p w14:paraId="7C58E42D" w14:textId="77777777" w:rsidR="00584947" w:rsidRDefault="009E3DF5" w:rsidP="00B57C7F">
      <w:pPr>
        <w:spacing w:line="360" w:lineRule="auto"/>
        <w:jc w:val="both"/>
        <w:rPr>
          <w:rFonts w:ascii="Times New Roman" w:hAnsi="Times New Roman" w:cs="Times New Roman"/>
          <w:bCs/>
        </w:rPr>
      </w:pPr>
      <w:r>
        <w:rPr>
          <w:rFonts w:ascii="Times New Roman" w:hAnsi="Times New Roman" w:cs="Times New Roman"/>
          <w:bCs/>
        </w:rPr>
        <w:tab/>
        <w:t>The majority of studies that look at how terrorism ends and disengagement identify a mix of factors that are internal and external to the militant group that causes them to voluntarily or involuntarily end their campaign. As discussed in Chapter One, these factors include burnout and disillusionment of members, a loss or lack of support, military repression, de-capitation of senior figures in the militant group, intelligence and policing, and negotiations as part of a political settlement</w:t>
      </w:r>
      <w:r w:rsidR="00D51325">
        <w:rPr>
          <w:rFonts w:ascii="Times New Roman" w:hAnsi="Times New Roman" w:cs="Times New Roman"/>
          <w:bCs/>
        </w:rPr>
        <w:t>.</w:t>
      </w:r>
      <w:r>
        <w:rPr>
          <w:rStyle w:val="FootnoteReference"/>
          <w:rFonts w:ascii="Times New Roman" w:hAnsi="Times New Roman" w:cs="Times New Roman"/>
          <w:bCs/>
        </w:rPr>
        <w:footnoteReference w:id="210"/>
      </w:r>
      <w:r>
        <w:rPr>
          <w:rFonts w:ascii="Times New Roman" w:hAnsi="Times New Roman" w:cs="Times New Roman"/>
          <w:bCs/>
        </w:rPr>
        <w:t xml:space="preserve"> However, the thesis argues that these studies overlook the internal dynamics at play that make disengagement successful and they neglect how the process of disengagement manifests itself, by only identifying a number of routes without any explanation of how these are significant. As discussed with regard to disengagement frames, the process itself is constructed and there are many possible routes it can take which can have an effect on the risk of recidivism: a weak disengagement frame that does not resonate is more likely to lead to a slip-back into violence.</w:t>
      </w:r>
      <w:r w:rsidR="009D74F6">
        <w:rPr>
          <w:rFonts w:ascii="Times New Roman" w:hAnsi="Times New Roman" w:cs="Times New Roman"/>
          <w:bCs/>
        </w:rPr>
        <w:t xml:space="preserve"> </w:t>
      </w:r>
    </w:p>
    <w:p w14:paraId="4B21055D" w14:textId="7936873C" w:rsidR="009E3DF5" w:rsidRDefault="009D74F6" w:rsidP="00B57C7F">
      <w:pPr>
        <w:spacing w:line="360" w:lineRule="auto"/>
        <w:ind w:firstLine="720"/>
        <w:jc w:val="both"/>
        <w:rPr>
          <w:rFonts w:ascii="Times New Roman" w:hAnsi="Times New Roman" w:cs="Times New Roman"/>
          <w:bCs/>
        </w:rPr>
      </w:pPr>
      <w:r>
        <w:rPr>
          <w:rFonts w:ascii="Times New Roman" w:hAnsi="Times New Roman" w:cs="Times New Roman"/>
          <w:bCs/>
        </w:rPr>
        <w:t>In addition, group disengagement also manifests in social networks which actually contain similar attributes of an organisational structure (thereby including the same risk of recidivism), yet no study has analysed organisational disengagement from a network perspective (discussed below).</w:t>
      </w:r>
      <w:r w:rsidR="009E3DF5">
        <w:rPr>
          <w:rFonts w:ascii="Times New Roman" w:hAnsi="Times New Roman" w:cs="Times New Roman"/>
          <w:bCs/>
        </w:rPr>
        <w:t xml:space="preserve"> While the thesis takes the terrorism literature as its starting point, the</w:t>
      </w:r>
      <w:r w:rsidR="00DA7B03">
        <w:rPr>
          <w:rFonts w:ascii="Times New Roman" w:hAnsi="Times New Roman" w:cs="Times New Roman"/>
          <w:bCs/>
        </w:rPr>
        <w:t>re</w:t>
      </w:r>
      <w:r w:rsidR="009E3DF5">
        <w:rPr>
          <w:rFonts w:ascii="Times New Roman" w:hAnsi="Times New Roman" w:cs="Times New Roman"/>
          <w:bCs/>
        </w:rPr>
        <w:t xml:space="preserve"> are two areas of literature which have broadly not been incorporated into debates on how terrorism ends and disengagement</w:t>
      </w:r>
      <w:r w:rsidR="00D51325">
        <w:rPr>
          <w:rFonts w:ascii="Times New Roman" w:hAnsi="Times New Roman" w:cs="Times New Roman"/>
          <w:bCs/>
        </w:rPr>
        <w:t>.</w:t>
      </w:r>
      <w:r w:rsidR="009E3DF5">
        <w:rPr>
          <w:rFonts w:ascii="Times New Roman" w:hAnsi="Times New Roman" w:cs="Times New Roman"/>
          <w:bCs/>
        </w:rPr>
        <w:t xml:space="preserve"> T</w:t>
      </w:r>
      <w:r w:rsidR="00DA7B03">
        <w:rPr>
          <w:rFonts w:ascii="Times New Roman" w:hAnsi="Times New Roman" w:cs="Times New Roman"/>
          <w:bCs/>
        </w:rPr>
        <w:t>hus, t</w:t>
      </w:r>
      <w:r w:rsidR="009E3DF5">
        <w:rPr>
          <w:rFonts w:ascii="Times New Roman" w:hAnsi="Times New Roman" w:cs="Times New Roman"/>
          <w:bCs/>
        </w:rPr>
        <w:t>he thesis adopts insights from Ashour’s study on the de-radicalisation of Islamist groups</w:t>
      </w:r>
      <w:r w:rsidR="002619BE">
        <w:rPr>
          <w:rFonts w:ascii="Times New Roman" w:hAnsi="Times New Roman" w:cs="Times New Roman"/>
          <w:bCs/>
        </w:rPr>
        <w:t xml:space="preserve"> in Egypt and Algeria </w:t>
      </w:r>
      <w:r w:rsidR="006262F1">
        <w:rPr>
          <w:rFonts w:ascii="Times New Roman" w:hAnsi="Times New Roman" w:cs="Times New Roman"/>
          <w:bCs/>
        </w:rPr>
        <w:t xml:space="preserve">and </w:t>
      </w:r>
      <w:r w:rsidR="009E3DF5">
        <w:rPr>
          <w:rFonts w:ascii="Times New Roman" w:hAnsi="Times New Roman" w:cs="Times New Roman"/>
          <w:bCs/>
        </w:rPr>
        <w:t>research on disarmament, demobilisation and re-integration (DDR) to inform the framework which will underpin the thesis.</w:t>
      </w:r>
    </w:p>
    <w:p w14:paraId="4CD7947B" w14:textId="4A93650E" w:rsidR="009E3DF5" w:rsidRDefault="009E3DF5" w:rsidP="00B57C7F">
      <w:pPr>
        <w:spacing w:line="360" w:lineRule="auto"/>
        <w:jc w:val="both"/>
        <w:rPr>
          <w:rFonts w:ascii="Times New Roman" w:hAnsi="Times New Roman" w:cs="Times New Roman"/>
        </w:rPr>
      </w:pPr>
      <w:r>
        <w:rPr>
          <w:rFonts w:ascii="Times New Roman" w:hAnsi="Times New Roman" w:cs="Times New Roman"/>
          <w:bCs/>
        </w:rPr>
        <w:tab/>
        <w:t xml:space="preserve">Ashour identifies four factors that he argues are essential for successful disengagement (or de-radicalisation in his use of the term). Firstly, </w:t>
      </w:r>
      <w:r w:rsidRPr="002A2D65">
        <w:rPr>
          <w:rFonts w:ascii="Times New Roman" w:hAnsi="Times New Roman" w:cs="Times New Roman"/>
          <w:bCs/>
          <w:i/>
          <w:iCs/>
        </w:rPr>
        <w:t xml:space="preserve">state repression </w:t>
      </w:r>
      <w:r>
        <w:rPr>
          <w:rFonts w:ascii="Times New Roman" w:hAnsi="Times New Roman" w:cs="Times New Roman"/>
          <w:bCs/>
        </w:rPr>
        <w:t xml:space="preserve">can prompt members of a group to reconsider its strategy. Secondly, </w:t>
      </w:r>
      <w:r w:rsidRPr="00346ED2">
        <w:rPr>
          <w:rFonts w:ascii="Times New Roman" w:hAnsi="Times New Roman" w:cs="Times New Roman"/>
          <w:bCs/>
          <w:i/>
          <w:iCs/>
        </w:rPr>
        <w:t xml:space="preserve">charismatic </w:t>
      </w:r>
      <w:r w:rsidRPr="00346ED2">
        <w:rPr>
          <w:rFonts w:ascii="Times New Roman" w:hAnsi="Times New Roman" w:cs="Times New Roman"/>
          <w:bCs/>
          <w:i/>
          <w:iCs/>
        </w:rPr>
        <w:lastRenderedPageBreak/>
        <w:t>leadership</w:t>
      </w:r>
      <w:r>
        <w:rPr>
          <w:rFonts w:ascii="Times New Roman" w:hAnsi="Times New Roman" w:cs="Times New Roman"/>
          <w:bCs/>
        </w:rPr>
        <w:t xml:space="preserve"> is essential to convince members of the new strategy of disengagement, which they seek to do through dialogue and the use of their credibility as, in the case of Islamist groups, religious figures. Thirdly, </w:t>
      </w:r>
      <w:r w:rsidRPr="00346ED2">
        <w:rPr>
          <w:rFonts w:ascii="Times New Roman" w:hAnsi="Times New Roman" w:cs="Times New Roman"/>
          <w:bCs/>
          <w:i/>
          <w:iCs/>
        </w:rPr>
        <w:t>inducements</w:t>
      </w:r>
      <w:r>
        <w:rPr>
          <w:rFonts w:ascii="Times New Roman" w:hAnsi="Times New Roman" w:cs="Times New Roman"/>
          <w:bCs/>
        </w:rPr>
        <w:t xml:space="preserve"> will be provided, such as prisoner releases and inclusion in politics, which provide incentives for disengagement and strengthen the position of the leadership against hardliners. Fourthly, </w:t>
      </w:r>
      <w:r w:rsidRPr="00346ED2">
        <w:rPr>
          <w:rFonts w:ascii="Times New Roman" w:hAnsi="Times New Roman" w:cs="Times New Roman"/>
          <w:bCs/>
          <w:i/>
          <w:iCs/>
        </w:rPr>
        <w:t>social interaction</w:t>
      </w:r>
      <w:r>
        <w:rPr>
          <w:rFonts w:ascii="Times New Roman" w:hAnsi="Times New Roman" w:cs="Times New Roman"/>
          <w:bCs/>
        </w:rPr>
        <w:t xml:space="preserve"> can change the perspectives of the leadership and interaction with the ‘other’ can break down some of the motivations that facilitate the use of armed violence. </w:t>
      </w:r>
      <w:r>
        <w:rPr>
          <w:rFonts w:ascii="Times New Roman" w:hAnsi="Times New Roman" w:cs="Times New Roman"/>
        </w:rPr>
        <w:t xml:space="preserve">Furthermore, Ashour demonstrates how the disengagement of Islamist groups can have a </w:t>
      </w:r>
      <w:r w:rsidRPr="00346ED2">
        <w:rPr>
          <w:rFonts w:ascii="Times New Roman" w:hAnsi="Times New Roman" w:cs="Times New Roman"/>
          <w:i/>
          <w:iCs/>
        </w:rPr>
        <w:t>domino-effect</w:t>
      </w:r>
      <w:r>
        <w:rPr>
          <w:rFonts w:ascii="Times New Roman" w:hAnsi="Times New Roman" w:cs="Times New Roman"/>
        </w:rPr>
        <w:t xml:space="preserve"> on other groups within the social movement, inspiring others to disengage, although Ashour makes this point as an area for future research and </w:t>
      </w:r>
      <w:r w:rsidR="00546D3F">
        <w:rPr>
          <w:rFonts w:ascii="Times New Roman" w:hAnsi="Times New Roman" w:cs="Times New Roman"/>
        </w:rPr>
        <w:t>does not</w:t>
      </w:r>
      <w:r>
        <w:rPr>
          <w:rFonts w:ascii="Times New Roman" w:hAnsi="Times New Roman" w:cs="Times New Roman"/>
        </w:rPr>
        <w:t xml:space="preserve"> explain its dynamics in depth</w:t>
      </w:r>
      <w:r w:rsidR="00D51325">
        <w:rPr>
          <w:rFonts w:ascii="Times New Roman" w:hAnsi="Times New Roman" w:cs="Times New Roman"/>
        </w:rPr>
        <w:t>.</w:t>
      </w:r>
      <w:r>
        <w:rPr>
          <w:rStyle w:val="FootnoteReference"/>
          <w:rFonts w:ascii="Times New Roman" w:hAnsi="Times New Roman" w:cs="Times New Roman"/>
        </w:rPr>
        <w:footnoteReference w:id="211"/>
      </w:r>
      <w:r>
        <w:rPr>
          <w:rFonts w:ascii="Times New Roman" w:hAnsi="Times New Roman" w:cs="Times New Roman"/>
        </w:rPr>
        <w:t xml:space="preserve"> The use of frames analysis improves upon the imprecise nature of charismatic leadership as a factor, and social interaction should be more explicitly divided into interaction within and outside the movement,</w:t>
      </w:r>
      <w:r w:rsidR="00546D3F">
        <w:rPr>
          <w:rFonts w:ascii="Times New Roman" w:hAnsi="Times New Roman" w:cs="Times New Roman"/>
        </w:rPr>
        <w:t xml:space="preserve"> and inducements are understood as conditions.</w:t>
      </w:r>
      <w:r>
        <w:rPr>
          <w:rFonts w:ascii="Times New Roman" w:hAnsi="Times New Roman" w:cs="Times New Roman"/>
        </w:rPr>
        <w:t xml:space="preserve"> </w:t>
      </w:r>
      <w:r w:rsidR="00546D3F">
        <w:rPr>
          <w:rFonts w:ascii="Times New Roman" w:hAnsi="Times New Roman" w:cs="Times New Roman"/>
        </w:rPr>
        <w:t>However,</w:t>
      </w:r>
      <w:r>
        <w:rPr>
          <w:rFonts w:ascii="Times New Roman" w:hAnsi="Times New Roman" w:cs="Times New Roman"/>
        </w:rPr>
        <w:t xml:space="preserve"> broadly speaking, the thesis’ framework will incorporate Ashour’s approach into the social movement approach to explain the disengagement process. This approach will help explain at which periods in the disengagement process each of these factors matter and it will contribute to the limited knowledge of the domino-effect.</w:t>
      </w:r>
    </w:p>
    <w:p w14:paraId="05680868" w14:textId="13989E26" w:rsidR="009E3DF5" w:rsidRDefault="009E3DF5" w:rsidP="00B57C7F">
      <w:pPr>
        <w:spacing w:line="360" w:lineRule="auto"/>
        <w:jc w:val="both"/>
        <w:rPr>
          <w:rFonts w:ascii="Times New Roman" w:hAnsi="Times New Roman" w:cs="Times New Roman"/>
        </w:rPr>
      </w:pPr>
      <w:r>
        <w:rPr>
          <w:rFonts w:ascii="Times New Roman" w:hAnsi="Times New Roman" w:cs="Times New Roman"/>
        </w:rPr>
        <w:tab/>
        <w:t xml:space="preserve">In post-conflict situations, programmes of disarmament; de-mobilisation; and re-integration (DDR) have prompted an expansion of academic research. </w:t>
      </w:r>
      <w:r w:rsidR="007D255F">
        <w:rPr>
          <w:rFonts w:ascii="Times New Roman" w:hAnsi="Times New Roman" w:cs="Times New Roman"/>
        </w:rPr>
        <w:t>T</w:t>
      </w:r>
      <w:r>
        <w:rPr>
          <w:rFonts w:ascii="Times New Roman" w:hAnsi="Times New Roman" w:cs="Times New Roman"/>
        </w:rPr>
        <w:t xml:space="preserve">he thesis subordinates DDR to the broader process of </w:t>
      </w:r>
      <w:r w:rsidRPr="000A1AB7">
        <w:rPr>
          <w:rFonts w:ascii="Times New Roman" w:hAnsi="Times New Roman" w:cs="Times New Roman"/>
          <w:i/>
          <w:iCs/>
        </w:rPr>
        <w:t>organisational disengagement</w:t>
      </w:r>
      <w:r>
        <w:rPr>
          <w:rFonts w:ascii="Times New Roman" w:hAnsi="Times New Roman" w:cs="Times New Roman"/>
        </w:rPr>
        <w:t>. The thesis’ framework builds on Shirlow et al’s approach to DDR given its focus on the role of former prisoners in the Northern Ireland peace process and conflict transformation. DDR is ‘a process introduced following a conflict and directed primarily at ensuring the transition of combatants to civilian life’</w:t>
      </w:r>
      <w:r w:rsidR="00D51325">
        <w:rPr>
          <w:rFonts w:ascii="Times New Roman" w:hAnsi="Times New Roman" w:cs="Times New Roman"/>
        </w:rPr>
        <w:t>.</w:t>
      </w:r>
      <w:r>
        <w:rPr>
          <w:rStyle w:val="FootnoteReference"/>
          <w:rFonts w:ascii="Times New Roman" w:hAnsi="Times New Roman" w:cs="Times New Roman"/>
        </w:rPr>
        <w:footnoteReference w:id="212"/>
      </w:r>
      <w:r>
        <w:rPr>
          <w:rFonts w:ascii="Times New Roman" w:hAnsi="Times New Roman" w:cs="Times New Roman"/>
        </w:rPr>
        <w:t xml:space="preserve"> The aim of DDR programmes is to ensure ‘that peace is permanent and that previous fighters become peaceful assets for the communities to which they return’</w:t>
      </w:r>
      <w:r w:rsidR="00D51325">
        <w:rPr>
          <w:rFonts w:ascii="Times New Roman" w:hAnsi="Times New Roman" w:cs="Times New Roman"/>
        </w:rPr>
        <w:t>.</w:t>
      </w:r>
      <w:r>
        <w:rPr>
          <w:rStyle w:val="FootnoteReference"/>
          <w:rFonts w:ascii="Times New Roman" w:hAnsi="Times New Roman" w:cs="Times New Roman"/>
        </w:rPr>
        <w:footnoteReference w:id="213"/>
      </w:r>
      <w:r>
        <w:rPr>
          <w:rFonts w:ascii="Times New Roman" w:hAnsi="Times New Roman" w:cs="Times New Roman"/>
        </w:rPr>
        <w:t xml:space="preserve">  The success of DDR is </w:t>
      </w:r>
      <w:r>
        <w:rPr>
          <w:rFonts w:ascii="Times New Roman" w:hAnsi="Times New Roman" w:cs="Times New Roman"/>
        </w:rPr>
        <w:lastRenderedPageBreak/>
        <w:t>dependent on political will and planning</w:t>
      </w:r>
      <w:r w:rsidR="00D51325">
        <w:rPr>
          <w:rFonts w:ascii="Times New Roman" w:hAnsi="Times New Roman" w:cs="Times New Roman"/>
        </w:rPr>
        <w:t>,</w:t>
      </w:r>
      <w:r>
        <w:rPr>
          <w:rStyle w:val="FootnoteReference"/>
          <w:rFonts w:ascii="Times New Roman" w:hAnsi="Times New Roman" w:cs="Times New Roman"/>
        </w:rPr>
        <w:footnoteReference w:id="214"/>
      </w:r>
      <w:r>
        <w:rPr>
          <w:rFonts w:ascii="Times New Roman" w:hAnsi="Times New Roman" w:cs="Times New Roman"/>
        </w:rPr>
        <w:t xml:space="preserve"> and as Ozerdem argues, the integration of militants into new roles can help leaders sell a peace agreement to members because there are tangible benefits for them</w:t>
      </w:r>
      <w:r w:rsidR="00D51325">
        <w:rPr>
          <w:rFonts w:ascii="Times New Roman" w:hAnsi="Times New Roman" w:cs="Times New Roman"/>
        </w:rPr>
        <w:t>.</w:t>
      </w:r>
      <w:r>
        <w:rPr>
          <w:rStyle w:val="FootnoteReference"/>
          <w:rFonts w:ascii="Times New Roman" w:hAnsi="Times New Roman" w:cs="Times New Roman"/>
        </w:rPr>
        <w:footnoteReference w:id="215"/>
      </w:r>
      <w:r>
        <w:rPr>
          <w:rFonts w:ascii="Times New Roman" w:hAnsi="Times New Roman" w:cs="Times New Roman"/>
        </w:rPr>
        <w:t xml:space="preserve"> Former combatants can use weapons to reignite conflict, therefore disarmament can be seen as important to reducing the risk of recidivism, although this depends on the mechanisms for managing disarmament and at which point in the process it is demanded. Demobilisation also aims to have the same effect of reducing recidivism by dismantling the command structure of the militant group and re-integrating combatants into military, political, community and civilian roles. Linking DDR to social movement theory, DDR firstly requires that the disengagement frame to have successfully resonated to begin</w:t>
      </w:r>
      <w:r w:rsidR="007D255F">
        <w:rPr>
          <w:rFonts w:ascii="Times New Roman" w:hAnsi="Times New Roman" w:cs="Times New Roman"/>
        </w:rPr>
        <w:t xml:space="preserve"> with</w:t>
      </w:r>
      <w:r>
        <w:rPr>
          <w:rFonts w:ascii="Times New Roman" w:hAnsi="Times New Roman" w:cs="Times New Roman"/>
        </w:rPr>
        <w:t xml:space="preserve">, and that DDR itself provides inducements and the linkages to diffuse the disengagement frame further, reducing the risk of recidivism among former combatants and potentially having a domino-effect. </w:t>
      </w:r>
    </w:p>
    <w:p w14:paraId="03172978" w14:textId="1FD88A7F" w:rsidR="009E3DF5" w:rsidRDefault="009E3DF5" w:rsidP="00B57C7F">
      <w:pPr>
        <w:spacing w:line="360" w:lineRule="auto"/>
        <w:ind w:firstLine="720"/>
        <w:jc w:val="both"/>
        <w:rPr>
          <w:rFonts w:ascii="Times New Roman" w:hAnsi="Times New Roman" w:cs="Times New Roman"/>
        </w:rPr>
      </w:pPr>
      <w:r>
        <w:rPr>
          <w:rFonts w:ascii="Times New Roman" w:hAnsi="Times New Roman" w:cs="Times New Roman"/>
        </w:rPr>
        <w:t>Finally, organisational disengagement creates the linkages which the disengagement frame can diffuse through, and it is these linkages which necessitates the use of social movement theory as opposed to the group level analysis used in previous studies on disengagement. Social movements are a mixture of formal and informal social networks, and these social networks consist of linkages between actors.</w:t>
      </w:r>
      <w:r w:rsidR="009D74F6">
        <w:rPr>
          <w:rStyle w:val="FootnoteReference"/>
          <w:rFonts w:ascii="Times New Roman" w:hAnsi="Times New Roman" w:cs="Times New Roman"/>
        </w:rPr>
        <w:footnoteReference w:id="216"/>
      </w:r>
      <w:r>
        <w:rPr>
          <w:rFonts w:ascii="Times New Roman" w:hAnsi="Times New Roman" w:cs="Times New Roman"/>
        </w:rPr>
        <w:t xml:space="preserve"> </w:t>
      </w:r>
      <w:r w:rsidR="00546D3F">
        <w:rPr>
          <w:rFonts w:ascii="Times New Roman" w:hAnsi="Times New Roman" w:cs="Times New Roman"/>
        </w:rPr>
        <w:t>T</w:t>
      </w:r>
      <w:r>
        <w:rPr>
          <w:rFonts w:ascii="Times New Roman" w:hAnsi="Times New Roman" w:cs="Times New Roman"/>
        </w:rPr>
        <w:t>he development, utilisation and expansion of these networks act as a means to diffuse the disengagement frame and create attitudinal change within the social movement. Another benefit of analysing organisational disengagement through the perspective of social networks is it can look at how the process manifests after the militant group has officially disbanded</w:t>
      </w:r>
      <w:r w:rsidR="009D74F6">
        <w:rPr>
          <w:rFonts w:ascii="Times New Roman" w:hAnsi="Times New Roman" w:cs="Times New Roman"/>
        </w:rPr>
        <w:t xml:space="preserve"> but an informal command structure is exercised or a network of militants still exist</w:t>
      </w:r>
      <w:r>
        <w:rPr>
          <w:rFonts w:ascii="Times New Roman" w:hAnsi="Times New Roman" w:cs="Times New Roman"/>
        </w:rPr>
        <w:t>. The disengagement literature</w:t>
      </w:r>
      <w:r w:rsidR="00546D3F">
        <w:rPr>
          <w:rFonts w:ascii="Times New Roman" w:hAnsi="Times New Roman" w:cs="Times New Roman"/>
        </w:rPr>
        <w:t xml:space="preserve"> </w:t>
      </w:r>
      <w:r>
        <w:rPr>
          <w:rFonts w:ascii="Times New Roman" w:hAnsi="Times New Roman" w:cs="Times New Roman"/>
        </w:rPr>
        <w:t xml:space="preserve">overlooks what happens after militants are reintegrated, and the thesis contends this is the most crucial period for disengagement. By analysing organisational disengagement as networks, the thesis can link attitudinal change and organisational </w:t>
      </w:r>
      <w:r>
        <w:rPr>
          <w:rFonts w:ascii="Times New Roman" w:hAnsi="Times New Roman" w:cs="Times New Roman"/>
        </w:rPr>
        <w:lastRenderedPageBreak/>
        <w:t xml:space="preserve">disengagement with structures, which constitutes the final element in the thesis’ multi-level analytical framework. </w:t>
      </w:r>
    </w:p>
    <w:p w14:paraId="2A9E901A" w14:textId="77777777" w:rsidR="009E3DF5" w:rsidRDefault="009E3DF5" w:rsidP="00B57C7F">
      <w:pPr>
        <w:spacing w:line="360" w:lineRule="auto"/>
        <w:ind w:firstLine="720"/>
        <w:jc w:val="both"/>
        <w:rPr>
          <w:rFonts w:ascii="Times New Roman" w:hAnsi="Times New Roman" w:cs="Times New Roman"/>
          <w:bCs/>
        </w:rPr>
      </w:pPr>
    </w:p>
    <w:p w14:paraId="200AEF12" w14:textId="77777777" w:rsidR="009E3DF5" w:rsidRPr="001F0449" w:rsidRDefault="009E3DF5" w:rsidP="00B57C7F">
      <w:pPr>
        <w:pStyle w:val="Heading3"/>
        <w:spacing w:before="120" w:line="360" w:lineRule="auto"/>
      </w:pPr>
      <w:bookmarkStart w:id="29" w:name="_Toc389208812"/>
      <w:r w:rsidRPr="001F0449">
        <w:t>S</w:t>
      </w:r>
      <w:r>
        <w:t>tructural Change</w:t>
      </w:r>
      <w:r w:rsidRPr="001F0449">
        <w:t xml:space="preserve"> and </w:t>
      </w:r>
      <w:r w:rsidR="00522748">
        <w:t>the Next Generation</w:t>
      </w:r>
      <w:bookmarkEnd w:id="29"/>
    </w:p>
    <w:p w14:paraId="5E8243CE" w14:textId="1F9BEE73" w:rsidR="006065D9" w:rsidRDefault="009E3DF5" w:rsidP="00B57C7F">
      <w:pPr>
        <w:spacing w:line="360" w:lineRule="auto"/>
        <w:ind w:firstLine="720"/>
        <w:jc w:val="both"/>
        <w:rPr>
          <w:rFonts w:ascii="Times New Roman" w:hAnsi="Times New Roman" w:cs="Times New Roman"/>
        </w:rPr>
      </w:pPr>
      <w:r>
        <w:rPr>
          <w:rFonts w:ascii="Times New Roman" w:hAnsi="Times New Roman" w:cs="Times New Roman"/>
        </w:rPr>
        <w:t xml:space="preserve">As discussed in Chapter One, much of the disengagement versus de-radicalisation debate revolves around not only attitudinal change, or organisational processes of disengagement, but the interaction of both of these with structure. Many scholars commenting on disengagement, in effect, refer to the significance in a changing environment for the decline of terrorism campaigns. </w:t>
      </w:r>
      <w:r w:rsidR="00271158">
        <w:rPr>
          <w:rFonts w:ascii="Times New Roman" w:hAnsi="Times New Roman" w:cs="Times New Roman"/>
        </w:rPr>
        <w:t xml:space="preserve">For example, </w:t>
      </w:r>
      <w:r>
        <w:rPr>
          <w:rFonts w:ascii="Times New Roman" w:hAnsi="Times New Roman" w:cs="Times New Roman"/>
        </w:rPr>
        <w:t xml:space="preserve">Rapoport’s </w:t>
      </w:r>
      <w:r w:rsidR="00271158">
        <w:rPr>
          <w:rFonts w:ascii="Times New Roman" w:hAnsi="Times New Roman" w:cs="Times New Roman"/>
        </w:rPr>
        <w:t xml:space="preserve">theory of </w:t>
      </w:r>
      <w:r>
        <w:rPr>
          <w:rFonts w:ascii="Times New Roman" w:hAnsi="Times New Roman" w:cs="Times New Roman"/>
        </w:rPr>
        <w:t>waves of terrorism discusses how changes in the international system, states adapting to technological and social innovation, and a decline in the spirit of the times</w:t>
      </w:r>
      <w:r w:rsidR="00271158">
        <w:rPr>
          <w:rFonts w:ascii="Times New Roman" w:hAnsi="Times New Roman" w:cs="Times New Roman"/>
        </w:rPr>
        <w:t xml:space="preserve"> can lead to terrorism campaigns declining</w:t>
      </w:r>
      <w:r w:rsidR="00D51325">
        <w:rPr>
          <w:rFonts w:ascii="Times New Roman" w:hAnsi="Times New Roman" w:cs="Times New Roman"/>
        </w:rPr>
        <w:t>.</w:t>
      </w:r>
      <w:r>
        <w:rPr>
          <w:rStyle w:val="FootnoteReference"/>
          <w:rFonts w:ascii="Times New Roman" w:hAnsi="Times New Roman" w:cs="Times New Roman"/>
        </w:rPr>
        <w:footnoteReference w:id="217"/>
      </w:r>
      <w:r w:rsidR="006065D9">
        <w:rPr>
          <w:rFonts w:ascii="Times New Roman" w:hAnsi="Times New Roman" w:cs="Times New Roman"/>
        </w:rPr>
        <w:t xml:space="preserve"> It would emphasise resistance, political concessions and changing attitudes of the younger generation.</w:t>
      </w:r>
      <w:r>
        <w:rPr>
          <w:rFonts w:ascii="Times New Roman" w:hAnsi="Times New Roman" w:cs="Times New Roman"/>
        </w:rPr>
        <w:t xml:space="preserve"> </w:t>
      </w:r>
      <w:r w:rsidR="006065D9">
        <w:rPr>
          <w:rFonts w:ascii="Times New Roman" w:hAnsi="Times New Roman" w:cs="Times New Roman"/>
        </w:rPr>
        <w:t>Studies on counter-radicalisation look specifically at state policy but this can be expanded more broadly, and would include three elements: countering grievances; countering narratives; and countering mobilisation</w:t>
      </w:r>
      <w:r w:rsidR="00D51325">
        <w:rPr>
          <w:rFonts w:ascii="Times New Roman" w:hAnsi="Times New Roman" w:cs="Times New Roman"/>
        </w:rPr>
        <w:t>.</w:t>
      </w:r>
      <w:r w:rsidR="00F87206">
        <w:rPr>
          <w:rStyle w:val="FootnoteReference"/>
          <w:rFonts w:ascii="Times New Roman" w:hAnsi="Times New Roman" w:cs="Times New Roman"/>
        </w:rPr>
        <w:footnoteReference w:id="218"/>
      </w:r>
      <w:r w:rsidR="006065D9">
        <w:rPr>
          <w:rFonts w:ascii="Times New Roman" w:hAnsi="Times New Roman" w:cs="Times New Roman"/>
        </w:rPr>
        <w:t xml:space="preserve"> </w:t>
      </w:r>
      <w:r>
        <w:rPr>
          <w:rFonts w:ascii="Times New Roman" w:hAnsi="Times New Roman" w:cs="Times New Roman"/>
        </w:rPr>
        <w:t>In social movement theory, one approach argues that political opportunity structures can provide conditions which movements can exploit to mobilise resources or they can function to limit the scope for mobilisation</w:t>
      </w:r>
      <w:r w:rsidR="00D51325">
        <w:rPr>
          <w:rFonts w:ascii="Times New Roman" w:hAnsi="Times New Roman" w:cs="Times New Roman"/>
        </w:rPr>
        <w:t>,</w:t>
      </w:r>
      <w:r>
        <w:rPr>
          <w:rStyle w:val="FootnoteReference"/>
          <w:rFonts w:ascii="Times New Roman" w:hAnsi="Times New Roman" w:cs="Times New Roman"/>
        </w:rPr>
        <w:footnoteReference w:id="219"/>
      </w:r>
      <w:r w:rsidR="009B7C2E">
        <w:rPr>
          <w:rFonts w:ascii="Times New Roman" w:hAnsi="Times New Roman" w:cs="Times New Roman"/>
        </w:rPr>
        <w:t xml:space="preserve"> for example, by</w:t>
      </w:r>
      <w:r>
        <w:rPr>
          <w:rFonts w:ascii="Times New Roman" w:hAnsi="Times New Roman" w:cs="Times New Roman"/>
        </w:rPr>
        <w:t xml:space="preserve"> incorporating movements into the political system. </w:t>
      </w:r>
      <w:r w:rsidR="00F87206">
        <w:rPr>
          <w:rFonts w:ascii="Times New Roman" w:hAnsi="Times New Roman" w:cs="Times New Roman"/>
        </w:rPr>
        <w:t>Scholars note the significance of state surveillance to ensure former militants do not return to combat and the impact of different political systems on disengagement</w:t>
      </w:r>
      <w:r w:rsidR="00D51325">
        <w:rPr>
          <w:rFonts w:ascii="Times New Roman" w:hAnsi="Times New Roman" w:cs="Times New Roman"/>
        </w:rPr>
        <w:t>.</w:t>
      </w:r>
      <w:r w:rsidR="00F87206">
        <w:rPr>
          <w:rStyle w:val="FootnoteReference"/>
          <w:rFonts w:ascii="Times New Roman" w:hAnsi="Times New Roman" w:cs="Times New Roman"/>
        </w:rPr>
        <w:footnoteReference w:id="220"/>
      </w:r>
      <w:r w:rsidR="00F87206">
        <w:rPr>
          <w:rFonts w:ascii="Times New Roman" w:hAnsi="Times New Roman" w:cs="Times New Roman"/>
        </w:rPr>
        <w:t xml:space="preserve"> </w:t>
      </w:r>
      <w:r>
        <w:rPr>
          <w:rFonts w:ascii="Times New Roman" w:hAnsi="Times New Roman" w:cs="Times New Roman"/>
        </w:rPr>
        <w:t>One of the few structural approaches on disengagement and de-radicalisation in the Irish Republican movement looks at elections as a mechanism of de-radicalisation in the 1920-1930s, for example</w:t>
      </w:r>
      <w:r w:rsidR="00D51325">
        <w:rPr>
          <w:rFonts w:ascii="Times New Roman" w:hAnsi="Times New Roman" w:cs="Times New Roman"/>
        </w:rPr>
        <w:t>.</w:t>
      </w:r>
      <w:r>
        <w:rPr>
          <w:rStyle w:val="FootnoteReference"/>
          <w:rFonts w:ascii="Times New Roman" w:hAnsi="Times New Roman" w:cs="Times New Roman"/>
        </w:rPr>
        <w:footnoteReference w:id="221"/>
      </w:r>
      <w:r>
        <w:rPr>
          <w:rFonts w:ascii="Times New Roman" w:hAnsi="Times New Roman" w:cs="Times New Roman"/>
        </w:rPr>
        <w:t xml:space="preserve"> </w:t>
      </w:r>
    </w:p>
    <w:p w14:paraId="46700D81" w14:textId="42A7589D" w:rsidR="009E3DF5" w:rsidRDefault="00F87206" w:rsidP="00B57C7F">
      <w:pPr>
        <w:spacing w:line="360" w:lineRule="auto"/>
        <w:ind w:firstLine="720"/>
        <w:jc w:val="both"/>
        <w:rPr>
          <w:rFonts w:ascii="Times New Roman" w:hAnsi="Times New Roman" w:cs="Times New Roman"/>
          <w:bCs/>
        </w:rPr>
      </w:pPr>
      <w:r>
        <w:rPr>
          <w:rFonts w:ascii="Times New Roman" w:hAnsi="Times New Roman" w:cs="Times New Roman"/>
        </w:rPr>
        <w:lastRenderedPageBreak/>
        <w:t>The three approaches outlined above all touch upon similar themes, but given the overlap with the literature on counter-radicalisation, the thesis utilises its terminology. The thesis’ framework contests that the given political system, nested in international structures, can be a force for disengagement of violent social movements, large and small</w:t>
      </w:r>
      <w:r w:rsidR="00767ADD">
        <w:rPr>
          <w:rFonts w:ascii="Times New Roman" w:hAnsi="Times New Roman" w:cs="Times New Roman"/>
        </w:rPr>
        <w:t>, local and global</w:t>
      </w:r>
      <w:r>
        <w:rPr>
          <w:rFonts w:ascii="Times New Roman" w:hAnsi="Times New Roman" w:cs="Times New Roman"/>
        </w:rPr>
        <w:t>. The political system can counter the real and imagined grievances that have driven the conflict and motivate groups still engaging in terrorism and political violence.</w:t>
      </w:r>
      <w:r w:rsidR="00FA5C9B">
        <w:rPr>
          <w:rFonts w:ascii="Times New Roman" w:hAnsi="Times New Roman" w:cs="Times New Roman"/>
        </w:rPr>
        <w:t xml:space="preserve"> Furthermore, opportunities to mobilise resources (finance, weaponry, recruits, intelligence) and conduct attacks can be limited and eroded by the political system.</w:t>
      </w:r>
      <w:r w:rsidR="009D74F6">
        <w:rPr>
          <w:rStyle w:val="FootnoteReference"/>
          <w:rFonts w:ascii="Times New Roman" w:hAnsi="Times New Roman" w:cs="Times New Roman"/>
        </w:rPr>
        <w:footnoteReference w:id="222"/>
      </w:r>
      <w:r w:rsidR="00FA5C9B">
        <w:rPr>
          <w:rFonts w:ascii="Times New Roman" w:hAnsi="Times New Roman" w:cs="Times New Roman"/>
        </w:rPr>
        <w:t xml:space="preserve"> Finally, the disengagement frame is constructed in a competitive arena and therefore it, as well as state counter-narratives, has to undermine militant narratives and maintain an appeal over them.</w:t>
      </w:r>
      <w:r>
        <w:rPr>
          <w:rFonts w:ascii="Times New Roman" w:hAnsi="Times New Roman" w:cs="Times New Roman"/>
        </w:rPr>
        <w:t xml:space="preserve"> </w:t>
      </w:r>
      <w:r w:rsidR="009E3DF5">
        <w:rPr>
          <w:rFonts w:ascii="Times New Roman" w:hAnsi="Times New Roman" w:cs="Times New Roman"/>
        </w:rPr>
        <w:t xml:space="preserve">As a result of the contemporary disengagement process </w:t>
      </w:r>
      <w:r w:rsidR="00767ADD">
        <w:rPr>
          <w:rFonts w:ascii="Times New Roman" w:hAnsi="Times New Roman" w:cs="Times New Roman"/>
        </w:rPr>
        <w:t xml:space="preserve">in Northern Ireland </w:t>
      </w:r>
      <w:r w:rsidR="009E3DF5">
        <w:rPr>
          <w:rFonts w:ascii="Times New Roman" w:hAnsi="Times New Roman" w:cs="Times New Roman"/>
        </w:rPr>
        <w:t xml:space="preserve">from the 1990s onwards, a specific type of political system has emerged, a consociational system, and the thesis builds on research on this type of </w:t>
      </w:r>
      <w:r w:rsidR="00FA5C9B">
        <w:rPr>
          <w:rFonts w:ascii="Times New Roman" w:hAnsi="Times New Roman" w:cs="Times New Roman"/>
        </w:rPr>
        <w:t>political system to explain the extent it counters grievances, narratives and mobilisation.</w:t>
      </w:r>
    </w:p>
    <w:p w14:paraId="53C2D545" w14:textId="0FE17F99" w:rsidR="009E3DF5" w:rsidRDefault="009E3DF5" w:rsidP="00B57C7F">
      <w:pPr>
        <w:spacing w:line="360" w:lineRule="auto"/>
        <w:ind w:firstLine="720"/>
        <w:jc w:val="both"/>
        <w:rPr>
          <w:rFonts w:ascii="Times New Roman" w:hAnsi="Times New Roman" w:cs="Times New Roman"/>
        </w:rPr>
      </w:pPr>
      <w:r>
        <w:rPr>
          <w:rFonts w:ascii="Times New Roman" w:hAnsi="Times New Roman" w:cs="Times New Roman"/>
        </w:rPr>
        <w:t xml:space="preserve">The new political dispensation that emerged as part of the Good Friday Agreement was a consociational system, which enshrined political identities institutionally. </w:t>
      </w:r>
      <w:r w:rsidRPr="00DC0F97">
        <w:rPr>
          <w:rFonts w:ascii="Times New Roman" w:hAnsi="Times New Roman" w:cs="Times New Roman"/>
        </w:rPr>
        <w:t>Political parties</w:t>
      </w:r>
      <w:r>
        <w:rPr>
          <w:rFonts w:ascii="Times New Roman" w:hAnsi="Times New Roman" w:cs="Times New Roman"/>
        </w:rPr>
        <w:t>, including Sinn Fein,</w:t>
      </w:r>
      <w:r w:rsidRPr="00DC0F97">
        <w:rPr>
          <w:rFonts w:ascii="Times New Roman" w:hAnsi="Times New Roman" w:cs="Times New Roman"/>
        </w:rPr>
        <w:t xml:space="preserve"> were designated as ‘Unionist’, ‘Nationalist’ or ‘Other’, and</w:t>
      </w:r>
      <w:r>
        <w:rPr>
          <w:rFonts w:ascii="Times New Roman" w:hAnsi="Times New Roman" w:cs="Times New Roman"/>
        </w:rPr>
        <w:t xml:space="preserve"> it provided government power-sharing by proportional inclusion of parties,</w:t>
      </w:r>
      <w:r w:rsidRPr="00DC0F97">
        <w:rPr>
          <w:rFonts w:ascii="Times New Roman" w:hAnsi="Times New Roman" w:cs="Times New Roman"/>
        </w:rPr>
        <w:t xml:space="preserve"> thus ensuring </w:t>
      </w:r>
      <w:r>
        <w:rPr>
          <w:rFonts w:ascii="Times New Roman" w:hAnsi="Times New Roman" w:cs="Times New Roman"/>
        </w:rPr>
        <w:t>both identity groups had a stake in governance at Stormont</w:t>
      </w:r>
      <w:r w:rsidRPr="00DC0F97">
        <w:rPr>
          <w:rFonts w:ascii="Times New Roman" w:hAnsi="Times New Roman" w:cs="Times New Roman"/>
        </w:rPr>
        <w:t>.</w:t>
      </w:r>
      <w:r>
        <w:rPr>
          <w:rFonts w:ascii="Times New Roman" w:hAnsi="Times New Roman" w:cs="Times New Roman"/>
        </w:rPr>
        <w:t xml:space="preserve"> It also provided for a certain amount of cultural autonomy and, specifically, ‘group vetoes to assure Catholic and Protestant communities that important decisions will only be made with the broad consent of representatives of the relevant community’</w:t>
      </w:r>
      <w:r w:rsidR="00D51325">
        <w:rPr>
          <w:rFonts w:ascii="Times New Roman" w:hAnsi="Times New Roman" w:cs="Times New Roman"/>
        </w:rPr>
        <w:t>.</w:t>
      </w:r>
      <w:r>
        <w:rPr>
          <w:rStyle w:val="FootnoteReference"/>
          <w:rFonts w:ascii="Times New Roman" w:hAnsi="Times New Roman" w:cs="Times New Roman"/>
        </w:rPr>
        <w:footnoteReference w:id="223"/>
      </w:r>
      <w:r>
        <w:rPr>
          <w:rFonts w:ascii="Times New Roman" w:hAnsi="Times New Roman" w:cs="Times New Roman"/>
        </w:rPr>
        <w:t xml:space="preserve"> Critics argue that the consociational system encourages a zero-sum outlook, freezes and perpetuates the status quo, marginalises moderate voices and new identities, and that the political process can be held to ransom by one side</w:t>
      </w:r>
      <w:r w:rsidR="00D51325">
        <w:rPr>
          <w:rFonts w:ascii="Times New Roman" w:hAnsi="Times New Roman" w:cs="Times New Roman"/>
        </w:rPr>
        <w:t>.</w:t>
      </w:r>
      <w:r>
        <w:rPr>
          <w:rStyle w:val="FootnoteReference"/>
          <w:rFonts w:ascii="Times New Roman" w:hAnsi="Times New Roman" w:cs="Times New Roman"/>
        </w:rPr>
        <w:footnoteReference w:id="224"/>
      </w:r>
      <w:r>
        <w:rPr>
          <w:rFonts w:ascii="Times New Roman" w:hAnsi="Times New Roman" w:cs="Times New Roman"/>
        </w:rPr>
        <w:t xml:space="preserve"> Proponents of consociationalism, for example O’Leary and McGarry, retort </w:t>
      </w:r>
      <w:r>
        <w:rPr>
          <w:rFonts w:ascii="Times New Roman" w:hAnsi="Times New Roman" w:cs="Times New Roman"/>
        </w:rPr>
        <w:lastRenderedPageBreak/>
        <w:t>that consociationalism is a reflection of the divisions in society and is a pragmatic solution. There are three layers of the political opportunity structure – Stormont (including Westminster and Dublin); local government; and communities – and consociationalism has been institutionalised at each layer to a different degree. In Stormont it has been institutionalis</w:t>
      </w:r>
      <w:r w:rsidR="00767ADD">
        <w:rPr>
          <w:rFonts w:ascii="Times New Roman" w:hAnsi="Times New Roman" w:cs="Times New Roman"/>
        </w:rPr>
        <w:t>ed more, with more veto powers i</w:t>
      </w:r>
      <w:r>
        <w:rPr>
          <w:rFonts w:ascii="Times New Roman" w:hAnsi="Times New Roman" w:cs="Times New Roman"/>
        </w:rPr>
        <w:t>n the area of culture than local government, and at the community level there is no formal consociationalism but ethnic division is perpetuated by social practices, including physical barriers such as the ‘peace walls’</w:t>
      </w:r>
      <w:r w:rsidR="00767ADD">
        <w:rPr>
          <w:rFonts w:ascii="Times New Roman" w:hAnsi="Times New Roman" w:cs="Times New Roman"/>
        </w:rPr>
        <w:t xml:space="preserve"> between Republican and Loyalist communities</w:t>
      </w:r>
      <w:r>
        <w:rPr>
          <w:rFonts w:ascii="Times New Roman" w:hAnsi="Times New Roman" w:cs="Times New Roman"/>
        </w:rPr>
        <w:t>. Therefore, while one layer of politics may be stable, decisions at one level can have a serious impact at different layers where there is less protection for political identities, and political actors have varying influence and pressures in each layer</w:t>
      </w:r>
      <w:r w:rsidR="00D51325">
        <w:rPr>
          <w:rFonts w:ascii="Times New Roman" w:hAnsi="Times New Roman" w:cs="Times New Roman"/>
        </w:rPr>
        <w:t>.</w:t>
      </w:r>
      <w:r w:rsidR="00767ADD">
        <w:rPr>
          <w:rFonts w:ascii="Times New Roman" w:hAnsi="Times New Roman" w:cs="Times New Roman"/>
        </w:rPr>
        <w:t xml:space="preserve"> </w:t>
      </w:r>
      <w:r>
        <w:rPr>
          <w:rFonts w:ascii="Times New Roman" w:hAnsi="Times New Roman" w:cs="Times New Roman"/>
        </w:rPr>
        <w:t xml:space="preserve"> </w:t>
      </w:r>
    </w:p>
    <w:p w14:paraId="747C95E0" w14:textId="198A2FBA" w:rsidR="00522748" w:rsidRDefault="00767ADD" w:rsidP="00B57C7F">
      <w:pPr>
        <w:spacing w:line="360" w:lineRule="auto"/>
        <w:ind w:firstLine="720"/>
        <w:jc w:val="both"/>
        <w:rPr>
          <w:rFonts w:ascii="Times New Roman" w:hAnsi="Times New Roman" w:cs="Times New Roman"/>
        </w:rPr>
      </w:pPr>
      <w:r>
        <w:rPr>
          <w:rFonts w:ascii="Times New Roman" w:hAnsi="Times New Roman" w:cs="Times New Roman"/>
        </w:rPr>
        <w:t xml:space="preserve">A </w:t>
      </w:r>
      <w:r w:rsidR="009E3DF5">
        <w:rPr>
          <w:rFonts w:ascii="Times New Roman" w:hAnsi="Times New Roman" w:cs="Times New Roman"/>
        </w:rPr>
        <w:t>consociational analysis of the political system is applied to explain disengagement and recidivism-reduction in three ways: 1) the political system shapes and informs the grievances that lead to mobilisation</w:t>
      </w:r>
      <w:r w:rsidR="00FA5C9B">
        <w:rPr>
          <w:rFonts w:ascii="Times New Roman" w:hAnsi="Times New Roman" w:cs="Times New Roman"/>
        </w:rPr>
        <w:t xml:space="preserve"> (in the 1960s for the Provisional IRA)</w:t>
      </w:r>
      <w:r w:rsidR="009E3DF5">
        <w:rPr>
          <w:rFonts w:ascii="Times New Roman" w:hAnsi="Times New Roman" w:cs="Times New Roman"/>
        </w:rPr>
        <w:t>, therefore it informs how narrative fidelity will be</w:t>
      </w:r>
      <w:r w:rsidR="00FA5C9B">
        <w:rPr>
          <w:rFonts w:ascii="Times New Roman" w:hAnsi="Times New Roman" w:cs="Times New Roman"/>
        </w:rPr>
        <w:t xml:space="preserve"> later</w:t>
      </w:r>
      <w:r w:rsidR="009E3DF5">
        <w:rPr>
          <w:rFonts w:ascii="Times New Roman" w:hAnsi="Times New Roman" w:cs="Times New Roman"/>
        </w:rPr>
        <w:t xml:space="preserve"> maintained; 2) changes in the political system instigate disengagement frames and they become closely intertwined, making disengagement contingent</w:t>
      </w:r>
      <w:r>
        <w:rPr>
          <w:rFonts w:ascii="Times New Roman" w:hAnsi="Times New Roman" w:cs="Times New Roman"/>
        </w:rPr>
        <w:t xml:space="preserve"> (or conditional)</w:t>
      </w:r>
      <w:r w:rsidR="009E3DF5">
        <w:rPr>
          <w:rFonts w:ascii="Times New Roman" w:hAnsi="Times New Roman" w:cs="Times New Roman"/>
        </w:rPr>
        <w:t xml:space="preserve"> on the political system, therefore political systems function to reduce the risk of recidivism and the durability of the former informs the durability of the latter; 3) the political system shapes and informs the grievances for a new generation, thu</w:t>
      </w:r>
      <w:r>
        <w:rPr>
          <w:rFonts w:ascii="Times New Roman" w:hAnsi="Times New Roman" w:cs="Times New Roman"/>
        </w:rPr>
        <w:t>s enabling or</w:t>
      </w:r>
      <w:r w:rsidR="009E3DF5">
        <w:rPr>
          <w:rFonts w:ascii="Times New Roman" w:hAnsi="Times New Roman" w:cs="Times New Roman"/>
        </w:rPr>
        <w:t xml:space="preserve"> constraining the opportunities for militant groups to pass on the struggle</w:t>
      </w:r>
      <w:r w:rsidR="00AC5F9A">
        <w:rPr>
          <w:rFonts w:ascii="Times New Roman" w:hAnsi="Times New Roman" w:cs="Times New Roman"/>
        </w:rPr>
        <w:t>, mobilise resources</w:t>
      </w:r>
      <w:r w:rsidR="009E3DF5">
        <w:rPr>
          <w:rFonts w:ascii="Times New Roman" w:hAnsi="Times New Roman" w:cs="Times New Roman"/>
        </w:rPr>
        <w:t xml:space="preserve"> or </w:t>
      </w:r>
      <w:r w:rsidR="00AC5F9A">
        <w:rPr>
          <w:rFonts w:ascii="Times New Roman" w:hAnsi="Times New Roman" w:cs="Times New Roman"/>
        </w:rPr>
        <w:t xml:space="preserve">by </w:t>
      </w:r>
      <w:r w:rsidR="009E3DF5">
        <w:rPr>
          <w:rFonts w:ascii="Times New Roman" w:hAnsi="Times New Roman" w:cs="Times New Roman"/>
        </w:rPr>
        <w:t xml:space="preserve">removing the motivation for </w:t>
      </w:r>
      <w:r>
        <w:rPr>
          <w:rFonts w:ascii="Times New Roman" w:hAnsi="Times New Roman" w:cs="Times New Roman"/>
        </w:rPr>
        <w:t>young people</w:t>
      </w:r>
      <w:r w:rsidR="009E3DF5">
        <w:rPr>
          <w:rFonts w:ascii="Times New Roman" w:hAnsi="Times New Roman" w:cs="Times New Roman"/>
        </w:rPr>
        <w:t xml:space="preserve"> to begin the campaign anew. </w:t>
      </w:r>
    </w:p>
    <w:p w14:paraId="6A8E9C19" w14:textId="1AE760B2" w:rsidR="00522748" w:rsidRDefault="00522748" w:rsidP="00B57C7F">
      <w:pPr>
        <w:spacing w:line="360" w:lineRule="auto"/>
        <w:ind w:firstLine="720"/>
        <w:jc w:val="both"/>
        <w:rPr>
          <w:rFonts w:ascii="Times New Roman" w:hAnsi="Times New Roman" w:cs="Times New Roman"/>
        </w:rPr>
      </w:pPr>
      <w:r>
        <w:rPr>
          <w:rFonts w:ascii="Times New Roman" w:hAnsi="Times New Roman" w:cs="Times New Roman"/>
        </w:rPr>
        <w:t xml:space="preserve">A significant part of the study is the analysis of the interaction between the generation of disengaging militants and the younger generation: the next generation. </w:t>
      </w:r>
      <w:r w:rsidRPr="00616F5E">
        <w:rPr>
          <w:rFonts w:ascii="Times New Roman" w:hAnsi="Times New Roman" w:cs="Times New Roman"/>
        </w:rPr>
        <w:t>The thesis focuses on the younger generation for the reason that militant campaigns end when the next generation no longer support them.</w:t>
      </w:r>
      <w:r>
        <w:rPr>
          <w:rFonts w:ascii="Times New Roman" w:hAnsi="Times New Roman" w:cs="Times New Roman"/>
        </w:rPr>
        <w:t xml:space="preserve"> </w:t>
      </w:r>
      <w:r w:rsidRPr="00616F5E">
        <w:rPr>
          <w:rFonts w:ascii="Times New Roman" w:hAnsi="Times New Roman" w:cs="Times New Roman"/>
        </w:rPr>
        <w:t xml:space="preserve">Young people may no longer support the use of armed violence because social transformation has removed the drivers of violence for the previous generation; in such a scenario, a durable change of social structures would indicate a decreased likelihood of violence returning. Conversely, there may have been inadequate social transformation so that young people are supportive of using violence; in this scenario, a change in opportunities </w:t>
      </w:r>
      <w:r w:rsidRPr="00616F5E">
        <w:rPr>
          <w:rFonts w:ascii="Times New Roman" w:hAnsi="Times New Roman" w:cs="Times New Roman"/>
        </w:rPr>
        <w:lastRenderedPageBreak/>
        <w:t>may increase the likelihood of violence returning</w:t>
      </w:r>
      <w:r w:rsidR="00D51325">
        <w:rPr>
          <w:rFonts w:ascii="Times New Roman" w:hAnsi="Times New Roman" w:cs="Times New Roman"/>
        </w:rPr>
        <w:t>.</w:t>
      </w:r>
      <w:r>
        <w:rPr>
          <w:rStyle w:val="FootnoteReference"/>
          <w:rFonts w:ascii="Times New Roman" w:hAnsi="Times New Roman" w:cs="Times New Roman"/>
        </w:rPr>
        <w:footnoteReference w:id="225"/>
      </w:r>
      <w:r w:rsidRPr="00616F5E">
        <w:rPr>
          <w:rFonts w:ascii="Times New Roman" w:hAnsi="Times New Roman" w:cs="Times New Roman"/>
        </w:rPr>
        <w:t xml:space="preserve"> </w:t>
      </w:r>
      <w:r w:rsidR="00D37FE1">
        <w:rPr>
          <w:rFonts w:ascii="Times New Roman" w:hAnsi="Times New Roman" w:cs="Times New Roman"/>
        </w:rPr>
        <w:t xml:space="preserve">As stated in the previous chapter, the literature has been quiet on how the link between generations is broken and especially how this fits into debates on de-radicalisation. </w:t>
      </w:r>
      <w:r>
        <w:rPr>
          <w:rFonts w:ascii="Times New Roman" w:hAnsi="Times New Roman" w:cs="Times New Roman"/>
        </w:rPr>
        <w:t>The thesis argues that analysing the interaction between generations</w:t>
      </w:r>
      <w:r w:rsidR="00767ADD">
        <w:rPr>
          <w:rFonts w:ascii="Times New Roman" w:hAnsi="Times New Roman" w:cs="Times New Roman"/>
        </w:rPr>
        <w:t xml:space="preserve"> (potentially)</w:t>
      </w:r>
      <w:r>
        <w:rPr>
          <w:rFonts w:ascii="Times New Roman" w:hAnsi="Times New Roman" w:cs="Times New Roman"/>
        </w:rPr>
        <w:t xml:space="preserve"> involved in political violence can help to account for how generational transformation takes place, in the context of broader structural change which removes or contains the grievances that inspired the previous generation. The combination of attitudinal change among the next generation and durable structural change may decrease the likelihood of a return to violence. </w:t>
      </w:r>
      <w:r w:rsidR="00D37FE1">
        <w:rPr>
          <w:rFonts w:ascii="Times New Roman" w:hAnsi="Times New Roman" w:cs="Times New Roman"/>
        </w:rPr>
        <w:t>Thus, the thesis will analyse what frames the next generation are exposed to, the extent to which they interact with disengagement militants, and how this helps to frame their understanding of structural change. Just as the diffusion of a</w:t>
      </w:r>
      <w:r w:rsidR="00767ADD">
        <w:rPr>
          <w:rFonts w:ascii="Times New Roman" w:hAnsi="Times New Roman" w:cs="Times New Roman"/>
        </w:rPr>
        <w:t xml:space="preserve"> </w:t>
      </w:r>
      <w:r w:rsidR="00D37FE1">
        <w:rPr>
          <w:rFonts w:ascii="Times New Roman" w:hAnsi="Times New Roman" w:cs="Times New Roman"/>
        </w:rPr>
        <w:t xml:space="preserve">disengagement frame within a group can help it to successfully disengage, the thesis argues that the process of diffusion to the next generation is crucial if terrorism is to end by breaking the continuity between generations for the support of terrorism and political violence. </w:t>
      </w:r>
      <w:r>
        <w:rPr>
          <w:rFonts w:ascii="Times New Roman" w:hAnsi="Times New Roman" w:cs="Times New Roman"/>
        </w:rPr>
        <w:t xml:space="preserve"> </w:t>
      </w:r>
    </w:p>
    <w:p w14:paraId="7C07504F" w14:textId="77777777" w:rsidR="009E3DF5" w:rsidRDefault="00271158" w:rsidP="00B57C7F">
      <w:pPr>
        <w:spacing w:line="360" w:lineRule="auto"/>
        <w:ind w:firstLine="720"/>
        <w:jc w:val="both"/>
        <w:rPr>
          <w:rFonts w:ascii="Times New Roman" w:hAnsi="Times New Roman" w:cs="Times New Roman"/>
          <w:bCs/>
        </w:rPr>
      </w:pPr>
      <w:r>
        <w:rPr>
          <w:rFonts w:ascii="Times New Roman" w:hAnsi="Times New Roman" w:cs="Times New Roman"/>
        </w:rPr>
        <w:t>To conclude this section</w:t>
      </w:r>
      <w:r w:rsidR="009E3DF5">
        <w:rPr>
          <w:rFonts w:ascii="Times New Roman" w:hAnsi="Times New Roman" w:cs="Times New Roman"/>
        </w:rPr>
        <w:t>, Chapter Two has outlined the three factors which it deems are important for disengagement and recidivism reduction among armed social movements. However, each of these factors impinge on the disengagement process at different stages, therefore the framework will apply them in a five-stage framework.</w:t>
      </w:r>
      <w:r>
        <w:rPr>
          <w:rFonts w:ascii="Times New Roman" w:hAnsi="Times New Roman" w:cs="Times New Roman"/>
        </w:rPr>
        <w:t xml:space="preserve"> </w:t>
      </w:r>
      <w:r w:rsidR="009E3DF5">
        <w:rPr>
          <w:rFonts w:ascii="Times New Roman" w:hAnsi="Times New Roman" w:cs="Times New Roman"/>
          <w:bCs/>
        </w:rPr>
        <w:t xml:space="preserve">The disengagement process </w:t>
      </w:r>
      <w:r w:rsidR="00AF0300">
        <w:rPr>
          <w:rFonts w:ascii="Times New Roman" w:hAnsi="Times New Roman" w:cs="Times New Roman"/>
          <w:bCs/>
        </w:rPr>
        <w:t>manifests in five steps</w:t>
      </w:r>
      <w:r w:rsidR="009E3DF5">
        <w:rPr>
          <w:rFonts w:ascii="Times New Roman" w:hAnsi="Times New Roman" w:cs="Times New Roman"/>
          <w:bCs/>
        </w:rPr>
        <w:t>:</w:t>
      </w:r>
    </w:p>
    <w:p w14:paraId="3FA0CFC0" w14:textId="77777777" w:rsidR="009E3DF5" w:rsidRPr="00194EFA" w:rsidRDefault="009E3DF5" w:rsidP="00B57C7F">
      <w:pPr>
        <w:spacing w:line="360" w:lineRule="auto"/>
        <w:jc w:val="both"/>
        <w:rPr>
          <w:rFonts w:ascii="Times New Roman" w:hAnsi="Times New Roman" w:cs="Times New Roman"/>
          <w:bCs/>
        </w:rPr>
      </w:pPr>
    </w:p>
    <w:p w14:paraId="174EC5B4" w14:textId="77777777" w:rsidR="009E3DF5" w:rsidRDefault="009E3DF5" w:rsidP="00B57C7F">
      <w:pPr>
        <w:pStyle w:val="ListParagraph"/>
        <w:numPr>
          <w:ilvl w:val="0"/>
          <w:numId w:val="11"/>
        </w:numPr>
        <w:spacing w:line="360" w:lineRule="auto"/>
        <w:jc w:val="both"/>
        <w:rPr>
          <w:rFonts w:ascii="Times New Roman" w:hAnsi="Times New Roman" w:cs="Times New Roman"/>
          <w:bCs/>
        </w:rPr>
      </w:pPr>
      <w:r>
        <w:rPr>
          <w:rFonts w:ascii="Times New Roman" w:hAnsi="Times New Roman" w:cs="Times New Roman"/>
          <w:bCs/>
        </w:rPr>
        <w:t xml:space="preserve">Changes in the </w:t>
      </w:r>
      <w:r w:rsidR="00AF0300">
        <w:rPr>
          <w:rFonts w:ascii="Times New Roman" w:hAnsi="Times New Roman" w:cs="Times New Roman"/>
          <w:bCs/>
        </w:rPr>
        <w:t>political system – including repression and the emergence of political opportunities -</w:t>
      </w:r>
      <w:r>
        <w:rPr>
          <w:rFonts w:ascii="Times New Roman" w:hAnsi="Times New Roman" w:cs="Times New Roman"/>
          <w:bCs/>
        </w:rPr>
        <w:t xml:space="preserve"> prompt some members within a movement to consider a degree of disengagement to be favourable.</w:t>
      </w:r>
      <w:r w:rsidR="00AF0300">
        <w:rPr>
          <w:rFonts w:ascii="Times New Roman" w:hAnsi="Times New Roman" w:cs="Times New Roman"/>
          <w:bCs/>
        </w:rPr>
        <w:t xml:space="preserve"> These members are the political entrepreneurs who drive the disengagement frame and the process.</w:t>
      </w:r>
      <w:r>
        <w:rPr>
          <w:rFonts w:ascii="Times New Roman" w:hAnsi="Times New Roman" w:cs="Times New Roman"/>
          <w:bCs/>
        </w:rPr>
        <w:t xml:space="preserve"> </w:t>
      </w:r>
    </w:p>
    <w:p w14:paraId="440352C5" w14:textId="77777777" w:rsidR="009E3DF5" w:rsidRDefault="009E3DF5" w:rsidP="00B57C7F">
      <w:pPr>
        <w:pStyle w:val="ListParagraph"/>
        <w:numPr>
          <w:ilvl w:val="0"/>
          <w:numId w:val="11"/>
        </w:numPr>
        <w:spacing w:line="360" w:lineRule="auto"/>
        <w:jc w:val="both"/>
        <w:rPr>
          <w:rFonts w:ascii="Times New Roman" w:hAnsi="Times New Roman" w:cs="Times New Roman"/>
          <w:bCs/>
        </w:rPr>
      </w:pPr>
      <w:r>
        <w:rPr>
          <w:rFonts w:ascii="Times New Roman" w:hAnsi="Times New Roman" w:cs="Times New Roman"/>
          <w:bCs/>
        </w:rPr>
        <w:t xml:space="preserve">Gradually, a disengagement frame is constructed by a network within a militant group, </w:t>
      </w:r>
      <w:r w:rsidR="00AF0300">
        <w:rPr>
          <w:rFonts w:ascii="Times New Roman" w:hAnsi="Times New Roman" w:cs="Times New Roman"/>
          <w:bCs/>
        </w:rPr>
        <w:t>the political entrepreneurs</w:t>
      </w:r>
      <w:r>
        <w:rPr>
          <w:rFonts w:ascii="Times New Roman" w:hAnsi="Times New Roman" w:cs="Times New Roman"/>
          <w:bCs/>
        </w:rPr>
        <w:t>, and this frame is diffused throughout the group and the movement, prompting attitudinal change.</w:t>
      </w:r>
    </w:p>
    <w:p w14:paraId="4E8B3B3D" w14:textId="77777777" w:rsidR="009E3DF5" w:rsidRDefault="009E3DF5" w:rsidP="00B57C7F">
      <w:pPr>
        <w:pStyle w:val="ListParagraph"/>
        <w:numPr>
          <w:ilvl w:val="0"/>
          <w:numId w:val="11"/>
        </w:numPr>
        <w:spacing w:line="360" w:lineRule="auto"/>
        <w:jc w:val="both"/>
        <w:rPr>
          <w:rFonts w:ascii="Times New Roman" w:hAnsi="Times New Roman" w:cs="Times New Roman"/>
          <w:bCs/>
        </w:rPr>
      </w:pPr>
      <w:r>
        <w:rPr>
          <w:rFonts w:ascii="Times New Roman" w:hAnsi="Times New Roman" w:cs="Times New Roman"/>
          <w:bCs/>
        </w:rPr>
        <w:lastRenderedPageBreak/>
        <w:t>The successful resonance of the disengagement frame is important for reducing recidivism and facilitating organisational disengagement. The key factors for the successful resonance of the disengagement frame are: credibility; narrative fidelity; and linkages.</w:t>
      </w:r>
    </w:p>
    <w:p w14:paraId="4E6C6DAC" w14:textId="77777777" w:rsidR="009E3DF5" w:rsidRDefault="009E3DF5" w:rsidP="00B57C7F">
      <w:pPr>
        <w:pStyle w:val="ListParagraph"/>
        <w:numPr>
          <w:ilvl w:val="0"/>
          <w:numId w:val="11"/>
        </w:numPr>
        <w:spacing w:line="360" w:lineRule="auto"/>
        <w:jc w:val="both"/>
        <w:rPr>
          <w:rFonts w:ascii="Times New Roman" w:hAnsi="Times New Roman" w:cs="Times New Roman"/>
          <w:bCs/>
        </w:rPr>
      </w:pPr>
      <w:r>
        <w:rPr>
          <w:rFonts w:ascii="Times New Roman" w:hAnsi="Times New Roman" w:cs="Times New Roman"/>
          <w:bCs/>
        </w:rPr>
        <w:t>The diffusion of the disengagement frame intertwines with the actual process of disengagement, which provides inducements and new roles. These new roles provide credibility, they reduce the risk of recidivism, and they provide linkages for the disengagement frame to develop and be diffused throughout the social movement.</w:t>
      </w:r>
    </w:p>
    <w:p w14:paraId="30B84982" w14:textId="54437994" w:rsidR="009E3DF5" w:rsidRPr="00586F2B" w:rsidRDefault="009E3DF5" w:rsidP="00B57C7F">
      <w:pPr>
        <w:pStyle w:val="ListParagraph"/>
        <w:numPr>
          <w:ilvl w:val="0"/>
          <w:numId w:val="11"/>
        </w:numPr>
        <w:spacing w:line="360" w:lineRule="auto"/>
        <w:jc w:val="both"/>
        <w:rPr>
          <w:rFonts w:ascii="Times New Roman" w:hAnsi="Times New Roman" w:cs="Times New Roman"/>
          <w:bCs/>
        </w:rPr>
      </w:pPr>
      <w:r>
        <w:rPr>
          <w:rFonts w:ascii="Times New Roman" w:hAnsi="Times New Roman" w:cs="Times New Roman"/>
          <w:bCs/>
        </w:rPr>
        <w:t xml:space="preserve">Organisational disengagement, attitudinal change and a consequent change in the political system create new conditions for </w:t>
      </w:r>
      <w:r w:rsidR="002F146D">
        <w:rPr>
          <w:rFonts w:ascii="Times New Roman" w:hAnsi="Times New Roman" w:cs="Times New Roman"/>
          <w:bCs/>
        </w:rPr>
        <w:t>the social movement</w:t>
      </w:r>
      <w:r>
        <w:rPr>
          <w:rFonts w:ascii="Times New Roman" w:hAnsi="Times New Roman" w:cs="Times New Roman"/>
          <w:bCs/>
        </w:rPr>
        <w:t xml:space="preserve">: these new conditions shape the opportunities and constraints for armed violence to be used by militant groups and the likelihood of the next generation continuing the armed campaign. It is at this stage in the process where the domino-effect can take place. </w:t>
      </w:r>
    </w:p>
    <w:p w14:paraId="28E8DAE4" w14:textId="77777777" w:rsidR="009E3DF5" w:rsidRDefault="009E3DF5" w:rsidP="00B57C7F">
      <w:pPr>
        <w:spacing w:line="360" w:lineRule="auto"/>
        <w:jc w:val="both"/>
        <w:rPr>
          <w:rFonts w:ascii="Times New Roman" w:hAnsi="Times New Roman" w:cs="Times New Roman"/>
          <w:bCs/>
        </w:rPr>
      </w:pPr>
    </w:p>
    <w:p w14:paraId="08222E6E" w14:textId="3BD8459B" w:rsidR="009E3DF5" w:rsidRPr="00F21956" w:rsidRDefault="009E3DF5" w:rsidP="00B57C7F">
      <w:pPr>
        <w:spacing w:line="360" w:lineRule="auto"/>
        <w:ind w:firstLine="720"/>
        <w:jc w:val="both"/>
        <w:rPr>
          <w:rFonts w:ascii="Times New Roman" w:hAnsi="Times New Roman" w:cs="Times New Roman"/>
          <w:bCs/>
        </w:rPr>
      </w:pPr>
      <w:r>
        <w:rPr>
          <w:rFonts w:ascii="Times New Roman" w:hAnsi="Times New Roman" w:cs="Times New Roman"/>
          <w:bCs/>
        </w:rPr>
        <w:t>Thus, the analytical framework is seeking to explain ho</w:t>
      </w:r>
      <w:r w:rsidR="002F146D">
        <w:rPr>
          <w:rFonts w:ascii="Times New Roman" w:hAnsi="Times New Roman" w:cs="Times New Roman"/>
          <w:bCs/>
        </w:rPr>
        <w:t>w the Provisional IRA disengagement</w:t>
      </w:r>
      <w:r w:rsidR="00AF0300">
        <w:rPr>
          <w:rFonts w:ascii="Times New Roman" w:hAnsi="Times New Roman" w:cs="Times New Roman"/>
          <w:bCs/>
        </w:rPr>
        <w:t xml:space="preserve"> led to the end </w:t>
      </w:r>
      <w:r w:rsidR="00611B51">
        <w:rPr>
          <w:rFonts w:ascii="Times New Roman" w:hAnsi="Times New Roman" w:cs="Times New Roman"/>
          <w:bCs/>
        </w:rPr>
        <w:t>of a terrorism campaign with</w:t>
      </w:r>
      <w:r w:rsidR="002F146D">
        <w:rPr>
          <w:rFonts w:ascii="Times New Roman" w:hAnsi="Times New Roman" w:cs="Times New Roman"/>
          <w:bCs/>
        </w:rPr>
        <w:t>in the</w:t>
      </w:r>
      <w:r w:rsidR="00AF0300">
        <w:rPr>
          <w:rFonts w:ascii="Times New Roman" w:hAnsi="Times New Roman" w:cs="Times New Roman"/>
          <w:bCs/>
        </w:rPr>
        <w:t xml:space="preserve"> social movement, through changing the opportunities for other groups and by changing the attitudes of the next generation away from becoming involved in terrorism and political violence. </w:t>
      </w:r>
      <w:r w:rsidR="00621DBA">
        <w:rPr>
          <w:rFonts w:ascii="Times New Roman" w:hAnsi="Times New Roman" w:cs="Times New Roman"/>
          <w:bCs/>
        </w:rPr>
        <w:t>The analytical framework implicitly combines the three distinct processes – radicalisation, de-radicalisation and counter-radicalisation – as the decline of terrorism in a social movement requir</w:t>
      </w:r>
      <w:r w:rsidR="004E378E">
        <w:rPr>
          <w:rFonts w:ascii="Times New Roman" w:hAnsi="Times New Roman" w:cs="Times New Roman"/>
          <w:bCs/>
        </w:rPr>
        <w:t>es a consideration of all three.</w:t>
      </w:r>
      <w:r w:rsidR="00621DBA">
        <w:rPr>
          <w:rFonts w:ascii="Times New Roman" w:hAnsi="Times New Roman" w:cs="Times New Roman"/>
          <w:bCs/>
        </w:rPr>
        <w:t xml:space="preserve"> </w:t>
      </w:r>
      <w:r w:rsidR="004E378E">
        <w:rPr>
          <w:rFonts w:ascii="Times New Roman" w:hAnsi="Times New Roman" w:cs="Times New Roman"/>
          <w:bCs/>
        </w:rPr>
        <w:t>H</w:t>
      </w:r>
      <w:r w:rsidR="00621DBA">
        <w:rPr>
          <w:rFonts w:ascii="Times New Roman" w:hAnsi="Times New Roman" w:cs="Times New Roman"/>
          <w:bCs/>
        </w:rPr>
        <w:t>owever, the focus on the role of disengaged and de-radicalised militants anchors it closer to this field of the literature.</w:t>
      </w:r>
    </w:p>
    <w:p w14:paraId="225BDE05" w14:textId="77777777" w:rsidR="009E3DF5" w:rsidRDefault="009E3DF5" w:rsidP="00B57C7F">
      <w:pPr>
        <w:spacing w:line="360" w:lineRule="auto"/>
        <w:jc w:val="both"/>
        <w:rPr>
          <w:rFonts w:ascii="Times New Roman" w:hAnsi="Times New Roman" w:cs="Times New Roman"/>
          <w:b/>
        </w:rPr>
      </w:pPr>
    </w:p>
    <w:p w14:paraId="3961382A" w14:textId="77777777" w:rsidR="00EB32CC" w:rsidRDefault="00EB32CC" w:rsidP="00B57C7F">
      <w:pPr>
        <w:pStyle w:val="Heading3"/>
        <w:spacing w:before="120" w:line="360" w:lineRule="auto"/>
      </w:pPr>
      <w:bookmarkStart w:id="30" w:name="_Toc389208813"/>
      <w:r>
        <w:t>Methodology</w:t>
      </w:r>
      <w:bookmarkEnd w:id="30"/>
    </w:p>
    <w:p w14:paraId="61B46EA2" w14:textId="4020B727" w:rsidR="00EB32CC" w:rsidRDefault="002E1553" w:rsidP="00B57C7F">
      <w:pPr>
        <w:spacing w:line="360" w:lineRule="auto"/>
        <w:jc w:val="both"/>
        <w:rPr>
          <w:rFonts w:ascii="Times New Roman" w:hAnsi="Times New Roman" w:cs="Times New Roman"/>
        </w:rPr>
      </w:pPr>
      <w:r>
        <w:tab/>
      </w:r>
      <w:r>
        <w:rPr>
          <w:rFonts w:ascii="Times New Roman" w:hAnsi="Times New Roman" w:cs="Times New Roman"/>
        </w:rPr>
        <w:t>A significant criticism against terrorism studies is that the discipline is marked by limited fieldwork-driven research, which often means that the data used is second hand and with little depth or credibility</w:t>
      </w:r>
      <w:r w:rsidR="00D51325">
        <w:rPr>
          <w:rFonts w:ascii="Times New Roman" w:hAnsi="Times New Roman" w:cs="Times New Roman"/>
        </w:rPr>
        <w:t>.</w:t>
      </w:r>
      <w:r>
        <w:rPr>
          <w:rStyle w:val="FootnoteReference"/>
          <w:rFonts w:ascii="Times New Roman" w:hAnsi="Times New Roman" w:cs="Times New Roman"/>
        </w:rPr>
        <w:footnoteReference w:id="226"/>
      </w:r>
      <w:r>
        <w:rPr>
          <w:rFonts w:ascii="Times New Roman" w:hAnsi="Times New Roman" w:cs="Times New Roman"/>
        </w:rPr>
        <w:t xml:space="preserve"> The study of former combatants </w:t>
      </w:r>
      <w:r>
        <w:rPr>
          <w:rFonts w:ascii="Times New Roman" w:hAnsi="Times New Roman" w:cs="Times New Roman"/>
        </w:rPr>
        <w:lastRenderedPageBreak/>
        <w:t>offers an opportunity to engage in fieldwork to gather primary data as they are often more willing to speak</w:t>
      </w:r>
      <w:r w:rsidR="00D51325">
        <w:rPr>
          <w:rFonts w:ascii="Times New Roman" w:hAnsi="Times New Roman" w:cs="Times New Roman"/>
        </w:rPr>
        <w:t>,</w:t>
      </w:r>
      <w:r>
        <w:rPr>
          <w:rStyle w:val="FootnoteReference"/>
          <w:rFonts w:ascii="Times New Roman" w:hAnsi="Times New Roman" w:cs="Times New Roman"/>
        </w:rPr>
        <w:footnoteReference w:id="227"/>
      </w:r>
      <w:r>
        <w:rPr>
          <w:rFonts w:ascii="Times New Roman" w:hAnsi="Times New Roman" w:cs="Times New Roman"/>
        </w:rPr>
        <w:t xml:space="preserve"> and subsequently there have been a number of recent studies which have interviewed former combatants</w:t>
      </w:r>
      <w:r w:rsidR="00D51325">
        <w:rPr>
          <w:rFonts w:ascii="Times New Roman" w:hAnsi="Times New Roman" w:cs="Times New Roman"/>
        </w:rPr>
        <w:t>,</w:t>
      </w:r>
      <w:r>
        <w:rPr>
          <w:rStyle w:val="FootnoteReference"/>
          <w:rFonts w:ascii="Times New Roman" w:hAnsi="Times New Roman" w:cs="Times New Roman"/>
        </w:rPr>
        <w:footnoteReference w:id="228"/>
      </w:r>
      <w:r>
        <w:rPr>
          <w:rFonts w:ascii="Times New Roman" w:hAnsi="Times New Roman" w:cs="Times New Roman"/>
        </w:rPr>
        <w:t xml:space="preserve"> particularly former Provisional IRA members</w:t>
      </w:r>
      <w:r w:rsidR="00D51325">
        <w:rPr>
          <w:rFonts w:ascii="Times New Roman" w:hAnsi="Times New Roman" w:cs="Times New Roman"/>
        </w:rPr>
        <w:t>.</w:t>
      </w:r>
      <w:r>
        <w:rPr>
          <w:rStyle w:val="FootnoteReference"/>
          <w:rFonts w:ascii="Times New Roman" w:hAnsi="Times New Roman" w:cs="Times New Roman"/>
        </w:rPr>
        <w:footnoteReference w:id="229"/>
      </w:r>
      <w:r w:rsidR="002B3893">
        <w:rPr>
          <w:rFonts w:ascii="Times New Roman" w:hAnsi="Times New Roman" w:cs="Times New Roman"/>
        </w:rPr>
        <w:t xml:space="preserve"> However, as the thesis’ framework takes a social movement approach, as outlined above, the available data was insufficient to account for this</w:t>
      </w:r>
      <w:r w:rsidR="002A1C46">
        <w:rPr>
          <w:rFonts w:ascii="Times New Roman" w:hAnsi="Times New Roman" w:cs="Times New Roman"/>
        </w:rPr>
        <w:t xml:space="preserve"> – for example, there has been no fieldwork conducted on the interaction between former combatants and young people in Republican communities within the context of disengagement and de-radicalisation</w:t>
      </w:r>
      <w:r w:rsidR="002B3893">
        <w:rPr>
          <w:rFonts w:ascii="Times New Roman" w:hAnsi="Times New Roman" w:cs="Times New Roman"/>
        </w:rPr>
        <w:t xml:space="preserve">. Therefore to answer the research questions posed in Chapter One, it was important </w:t>
      </w:r>
      <w:r w:rsidR="00EC121E">
        <w:rPr>
          <w:rFonts w:ascii="Times New Roman" w:hAnsi="Times New Roman" w:cs="Times New Roman"/>
        </w:rPr>
        <w:t xml:space="preserve">to </w:t>
      </w:r>
      <w:r w:rsidR="002B3893">
        <w:rPr>
          <w:rFonts w:ascii="Times New Roman" w:hAnsi="Times New Roman" w:cs="Times New Roman"/>
        </w:rPr>
        <w:t xml:space="preserve">gather data more broadly than just </w:t>
      </w:r>
      <w:r w:rsidR="00280021">
        <w:rPr>
          <w:rFonts w:ascii="Times New Roman" w:hAnsi="Times New Roman" w:cs="Times New Roman"/>
        </w:rPr>
        <w:t xml:space="preserve">from </w:t>
      </w:r>
      <w:r w:rsidR="002B3893">
        <w:rPr>
          <w:rFonts w:ascii="Times New Roman" w:hAnsi="Times New Roman" w:cs="Times New Roman"/>
        </w:rPr>
        <w:t>fo</w:t>
      </w:r>
      <w:r w:rsidR="00EC121E">
        <w:rPr>
          <w:rFonts w:ascii="Times New Roman" w:hAnsi="Times New Roman" w:cs="Times New Roman"/>
        </w:rPr>
        <w:t>rmer combatants</w:t>
      </w:r>
      <w:r w:rsidR="002B3893">
        <w:rPr>
          <w:rFonts w:ascii="Times New Roman" w:hAnsi="Times New Roman" w:cs="Times New Roman"/>
        </w:rPr>
        <w:t>.</w:t>
      </w:r>
      <w:r w:rsidR="00EC121E">
        <w:rPr>
          <w:rFonts w:ascii="Times New Roman" w:hAnsi="Times New Roman" w:cs="Times New Roman"/>
        </w:rPr>
        <w:t xml:space="preserve"> </w:t>
      </w:r>
      <w:r w:rsidR="002A1C46">
        <w:rPr>
          <w:rFonts w:ascii="Times New Roman" w:hAnsi="Times New Roman" w:cs="Times New Roman"/>
        </w:rPr>
        <w:t xml:space="preserve">As the thesis is focusing on the interaction between the Provisional IRA and the Irish Republican social movement that it is embedded in, the broadening of this scope is built around those </w:t>
      </w:r>
      <w:r w:rsidR="00D61476">
        <w:rPr>
          <w:rFonts w:ascii="Times New Roman" w:hAnsi="Times New Roman" w:cs="Times New Roman"/>
        </w:rPr>
        <w:t xml:space="preserve">actual </w:t>
      </w:r>
      <w:r w:rsidR="002A1C46">
        <w:rPr>
          <w:rFonts w:ascii="Times New Roman" w:hAnsi="Times New Roman" w:cs="Times New Roman"/>
        </w:rPr>
        <w:t>relationships</w:t>
      </w:r>
      <w:r w:rsidR="00D61476">
        <w:rPr>
          <w:rFonts w:ascii="Times New Roman" w:hAnsi="Times New Roman" w:cs="Times New Roman"/>
        </w:rPr>
        <w:t xml:space="preserve"> in society</w:t>
      </w:r>
      <w:r w:rsidR="002A1C46">
        <w:rPr>
          <w:rFonts w:ascii="Times New Roman" w:hAnsi="Times New Roman" w:cs="Times New Roman"/>
        </w:rPr>
        <w:t>.</w:t>
      </w:r>
      <w:r w:rsidR="00D61476">
        <w:rPr>
          <w:rFonts w:ascii="Times New Roman" w:hAnsi="Times New Roman" w:cs="Times New Roman"/>
        </w:rPr>
        <w:t xml:space="preserve"> Thus, the thesis’ methodology began with a broad set of social movement theories and the conceptual emphasis on frame diffusion through networks</w:t>
      </w:r>
      <w:r w:rsidR="00EC121E">
        <w:rPr>
          <w:rFonts w:ascii="Times New Roman" w:hAnsi="Times New Roman" w:cs="Times New Roman"/>
        </w:rPr>
        <w:t xml:space="preserve"> </w:t>
      </w:r>
      <w:r w:rsidR="00D61476">
        <w:rPr>
          <w:rFonts w:ascii="Times New Roman" w:hAnsi="Times New Roman" w:cs="Times New Roman"/>
        </w:rPr>
        <w:t xml:space="preserve">emerged from the empirical data, meaning fieldwork did not simply look for evidence to support its focus. </w:t>
      </w:r>
      <w:r w:rsidR="00EC121E">
        <w:rPr>
          <w:rFonts w:ascii="Times New Roman" w:hAnsi="Times New Roman" w:cs="Times New Roman"/>
        </w:rPr>
        <w:t>Furthermore, the methods were informed by the framework’s observation that a deeper understanding of attitudes were required in order to trace how these changed, or at least how actors perceived that these attitudes had changed and why.</w:t>
      </w:r>
      <w:r w:rsidR="002A1C46">
        <w:rPr>
          <w:rFonts w:ascii="Times New Roman" w:hAnsi="Times New Roman" w:cs="Times New Roman"/>
        </w:rPr>
        <w:t xml:space="preserve"> </w:t>
      </w:r>
      <w:r w:rsidR="00A83791">
        <w:rPr>
          <w:rFonts w:ascii="Times New Roman" w:hAnsi="Times New Roman" w:cs="Times New Roman"/>
        </w:rPr>
        <w:t>Therefore, as will be elaborated on below, the need for a deeper understanding meant that qualitative methods such as interviews were the most appropriate means of data collection. But b</w:t>
      </w:r>
      <w:r w:rsidR="002A1C46">
        <w:rPr>
          <w:rFonts w:ascii="Times New Roman" w:hAnsi="Times New Roman" w:cs="Times New Roman"/>
        </w:rPr>
        <w:t>efore outlining how the original data was gathered</w:t>
      </w:r>
      <w:r w:rsidR="00A83791">
        <w:rPr>
          <w:rFonts w:ascii="Times New Roman" w:hAnsi="Times New Roman" w:cs="Times New Roman"/>
        </w:rPr>
        <w:t xml:space="preserve"> and discussing which methods were used</w:t>
      </w:r>
      <w:r w:rsidR="002A1C46">
        <w:rPr>
          <w:rFonts w:ascii="Times New Roman" w:hAnsi="Times New Roman" w:cs="Times New Roman"/>
        </w:rPr>
        <w:t xml:space="preserve">, the chapter will explain why the Irish Republican movement was selected. </w:t>
      </w:r>
      <w:r w:rsidR="00EC121E">
        <w:rPr>
          <w:rFonts w:ascii="Times New Roman" w:hAnsi="Times New Roman" w:cs="Times New Roman"/>
        </w:rPr>
        <w:t xml:space="preserve">  </w:t>
      </w:r>
    </w:p>
    <w:p w14:paraId="620532B6" w14:textId="77777777" w:rsidR="00EB32CC" w:rsidRPr="00EB32CC" w:rsidRDefault="002B3893" w:rsidP="00B57C7F">
      <w:pPr>
        <w:spacing w:line="360" w:lineRule="auto"/>
        <w:jc w:val="both"/>
      </w:pPr>
      <w:r>
        <w:rPr>
          <w:rFonts w:ascii="Times New Roman" w:hAnsi="Times New Roman" w:cs="Times New Roman"/>
        </w:rPr>
        <w:tab/>
      </w:r>
      <w:r w:rsidR="00EC121E">
        <w:rPr>
          <w:rFonts w:ascii="Times New Roman" w:hAnsi="Times New Roman" w:cs="Times New Roman"/>
        </w:rPr>
        <w:t xml:space="preserve"> </w:t>
      </w:r>
      <w:r>
        <w:tab/>
      </w:r>
    </w:p>
    <w:p w14:paraId="7C77659A" w14:textId="77777777" w:rsidR="009E3DF5" w:rsidRDefault="009E3DF5" w:rsidP="00B57C7F">
      <w:pPr>
        <w:pStyle w:val="Heading3"/>
        <w:spacing w:before="120" w:line="360" w:lineRule="auto"/>
      </w:pPr>
      <w:bookmarkStart w:id="31" w:name="_Toc389208814"/>
      <w:r>
        <w:t>Case Selection</w:t>
      </w:r>
      <w:bookmarkEnd w:id="31"/>
    </w:p>
    <w:p w14:paraId="0B81BDF5" w14:textId="7E1C6AE3" w:rsidR="00CA5A53" w:rsidRDefault="00CA5A53" w:rsidP="00B57C7F">
      <w:pPr>
        <w:spacing w:line="360" w:lineRule="auto"/>
        <w:jc w:val="both"/>
        <w:rPr>
          <w:rFonts w:ascii="Times New Roman" w:hAnsi="Times New Roman" w:cs="Times New Roman"/>
          <w:bCs/>
        </w:rPr>
      </w:pPr>
      <w:r>
        <w:rPr>
          <w:rFonts w:ascii="Times New Roman" w:hAnsi="Times New Roman" w:cs="Times New Roman"/>
          <w:bCs/>
        </w:rPr>
        <w:tab/>
        <w:t xml:space="preserve">Research on social movements often seeks to understand the complex interactions that occur within a movement and how its members experience and </w:t>
      </w:r>
      <w:r>
        <w:rPr>
          <w:rFonts w:ascii="Times New Roman" w:hAnsi="Times New Roman" w:cs="Times New Roman"/>
          <w:bCs/>
        </w:rPr>
        <w:lastRenderedPageBreak/>
        <w:t>interpret the society they live within</w:t>
      </w:r>
      <w:r w:rsidR="00D51325">
        <w:rPr>
          <w:rFonts w:ascii="Times New Roman" w:hAnsi="Times New Roman" w:cs="Times New Roman"/>
          <w:bCs/>
        </w:rPr>
        <w:t>.</w:t>
      </w:r>
      <w:r>
        <w:rPr>
          <w:rStyle w:val="FootnoteReference"/>
          <w:rFonts w:ascii="Times New Roman" w:hAnsi="Times New Roman" w:cs="Times New Roman"/>
          <w:bCs/>
        </w:rPr>
        <w:footnoteReference w:id="230"/>
      </w:r>
      <w:r>
        <w:rPr>
          <w:rFonts w:ascii="Times New Roman" w:hAnsi="Times New Roman" w:cs="Times New Roman"/>
          <w:bCs/>
        </w:rPr>
        <w:t xml:space="preserve"> To that end, a single-site case study approach can provide the level of depth that is required to study the process of attitudinal change.</w:t>
      </w:r>
      <w:r w:rsidR="009F343A">
        <w:rPr>
          <w:rFonts w:ascii="Times New Roman" w:hAnsi="Times New Roman" w:cs="Times New Roman"/>
          <w:bCs/>
        </w:rPr>
        <w:t xml:space="preserve"> A single-site study refers to research carried out in one relatively bounded setting</w:t>
      </w:r>
      <w:r w:rsidR="00D51325">
        <w:rPr>
          <w:rFonts w:ascii="Times New Roman" w:hAnsi="Times New Roman" w:cs="Times New Roman"/>
          <w:bCs/>
        </w:rPr>
        <w:t>,</w:t>
      </w:r>
      <w:r w:rsidR="009F343A">
        <w:rPr>
          <w:rStyle w:val="FootnoteReference"/>
          <w:rFonts w:ascii="Times New Roman" w:hAnsi="Times New Roman" w:cs="Times New Roman"/>
          <w:bCs/>
        </w:rPr>
        <w:footnoteReference w:id="231"/>
      </w:r>
      <w:r w:rsidR="009F343A">
        <w:rPr>
          <w:rFonts w:ascii="Times New Roman" w:hAnsi="Times New Roman" w:cs="Times New Roman"/>
          <w:bCs/>
        </w:rPr>
        <w:t xml:space="preserve"> and in the case of this study, this bounded setting consists of three concentric circles: the Provisional IRA; the Irish Republican movement; and Northern Ireland. </w:t>
      </w:r>
      <w:r w:rsidR="006218C7">
        <w:rPr>
          <w:rFonts w:ascii="Times New Roman" w:hAnsi="Times New Roman" w:cs="Times New Roman"/>
          <w:bCs/>
        </w:rPr>
        <w:t>There are a number of benefits to a single-site study. Firstly, whereas multi-site studies lends to a priori concept formation, a single-site approach can help to ground the concepts</w:t>
      </w:r>
      <w:r w:rsidR="00D51325">
        <w:rPr>
          <w:rFonts w:ascii="Times New Roman" w:hAnsi="Times New Roman" w:cs="Times New Roman"/>
          <w:bCs/>
        </w:rPr>
        <w:t>.</w:t>
      </w:r>
      <w:r w:rsidR="006218C7">
        <w:rPr>
          <w:rStyle w:val="FootnoteReference"/>
          <w:rFonts w:ascii="Times New Roman" w:hAnsi="Times New Roman" w:cs="Times New Roman"/>
          <w:bCs/>
        </w:rPr>
        <w:footnoteReference w:id="232"/>
      </w:r>
      <w:r w:rsidR="006218C7">
        <w:rPr>
          <w:rFonts w:ascii="Times New Roman" w:hAnsi="Times New Roman" w:cs="Times New Roman"/>
          <w:bCs/>
        </w:rPr>
        <w:t xml:space="preserve"> For example, the concept of de-radicalisation em</w:t>
      </w:r>
      <w:r w:rsidR="00280021">
        <w:rPr>
          <w:rFonts w:ascii="Times New Roman" w:hAnsi="Times New Roman" w:cs="Times New Roman"/>
          <w:bCs/>
        </w:rPr>
        <w:t>erged from studies on Islamists - Jihadists in particular -</w:t>
      </w:r>
      <w:r w:rsidR="006218C7">
        <w:rPr>
          <w:rFonts w:ascii="Times New Roman" w:hAnsi="Times New Roman" w:cs="Times New Roman"/>
          <w:bCs/>
        </w:rPr>
        <w:t xml:space="preserve"> therefore the concept of de-radicalisation has emphasised aspects of religion and ideology which, when imposed top-down in other contexts, has not been suitable to other contexts (as discussed in Chapter One). </w:t>
      </w:r>
      <w:r w:rsidR="00410A00">
        <w:rPr>
          <w:rFonts w:ascii="Times New Roman" w:hAnsi="Times New Roman" w:cs="Times New Roman"/>
          <w:bCs/>
        </w:rPr>
        <w:t>Secondly, a single-site approach provides far more depth to explore the process of disengagement and de-radicalisation, with many multi-site approaches focusing on only one period of the process. The problem with this is de-radicalisation can occur after behavioural change (e.g. the disbandment of the group)</w:t>
      </w:r>
      <w:r w:rsidR="00D51325">
        <w:rPr>
          <w:rFonts w:ascii="Times New Roman" w:hAnsi="Times New Roman" w:cs="Times New Roman"/>
          <w:bCs/>
        </w:rPr>
        <w:t>.</w:t>
      </w:r>
      <w:r w:rsidR="00410A00">
        <w:rPr>
          <w:rStyle w:val="FootnoteReference"/>
          <w:rFonts w:ascii="Times New Roman" w:hAnsi="Times New Roman" w:cs="Times New Roman"/>
          <w:bCs/>
        </w:rPr>
        <w:footnoteReference w:id="233"/>
      </w:r>
      <w:r w:rsidR="009F343A">
        <w:rPr>
          <w:rFonts w:ascii="Times New Roman" w:hAnsi="Times New Roman" w:cs="Times New Roman"/>
          <w:bCs/>
        </w:rPr>
        <w:t xml:space="preserve"> </w:t>
      </w:r>
      <w:r w:rsidR="00320BC9">
        <w:rPr>
          <w:rFonts w:ascii="Times New Roman" w:hAnsi="Times New Roman" w:cs="Times New Roman"/>
          <w:bCs/>
        </w:rPr>
        <w:t>The use of a single-site approach does not preclude the transferability t</w:t>
      </w:r>
      <w:r w:rsidR="00C6440C">
        <w:rPr>
          <w:rFonts w:ascii="Times New Roman" w:hAnsi="Times New Roman" w:cs="Times New Roman"/>
          <w:bCs/>
        </w:rPr>
        <w:t>o other cases, especially if the point of comparison has also been grounded, as this can account for how different concepts are understood.</w:t>
      </w:r>
      <w:r w:rsidR="006218C7">
        <w:rPr>
          <w:rFonts w:ascii="Times New Roman" w:hAnsi="Times New Roman" w:cs="Times New Roman"/>
          <w:bCs/>
        </w:rPr>
        <w:t xml:space="preserve"> </w:t>
      </w:r>
      <w:r w:rsidR="00C6440C">
        <w:rPr>
          <w:rFonts w:ascii="Times New Roman" w:hAnsi="Times New Roman" w:cs="Times New Roman"/>
          <w:bCs/>
        </w:rPr>
        <w:t>Just as a single-site approach was utilised to provide greater depth and originality conceptually, the rationale for selecting the Provisional IRA and the Irish Republican movement was also based on how a detailed analysis could challenge the literature’s main assertions on the topic.</w:t>
      </w:r>
    </w:p>
    <w:p w14:paraId="7F6D4930" w14:textId="77777777" w:rsidR="00280028" w:rsidRDefault="006E4265" w:rsidP="00B57C7F">
      <w:pPr>
        <w:spacing w:line="360" w:lineRule="auto"/>
        <w:ind w:firstLine="720"/>
        <w:jc w:val="both"/>
        <w:rPr>
          <w:rFonts w:ascii="Times New Roman" w:hAnsi="Times New Roman" w:cs="Times New Roman"/>
          <w:bCs/>
        </w:rPr>
      </w:pPr>
      <w:r>
        <w:rPr>
          <w:rFonts w:ascii="Times New Roman" w:hAnsi="Times New Roman" w:cs="Times New Roman"/>
          <w:bCs/>
        </w:rPr>
        <w:t>As discussed in Chapter One, there is a near-consensus in the literature that the Provisional IRA’s d</w:t>
      </w:r>
      <w:r w:rsidR="00C94C07">
        <w:rPr>
          <w:rFonts w:ascii="Times New Roman" w:hAnsi="Times New Roman" w:cs="Times New Roman"/>
          <w:bCs/>
        </w:rPr>
        <w:t xml:space="preserve">isengagement did not constitute </w:t>
      </w:r>
      <w:r>
        <w:rPr>
          <w:rFonts w:ascii="Times New Roman" w:hAnsi="Times New Roman" w:cs="Times New Roman"/>
          <w:bCs/>
        </w:rPr>
        <w:t>a case of de-radicalisation, thus consequently showing that de-radicalisation is not necessary for disengagement to succeed</w:t>
      </w:r>
      <w:r w:rsidR="00D51325">
        <w:rPr>
          <w:rFonts w:ascii="Times New Roman" w:hAnsi="Times New Roman" w:cs="Times New Roman"/>
          <w:bCs/>
        </w:rPr>
        <w:t>.</w:t>
      </w:r>
      <w:r>
        <w:rPr>
          <w:rStyle w:val="FootnoteReference"/>
          <w:rFonts w:ascii="Times New Roman" w:hAnsi="Times New Roman" w:cs="Times New Roman"/>
          <w:bCs/>
        </w:rPr>
        <w:footnoteReference w:id="234"/>
      </w:r>
      <w:r>
        <w:rPr>
          <w:rFonts w:ascii="Times New Roman" w:hAnsi="Times New Roman" w:cs="Times New Roman"/>
          <w:bCs/>
        </w:rPr>
        <w:t xml:space="preserve"> However, </w:t>
      </w:r>
      <w:r w:rsidR="002E7CEB">
        <w:rPr>
          <w:rFonts w:ascii="Times New Roman" w:hAnsi="Times New Roman" w:cs="Times New Roman"/>
          <w:bCs/>
        </w:rPr>
        <w:t xml:space="preserve">the thesis argues that this assumption has been made without taking into account recent developments such as the involvement of former Provisional IRA members in community activism. Thus, a deeper analysis of the </w:t>
      </w:r>
      <w:r w:rsidR="002E7CEB">
        <w:rPr>
          <w:rFonts w:ascii="Times New Roman" w:hAnsi="Times New Roman" w:cs="Times New Roman"/>
          <w:bCs/>
        </w:rPr>
        <w:lastRenderedPageBreak/>
        <w:t xml:space="preserve">Provisional IRA’s disengagement, contextualised within the Irish Republican movement, can challenge assumptions on what de-radicalisation is and what constitutes a successful disengagement process. </w:t>
      </w:r>
    </w:p>
    <w:p w14:paraId="0B6120F8" w14:textId="1E9DB31F" w:rsidR="005A6092" w:rsidRDefault="002E7CEB" w:rsidP="00B57C7F">
      <w:pPr>
        <w:spacing w:line="360" w:lineRule="auto"/>
        <w:ind w:firstLine="720"/>
        <w:jc w:val="both"/>
        <w:rPr>
          <w:rFonts w:ascii="Times New Roman" w:hAnsi="Times New Roman" w:cs="Times New Roman"/>
          <w:bCs/>
        </w:rPr>
      </w:pPr>
      <w:r>
        <w:rPr>
          <w:rFonts w:ascii="Times New Roman" w:hAnsi="Times New Roman" w:cs="Times New Roman"/>
          <w:bCs/>
        </w:rPr>
        <w:t>There are t</w:t>
      </w:r>
      <w:r w:rsidR="005A6092">
        <w:rPr>
          <w:rFonts w:ascii="Times New Roman" w:hAnsi="Times New Roman" w:cs="Times New Roman"/>
          <w:bCs/>
        </w:rPr>
        <w:t xml:space="preserve">hree </w:t>
      </w:r>
      <w:r>
        <w:rPr>
          <w:rFonts w:ascii="Times New Roman" w:hAnsi="Times New Roman" w:cs="Times New Roman"/>
          <w:bCs/>
        </w:rPr>
        <w:t>reasons why a deeper analysis of the Provisional IRA and the Irish Republican movement may challenge the literature’</w:t>
      </w:r>
      <w:r w:rsidR="005A6092">
        <w:rPr>
          <w:rFonts w:ascii="Times New Roman" w:hAnsi="Times New Roman" w:cs="Times New Roman"/>
          <w:bCs/>
        </w:rPr>
        <w:t>s assumptions.</w:t>
      </w:r>
      <w:r>
        <w:rPr>
          <w:rFonts w:ascii="Times New Roman" w:hAnsi="Times New Roman" w:cs="Times New Roman"/>
          <w:bCs/>
        </w:rPr>
        <w:t xml:space="preserve"> </w:t>
      </w:r>
      <w:r w:rsidR="005A6092">
        <w:rPr>
          <w:rFonts w:ascii="Times New Roman" w:hAnsi="Times New Roman" w:cs="Times New Roman"/>
          <w:bCs/>
        </w:rPr>
        <w:t>F</w:t>
      </w:r>
      <w:r>
        <w:rPr>
          <w:rFonts w:ascii="Times New Roman" w:hAnsi="Times New Roman" w:cs="Times New Roman"/>
          <w:bCs/>
        </w:rPr>
        <w:t>irstly, twenty years have elapsed since the beginning of the disengagement process in 1994, meaning the process is much longer than the disengagement of Jihadists</w:t>
      </w:r>
      <w:r w:rsidR="00280021">
        <w:rPr>
          <w:rFonts w:ascii="Times New Roman" w:hAnsi="Times New Roman" w:cs="Times New Roman"/>
          <w:bCs/>
        </w:rPr>
        <w:t>,</w:t>
      </w:r>
      <w:r>
        <w:rPr>
          <w:rFonts w:ascii="Times New Roman" w:hAnsi="Times New Roman" w:cs="Times New Roman"/>
          <w:bCs/>
        </w:rPr>
        <w:t xml:space="preserve"> which is relatively recent. S</w:t>
      </w:r>
      <w:r w:rsidR="005A6092">
        <w:rPr>
          <w:rFonts w:ascii="Times New Roman" w:hAnsi="Times New Roman" w:cs="Times New Roman"/>
          <w:bCs/>
        </w:rPr>
        <w:t>econdly, while there are cases of Islamist groups who have disengaged just as long ago, the religious dynamic that often underpins their disengagement has tended to mean that de-radicalisation has been broadened to include ideological change rather than a change in attitudes toward violence. Thirdly, other militant groups who have disengaged over a similar period, such as Fatah-PLO and the leftist groups such as the Red Army Faction in Germany and the Red Brigades in Italy, may also provide a useful counter-point. However, the latter groups do not have the generational legacy of Irish Republicanism – in other words, there isn’t much of a</w:t>
      </w:r>
      <w:r w:rsidR="00EB3406">
        <w:rPr>
          <w:rFonts w:ascii="Times New Roman" w:hAnsi="Times New Roman" w:cs="Times New Roman"/>
          <w:bCs/>
        </w:rPr>
        <w:t xml:space="preserve"> risk of recidivism - and Fatah/</w:t>
      </w:r>
      <w:r w:rsidR="005A6092">
        <w:rPr>
          <w:rFonts w:ascii="Times New Roman" w:hAnsi="Times New Roman" w:cs="Times New Roman"/>
          <w:bCs/>
        </w:rPr>
        <w:t xml:space="preserve">PLO, while a potential wealth of information, does not have the same status in the literature as a text-book case of disengagement. For these reasons, it was preferable to study the Provisional IRA and Irish Republicanism, but this does not rule out the benefit of applying a similar social movement approach to the groups mentioned above. </w:t>
      </w:r>
    </w:p>
    <w:p w14:paraId="283A9014" w14:textId="6A180A27" w:rsidR="001256FA" w:rsidRDefault="001E614D" w:rsidP="00B57C7F">
      <w:pPr>
        <w:spacing w:line="360" w:lineRule="auto"/>
        <w:ind w:firstLine="720"/>
        <w:jc w:val="both"/>
        <w:rPr>
          <w:rFonts w:ascii="Times New Roman" w:hAnsi="Times New Roman" w:cs="Times New Roman"/>
          <w:bCs/>
        </w:rPr>
      </w:pPr>
      <w:r>
        <w:rPr>
          <w:rFonts w:ascii="Times New Roman" w:hAnsi="Times New Roman" w:cs="Times New Roman"/>
          <w:bCs/>
        </w:rPr>
        <w:t>W</w:t>
      </w:r>
      <w:r w:rsidR="009E35F6">
        <w:rPr>
          <w:rFonts w:ascii="Times New Roman" w:hAnsi="Times New Roman" w:cs="Times New Roman"/>
          <w:bCs/>
        </w:rPr>
        <w:t>hile some studies</w:t>
      </w:r>
      <w:r w:rsidR="00EE261A">
        <w:rPr>
          <w:rFonts w:ascii="Times New Roman" w:hAnsi="Times New Roman" w:cs="Times New Roman"/>
          <w:bCs/>
        </w:rPr>
        <w:t xml:space="preserve"> provide a comparative analysis of different types of disengagement and de-radicalisation processes, these are often between groups in different contexts</w:t>
      </w:r>
      <w:r w:rsidR="00D51325">
        <w:rPr>
          <w:rFonts w:ascii="Times New Roman" w:hAnsi="Times New Roman" w:cs="Times New Roman"/>
          <w:bCs/>
        </w:rPr>
        <w:t>.</w:t>
      </w:r>
      <w:r w:rsidR="009E35F6">
        <w:rPr>
          <w:rStyle w:val="FootnoteReference"/>
          <w:rFonts w:ascii="Times New Roman" w:hAnsi="Times New Roman" w:cs="Times New Roman"/>
          <w:bCs/>
        </w:rPr>
        <w:footnoteReference w:id="235"/>
      </w:r>
      <w:r w:rsidR="00EE261A">
        <w:rPr>
          <w:rFonts w:ascii="Times New Roman" w:hAnsi="Times New Roman" w:cs="Times New Roman"/>
          <w:bCs/>
        </w:rPr>
        <w:t xml:space="preserve"> </w:t>
      </w:r>
      <w:r w:rsidR="009E35F6">
        <w:rPr>
          <w:rFonts w:ascii="Times New Roman" w:hAnsi="Times New Roman" w:cs="Times New Roman"/>
          <w:bCs/>
        </w:rPr>
        <w:t>While this is legitimate as the groups being analysed are connected through a social movement or an ideology</w:t>
      </w:r>
      <w:r w:rsidR="00D51325">
        <w:rPr>
          <w:rFonts w:ascii="Times New Roman" w:hAnsi="Times New Roman" w:cs="Times New Roman"/>
          <w:bCs/>
        </w:rPr>
        <w:t>,</w:t>
      </w:r>
      <w:r w:rsidR="009E35F6">
        <w:rPr>
          <w:rStyle w:val="FootnoteReference"/>
          <w:rFonts w:ascii="Times New Roman" w:hAnsi="Times New Roman" w:cs="Times New Roman"/>
          <w:bCs/>
        </w:rPr>
        <w:footnoteReference w:id="236"/>
      </w:r>
      <w:r w:rsidR="009E35F6">
        <w:rPr>
          <w:rFonts w:ascii="Times New Roman" w:hAnsi="Times New Roman" w:cs="Times New Roman"/>
          <w:bCs/>
        </w:rPr>
        <w:t xml:space="preserve"> the long history of the Irish Republican movement provides a number of cases of disengagement with relatively constant factors and an extensive amount of data. Al</w:t>
      </w:r>
      <w:r w:rsidR="00EB3406">
        <w:rPr>
          <w:rFonts w:ascii="Times New Roman" w:hAnsi="Times New Roman" w:cs="Times New Roman"/>
          <w:bCs/>
        </w:rPr>
        <w:t xml:space="preserve">though the different periods of the </w:t>
      </w:r>
      <w:r w:rsidR="009E35F6">
        <w:rPr>
          <w:rFonts w:ascii="Times New Roman" w:hAnsi="Times New Roman" w:cs="Times New Roman"/>
          <w:bCs/>
        </w:rPr>
        <w:t>IRA</w:t>
      </w:r>
      <w:r w:rsidR="00EB3406">
        <w:rPr>
          <w:rFonts w:ascii="Times New Roman" w:hAnsi="Times New Roman" w:cs="Times New Roman"/>
          <w:bCs/>
        </w:rPr>
        <w:t>’s</w:t>
      </w:r>
      <w:r w:rsidR="009E35F6">
        <w:rPr>
          <w:rFonts w:ascii="Times New Roman" w:hAnsi="Times New Roman" w:cs="Times New Roman"/>
          <w:bCs/>
        </w:rPr>
        <w:t xml:space="preserve"> disengagement have been analysed</w:t>
      </w:r>
      <w:r>
        <w:rPr>
          <w:rFonts w:ascii="Times New Roman" w:hAnsi="Times New Roman" w:cs="Times New Roman"/>
          <w:bCs/>
        </w:rPr>
        <w:t xml:space="preserve"> separately</w:t>
      </w:r>
      <w:r w:rsidR="009E35F6">
        <w:rPr>
          <w:rFonts w:ascii="Times New Roman" w:hAnsi="Times New Roman" w:cs="Times New Roman"/>
          <w:bCs/>
        </w:rPr>
        <w:t xml:space="preserve">, no study has taken the opportunity to analyse all of these processes together to provide a comparison. In this historical analysis, effectively the same organisation, motivated by the same ideology, and in similar political conditions, has experienced four disengagement </w:t>
      </w:r>
      <w:r w:rsidR="009E35F6">
        <w:rPr>
          <w:rFonts w:ascii="Times New Roman" w:hAnsi="Times New Roman" w:cs="Times New Roman"/>
          <w:bCs/>
        </w:rPr>
        <w:lastRenderedPageBreak/>
        <w:t>processes which are completely different in their constitution and outcome.</w:t>
      </w:r>
      <w:r w:rsidR="005E09C5">
        <w:rPr>
          <w:rFonts w:ascii="Times New Roman" w:hAnsi="Times New Roman" w:cs="Times New Roman"/>
          <w:bCs/>
        </w:rPr>
        <w:t xml:space="preserve"> </w:t>
      </w:r>
      <w:r w:rsidR="00EB3406">
        <w:rPr>
          <w:rFonts w:ascii="Times New Roman" w:hAnsi="Times New Roman" w:cs="Times New Roman"/>
          <w:bCs/>
        </w:rPr>
        <w:t>Furthermore,</w:t>
      </w:r>
      <w:r w:rsidR="005E09C5">
        <w:rPr>
          <w:rFonts w:ascii="Times New Roman" w:hAnsi="Times New Roman" w:cs="Times New Roman"/>
          <w:bCs/>
        </w:rPr>
        <w:t xml:space="preserve"> one substantial difference that marks out the Irish Republican case from other cases (although there are exceptions) is the presence of Loyalists, who acted as a pro-state paramilitary force against Republicans and Catholics. As noted above, Loyalists are analysed as an external force that can have a causal influence on Irish Republican violence, just as the state can, but Loyalists are also included in the study to provide context to the Provisional IRA’s disengagement process; the study does not claim to analyse Loyalist disengagement but it does provide the framework for such a study. Having outlined the rationale for focusing on the Provisional IRA and the Irish Republican movement, the chapter will now explain how it identified the parameters for data collection.</w:t>
      </w:r>
    </w:p>
    <w:p w14:paraId="69B61BC4" w14:textId="77777777" w:rsidR="00D86AA2" w:rsidRDefault="005E09C5" w:rsidP="00B57C7F">
      <w:pPr>
        <w:spacing w:line="360" w:lineRule="auto"/>
        <w:jc w:val="both"/>
        <w:rPr>
          <w:rFonts w:ascii="Times New Roman" w:hAnsi="Times New Roman" w:cs="Times New Roman"/>
          <w:bCs/>
        </w:rPr>
      </w:pPr>
      <w:r>
        <w:rPr>
          <w:rFonts w:ascii="Times New Roman" w:hAnsi="Times New Roman" w:cs="Times New Roman"/>
          <w:bCs/>
        </w:rPr>
        <w:tab/>
      </w:r>
    </w:p>
    <w:p w14:paraId="0A541981" w14:textId="77777777" w:rsidR="00D86AA2" w:rsidRDefault="00D86AA2" w:rsidP="00B57C7F">
      <w:pPr>
        <w:pStyle w:val="Heading3"/>
        <w:spacing w:before="120" w:line="360" w:lineRule="auto"/>
      </w:pPr>
      <w:bookmarkStart w:id="32" w:name="_Toc389208815"/>
      <w:r>
        <w:t>Sampling</w:t>
      </w:r>
      <w:bookmarkEnd w:id="32"/>
    </w:p>
    <w:p w14:paraId="57632189" w14:textId="46C53FBA" w:rsidR="007A3D00" w:rsidRDefault="00D86AA2" w:rsidP="00B57C7F">
      <w:pPr>
        <w:spacing w:line="360" w:lineRule="auto"/>
        <w:jc w:val="both"/>
        <w:rPr>
          <w:rFonts w:ascii="Times New Roman" w:hAnsi="Times New Roman" w:cs="Times New Roman"/>
        </w:rPr>
      </w:pPr>
      <w:r>
        <w:rPr>
          <w:rFonts w:ascii="Times New Roman" w:hAnsi="Times New Roman" w:cs="Times New Roman"/>
        </w:rPr>
        <w:tab/>
      </w:r>
      <w:r w:rsidR="002E2B89">
        <w:rPr>
          <w:rFonts w:ascii="Times New Roman" w:hAnsi="Times New Roman" w:cs="Times New Roman"/>
        </w:rPr>
        <w:t>T</w:t>
      </w:r>
      <w:r w:rsidR="002E2B89">
        <w:rPr>
          <w:rFonts w:ascii="Times New Roman" w:hAnsi="Times New Roman" w:cs="Times New Roman"/>
          <w:bCs/>
        </w:rPr>
        <w:t>he research limited its sample to participants in Belfast because</w:t>
      </w:r>
      <w:r w:rsidR="0096340D">
        <w:rPr>
          <w:rFonts w:ascii="Times New Roman" w:hAnsi="Times New Roman" w:cs="Times New Roman"/>
          <w:bCs/>
        </w:rPr>
        <w:t>:</w:t>
      </w:r>
      <w:r w:rsidR="002E2B89">
        <w:rPr>
          <w:rFonts w:ascii="Times New Roman" w:hAnsi="Times New Roman" w:cs="Times New Roman"/>
          <w:bCs/>
        </w:rPr>
        <w:t xml:space="preserve"> 1) logistical reasons; 2) the concentration of the conflict in Belfast; 3) the number of community groups were broader, they were more responsive and more readily available;</w:t>
      </w:r>
      <w:r w:rsidR="0096340D">
        <w:rPr>
          <w:rFonts w:ascii="Times New Roman" w:hAnsi="Times New Roman" w:cs="Times New Roman"/>
          <w:bCs/>
        </w:rPr>
        <w:t xml:space="preserve"> and</w:t>
      </w:r>
      <w:r w:rsidR="002E2B89">
        <w:rPr>
          <w:rFonts w:ascii="Times New Roman" w:hAnsi="Times New Roman" w:cs="Times New Roman"/>
          <w:bCs/>
        </w:rPr>
        <w:t xml:space="preserve"> 4) focusing on one city provided data that mapped out the networks and connections between the groups, which 5) helped to build up trust between the interviewer and interviewees, thus leading into more interviews. </w:t>
      </w:r>
      <w:r w:rsidR="006A381A">
        <w:rPr>
          <w:rFonts w:ascii="Times New Roman" w:hAnsi="Times New Roman" w:cs="Times New Roman"/>
        </w:rPr>
        <w:t xml:space="preserve">In order to identify </w:t>
      </w:r>
      <w:r w:rsidR="002E2B89">
        <w:rPr>
          <w:rFonts w:ascii="Times New Roman" w:hAnsi="Times New Roman" w:cs="Times New Roman"/>
        </w:rPr>
        <w:t>who to interview</w:t>
      </w:r>
      <w:r w:rsidR="006A381A">
        <w:rPr>
          <w:rFonts w:ascii="Times New Roman" w:hAnsi="Times New Roman" w:cs="Times New Roman"/>
        </w:rPr>
        <w:t>, t</w:t>
      </w:r>
      <w:r w:rsidR="002E2B89">
        <w:rPr>
          <w:rFonts w:ascii="Times New Roman" w:hAnsi="Times New Roman" w:cs="Times New Roman"/>
        </w:rPr>
        <w:t>hree</w:t>
      </w:r>
      <w:r>
        <w:rPr>
          <w:rFonts w:ascii="Times New Roman" w:hAnsi="Times New Roman" w:cs="Times New Roman"/>
        </w:rPr>
        <w:t xml:space="preserve"> sampling strategies were utilised: </w:t>
      </w:r>
      <w:r w:rsidR="001D3391">
        <w:rPr>
          <w:rFonts w:ascii="Times New Roman" w:hAnsi="Times New Roman" w:cs="Times New Roman"/>
        </w:rPr>
        <w:t>judgemental sampling (otherwi</w:t>
      </w:r>
      <w:r w:rsidR="002E2B89">
        <w:rPr>
          <w:rFonts w:ascii="Times New Roman" w:hAnsi="Times New Roman" w:cs="Times New Roman"/>
        </w:rPr>
        <w:t xml:space="preserve">se known as purposive sampling); </w:t>
      </w:r>
      <w:r>
        <w:rPr>
          <w:rFonts w:ascii="Times New Roman" w:hAnsi="Times New Roman" w:cs="Times New Roman"/>
        </w:rPr>
        <w:t>snowballing sampling</w:t>
      </w:r>
      <w:r w:rsidR="002E2B89">
        <w:rPr>
          <w:rFonts w:ascii="Times New Roman" w:hAnsi="Times New Roman" w:cs="Times New Roman"/>
        </w:rPr>
        <w:t xml:space="preserve"> and theoretical sampling (grounded theory)</w:t>
      </w:r>
      <w:r>
        <w:rPr>
          <w:rFonts w:ascii="Times New Roman" w:hAnsi="Times New Roman" w:cs="Times New Roman"/>
        </w:rPr>
        <w:t>.</w:t>
      </w:r>
      <w:r w:rsidR="00B475EA">
        <w:rPr>
          <w:rFonts w:ascii="Times New Roman" w:hAnsi="Times New Roman" w:cs="Times New Roman"/>
        </w:rPr>
        <w:t xml:space="preserve"> </w:t>
      </w:r>
      <w:r w:rsidR="001D3391">
        <w:rPr>
          <w:rFonts w:ascii="Times New Roman" w:hAnsi="Times New Roman" w:cs="Times New Roman"/>
        </w:rPr>
        <w:t xml:space="preserve">Judgemental </w:t>
      </w:r>
      <w:r w:rsidR="00B475EA">
        <w:rPr>
          <w:rFonts w:ascii="Times New Roman" w:hAnsi="Times New Roman" w:cs="Times New Roman"/>
        </w:rPr>
        <w:t>samplin</w:t>
      </w:r>
      <w:r w:rsidR="006A381A">
        <w:rPr>
          <w:rFonts w:ascii="Times New Roman" w:hAnsi="Times New Roman" w:cs="Times New Roman"/>
        </w:rPr>
        <w:t>g</w:t>
      </w:r>
      <w:r w:rsidR="00B475EA">
        <w:rPr>
          <w:rFonts w:ascii="Times New Roman" w:hAnsi="Times New Roman" w:cs="Times New Roman"/>
        </w:rPr>
        <w:t xml:space="preserve"> refers to identifying an interviewee sample</w:t>
      </w:r>
      <w:r w:rsidR="001D3391">
        <w:rPr>
          <w:rFonts w:ascii="Times New Roman" w:hAnsi="Times New Roman" w:cs="Times New Roman"/>
        </w:rPr>
        <w:t xml:space="preserve"> closely linked to the research question</w:t>
      </w:r>
      <w:r w:rsidR="007F3C22">
        <w:rPr>
          <w:rFonts w:ascii="Times New Roman" w:hAnsi="Times New Roman" w:cs="Times New Roman"/>
        </w:rPr>
        <w:t>s</w:t>
      </w:r>
      <w:r w:rsidR="00D51325">
        <w:rPr>
          <w:rFonts w:ascii="Times New Roman" w:hAnsi="Times New Roman" w:cs="Times New Roman"/>
        </w:rPr>
        <w:t>.</w:t>
      </w:r>
      <w:r w:rsidR="007F3C22">
        <w:rPr>
          <w:rStyle w:val="FootnoteReference"/>
          <w:rFonts w:ascii="Times New Roman" w:hAnsi="Times New Roman" w:cs="Times New Roman"/>
        </w:rPr>
        <w:footnoteReference w:id="237"/>
      </w:r>
      <w:r w:rsidR="001D3391">
        <w:rPr>
          <w:rFonts w:ascii="Times New Roman" w:hAnsi="Times New Roman" w:cs="Times New Roman"/>
        </w:rPr>
        <w:t xml:space="preserve"> </w:t>
      </w:r>
      <w:r w:rsidR="00B475EA">
        <w:rPr>
          <w:rFonts w:ascii="Times New Roman" w:hAnsi="Times New Roman" w:cs="Times New Roman"/>
        </w:rPr>
        <w:t xml:space="preserve"> </w:t>
      </w:r>
      <w:r w:rsidR="00FA3F3D">
        <w:rPr>
          <w:rFonts w:ascii="Times New Roman" w:hAnsi="Times New Roman" w:cs="Times New Roman"/>
        </w:rPr>
        <w:t xml:space="preserve">Judgemental sampling was used because </w:t>
      </w:r>
      <w:r w:rsidR="003D174E">
        <w:rPr>
          <w:rFonts w:ascii="Times New Roman" w:hAnsi="Times New Roman" w:cs="Times New Roman"/>
        </w:rPr>
        <w:t xml:space="preserve">it is important to select interviewees who are </w:t>
      </w:r>
      <w:r w:rsidR="00FA3F3D">
        <w:rPr>
          <w:rFonts w:ascii="Times New Roman" w:hAnsi="Times New Roman" w:cs="Times New Roman"/>
        </w:rPr>
        <w:t xml:space="preserve">knowledgeable on the subject to improve the credibility of the data. </w:t>
      </w:r>
      <w:r w:rsidR="003D174E">
        <w:rPr>
          <w:rStyle w:val="FootnoteReference"/>
          <w:rFonts w:ascii="Times New Roman" w:hAnsi="Times New Roman" w:cs="Times New Roman"/>
        </w:rPr>
        <w:footnoteReference w:id="238"/>
      </w:r>
      <w:r w:rsidR="00FA3F3D">
        <w:rPr>
          <w:rFonts w:ascii="Times New Roman" w:hAnsi="Times New Roman" w:cs="Times New Roman"/>
        </w:rPr>
        <w:t xml:space="preserve"> This method helped to target specific</w:t>
      </w:r>
      <w:r w:rsidR="007A3D00">
        <w:rPr>
          <w:rFonts w:ascii="Times New Roman" w:hAnsi="Times New Roman" w:cs="Times New Roman"/>
        </w:rPr>
        <w:t xml:space="preserve"> knowledgeable</w:t>
      </w:r>
      <w:r w:rsidR="00FA3F3D">
        <w:rPr>
          <w:rFonts w:ascii="Times New Roman" w:hAnsi="Times New Roman" w:cs="Times New Roman"/>
        </w:rPr>
        <w:t xml:space="preserve"> individuals and organisations who could then act as gatekeepers to further contacts</w:t>
      </w:r>
      <w:r w:rsidR="003D174E">
        <w:rPr>
          <w:rFonts w:ascii="Times New Roman" w:hAnsi="Times New Roman" w:cs="Times New Roman"/>
        </w:rPr>
        <w:t>.</w:t>
      </w:r>
      <w:r w:rsidR="007A3D00">
        <w:rPr>
          <w:rFonts w:ascii="Times New Roman" w:hAnsi="Times New Roman" w:cs="Times New Roman"/>
        </w:rPr>
        <w:t xml:space="preserve"> The initial stages of sampling </w:t>
      </w:r>
      <w:r w:rsidR="007A3D00">
        <w:rPr>
          <w:rFonts w:ascii="Times New Roman" w:hAnsi="Times New Roman" w:cs="Times New Roman"/>
          <w:bCs/>
        </w:rPr>
        <w:t xml:space="preserve">identified former Provisional IRA interviewees and community groups who work with or are staffed by former combatants. Former Provisional IRA members were selected </w:t>
      </w:r>
      <w:r w:rsidR="007A3D00">
        <w:rPr>
          <w:rFonts w:ascii="Times New Roman" w:hAnsi="Times New Roman" w:cs="Times New Roman"/>
          <w:bCs/>
        </w:rPr>
        <w:lastRenderedPageBreak/>
        <w:t>because they could provide insight into the internal debates during the 1990s and they could help map out the disengagement frame and how this has been diffused into the community and among young people. The rationale for interviewing community and peace groups was because of the thesis’ attempts to analyse the Irish Republican social movement beyond the militant groups, and that such groups could provide access to former militants and young people as gatekeepers.</w:t>
      </w:r>
    </w:p>
    <w:p w14:paraId="110A5D0A" w14:textId="7C8204D6" w:rsidR="002E2B89" w:rsidRDefault="00FA3F3D" w:rsidP="00B57C7F">
      <w:pPr>
        <w:spacing w:line="360" w:lineRule="auto"/>
        <w:ind w:firstLine="720"/>
        <w:jc w:val="both"/>
        <w:rPr>
          <w:rFonts w:ascii="Times New Roman" w:hAnsi="Times New Roman" w:cs="Times New Roman"/>
        </w:rPr>
      </w:pPr>
      <w:r>
        <w:rPr>
          <w:rFonts w:ascii="Times New Roman" w:hAnsi="Times New Roman" w:cs="Times New Roman"/>
        </w:rPr>
        <w:t>The initial sample led to a snowballing sample de</w:t>
      </w:r>
      <w:r w:rsidR="0096340D">
        <w:rPr>
          <w:rFonts w:ascii="Times New Roman" w:hAnsi="Times New Roman" w:cs="Times New Roman"/>
        </w:rPr>
        <w:t xml:space="preserve">veloping, which refers to when </w:t>
      </w:r>
      <w:r>
        <w:rPr>
          <w:rFonts w:ascii="Times New Roman" w:hAnsi="Times New Roman" w:cs="Times New Roman"/>
        </w:rPr>
        <w:t>the researcher makes initial contact with a small group of people who are relevant to the research topic and then uses these to</w:t>
      </w:r>
      <w:r w:rsidR="0096340D">
        <w:rPr>
          <w:rFonts w:ascii="Times New Roman" w:hAnsi="Times New Roman" w:cs="Times New Roman"/>
        </w:rPr>
        <w:t xml:space="preserve"> establish contacts with others</w:t>
      </w:r>
      <w:r w:rsidR="00D51325">
        <w:rPr>
          <w:rFonts w:ascii="Times New Roman" w:hAnsi="Times New Roman" w:cs="Times New Roman"/>
        </w:rPr>
        <w:t>.</w:t>
      </w:r>
      <w:r>
        <w:rPr>
          <w:rStyle w:val="FootnoteReference"/>
          <w:rFonts w:ascii="Times New Roman" w:hAnsi="Times New Roman" w:cs="Times New Roman"/>
        </w:rPr>
        <w:footnoteReference w:id="239"/>
      </w:r>
      <w:r w:rsidR="006A381A">
        <w:rPr>
          <w:rFonts w:ascii="Times New Roman" w:hAnsi="Times New Roman" w:cs="Times New Roman"/>
        </w:rPr>
        <w:t xml:space="preserve"> Snowballing was used because it provided access to interviewees where otherwise it would not be possible, and because it helped to pinpoint other prospective interviewees who were part of the initial contact’s network.</w:t>
      </w:r>
      <w:r w:rsidR="006A381A" w:rsidRPr="006A381A">
        <w:rPr>
          <w:rFonts w:ascii="Times New Roman" w:hAnsi="Times New Roman" w:cs="Times New Roman"/>
        </w:rPr>
        <w:t xml:space="preserve"> </w:t>
      </w:r>
      <w:r w:rsidR="002E2B89">
        <w:rPr>
          <w:rFonts w:ascii="Times New Roman" w:hAnsi="Times New Roman" w:cs="Times New Roman"/>
        </w:rPr>
        <w:t>For example, the former Provisional IRA prisoner group, Coiste arranged interviews wi</w:t>
      </w:r>
      <w:r w:rsidR="0096340D">
        <w:rPr>
          <w:rFonts w:ascii="Times New Roman" w:hAnsi="Times New Roman" w:cs="Times New Roman"/>
        </w:rPr>
        <w:t>th former combatants;</w:t>
      </w:r>
      <w:r w:rsidR="002E2B89">
        <w:rPr>
          <w:rFonts w:ascii="Times New Roman" w:hAnsi="Times New Roman" w:cs="Times New Roman"/>
        </w:rPr>
        <w:t xml:space="preserve"> S</w:t>
      </w:r>
      <w:r w:rsidR="0096340D">
        <w:rPr>
          <w:rFonts w:ascii="Times New Roman" w:hAnsi="Times New Roman" w:cs="Times New Roman"/>
        </w:rPr>
        <w:t>inn Fein arranged a focus group;</w:t>
      </w:r>
      <w:r w:rsidR="002E2B89">
        <w:rPr>
          <w:rFonts w:ascii="Times New Roman" w:hAnsi="Times New Roman" w:cs="Times New Roman"/>
        </w:rPr>
        <w:t xml:space="preserve"> and the community workers introduced the researcher to other colleagues in Belfast.</w:t>
      </w:r>
      <w:r w:rsidR="00C50866">
        <w:rPr>
          <w:rFonts w:ascii="Times New Roman" w:hAnsi="Times New Roman" w:cs="Times New Roman"/>
        </w:rPr>
        <w:t xml:space="preserve"> However, one problem with arranging interviews </w:t>
      </w:r>
      <w:r w:rsidR="0096340D">
        <w:rPr>
          <w:rFonts w:ascii="Times New Roman" w:hAnsi="Times New Roman" w:cs="Times New Roman"/>
        </w:rPr>
        <w:t>through</w:t>
      </w:r>
      <w:r w:rsidR="00C50866">
        <w:rPr>
          <w:rFonts w:ascii="Times New Roman" w:hAnsi="Times New Roman" w:cs="Times New Roman"/>
        </w:rPr>
        <w:t xml:space="preserve"> Coiste is the possibility that interviewees will stick to a party political line;</w:t>
      </w:r>
      <w:r w:rsidR="00093A0B">
        <w:rPr>
          <w:rStyle w:val="FootnoteReference"/>
          <w:rFonts w:ascii="Times New Roman" w:hAnsi="Times New Roman" w:cs="Times New Roman"/>
        </w:rPr>
        <w:footnoteReference w:id="240"/>
      </w:r>
      <w:r w:rsidR="00C50866">
        <w:rPr>
          <w:rFonts w:ascii="Times New Roman" w:hAnsi="Times New Roman" w:cs="Times New Roman"/>
        </w:rPr>
        <w:t xml:space="preserve"> to overcome this problem the thesis sought to use actors not affiliated to Coiste but who worked closely with their members to help corroborate the findings, unlike a number of other studies who worked through Coiste.</w:t>
      </w:r>
      <w:r w:rsidR="00C50866">
        <w:rPr>
          <w:rStyle w:val="FootnoteReference"/>
          <w:rFonts w:ascii="Times New Roman" w:hAnsi="Times New Roman" w:cs="Times New Roman"/>
        </w:rPr>
        <w:footnoteReference w:id="241"/>
      </w:r>
      <w:r w:rsidR="00C50866">
        <w:rPr>
          <w:rFonts w:ascii="Times New Roman" w:hAnsi="Times New Roman" w:cs="Times New Roman"/>
        </w:rPr>
        <w:t xml:space="preserve"> Furthermore, w</w:t>
      </w:r>
      <w:r w:rsidR="002E2B89">
        <w:rPr>
          <w:rFonts w:ascii="Times New Roman" w:hAnsi="Times New Roman" w:cs="Times New Roman"/>
        </w:rPr>
        <w:t xml:space="preserve">hile the snowballing strategy was effective at gaining access to former combatants and young Republicans, one criticism of this approach is it limited the researcher’s ability to control the selection of participants. However, the gatekeepers took into consideration the research focus and arranged interviews that matched with this. By approaching community workers at the same time and by using a judgemental sample strategy, it was possible to also gain access to former Provisional IRA members who were not members of Sinn Fein or who were a member of neither but were former combatants who now worked with former Provisional IRA members. The main benefit of this sampling technique was to overcome the problem that the community groups being approached through </w:t>
      </w:r>
      <w:r w:rsidR="002E2B89">
        <w:rPr>
          <w:rFonts w:ascii="Times New Roman" w:hAnsi="Times New Roman" w:cs="Times New Roman"/>
        </w:rPr>
        <w:lastRenderedPageBreak/>
        <w:t xml:space="preserve">judgemental sampling turned out to overlap with the former combatant groups, some of whom who were not being targeted initially. </w:t>
      </w:r>
      <w:r w:rsidR="002E2B89">
        <w:rPr>
          <w:rFonts w:ascii="Times New Roman" w:hAnsi="Times New Roman" w:cs="Times New Roman"/>
          <w:bCs/>
        </w:rPr>
        <w:t xml:space="preserve">Many of the community and peace groups are associated with paramilitary groups, and as the extent of Republican-Loyalist dialogue through community work became apparent, the research more actively targeted Republican and Loyalist groups who worked on the interface areas. </w:t>
      </w:r>
      <w:r w:rsidR="002E2B89">
        <w:rPr>
          <w:rFonts w:ascii="Times New Roman" w:hAnsi="Times New Roman" w:cs="Times New Roman"/>
        </w:rPr>
        <w:t>Another</w:t>
      </w:r>
      <w:r w:rsidR="006A381A">
        <w:rPr>
          <w:rFonts w:ascii="Times New Roman" w:hAnsi="Times New Roman" w:cs="Times New Roman"/>
        </w:rPr>
        <w:t xml:space="preserve"> benefit of this combined snowballing and judgemental sampling strategy was it helped to corroborate details and provide a more holistic perspective, </w:t>
      </w:r>
      <w:r w:rsidR="00734001">
        <w:rPr>
          <w:rFonts w:ascii="Times New Roman" w:hAnsi="Times New Roman" w:cs="Times New Roman"/>
        </w:rPr>
        <w:t>thus overcoming criticism of the interview method lacking completeness</w:t>
      </w:r>
      <w:r w:rsidR="00D51325">
        <w:rPr>
          <w:rFonts w:ascii="Times New Roman" w:hAnsi="Times New Roman" w:cs="Times New Roman"/>
        </w:rPr>
        <w:t>.</w:t>
      </w:r>
      <w:r w:rsidR="00734001">
        <w:rPr>
          <w:rStyle w:val="FootnoteReference"/>
          <w:rFonts w:ascii="Times New Roman" w:hAnsi="Times New Roman" w:cs="Times New Roman"/>
        </w:rPr>
        <w:footnoteReference w:id="242"/>
      </w:r>
      <w:r w:rsidR="001701D1">
        <w:rPr>
          <w:rFonts w:ascii="Times New Roman" w:hAnsi="Times New Roman" w:cs="Times New Roman"/>
        </w:rPr>
        <w:t xml:space="preserve"> </w:t>
      </w:r>
    </w:p>
    <w:p w14:paraId="089D803D" w14:textId="3A98205B" w:rsidR="002D3B84" w:rsidRDefault="006A381A" w:rsidP="00B57C7F">
      <w:pPr>
        <w:spacing w:line="360" w:lineRule="auto"/>
        <w:ind w:firstLine="720"/>
        <w:jc w:val="both"/>
        <w:rPr>
          <w:rFonts w:ascii="Times New Roman" w:hAnsi="Times New Roman" w:cs="Times New Roman"/>
        </w:rPr>
      </w:pPr>
      <w:r>
        <w:rPr>
          <w:rFonts w:ascii="Times New Roman" w:hAnsi="Times New Roman" w:cs="Times New Roman"/>
        </w:rPr>
        <w:t>Overall, this mixed and flexible sampling technique</w:t>
      </w:r>
      <w:r w:rsidR="00734001">
        <w:rPr>
          <w:rFonts w:ascii="Times New Roman" w:hAnsi="Times New Roman" w:cs="Times New Roman"/>
        </w:rPr>
        <w:t xml:space="preserve"> that was</w:t>
      </w:r>
      <w:r>
        <w:rPr>
          <w:rFonts w:ascii="Times New Roman" w:hAnsi="Times New Roman" w:cs="Times New Roman"/>
        </w:rPr>
        <w:t xml:space="preserve"> used had many similarities with theoretical sampling</w:t>
      </w:r>
      <w:r w:rsidR="002D3B84">
        <w:rPr>
          <w:rFonts w:ascii="Times New Roman" w:hAnsi="Times New Roman" w:cs="Times New Roman"/>
        </w:rPr>
        <w:t xml:space="preserve"> (grounded theory)</w:t>
      </w:r>
      <w:r w:rsidR="00734001">
        <w:rPr>
          <w:rFonts w:ascii="Times New Roman" w:hAnsi="Times New Roman" w:cs="Times New Roman"/>
        </w:rPr>
        <w:t>, which is used to ‘discover categories and their properties’</w:t>
      </w:r>
      <w:r w:rsidR="00550FFF">
        <w:rPr>
          <w:rFonts w:ascii="Times New Roman" w:hAnsi="Times New Roman" w:cs="Times New Roman"/>
        </w:rPr>
        <w:t xml:space="preserve">, </w:t>
      </w:r>
      <w:r w:rsidR="0096340D">
        <w:rPr>
          <w:rFonts w:ascii="Times New Roman" w:hAnsi="Times New Roman" w:cs="Times New Roman"/>
        </w:rPr>
        <w:t xml:space="preserve">to </w:t>
      </w:r>
      <w:r w:rsidR="00550FFF">
        <w:rPr>
          <w:rFonts w:ascii="Times New Roman" w:hAnsi="Times New Roman" w:cs="Times New Roman"/>
        </w:rPr>
        <w:t>confirm</w:t>
      </w:r>
      <w:r w:rsidR="00734001">
        <w:rPr>
          <w:rFonts w:ascii="Times New Roman" w:hAnsi="Times New Roman" w:cs="Times New Roman"/>
        </w:rPr>
        <w:t xml:space="preserve"> </w:t>
      </w:r>
      <w:r w:rsidR="00550FFF">
        <w:rPr>
          <w:rFonts w:ascii="Times New Roman" w:hAnsi="Times New Roman" w:cs="Times New Roman"/>
        </w:rPr>
        <w:t>their</w:t>
      </w:r>
      <w:r w:rsidR="00734001">
        <w:rPr>
          <w:rFonts w:ascii="Times New Roman" w:hAnsi="Times New Roman" w:cs="Times New Roman"/>
        </w:rPr>
        <w:t xml:space="preserve"> importance and achieve theoretical saturation whereby there is no need to continue data collection</w:t>
      </w:r>
      <w:r w:rsidR="00D51325">
        <w:rPr>
          <w:rFonts w:ascii="Times New Roman" w:hAnsi="Times New Roman" w:cs="Times New Roman"/>
        </w:rPr>
        <w:t>.</w:t>
      </w:r>
      <w:r w:rsidR="00734001">
        <w:rPr>
          <w:rStyle w:val="FootnoteReference"/>
          <w:rFonts w:ascii="Times New Roman" w:hAnsi="Times New Roman" w:cs="Times New Roman"/>
        </w:rPr>
        <w:footnoteReference w:id="243"/>
      </w:r>
      <w:r>
        <w:rPr>
          <w:rFonts w:ascii="Times New Roman" w:hAnsi="Times New Roman" w:cs="Times New Roman"/>
        </w:rPr>
        <w:t xml:space="preserve"> </w:t>
      </w:r>
      <w:r w:rsidR="00734001">
        <w:rPr>
          <w:rFonts w:ascii="Times New Roman" w:hAnsi="Times New Roman" w:cs="Times New Roman"/>
        </w:rPr>
        <w:t>In other words,</w:t>
      </w:r>
      <w:r>
        <w:rPr>
          <w:rFonts w:ascii="Times New Roman" w:hAnsi="Times New Roman" w:cs="Times New Roman"/>
        </w:rPr>
        <w:t xml:space="preserve"> </w:t>
      </w:r>
      <w:r w:rsidR="00734001">
        <w:rPr>
          <w:rFonts w:ascii="Times New Roman" w:hAnsi="Times New Roman" w:cs="Times New Roman"/>
        </w:rPr>
        <w:t xml:space="preserve">the </w:t>
      </w:r>
      <w:r>
        <w:rPr>
          <w:rFonts w:ascii="Times New Roman" w:hAnsi="Times New Roman" w:cs="Times New Roman"/>
        </w:rPr>
        <w:t xml:space="preserve">sample started </w:t>
      </w:r>
      <w:r w:rsidR="00550FFF">
        <w:rPr>
          <w:rFonts w:ascii="Times New Roman" w:hAnsi="Times New Roman" w:cs="Times New Roman"/>
        </w:rPr>
        <w:t xml:space="preserve">with </w:t>
      </w:r>
      <w:r>
        <w:rPr>
          <w:rFonts w:ascii="Times New Roman" w:hAnsi="Times New Roman" w:cs="Times New Roman"/>
        </w:rPr>
        <w:t xml:space="preserve">identifying former Provisional IRA members but expanded </w:t>
      </w:r>
      <w:r w:rsidR="00734001">
        <w:rPr>
          <w:rFonts w:ascii="Times New Roman" w:hAnsi="Times New Roman" w:cs="Times New Roman"/>
        </w:rPr>
        <w:t>outwards to encompass a network of former combatan</w:t>
      </w:r>
      <w:r w:rsidR="00550FFF">
        <w:rPr>
          <w:rFonts w:ascii="Times New Roman" w:hAnsi="Times New Roman" w:cs="Times New Roman"/>
        </w:rPr>
        <w:t xml:space="preserve">ts and community activists which functions as an entity for analysis in its own right. </w:t>
      </w:r>
      <w:r w:rsidR="00C475E5">
        <w:rPr>
          <w:rFonts w:ascii="Times New Roman" w:hAnsi="Times New Roman" w:cs="Times New Roman"/>
        </w:rPr>
        <w:t>By utilising this approach, the theories presented in the thesis emerged from the data insofar as it shows how the disengagement of the Provisional IRA has diffused into the community to form a network that can involve Loyalist paramilitary figures and young people.</w:t>
      </w:r>
      <w:r w:rsidR="00A95D08">
        <w:rPr>
          <w:rFonts w:ascii="Times New Roman" w:hAnsi="Times New Roman" w:cs="Times New Roman"/>
        </w:rPr>
        <w:t xml:space="preserve"> </w:t>
      </w:r>
      <w:r w:rsidR="002D3B84">
        <w:rPr>
          <w:rFonts w:ascii="Times New Roman" w:hAnsi="Times New Roman" w:cs="Times New Roman"/>
        </w:rPr>
        <w:t>Furthermore, the grounded approach strengthened the research process: the combination of a frames approach and network analysis emerged from the data, thus highlighting which social movement theories were more accurate at explaining the disengagement process.</w:t>
      </w:r>
    </w:p>
    <w:p w14:paraId="559FFB0F" w14:textId="1D4D53E4" w:rsidR="00A95D08" w:rsidRDefault="00A95D08" w:rsidP="00B57C7F">
      <w:pPr>
        <w:spacing w:line="360" w:lineRule="auto"/>
        <w:ind w:firstLine="720"/>
        <w:jc w:val="both"/>
        <w:rPr>
          <w:rFonts w:ascii="Times New Roman" w:hAnsi="Times New Roman" w:cs="Times New Roman"/>
        </w:rPr>
      </w:pPr>
      <w:r>
        <w:rPr>
          <w:rFonts w:ascii="Times New Roman" w:hAnsi="Times New Roman" w:cs="Times New Roman"/>
        </w:rPr>
        <w:t xml:space="preserve">Therefore, the benefit of these three approaches to gathering data is </w:t>
      </w:r>
      <w:r w:rsidR="00C63CE0">
        <w:rPr>
          <w:rFonts w:ascii="Times New Roman" w:hAnsi="Times New Roman" w:cs="Times New Roman"/>
        </w:rPr>
        <w:t>it provides a rich understanding of how actors work with one another and perceive their roles, and as it focuses on a specific role (i.e. community work) it has greater comprehensiveness than other studies which have interviewed former combatants but not tak</w:t>
      </w:r>
      <w:r w:rsidR="0096340D">
        <w:rPr>
          <w:rFonts w:ascii="Times New Roman" w:hAnsi="Times New Roman" w:cs="Times New Roman"/>
        </w:rPr>
        <w:t>en</w:t>
      </w:r>
      <w:r w:rsidR="00C63CE0">
        <w:rPr>
          <w:rFonts w:ascii="Times New Roman" w:hAnsi="Times New Roman" w:cs="Times New Roman"/>
        </w:rPr>
        <w:t xml:space="preserve"> into account their environment or who the interact with.</w:t>
      </w:r>
      <w:r w:rsidR="00C63CE0">
        <w:rPr>
          <w:rStyle w:val="FootnoteReference"/>
          <w:rFonts w:ascii="Times New Roman" w:hAnsi="Times New Roman" w:cs="Times New Roman"/>
        </w:rPr>
        <w:footnoteReference w:id="244"/>
      </w:r>
      <w:r w:rsidR="00C63CE0">
        <w:rPr>
          <w:rFonts w:ascii="Times New Roman" w:hAnsi="Times New Roman" w:cs="Times New Roman"/>
        </w:rPr>
        <w:t xml:space="preserve"> </w:t>
      </w:r>
      <w:r w:rsidR="00C475E5">
        <w:rPr>
          <w:rFonts w:ascii="Times New Roman" w:hAnsi="Times New Roman" w:cs="Times New Roman"/>
        </w:rPr>
        <w:t xml:space="preserve"> </w:t>
      </w:r>
    </w:p>
    <w:p w14:paraId="5855E035" w14:textId="05E1C2E4" w:rsidR="0099765A" w:rsidRDefault="00A95D08"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Overall, there were four types of interviewees, although there was often an overlap between the former combatants and community workers.</w:t>
      </w:r>
      <w:r w:rsidR="00C63CE0">
        <w:rPr>
          <w:rFonts w:ascii="Times New Roman" w:hAnsi="Times New Roman" w:cs="Times New Roman"/>
        </w:rPr>
        <w:t xml:space="preserve"> The first were former combatants who mainly consisted of f</w:t>
      </w:r>
      <w:r w:rsidR="002E5265">
        <w:rPr>
          <w:rFonts w:ascii="Times New Roman" w:hAnsi="Times New Roman" w:cs="Times New Roman"/>
        </w:rPr>
        <w:t>ive</w:t>
      </w:r>
      <w:r w:rsidR="00C63CE0">
        <w:rPr>
          <w:rFonts w:ascii="Times New Roman" w:hAnsi="Times New Roman" w:cs="Times New Roman"/>
        </w:rPr>
        <w:t xml:space="preserve"> former Provisional IRA members. One of the former Provisional IRA combatants had not been a member of Sinn Fein and did not support them, but was opposed to violence</w:t>
      </w:r>
      <w:r w:rsidR="002E5265">
        <w:rPr>
          <w:rFonts w:ascii="Times New Roman" w:hAnsi="Times New Roman" w:cs="Times New Roman"/>
        </w:rPr>
        <w:t xml:space="preserve"> and worked at interface areas</w:t>
      </w:r>
      <w:r w:rsidR="00C63CE0">
        <w:rPr>
          <w:rFonts w:ascii="Times New Roman" w:hAnsi="Times New Roman" w:cs="Times New Roman"/>
        </w:rPr>
        <w:t xml:space="preserve">. The other </w:t>
      </w:r>
      <w:r w:rsidR="002E5265">
        <w:rPr>
          <w:rFonts w:ascii="Times New Roman" w:hAnsi="Times New Roman" w:cs="Times New Roman"/>
        </w:rPr>
        <w:t>four</w:t>
      </w:r>
      <w:r w:rsidR="00C63CE0">
        <w:rPr>
          <w:rFonts w:ascii="Times New Roman" w:hAnsi="Times New Roman" w:cs="Times New Roman"/>
        </w:rPr>
        <w:t xml:space="preserve"> interviewees from this group were members of Sinn Fein and</w:t>
      </w:r>
      <w:r w:rsidR="002E5265">
        <w:rPr>
          <w:rFonts w:ascii="Times New Roman" w:hAnsi="Times New Roman" w:cs="Times New Roman"/>
        </w:rPr>
        <w:t xml:space="preserve"> had come from a mix of backgrounds in the Provisional IRA, with one being a</w:t>
      </w:r>
      <w:r w:rsidR="0099765A">
        <w:rPr>
          <w:rFonts w:ascii="Times New Roman" w:hAnsi="Times New Roman" w:cs="Times New Roman"/>
        </w:rPr>
        <w:t xml:space="preserve">n important </w:t>
      </w:r>
      <w:r w:rsidR="002E5265">
        <w:rPr>
          <w:rFonts w:ascii="Times New Roman" w:hAnsi="Times New Roman" w:cs="Times New Roman"/>
        </w:rPr>
        <w:t>senior figure in the group’s disengagement.</w:t>
      </w:r>
      <w:r w:rsidR="00C63CE0">
        <w:rPr>
          <w:rFonts w:ascii="Times New Roman" w:hAnsi="Times New Roman" w:cs="Times New Roman"/>
        </w:rPr>
        <w:t xml:space="preserve"> </w:t>
      </w:r>
      <w:r w:rsidR="002E5265">
        <w:rPr>
          <w:rFonts w:ascii="Times New Roman" w:hAnsi="Times New Roman" w:cs="Times New Roman"/>
        </w:rPr>
        <w:t xml:space="preserve">They were </w:t>
      </w:r>
      <w:r w:rsidR="00C63CE0">
        <w:rPr>
          <w:rFonts w:ascii="Times New Roman" w:hAnsi="Times New Roman" w:cs="Times New Roman"/>
        </w:rPr>
        <w:t xml:space="preserve">involved in </w:t>
      </w:r>
      <w:r w:rsidR="002E5265">
        <w:rPr>
          <w:rFonts w:ascii="Times New Roman" w:hAnsi="Times New Roman" w:cs="Times New Roman"/>
        </w:rPr>
        <w:t>a range of community work through Coiste, working alongside Loyalists and young people.</w:t>
      </w:r>
      <w:r w:rsidR="00C63CE0" w:rsidRPr="00C63CE0">
        <w:rPr>
          <w:rFonts w:ascii="Times New Roman" w:hAnsi="Times New Roman" w:cs="Times New Roman"/>
        </w:rPr>
        <w:t xml:space="preserve"> </w:t>
      </w:r>
      <w:r w:rsidR="002E5265">
        <w:rPr>
          <w:rFonts w:ascii="Times New Roman" w:hAnsi="Times New Roman" w:cs="Times New Roman"/>
        </w:rPr>
        <w:t xml:space="preserve">The former combatant </w:t>
      </w:r>
      <w:r w:rsidR="0099765A">
        <w:rPr>
          <w:rFonts w:ascii="Times New Roman" w:hAnsi="Times New Roman" w:cs="Times New Roman"/>
        </w:rPr>
        <w:t xml:space="preserve">interview </w:t>
      </w:r>
      <w:r w:rsidR="002E5265">
        <w:rPr>
          <w:rFonts w:ascii="Times New Roman" w:hAnsi="Times New Roman" w:cs="Times New Roman"/>
        </w:rPr>
        <w:t>group</w:t>
      </w:r>
      <w:r w:rsidR="00C63CE0">
        <w:rPr>
          <w:rFonts w:ascii="Times New Roman" w:hAnsi="Times New Roman" w:cs="Times New Roman"/>
        </w:rPr>
        <w:t xml:space="preserve"> also included figures from the Irish National Liberation Army and</w:t>
      </w:r>
      <w:r w:rsidR="002E5265">
        <w:rPr>
          <w:rFonts w:ascii="Times New Roman" w:hAnsi="Times New Roman" w:cs="Times New Roman"/>
        </w:rPr>
        <w:t xml:space="preserve"> the Ulster Defence Association, who provided useful insights on some of th</w:t>
      </w:r>
      <w:r w:rsidR="0099765A">
        <w:rPr>
          <w:rFonts w:ascii="Times New Roman" w:hAnsi="Times New Roman" w:cs="Times New Roman"/>
        </w:rPr>
        <w:t>e</w:t>
      </w:r>
      <w:r w:rsidR="002E5265">
        <w:rPr>
          <w:rFonts w:ascii="Times New Roman" w:hAnsi="Times New Roman" w:cs="Times New Roman"/>
        </w:rPr>
        <w:t xml:space="preserve"> community work which were more critical</w:t>
      </w:r>
      <w:r w:rsidR="0099765A">
        <w:rPr>
          <w:rFonts w:ascii="Times New Roman" w:hAnsi="Times New Roman" w:cs="Times New Roman"/>
        </w:rPr>
        <w:t xml:space="preserve"> of the Provisional IRA</w:t>
      </w:r>
      <w:r w:rsidR="002E5265">
        <w:rPr>
          <w:rFonts w:ascii="Times New Roman" w:hAnsi="Times New Roman" w:cs="Times New Roman"/>
        </w:rPr>
        <w:t xml:space="preserve">. Finally, whilst it was unclear the extent to which the interviewee was a </w:t>
      </w:r>
      <w:r w:rsidR="002E5265" w:rsidRPr="002E5265">
        <w:rPr>
          <w:rFonts w:ascii="Times New Roman" w:hAnsi="Times New Roman" w:cs="Times New Roman"/>
          <w:i/>
          <w:iCs/>
        </w:rPr>
        <w:t>former</w:t>
      </w:r>
      <w:r w:rsidR="002E5265">
        <w:rPr>
          <w:rFonts w:ascii="Times New Roman" w:hAnsi="Times New Roman" w:cs="Times New Roman"/>
        </w:rPr>
        <w:t xml:space="preserve"> combatant, a member of the 32 County Sovereignty Movement and a convicted member of the Real IRA was interviewed.</w:t>
      </w:r>
      <w:r w:rsidR="00AF57F1">
        <w:rPr>
          <w:rFonts w:ascii="Times New Roman" w:hAnsi="Times New Roman" w:cs="Times New Roman"/>
        </w:rPr>
        <w:t xml:space="preserve"> While this may be seen as a limited an unrepresentative sample, some of the figures interviewed were senior within the Provisional IRA: for example, one interviewee played a public role in the disengagement process and other interviewees were influential figures in Belfast.  </w:t>
      </w:r>
      <w:r w:rsidR="002E5265">
        <w:rPr>
          <w:rFonts w:ascii="Times New Roman" w:hAnsi="Times New Roman" w:cs="Times New Roman"/>
        </w:rPr>
        <w:t xml:space="preserve"> </w:t>
      </w:r>
    </w:p>
    <w:p w14:paraId="756F51A7" w14:textId="1ADB5CF5" w:rsidR="00C475E5" w:rsidRDefault="002E5265" w:rsidP="00B57C7F">
      <w:pPr>
        <w:spacing w:line="360" w:lineRule="auto"/>
        <w:ind w:firstLine="720"/>
        <w:jc w:val="both"/>
        <w:rPr>
          <w:rFonts w:ascii="Times New Roman" w:hAnsi="Times New Roman" w:cs="Times New Roman"/>
        </w:rPr>
      </w:pPr>
      <w:r>
        <w:rPr>
          <w:rFonts w:ascii="Times New Roman" w:hAnsi="Times New Roman" w:cs="Times New Roman"/>
        </w:rPr>
        <w:t xml:space="preserve">The second group of interviewees were community workers: some of whom were also former combatants, were overtly linked to the political groups affiliated to paramilitary organisations, or who had personal ties to former combatants as a result of being involved in the community. </w:t>
      </w:r>
      <w:r w:rsidR="00FB6903">
        <w:rPr>
          <w:rFonts w:ascii="Times New Roman" w:hAnsi="Times New Roman" w:cs="Times New Roman"/>
        </w:rPr>
        <w:t>The term ‘community worker’ is used loosely to refer to people who work in the voluntary sector or indirectly connected with (local) government; in many cases the interviewees were directors of the organisations or project managers. The activities of these community workers include: interface work; youth work; conflict transformation, restorative justice and truth-telling; or writing, encouraging and managing funding proposals. Approximately half worked in predominantly Catholic, Nationalist, Republican areas and the other half working in Protestant, Unionist, Loyalist areas.</w:t>
      </w:r>
      <w:r w:rsidR="005A05AA">
        <w:rPr>
          <w:rFonts w:ascii="Times New Roman" w:hAnsi="Times New Roman" w:cs="Times New Roman"/>
        </w:rPr>
        <w:t xml:space="preserve"> The community workers were able to provide substantial depth of knowledge with regard to Republican areas as many have lived there all their life and the lack of an overt political affiliation for some community workers – although they would acknowledge that they are sectarian in a way - meant that they were less concerned </w:t>
      </w:r>
      <w:r w:rsidR="005A05AA">
        <w:rPr>
          <w:rFonts w:ascii="Times New Roman" w:hAnsi="Times New Roman" w:cs="Times New Roman"/>
        </w:rPr>
        <w:lastRenderedPageBreak/>
        <w:t>about projecting a political agenda.</w:t>
      </w:r>
      <w:r w:rsidR="00C43FDB">
        <w:rPr>
          <w:rFonts w:ascii="Times New Roman" w:hAnsi="Times New Roman" w:cs="Times New Roman"/>
        </w:rPr>
        <w:t xml:space="preserve"> As noted by one of the interviewees, there were only a dozen of people – linked to various organisations - involved directly in the Belfast interface areas</w:t>
      </w:r>
      <w:r w:rsidR="00C43FDB">
        <w:rPr>
          <w:rStyle w:val="FootnoteReference"/>
          <w:rFonts w:ascii="Times New Roman" w:hAnsi="Times New Roman" w:cs="Times New Roman"/>
        </w:rPr>
        <w:footnoteReference w:id="245"/>
      </w:r>
      <w:r w:rsidR="00C43FDB">
        <w:rPr>
          <w:rFonts w:ascii="Times New Roman" w:hAnsi="Times New Roman" w:cs="Times New Roman"/>
        </w:rPr>
        <w:t xml:space="preserve"> therefore the fieldwork data is representative of a large part of this network, with only one out of four major interface areas – Suffolk and Lenadoon - not being included. </w:t>
      </w:r>
      <w:r w:rsidR="00FB6903">
        <w:rPr>
          <w:rFonts w:ascii="Times New Roman" w:hAnsi="Times New Roman" w:cs="Times New Roman"/>
        </w:rPr>
        <w:t xml:space="preserve"> </w:t>
      </w:r>
    </w:p>
    <w:p w14:paraId="6BC62FC8" w14:textId="4EB29B12" w:rsidR="0099765A" w:rsidRDefault="00FB6903" w:rsidP="00B57C7F">
      <w:pPr>
        <w:spacing w:line="360" w:lineRule="auto"/>
        <w:ind w:firstLine="720"/>
        <w:jc w:val="both"/>
        <w:rPr>
          <w:rFonts w:ascii="Times New Roman" w:hAnsi="Times New Roman" w:cs="Times New Roman"/>
        </w:rPr>
      </w:pPr>
      <w:r>
        <w:rPr>
          <w:rFonts w:ascii="Times New Roman" w:hAnsi="Times New Roman" w:cs="Times New Roman"/>
        </w:rPr>
        <w:t xml:space="preserve">The third group of interviewees can be classified as state </w:t>
      </w:r>
      <w:r w:rsidR="00852AC4">
        <w:rPr>
          <w:rFonts w:ascii="Times New Roman" w:hAnsi="Times New Roman" w:cs="Times New Roman"/>
        </w:rPr>
        <w:t xml:space="preserve">and </w:t>
      </w:r>
      <w:r>
        <w:rPr>
          <w:rFonts w:ascii="Times New Roman" w:hAnsi="Times New Roman" w:cs="Times New Roman"/>
        </w:rPr>
        <w:t>security officials</w:t>
      </w:r>
      <w:r w:rsidR="00852AC4">
        <w:rPr>
          <w:rFonts w:ascii="Times New Roman" w:hAnsi="Times New Roman" w:cs="Times New Roman"/>
        </w:rPr>
        <w:t>, who helped to provide a context to the study, whether this was with regard to the UK’s counter-terrorism strategy against Jihadists, institutional pressures that the police face, or the internal politics of the policing board.</w:t>
      </w:r>
      <w:r w:rsidR="00604ABB">
        <w:rPr>
          <w:rFonts w:ascii="Times New Roman" w:hAnsi="Times New Roman" w:cs="Times New Roman"/>
        </w:rPr>
        <w:t xml:space="preserve"> One of the interviewees in this category was</w:t>
      </w:r>
      <w:r w:rsidR="000F4349">
        <w:rPr>
          <w:rFonts w:ascii="Times New Roman" w:hAnsi="Times New Roman" w:cs="Times New Roman"/>
        </w:rPr>
        <w:t xml:space="preserve"> made</w:t>
      </w:r>
      <w:r w:rsidR="00604ABB">
        <w:rPr>
          <w:rFonts w:ascii="Times New Roman" w:hAnsi="Times New Roman" w:cs="Times New Roman"/>
        </w:rPr>
        <w:t xml:space="preserve"> responsible </w:t>
      </w:r>
      <w:r w:rsidR="000F4349">
        <w:rPr>
          <w:rFonts w:ascii="Times New Roman" w:hAnsi="Times New Roman" w:cs="Times New Roman"/>
        </w:rPr>
        <w:t xml:space="preserve">by the Northern Ireland government </w:t>
      </w:r>
      <w:r w:rsidR="00604ABB">
        <w:rPr>
          <w:rFonts w:ascii="Times New Roman" w:hAnsi="Times New Roman" w:cs="Times New Roman"/>
        </w:rPr>
        <w:t xml:space="preserve">for assessing the extent that the community groups set up by former combatants had legitimately moved away from violence and were adhering </w:t>
      </w:r>
      <w:r w:rsidR="0016282B">
        <w:rPr>
          <w:rFonts w:ascii="Times New Roman" w:hAnsi="Times New Roman" w:cs="Times New Roman"/>
        </w:rPr>
        <w:t>to criteria</w:t>
      </w:r>
      <w:r w:rsidR="00604ABB">
        <w:rPr>
          <w:rFonts w:ascii="Times New Roman" w:hAnsi="Times New Roman" w:cs="Times New Roman"/>
        </w:rPr>
        <w:t xml:space="preserve"> for accreditation.</w:t>
      </w:r>
      <w:r w:rsidR="000F4349">
        <w:rPr>
          <w:rFonts w:ascii="Times New Roman" w:hAnsi="Times New Roman" w:cs="Times New Roman"/>
        </w:rPr>
        <w:t xml:space="preserve"> This interviewee confirmed that they had legitimately moved away from violence, and stated how the former combatants have undergone a transformation in attitudes commensurate to how the thesis understands de-radicalisation.</w:t>
      </w:r>
      <w:r w:rsidR="00604ABB">
        <w:rPr>
          <w:rFonts w:ascii="Times New Roman" w:hAnsi="Times New Roman" w:cs="Times New Roman"/>
        </w:rPr>
        <w:t xml:space="preserve"> Therefore, these interviews were crucial for corroborating findings from the other groups </w:t>
      </w:r>
      <w:r w:rsidR="0016282B">
        <w:rPr>
          <w:rFonts w:ascii="Times New Roman" w:hAnsi="Times New Roman" w:cs="Times New Roman"/>
        </w:rPr>
        <w:t>of interviewees</w:t>
      </w:r>
      <w:r w:rsidR="000F4349">
        <w:rPr>
          <w:rFonts w:ascii="Times New Roman" w:hAnsi="Times New Roman" w:cs="Times New Roman"/>
        </w:rPr>
        <w:t xml:space="preserve"> – such as former combatants -</w:t>
      </w:r>
      <w:r w:rsidR="0016282B">
        <w:rPr>
          <w:rFonts w:ascii="Times New Roman" w:hAnsi="Times New Roman" w:cs="Times New Roman"/>
        </w:rPr>
        <w:t xml:space="preserve"> </w:t>
      </w:r>
      <w:r w:rsidR="00604ABB">
        <w:rPr>
          <w:rFonts w:ascii="Times New Roman" w:hAnsi="Times New Roman" w:cs="Times New Roman"/>
        </w:rPr>
        <w:t>and added significant weight to their credibility.</w:t>
      </w:r>
      <w:r w:rsidR="00852AC4">
        <w:rPr>
          <w:rFonts w:ascii="Times New Roman" w:hAnsi="Times New Roman" w:cs="Times New Roman"/>
        </w:rPr>
        <w:t xml:space="preserve"> </w:t>
      </w:r>
    </w:p>
    <w:p w14:paraId="4A9C6063" w14:textId="35BF84F0" w:rsidR="00FB6903" w:rsidRDefault="00852AC4" w:rsidP="00B57C7F">
      <w:pPr>
        <w:spacing w:line="360" w:lineRule="auto"/>
        <w:ind w:firstLine="720"/>
        <w:jc w:val="both"/>
        <w:rPr>
          <w:rFonts w:ascii="Times New Roman" w:hAnsi="Times New Roman" w:cs="Times New Roman"/>
        </w:rPr>
      </w:pPr>
      <w:r>
        <w:rPr>
          <w:rFonts w:ascii="Times New Roman" w:hAnsi="Times New Roman" w:cs="Times New Roman"/>
        </w:rPr>
        <w:t>T</w:t>
      </w:r>
      <w:r w:rsidR="00971F27">
        <w:rPr>
          <w:rFonts w:ascii="Times New Roman" w:hAnsi="Times New Roman" w:cs="Times New Roman"/>
        </w:rPr>
        <w:t xml:space="preserve">he </w:t>
      </w:r>
      <w:r w:rsidR="0067782F">
        <w:rPr>
          <w:rFonts w:ascii="Times New Roman" w:hAnsi="Times New Roman" w:cs="Times New Roman"/>
        </w:rPr>
        <w:t>fourth gr</w:t>
      </w:r>
      <w:r w:rsidR="0099765A">
        <w:rPr>
          <w:rFonts w:ascii="Times New Roman" w:hAnsi="Times New Roman" w:cs="Times New Roman"/>
        </w:rPr>
        <w:t>oup consisted of</w:t>
      </w:r>
      <w:r w:rsidR="0067782F">
        <w:rPr>
          <w:rFonts w:ascii="Times New Roman" w:hAnsi="Times New Roman" w:cs="Times New Roman"/>
        </w:rPr>
        <w:t xml:space="preserve"> young peopl</w:t>
      </w:r>
      <w:r w:rsidR="0016282B">
        <w:rPr>
          <w:rFonts w:ascii="Times New Roman" w:hAnsi="Times New Roman" w:cs="Times New Roman"/>
        </w:rPr>
        <w:t>e, defined in the study as 17-24</w:t>
      </w:r>
      <w:r w:rsidR="0067782F">
        <w:rPr>
          <w:rFonts w:ascii="Times New Roman" w:hAnsi="Times New Roman" w:cs="Times New Roman"/>
        </w:rPr>
        <w:t xml:space="preserve"> years old. As there were difficulties in reaching young people, particularly those who would be from areas which would be defined as traditionally Republican, these interviews were arranged through gatekeepers. As mentioned above, Sinn Fein helped to bring together a group of young party members, all of whom who had participated in the programmes ran by former combatants for young people. </w:t>
      </w:r>
      <w:r w:rsidR="000E2216">
        <w:rPr>
          <w:rFonts w:ascii="Times New Roman" w:hAnsi="Times New Roman" w:cs="Times New Roman"/>
        </w:rPr>
        <w:t xml:space="preserve">The two other means of engaging with this group was through proxies, firstly through an interview with the head of a project that brought former combatants into schools to de-glamourise violence, and secondly through a community worker </w:t>
      </w:r>
      <w:r w:rsidR="0099765A">
        <w:rPr>
          <w:rFonts w:ascii="Times New Roman" w:hAnsi="Times New Roman" w:cs="Times New Roman"/>
        </w:rPr>
        <w:t>who</w:t>
      </w:r>
      <w:r w:rsidR="000E2216">
        <w:rPr>
          <w:rFonts w:ascii="Times New Roman" w:hAnsi="Times New Roman" w:cs="Times New Roman"/>
        </w:rPr>
        <w:t xml:space="preserve"> relayed the questions to a group of Loyalist youth in East Belfast.</w:t>
      </w:r>
      <w:r w:rsidR="003C4207">
        <w:rPr>
          <w:rFonts w:ascii="Times New Roman" w:hAnsi="Times New Roman" w:cs="Times New Roman"/>
        </w:rPr>
        <w:t xml:space="preserve"> </w:t>
      </w:r>
      <w:r w:rsidR="000E2216">
        <w:rPr>
          <w:rFonts w:ascii="Times New Roman" w:hAnsi="Times New Roman" w:cs="Times New Roman"/>
        </w:rPr>
        <w:t xml:space="preserve">As the focus has been on Republicanism in the thesis, the latter data was used to provide context rather than contribute to the analysis. Having outlined the means of gathering data, which data </w:t>
      </w:r>
      <w:r w:rsidR="000E2216">
        <w:rPr>
          <w:rFonts w:ascii="Times New Roman" w:hAnsi="Times New Roman" w:cs="Times New Roman"/>
        </w:rPr>
        <w:lastRenderedPageBreak/>
        <w:t>was selected and the rationale for doing so, the chapter now explains the methods used in the interviews.</w:t>
      </w:r>
    </w:p>
    <w:p w14:paraId="1151ED6F" w14:textId="67CF3829" w:rsidR="003C4207" w:rsidRDefault="003C4207" w:rsidP="00B57C7F">
      <w:pPr>
        <w:spacing w:line="360" w:lineRule="auto"/>
        <w:ind w:firstLine="720"/>
        <w:jc w:val="both"/>
        <w:rPr>
          <w:rFonts w:ascii="Times New Roman" w:hAnsi="Times New Roman" w:cs="Times New Roman"/>
        </w:rPr>
      </w:pPr>
      <w:r>
        <w:rPr>
          <w:rFonts w:ascii="Times New Roman" w:hAnsi="Times New Roman" w:cs="Times New Roman"/>
        </w:rPr>
        <w:t xml:space="preserve">The </w:t>
      </w:r>
      <w:r w:rsidR="006508B8">
        <w:rPr>
          <w:rFonts w:ascii="Times New Roman" w:hAnsi="Times New Roman" w:cs="Times New Roman"/>
        </w:rPr>
        <w:t>sample used in the thesis is sufficiently wide because: a) the interviewees were senior and/or influential within the Provisional IRA in Belfast, the community networks, or were in charge of organisations such as the Police Federation; b) the potential cohort of former combatants working at interface areas is relatively small so the interviews were highly representative; c) the interviewee findings have been corroborated through primary and secondary data. On the last point, for example, the data from young people, while only from a handful of perspectives, was corroborated when talking to former combatants, community workers and security officials who confirmed many of the points that were raised in the focus group.</w:t>
      </w:r>
    </w:p>
    <w:p w14:paraId="336293DC" w14:textId="77777777" w:rsidR="006508B8" w:rsidRDefault="006508B8" w:rsidP="00B57C7F">
      <w:pPr>
        <w:spacing w:line="360" w:lineRule="auto"/>
        <w:ind w:firstLine="720"/>
        <w:jc w:val="both"/>
        <w:rPr>
          <w:rFonts w:ascii="Times New Roman" w:hAnsi="Times New Roman" w:cs="Times New Roman"/>
        </w:rPr>
      </w:pPr>
    </w:p>
    <w:p w14:paraId="3B177E43" w14:textId="40D04773" w:rsidR="009E3DF5" w:rsidRDefault="009E3DF5" w:rsidP="00B57C7F">
      <w:pPr>
        <w:pStyle w:val="Heading3"/>
        <w:spacing w:before="120" w:line="360" w:lineRule="auto"/>
      </w:pPr>
      <w:bookmarkStart w:id="33" w:name="_Toc389208816"/>
      <w:r>
        <w:t>Methods</w:t>
      </w:r>
      <w:bookmarkEnd w:id="33"/>
    </w:p>
    <w:p w14:paraId="0F53AC48" w14:textId="69E9417C" w:rsidR="0041039C" w:rsidRDefault="009E3DF5" w:rsidP="00B57C7F">
      <w:pPr>
        <w:spacing w:line="36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The thesis gathered empirical data by </w:t>
      </w:r>
      <w:r w:rsidR="00FD33B0">
        <w:rPr>
          <w:rFonts w:ascii="Times New Roman" w:hAnsi="Times New Roman" w:cs="Times New Roman"/>
          <w:bCs/>
        </w:rPr>
        <w:t xml:space="preserve">two means: interviews and focus groups. </w:t>
      </w:r>
      <w:r w:rsidR="0041039C">
        <w:rPr>
          <w:rFonts w:ascii="Times New Roman" w:hAnsi="Times New Roman" w:cs="Times New Roman"/>
          <w:bCs/>
        </w:rPr>
        <w:t>The methodology outlined above influenced the type of methods utilised. The methodology seeks to understand attitudes and how these changed through the interpretation of the environment, how people framed this politically.</w:t>
      </w:r>
      <w:r w:rsidR="00D437D2">
        <w:rPr>
          <w:rFonts w:ascii="Times New Roman" w:hAnsi="Times New Roman" w:cs="Times New Roman"/>
          <w:bCs/>
        </w:rPr>
        <w:t xml:space="preserve"> Qualitative methods, such as interviews and focus groups, place significant emphasis on how the interviewee frames and understands issues and events, hence why these approaches were suitable for the study</w:t>
      </w:r>
      <w:r w:rsidR="0099765A">
        <w:rPr>
          <w:rFonts w:ascii="Times New Roman" w:hAnsi="Times New Roman" w:cs="Times New Roman"/>
          <w:bCs/>
        </w:rPr>
        <w:t>.</w:t>
      </w:r>
      <w:r w:rsidR="00D437D2">
        <w:rPr>
          <w:rStyle w:val="FootnoteReference"/>
          <w:rFonts w:ascii="Times New Roman" w:hAnsi="Times New Roman" w:cs="Times New Roman"/>
          <w:bCs/>
        </w:rPr>
        <w:footnoteReference w:id="246"/>
      </w:r>
      <w:r w:rsidR="0041039C">
        <w:rPr>
          <w:rFonts w:ascii="Times New Roman" w:hAnsi="Times New Roman" w:cs="Times New Roman"/>
          <w:bCs/>
        </w:rPr>
        <w:t xml:space="preserve"> </w:t>
      </w:r>
      <w:r w:rsidR="00D437D2">
        <w:rPr>
          <w:rFonts w:ascii="Times New Roman" w:hAnsi="Times New Roman" w:cs="Times New Roman"/>
          <w:bCs/>
        </w:rPr>
        <w:t>Given the role of identity and the perception of opportunities and grievances for mobilisation,</w:t>
      </w:r>
      <w:r w:rsidR="000E03FC">
        <w:rPr>
          <w:rStyle w:val="FootnoteReference"/>
          <w:rFonts w:ascii="Times New Roman" w:hAnsi="Times New Roman" w:cs="Times New Roman"/>
          <w:bCs/>
        </w:rPr>
        <w:footnoteReference w:id="247"/>
      </w:r>
      <w:r w:rsidR="00D437D2">
        <w:rPr>
          <w:rFonts w:ascii="Times New Roman" w:hAnsi="Times New Roman" w:cs="Times New Roman"/>
          <w:bCs/>
        </w:rPr>
        <w:t xml:space="preserve"> </w:t>
      </w:r>
      <w:r w:rsidR="000E03FC">
        <w:rPr>
          <w:rFonts w:ascii="Times New Roman" w:hAnsi="Times New Roman" w:cs="Times New Roman"/>
          <w:bCs/>
        </w:rPr>
        <w:t>the use of qualitative methods allows the research to understand how interviewees frame their behaviour.</w:t>
      </w:r>
      <w:r w:rsidR="00D437D2">
        <w:rPr>
          <w:rFonts w:ascii="Times New Roman" w:hAnsi="Times New Roman" w:cs="Times New Roman"/>
          <w:bCs/>
        </w:rPr>
        <w:t xml:space="preserve"> </w:t>
      </w:r>
      <w:r w:rsidR="00F86CD7">
        <w:rPr>
          <w:rFonts w:ascii="Times New Roman" w:hAnsi="Times New Roman" w:cs="Times New Roman"/>
          <w:bCs/>
        </w:rPr>
        <w:t>Finally, q</w:t>
      </w:r>
      <w:r w:rsidR="0041039C">
        <w:rPr>
          <w:rFonts w:ascii="Times New Roman" w:hAnsi="Times New Roman" w:cs="Times New Roman"/>
          <w:bCs/>
        </w:rPr>
        <w:t>ualitative methods are not attempting to make generalisations to a broader population but are emphasising the distinctive nature of their sample populations</w:t>
      </w:r>
      <w:r w:rsidR="00F86CD7">
        <w:rPr>
          <w:rFonts w:ascii="Times New Roman" w:hAnsi="Times New Roman" w:cs="Times New Roman"/>
          <w:bCs/>
        </w:rPr>
        <w:t>,</w:t>
      </w:r>
      <w:r w:rsidR="00F86CD7" w:rsidRPr="00F86CD7">
        <w:rPr>
          <w:rStyle w:val="FootnoteReference"/>
          <w:rFonts w:ascii="Times New Roman" w:hAnsi="Times New Roman" w:cs="Times New Roman"/>
          <w:bCs/>
        </w:rPr>
        <w:t xml:space="preserve"> </w:t>
      </w:r>
      <w:r w:rsidR="00F86CD7">
        <w:rPr>
          <w:rStyle w:val="FootnoteReference"/>
          <w:rFonts w:ascii="Times New Roman" w:hAnsi="Times New Roman" w:cs="Times New Roman"/>
          <w:bCs/>
        </w:rPr>
        <w:footnoteReference w:id="248"/>
      </w:r>
      <w:r w:rsidR="00F86CD7">
        <w:rPr>
          <w:rFonts w:ascii="Times New Roman" w:hAnsi="Times New Roman" w:cs="Times New Roman"/>
          <w:bCs/>
        </w:rPr>
        <w:t xml:space="preserve">  which is then contextualised within the social movement</w:t>
      </w:r>
      <w:r w:rsidR="00D51325">
        <w:rPr>
          <w:rFonts w:ascii="Times New Roman" w:hAnsi="Times New Roman" w:cs="Times New Roman"/>
          <w:bCs/>
        </w:rPr>
        <w:t>.</w:t>
      </w:r>
      <w:r w:rsidR="0041039C">
        <w:rPr>
          <w:rFonts w:ascii="Times New Roman" w:hAnsi="Times New Roman" w:cs="Times New Roman"/>
          <w:bCs/>
        </w:rPr>
        <w:t xml:space="preserve"> </w:t>
      </w:r>
    </w:p>
    <w:p w14:paraId="1804F4C4" w14:textId="0843586A" w:rsidR="00543A07" w:rsidRDefault="009E3DF5" w:rsidP="00B57C7F">
      <w:pPr>
        <w:spacing w:line="360" w:lineRule="auto"/>
        <w:jc w:val="both"/>
        <w:rPr>
          <w:rFonts w:ascii="Times New Roman" w:hAnsi="Times New Roman" w:cs="Times New Roman"/>
          <w:bCs/>
        </w:rPr>
      </w:pPr>
      <w:r>
        <w:rPr>
          <w:rFonts w:ascii="Times New Roman" w:hAnsi="Times New Roman" w:cs="Times New Roman"/>
          <w:bCs/>
        </w:rPr>
        <w:lastRenderedPageBreak/>
        <w:tab/>
        <w:t xml:space="preserve"> The primary so</w:t>
      </w:r>
      <w:r w:rsidR="0016282B">
        <w:rPr>
          <w:rFonts w:ascii="Times New Roman" w:hAnsi="Times New Roman" w:cs="Times New Roman"/>
          <w:bCs/>
        </w:rPr>
        <w:t>urce of data was derived from semi-</w:t>
      </w:r>
      <w:r>
        <w:rPr>
          <w:rFonts w:ascii="Times New Roman" w:hAnsi="Times New Roman" w:cs="Times New Roman"/>
          <w:bCs/>
        </w:rPr>
        <w:t>structured interviews which followed a topic-guide depending on the background of the participant.</w:t>
      </w:r>
      <w:r w:rsidR="0016282B">
        <w:rPr>
          <w:rFonts w:ascii="Times New Roman" w:hAnsi="Times New Roman" w:cs="Times New Roman"/>
          <w:bCs/>
        </w:rPr>
        <w:t xml:space="preserve"> </w:t>
      </w:r>
      <w:r>
        <w:rPr>
          <w:rFonts w:ascii="Times New Roman" w:hAnsi="Times New Roman" w:cs="Times New Roman"/>
          <w:bCs/>
        </w:rPr>
        <w:t>The background of the participant was partly identified prior to the interview but at first it was unknown that certain community groups were divided by paramilitary links, sometimes meaning that some questions could not be asked</w:t>
      </w:r>
      <w:r w:rsidR="00D51325">
        <w:rPr>
          <w:rFonts w:ascii="Times New Roman" w:hAnsi="Times New Roman" w:cs="Times New Roman"/>
          <w:bCs/>
        </w:rPr>
        <w:t>.</w:t>
      </w:r>
      <w:r>
        <w:rPr>
          <w:rStyle w:val="FootnoteReference"/>
          <w:rFonts w:ascii="Times New Roman" w:hAnsi="Times New Roman" w:cs="Times New Roman"/>
          <w:bCs/>
        </w:rPr>
        <w:footnoteReference w:id="249"/>
      </w:r>
      <w:r>
        <w:rPr>
          <w:rFonts w:ascii="Times New Roman" w:hAnsi="Times New Roman" w:cs="Times New Roman"/>
          <w:bCs/>
        </w:rPr>
        <w:t xml:space="preserve"> Therefore, at the start of interviews, participants were invited to speak about their own background with little guidance, and this was used to shape the topic-guide around areas they were knowledgeable</w:t>
      </w:r>
      <w:r w:rsidR="0099765A">
        <w:rPr>
          <w:rFonts w:ascii="Times New Roman" w:hAnsi="Times New Roman" w:cs="Times New Roman"/>
          <w:bCs/>
        </w:rPr>
        <w:t xml:space="preserve"> about</w:t>
      </w:r>
      <w:r>
        <w:rPr>
          <w:rFonts w:ascii="Times New Roman" w:hAnsi="Times New Roman" w:cs="Times New Roman"/>
          <w:bCs/>
        </w:rPr>
        <w:t xml:space="preserve"> and comfortable discussing. Upon building a clearer picture of the participant’s background, a topic-guide was sign-posted to the participant to help guide the discussion. The topic-guide would involve issues such as the mobile phone network, E</w:t>
      </w:r>
      <w:r w:rsidR="00E92399">
        <w:rPr>
          <w:rFonts w:ascii="Times New Roman" w:hAnsi="Times New Roman" w:cs="Times New Roman"/>
          <w:bCs/>
        </w:rPr>
        <w:t xml:space="preserve">uropean </w:t>
      </w:r>
      <w:r>
        <w:rPr>
          <w:rFonts w:ascii="Times New Roman" w:hAnsi="Times New Roman" w:cs="Times New Roman"/>
          <w:bCs/>
        </w:rPr>
        <w:t>U</w:t>
      </w:r>
      <w:r w:rsidR="00E92399">
        <w:rPr>
          <w:rFonts w:ascii="Times New Roman" w:hAnsi="Times New Roman" w:cs="Times New Roman"/>
          <w:bCs/>
        </w:rPr>
        <w:t>nion (EU)</w:t>
      </w:r>
      <w:r>
        <w:rPr>
          <w:rFonts w:ascii="Times New Roman" w:hAnsi="Times New Roman" w:cs="Times New Roman"/>
          <w:bCs/>
        </w:rPr>
        <w:t xml:space="preserve"> funding, </w:t>
      </w:r>
      <w:r w:rsidR="008A3E98">
        <w:rPr>
          <w:rFonts w:ascii="Times New Roman" w:hAnsi="Times New Roman" w:cs="Times New Roman"/>
          <w:bCs/>
        </w:rPr>
        <w:t>involvement in the Provisional IRA, and prospects for the peace process</w:t>
      </w:r>
      <w:r>
        <w:rPr>
          <w:rFonts w:ascii="Times New Roman" w:hAnsi="Times New Roman" w:cs="Times New Roman"/>
          <w:bCs/>
        </w:rPr>
        <w:t xml:space="preserve">. </w:t>
      </w:r>
      <w:r w:rsidR="004F5748">
        <w:rPr>
          <w:rFonts w:ascii="Times New Roman" w:hAnsi="Times New Roman" w:cs="Times New Roman"/>
          <w:bCs/>
        </w:rPr>
        <w:t>A semi-structured interview</w:t>
      </w:r>
      <w:r w:rsidR="0099765A">
        <w:rPr>
          <w:rFonts w:ascii="Times New Roman" w:hAnsi="Times New Roman" w:cs="Times New Roman"/>
          <w:bCs/>
        </w:rPr>
        <w:t xml:space="preserve"> approach was used to minimise </w:t>
      </w:r>
      <w:r w:rsidR="004F5748">
        <w:rPr>
          <w:rFonts w:ascii="Times New Roman" w:hAnsi="Times New Roman" w:cs="Times New Roman"/>
          <w:bCs/>
        </w:rPr>
        <w:t xml:space="preserve">the impact of the interviewer </w:t>
      </w:r>
      <w:r w:rsidR="0099765A">
        <w:rPr>
          <w:rFonts w:ascii="Times New Roman" w:hAnsi="Times New Roman" w:cs="Times New Roman"/>
          <w:bCs/>
        </w:rPr>
        <w:t>on what the informant says and</w:t>
      </w:r>
      <w:r w:rsidR="004F5748">
        <w:rPr>
          <w:rFonts w:ascii="Times New Roman" w:hAnsi="Times New Roman" w:cs="Times New Roman"/>
          <w:bCs/>
        </w:rPr>
        <w:t xml:space="preserve"> to encourage informants to talk in their own terms about matters</w:t>
      </w:r>
      <w:r w:rsidR="0099765A">
        <w:rPr>
          <w:rFonts w:ascii="Times New Roman" w:hAnsi="Times New Roman" w:cs="Times New Roman"/>
          <w:bCs/>
        </w:rPr>
        <w:t xml:space="preserve"> relevant to the research topic</w:t>
      </w:r>
      <w:r w:rsidR="004F5748">
        <w:rPr>
          <w:rFonts w:ascii="Times New Roman" w:hAnsi="Times New Roman" w:cs="Times New Roman"/>
          <w:bCs/>
        </w:rPr>
        <w:t>.</w:t>
      </w:r>
      <w:r w:rsidR="004F5748">
        <w:rPr>
          <w:rStyle w:val="FootnoteReference"/>
          <w:rFonts w:ascii="Times New Roman" w:hAnsi="Times New Roman" w:cs="Times New Roman"/>
          <w:bCs/>
        </w:rPr>
        <w:footnoteReference w:id="250"/>
      </w:r>
      <w:r w:rsidR="004F5748">
        <w:rPr>
          <w:rFonts w:ascii="Times New Roman" w:hAnsi="Times New Roman" w:cs="Times New Roman"/>
          <w:bCs/>
        </w:rPr>
        <w:t xml:space="preserve"> This approach provided emphasis on how the interviewee frames and understands issues and events,</w:t>
      </w:r>
      <w:r w:rsidR="004F5748">
        <w:rPr>
          <w:rStyle w:val="FootnoteReference"/>
          <w:rFonts w:ascii="Times New Roman" w:hAnsi="Times New Roman" w:cs="Times New Roman"/>
          <w:bCs/>
        </w:rPr>
        <w:footnoteReference w:id="251"/>
      </w:r>
      <w:r w:rsidR="004F5748">
        <w:rPr>
          <w:rFonts w:ascii="Times New Roman" w:hAnsi="Times New Roman" w:cs="Times New Roman"/>
          <w:bCs/>
        </w:rPr>
        <w:t xml:space="preserve"> while giving maximum flexibility and increasing the richness of answers.</w:t>
      </w:r>
      <w:r w:rsidR="004F5748">
        <w:rPr>
          <w:rStyle w:val="FootnoteReference"/>
          <w:rFonts w:ascii="Times New Roman" w:hAnsi="Times New Roman" w:cs="Times New Roman"/>
          <w:bCs/>
        </w:rPr>
        <w:footnoteReference w:id="252"/>
      </w:r>
      <w:r w:rsidR="004F5748">
        <w:rPr>
          <w:rFonts w:ascii="Times New Roman" w:hAnsi="Times New Roman" w:cs="Times New Roman"/>
          <w:bCs/>
        </w:rPr>
        <w:t xml:space="preserve"> </w:t>
      </w:r>
      <w:r>
        <w:rPr>
          <w:rFonts w:ascii="Times New Roman" w:hAnsi="Times New Roman" w:cs="Times New Roman"/>
          <w:bCs/>
        </w:rPr>
        <w:t>Wh</w:t>
      </w:r>
      <w:r w:rsidR="0099765A">
        <w:rPr>
          <w:rFonts w:ascii="Times New Roman" w:hAnsi="Times New Roman" w:cs="Times New Roman"/>
          <w:bCs/>
        </w:rPr>
        <w:t xml:space="preserve">ile </w:t>
      </w:r>
      <w:r w:rsidR="00280028">
        <w:rPr>
          <w:rFonts w:ascii="Times New Roman" w:hAnsi="Times New Roman" w:cs="Times New Roman"/>
          <w:bCs/>
        </w:rPr>
        <w:t>a participant ‘going off’ on tangents is</w:t>
      </w:r>
      <w:r w:rsidR="0099765A">
        <w:rPr>
          <w:rFonts w:ascii="Times New Roman" w:hAnsi="Times New Roman" w:cs="Times New Roman"/>
          <w:bCs/>
        </w:rPr>
        <w:t xml:space="preserve"> often encouraged</w:t>
      </w:r>
      <w:r>
        <w:rPr>
          <w:rFonts w:ascii="Times New Roman" w:hAnsi="Times New Roman" w:cs="Times New Roman"/>
          <w:bCs/>
        </w:rPr>
        <w:t xml:space="preserve"> in qualitative research</w:t>
      </w:r>
      <w:r w:rsidR="00D51325">
        <w:rPr>
          <w:rFonts w:ascii="Times New Roman" w:hAnsi="Times New Roman" w:cs="Times New Roman"/>
          <w:bCs/>
        </w:rPr>
        <w:t>,</w:t>
      </w:r>
      <w:r>
        <w:rPr>
          <w:rStyle w:val="FootnoteReference"/>
          <w:rFonts w:ascii="Times New Roman" w:hAnsi="Times New Roman" w:cs="Times New Roman"/>
          <w:bCs/>
        </w:rPr>
        <w:footnoteReference w:id="253"/>
      </w:r>
      <w:r>
        <w:rPr>
          <w:rFonts w:ascii="Times New Roman" w:hAnsi="Times New Roman" w:cs="Times New Roman"/>
          <w:bCs/>
        </w:rPr>
        <w:t xml:space="preserve"> sign-posting the topic guide allowed those tangents to be more focused.</w:t>
      </w:r>
      <w:r w:rsidR="008A3E98">
        <w:rPr>
          <w:rFonts w:ascii="Times New Roman" w:hAnsi="Times New Roman" w:cs="Times New Roman"/>
          <w:bCs/>
        </w:rPr>
        <w:t xml:space="preserve"> The majority of interviews lasted one hour and took place in the office of the interviewees’ respective office, with the exception of the interview with the 32CSM/Real IRA member, which took place at a community centre where they had a meeting under </w:t>
      </w:r>
      <w:r w:rsidR="0099765A">
        <w:rPr>
          <w:rFonts w:ascii="Times New Roman" w:hAnsi="Times New Roman" w:cs="Times New Roman"/>
          <w:bCs/>
        </w:rPr>
        <w:t>a pseudonym organisation</w:t>
      </w:r>
      <w:r w:rsidR="008A3E98">
        <w:rPr>
          <w:rFonts w:ascii="Times New Roman" w:hAnsi="Times New Roman" w:cs="Times New Roman"/>
          <w:bCs/>
        </w:rPr>
        <w:t xml:space="preserve">. </w:t>
      </w:r>
    </w:p>
    <w:p w14:paraId="112EB5EF" w14:textId="199E8220" w:rsidR="009E3DF5" w:rsidRDefault="00543A07" w:rsidP="00B57C7F">
      <w:pPr>
        <w:spacing w:line="360" w:lineRule="auto"/>
        <w:jc w:val="both"/>
        <w:rPr>
          <w:rFonts w:ascii="Times New Roman" w:hAnsi="Times New Roman" w:cs="Times New Roman"/>
          <w:bCs/>
        </w:rPr>
      </w:pPr>
      <w:r>
        <w:rPr>
          <w:rFonts w:ascii="Times New Roman" w:hAnsi="Times New Roman" w:cs="Times New Roman"/>
          <w:bCs/>
        </w:rPr>
        <w:tab/>
        <w:t>One problem with interviewing respondents about their experiences in the past is that current political considerations can lead them to misrepresent their attit</w:t>
      </w:r>
      <w:r w:rsidR="00C31FBE">
        <w:rPr>
          <w:rFonts w:ascii="Times New Roman" w:hAnsi="Times New Roman" w:cs="Times New Roman"/>
          <w:bCs/>
        </w:rPr>
        <w:t>udes or experiences in the past</w:t>
      </w:r>
      <w:r w:rsidR="00D51325">
        <w:rPr>
          <w:rFonts w:ascii="Times New Roman" w:hAnsi="Times New Roman" w:cs="Times New Roman"/>
          <w:bCs/>
        </w:rPr>
        <w:t>.</w:t>
      </w:r>
      <w:r w:rsidRPr="00F35939">
        <w:rPr>
          <w:rStyle w:val="FootnoteReference"/>
          <w:rFonts w:ascii="Times New Roman" w:hAnsi="Times New Roman" w:cs="Times New Roman"/>
          <w:bCs/>
        </w:rPr>
        <w:footnoteReference w:id="254"/>
      </w:r>
      <w:r>
        <w:rPr>
          <w:rFonts w:ascii="Times New Roman" w:hAnsi="Times New Roman" w:cs="Times New Roman"/>
          <w:bCs/>
        </w:rPr>
        <w:t xml:space="preserve"> However, for the aims of the thesis this was </w:t>
      </w:r>
      <w:r>
        <w:rPr>
          <w:rFonts w:ascii="Times New Roman" w:hAnsi="Times New Roman" w:cs="Times New Roman"/>
          <w:bCs/>
        </w:rPr>
        <w:lastRenderedPageBreak/>
        <w:t xml:space="preserve">not problematic for two reasons. Firstly, the study aims to understand how the past is reframed to place them in relation to a presumed goal, therefore, this weakness of the interviewing approach does not challenge the </w:t>
      </w:r>
      <w:r w:rsidR="00C31FBE">
        <w:rPr>
          <w:rFonts w:ascii="Times New Roman" w:hAnsi="Times New Roman" w:cs="Times New Roman"/>
          <w:bCs/>
        </w:rPr>
        <w:t>purpose</w:t>
      </w:r>
      <w:r>
        <w:rPr>
          <w:rFonts w:ascii="Times New Roman" w:hAnsi="Times New Roman" w:cs="Times New Roman"/>
          <w:bCs/>
        </w:rPr>
        <w:t xml:space="preserve"> of the research. Secondly, interpretations of the past were compared with the relatively extensive secondary literature in order to analyse where the past has been re-framed</w:t>
      </w:r>
      <w:r w:rsidR="00FC3C26">
        <w:rPr>
          <w:rFonts w:ascii="Times New Roman" w:hAnsi="Times New Roman" w:cs="Times New Roman"/>
          <w:bCs/>
        </w:rPr>
        <w:t xml:space="preserve"> or whether the interviewee is accurately depicting views held at the time, and if not their own views, at least views that were held by others in the group. </w:t>
      </w:r>
      <w:r w:rsidR="008A3E98">
        <w:rPr>
          <w:rFonts w:ascii="Times New Roman" w:hAnsi="Times New Roman" w:cs="Times New Roman"/>
          <w:bCs/>
        </w:rPr>
        <w:t xml:space="preserve"> </w:t>
      </w:r>
      <w:r w:rsidR="009E3DF5">
        <w:rPr>
          <w:rFonts w:ascii="Times New Roman" w:hAnsi="Times New Roman" w:cs="Times New Roman"/>
          <w:bCs/>
        </w:rPr>
        <w:t xml:space="preserve">  </w:t>
      </w:r>
    </w:p>
    <w:p w14:paraId="108B9008" w14:textId="77777777" w:rsidR="00B57C7F" w:rsidRDefault="00531916" w:rsidP="00B57C7F">
      <w:pPr>
        <w:spacing w:line="360" w:lineRule="auto"/>
        <w:jc w:val="both"/>
        <w:rPr>
          <w:rFonts w:ascii="Times New Roman" w:hAnsi="Times New Roman" w:cs="Times New Roman"/>
          <w:bCs/>
        </w:rPr>
      </w:pPr>
      <w:r>
        <w:rPr>
          <w:rFonts w:ascii="Times New Roman" w:hAnsi="Times New Roman" w:cs="Times New Roman"/>
          <w:bCs/>
        </w:rPr>
        <w:tab/>
      </w:r>
      <w:r w:rsidR="00312460">
        <w:rPr>
          <w:rFonts w:ascii="Times New Roman" w:hAnsi="Times New Roman" w:cs="Times New Roman"/>
          <w:bCs/>
        </w:rPr>
        <w:t xml:space="preserve">The second qualitative method used in the research was focus groups, which was targeted toward young Republicans who were the fourth sample group. </w:t>
      </w:r>
      <w:r w:rsidR="009E3DF5">
        <w:rPr>
          <w:rFonts w:ascii="Times New Roman" w:hAnsi="Times New Roman" w:cs="Times New Roman"/>
          <w:bCs/>
        </w:rPr>
        <w:t>A key feature of focus groups</w:t>
      </w:r>
      <w:r w:rsidR="00312460">
        <w:rPr>
          <w:rFonts w:ascii="Times New Roman" w:hAnsi="Times New Roman" w:cs="Times New Roman"/>
          <w:bCs/>
        </w:rPr>
        <w:t>, and the primary reason this method was used,</w:t>
      </w:r>
      <w:r w:rsidR="009E3DF5">
        <w:rPr>
          <w:rFonts w:ascii="Times New Roman" w:hAnsi="Times New Roman" w:cs="Times New Roman"/>
          <w:bCs/>
        </w:rPr>
        <w:t xml:space="preserve"> is they provide data from insights on how the group interacts</w:t>
      </w:r>
      <w:r w:rsidR="00312460">
        <w:rPr>
          <w:rFonts w:ascii="Times New Roman" w:hAnsi="Times New Roman" w:cs="Times New Roman"/>
          <w:bCs/>
        </w:rPr>
        <w:t xml:space="preserve"> and it seeks to replicate how participants would act with their peers outside an interview environment</w:t>
      </w:r>
      <w:r w:rsidR="00D51325">
        <w:rPr>
          <w:rFonts w:ascii="Times New Roman" w:hAnsi="Times New Roman" w:cs="Times New Roman"/>
          <w:bCs/>
        </w:rPr>
        <w:t>.</w:t>
      </w:r>
      <w:r w:rsidR="009E3DF5" w:rsidRPr="00425434">
        <w:rPr>
          <w:rStyle w:val="FootnoteReference"/>
          <w:rFonts w:ascii="Times New Roman" w:hAnsi="Times New Roman" w:cs="Times New Roman"/>
          <w:bCs/>
        </w:rPr>
        <w:footnoteReference w:id="255"/>
      </w:r>
      <w:r w:rsidR="00312460">
        <w:rPr>
          <w:rFonts w:ascii="Times New Roman" w:hAnsi="Times New Roman" w:cs="Times New Roman"/>
          <w:bCs/>
        </w:rPr>
        <w:t xml:space="preserve"> </w:t>
      </w:r>
      <w:r w:rsidR="00FD33B0">
        <w:rPr>
          <w:rFonts w:ascii="Times New Roman" w:hAnsi="Times New Roman" w:cs="Times New Roman"/>
          <w:bCs/>
        </w:rPr>
        <w:t xml:space="preserve"> T</w:t>
      </w:r>
      <w:r w:rsidR="009E3DF5">
        <w:rPr>
          <w:rFonts w:ascii="Times New Roman" w:hAnsi="Times New Roman" w:cs="Times New Roman"/>
          <w:bCs/>
        </w:rPr>
        <w:t>he size and composition of the focus gr</w:t>
      </w:r>
      <w:r w:rsidR="00FD33B0">
        <w:rPr>
          <w:rFonts w:ascii="Times New Roman" w:hAnsi="Times New Roman" w:cs="Times New Roman"/>
          <w:bCs/>
        </w:rPr>
        <w:t>oup matters and</w:t>
      </w:r>
      <w:r w:rsidR="009E3DF5">
        <w:rPr>
          <w:rFonts w:ascii="Times New Roman" w:hAnsi="Times New Roman" w:cs="Times New Roman"/>
          <w:bCs/>
        </w:rPr>
        <w:t xml:space="preserve"> eight participants </w:t>
      </w:r>
      <w:r w:rsidR="00FD33B0">
        <w:rPr>
          <w:rFonts w:ascii="Times New Roman" w:hAnsi="Times New Roman" w:cs="Times New Roman"/>
          <w:bCs/>
        </w:rPr>
        <w:t>is the</w:t>
      </w:r>
      <w:r w:rsidR="009E3DF5">
        <w:rPr>
          <w:rFonts w:ascii="Times New Roman" w:hAnsi="Times New Roman" w:cs="Times New Roman"/>
          <w:bCs/>
        </w:rPr>
        <w:t xml:space="preserve"> most common</w:t>
      </w:r>
      <w:r w:rsidR="00FD33B0">
        <w:rPr>
          <w:rFonts w:ascii="Times New Roman" w:hAnsi="Times New Roman" w:cs="Times New Roman"/>
          <w:bCs/>
        </w:rPr>
        <w:t xml:space="preserve"> size,</w:t>
      </w:r>
      <w:r w:rsidR="009E3DF5">
        <w:rPr>
          <w:rStyle w:val="FootnoteReference"/>
          <w:rFonts w:ascii="Times New Roman" w:hAnsi="Times New Roman" w:cs="Times New Roman"/>
          <w:bCs/>
        </w:rPr>
        <w:footnoteReference w:id="256"/>
      </w:r>
      <w:r w:rsidR="00FD33B0">
        <w:rPr>
          <w:rFonts w:ascii="Times New Roman" w:hAnsi="Times New Roman" w:cs="Times New Roman"/>
          <w:bCs/>
        </w:rPr>
        <w:t xml:space="preserve"> however smaller groups are appropriate when participants are likely to have a lot to say on the research topic</w:t>
      </w:r>
      <w:r w:rsidR="00C31FBE">
        <w:rPr>
          <w:rFonts w:ascii="Times New Roman" w:hAnsi="Times New Roman" w:cs="Times New Roman"/>
          <w:bCs/>
        </w:rPr>
        <w:t>.</w:t>
      </w:r>
      <w:r w:rsidR="00FD33B0">
        <w:rPr>
          <w:rStyle w:val="FootnoteReference"/>
          <w:rFonts w:ascii="Times New Roman" w:hAnsi="Times New Roman" w:cs="Times New Roman"/>
          <w:bCs/>
        </w:rPr>
        <w:footnoteReference w:id="257"/>
      </w:r>
      <w:r w:rsidR="009E3DF5">
        <w:rPr>
          <w:rFonts w:ascii="Times New Roman" w:hAnsi="Times New Roman" w:cs="Times New Roman"/>
          <w:bCs/>
        </w:rPr>
        <w:t xml:space="preserve"> The manner in which the focus group was arranged limited the control over the number of participants and to an extent the composition. Interviews with the members of Sinn Fein Youth were organised through</w:t>
      </w:r>
      <w:r w:rsidR="00C31FBE">
        <w:rPr>
          <w:rFonts w:ascii="Times New Roman" w:hAnsi="Times New Roman" w:cs="Times New Roman"/>
          <w:bCs/>
        </w:rPr>
        <w:t xml:space="preserve"> a Sinn Fein office in Belfast. </w:t>
      </w:r>
    </w:p>
    <w:p w14:paraId="4806442D" w14:textId="55213E53" w:rsidR="009E3DF5" w:rsidRDefault="00312460" w:rsidP="00B57C7F">
      <w:pPr>
        <w:spacing w:line="360" w:lineRule="auto"/>
        <w:ind w:firstLine="720"/>
        <w:jc w:val="both"/>
        <w:rPr>
          <w:rFonts w:ascii="Times New Roman" w:hAnsi="Times New Roman" w:cs="Times New Roman"/>
          <w:bCs/>
        </w:rPr>
      </w:pPr>
      <w:r>
        <w:rPr>
          <w:rFonts w:ascii="Times New Roman" w:hAnsi="Times New Roman" w:cs="Times New Roman"/>
          <w:bCs/>
        </w:rPr>
        <w:t>The benefit of th</w:t>
      </w:r>
      <w:r w:rsidR="00C31FBE">
        <w:rPr>
          <w:rFonts w:ascii="Times New Roman" w:hAnsi="Times New Roman" w:cs="Times New Roman"/>
          <w:bCs/>
        </w:rPr>
        <w:t>e focus group</w:t>
      </w:r>
      <w:r>
        <w:rPr>
          <w:rFonts w:ascii="Times New Roman" w:hAnsi="Times New Roman" w:cs="Times New Roman"/>
          <w:bCs/>
        </w:rPr>
        <w:t xml:space="preserve"> approach was it made younger participants feel more comfortable, and by working through Sinn Fein, it overcame the problems associated with focus groups such as the difficulty to organise.</w:t>
      </w:r>
      <w:r>
        <w:rPr>
          <w:rStyle w:val="FootnoteReference"/>
          <w:rFonts w:ascii="Times New Roman" w:hAnsi="Times New Roman" w:cs="Times New Roman"/>
          <w:bCs/>
        </w:rPr>
        <w:footnoteReference w:id="258"/>
      </w:r>
      <w:r>
        <w:rPr>
          <w:rFonts w:ascii="Times New Roman" w:hAnsi="Times New Roman" w:cs="Times New Roman"/>
          <w:bCs/>
        </w:rPr>
        <w:t xml:space="preserve">  </w:t>
      </w:r>
      <w:r w:rsidR="009E3DF5">
        <w:rPr>
          <w:rFonts w:ascii="Times New Roman" w:hAnsi="Times New Roman" w:cs="Times New Roman"/>
          <w:bCs/>
        </w:rPr>
        <w:t>The Sinn Fein gatekeeper was responsible for selecting participants – with the proviso</w:t>
      </w:r>
      <w:r w:rsidR="00C31FBE">
        <w:rPr>
          <w:rFonts w:ascii="Times New Roman" w:hAnsi="Times New Roman" w:cs="Times New Roman"/>
          <w:bCs/>
        </w:rPr>
        <w:t xml:space="preserve"> being</w:t>
      </w:r>
      <w:r w:rsidR="009E3DF5">
        <w:rPr>
          <w:rFonts w:ascii="Times New Roman" w:hAnsi="Times New Roman" w:cs="Times New Roman"/>
          <w:bCs/>
        </w:rPr>
        <w:t xml:space="preserve"> they were aged 17-24 - and the panel was attended by a party official alongside four participants from Sinn Fein Youth. As the party official fitted within the age bracket, the official was invited to participate in the focus group. The rationale for the age bracket being placed was to gather data on the views of people who could be classed as the ‘next generation’, with the majority of participants being born after the 1994 </w:t>
      </w:r>
      <w:r w:rsidR="009E3DF5">
        <w:rPr>
          <w:rFonts w:ascii="Times New Roman" w:hAnsi="Times New Roman" w:cs="Times New Roman"/>
          <w:bCs/>
        </w:rPr>
        <w:lastRenderedPageBreak/>
        <w:t xml:space="preserve">ceasefire. Sinn Fein Youth members were selected to analyse the impact of exposure to the disengagement frame and interaction with those who were members of the Provisional IRA. One negative aspect with this method is the thesis did not provide a control group, although an interview with one project leader helped to provide some insights on the attitudes of young people who are not involved in Sinn Fein and the thesis acknowledges the limitations in generalising these findings. </w:t>
      </w:r>
    </w:p>
    <w:p w14:paraId="43742C3A" w14:textId="6A6352DF" w:rsidR="009755FE" w:rsidRDefault="009755FE" w:rsidP="009755FE">
      <w:pPr>
        <w:spacing w:line="360" w:lineRule="auto"/>
        <w:ind w:firstLine="720"/>
        <w:jc w:val="both"/>
        <w:rPr>
          <w:rFonts w:ascii="Times New Roman" w:hAnsi="Times New Roman" w:cs="Times New Roman"/>
        </w:rPr>
      </w:pPr>
      <w:r>
        <w:rPr>
          <w:rFonts w:ascii="Times New Roman" w:hAnsi="Times New Roman" w:cs="Times New Roman"/>
        </w:rPr>
        <w:t>In addition to interviews and focus groups, other sources were utilised to corroborate the evidence. Secondary literature has provided a number of quotes and speeches by key individuals which have been incorporated. For example, extensive interview data with former Provisional IRA members in secondary sources were used to inform the analysis of internal dialogue, however, this has been limited to elite levels,</w:t>
      </w:r>
      <w:r w:rsidR="009F3FE2">
        <w:rPr>
          <w:rStyle w:val="FootnoteReference"/>
          <w:rFonts w:ascii="Times New Roman" w:hAnsi="Times New Roman" w:cs="Times New Roman"/>
        </w:rPr>
        <w:footnoteReference w:id="259"/>
      </w:r>
      <w:r>
        <w:rPr>
          <w:rFonts w:ascii="Times New Roman" w:hAnsi="Times New Roman" w:cs="Times New Roman"/>
        </w:rPr>
        <w:t xml:space="preserve"> dissidents who left the movement,</w:t>
      </w:r>
      <w:r w:rsidR="009F3FE2">
        <w:rPr>
          <w:rStyle w:val="FootnoteReference"/>
          <w:rFonts w:ascii="Times New Roman" w:hAnsi="Times New Roman" w:cs="Times New Roman"/>
        </w:rPr>
        <w:footnoteReference w:id="260"/>
      </w:r>
      <w:r>
        <w:rPr>
          <w:rFonts w:ascii="Times New Roman" w:hAnsi="Times New Roman" w:cs="Times New Roman"/>
        </w:rPr>
        <w:t xml:space="preserve"> or on how the prison experience shaped identity and allowed dialogue between groups.</w:t>
      </w:r>
      <w:r w:rsidR="009F3FE2">
        <w:rPr>
          <w:rStyle w:val="FootnoteReference"/>
          <w:rFonts w:ascii="Times New Roman" w:hAnsi="Times New Roman" w:cs="Times New Roman"/>
        </w:rPr>
        <w:footnoteReference w:id="261"/>
      </w:r>
      <w:r>
        <w:rPr>
          <w:rFonts w:ascii="Times New Roman" w:hAnsi="Times New Roman" w:cs="Times New Roman"/>
        </w:rPr>
        <w:t xml:space="preserve"> While they do not focus on frame diffusion and resonance, the secondary sources corroborate the thesis’ findings in small ways. For example, Guelke mentions the role of the ANC’s intervention but this was not from the perspective of Provisional IRA members in the prisons,</w:t>
      </w:r>
      <w:r w:rsidR="009F3FE2">
        <w:rPr>
          <w:rStyle w:val="FootnoteReference"/>
          <w:rFonts w:ascii="Times New Roman" w:hAnsi="Times New Roman" w:cs="Times New Roman"/>
        </w:rPr>
        <w:footnoteReference w:id="262"/>
      </w:r>
      <w:r>
        <w:rPr>
          <w:rFonts w:ascii="Times New Roman" w:hAnsi="Times New Roman" w:cs="Times New Roman"/>
        </w:rPr>
        <w:t xml:space="preserve"> Shirlow details the skills learnt in prison but the thesis’ primary data shows why that was significant, and Moloney corroborates the controlling aspect of the process in managing dialogue, corroborating the thesis’ claims of how prisons and organisational structure shaped the network linkages. </w:t>
      </w:r>
    </w:p>
    <w:p w14:paraId="0A679963" w14:textId="6F397288" w:rsidR="009755FE" w:rsidRDefault="009755FE" w:rsidP="009755FE">
      <w:pPr>
        <w:spacing w:line="360" w:lineRule="auto"/>
        <w:ind w:firstLine="720"/>
        <w:jc w:val="both"/>
        <w:rPr>
          <w:rFonts w:ascii="Times New Roman" w:hAnsi="Times New Roman" w:cs="Times New Roman"/>
          <w:bCs/>
        </w:rPr>
      </w:pPr>
      <w:r>
        <w:rPr>
          <w:rFonts w:ascii="Times New Roman" w:hAnsi="Times New Roman" w:cs="Times New Roman"/>
        </w:rPr>
        <w:t xml:space="preserve">A range of other primary sources have been used to corroborate the empirical data used in the study. For example, the community groups interviewed provided a number of resources such as interview transcripts with former combatants and younger people, reports on the attitudes of young people, data on projects and events, and reports that summarise the findings of projects such as Prison to Peace. </w:t>
      </w:r>
      <w:r w:rsidR="009F3FE2">
        <w:rPr>
          <w:rFonts w:ascii="Times New Roman" w:hAnsi="Times New Roman" w:cs="Times New Roman"/>
        </w:rPr>
        <w:t xml:space="preserve">An analysis of </w:t>
      </w:r>
      <w:r>
        <w:rPr>
          <w:rFonts w:ascii="Times New Roman" w:hAnsi="Times New Roman" w:cs="Times New Roman"/>
        </w:rPr>
        <w:t xml:space="preserve">Gerry Kelly’s speech at Castlederg was used because it occurred during </w:t>
      </w:r>
      <w:r>
        <w:rPr>
          <w:rFonts w:ascii="Times New Roman" w:hAnsi="Times New Roman" w:cs="Times New Roman"/>
        </w:rPr>
        <w:lastRenderedPageBreak/>
        <w:t xml:space="preserve">the period of fieldwork and was influencing the perceptions of young people at the time – </w:t>
      </w:r>
      <w:r w:rsidR="009F3FE2">
        <w:rPr>
          <w:rFonts w:ascii="Times New Roman" w:hAnsi="Times New Roman" w:cs="Times New Roman"/>
        </w:rPr>
        <w:t xml:space="preserve">but </w:t>
      </w:r>
      <w:r>
        <w:rPr>
          <w:rFonts w:ascii="Times New Roman" w:hAnsi="Times New Roman" w:cs="Times New Roman"/>
        </w:rPr>
        <w:t>a more comprehensive analysis of past speeches was not used because the focus in interviews was how former combatants and young people interpreted and framed violence now. The thesis did seek to utilise newspaper archives and this has corroborated much of the discussions on credibility – for example, the use of Seanna Walsh in announcing the end of the campaign – but this was not done extensively because secondary sources tend to be more accurate for historical examples and newspapers were limited in a contemporary setting.</w:t>
      </w:r>
    </w:p>
    <w:p w14:paraId="1FAAFF5B" w14:textId="37E04B20" w:rsidR="009755FE" w:rsidRDefault="009755FE" w:rsidP="009755FE">
      <w:pPr>
        <w:spacing w:line="360" w:lineRule="auto"/>
        <w:ind w:firstLine="720"/>
        <w:jc w:val="both"/>
        <w:rPr>
          <w:rFonts w:ascii="Times New Roman" w:hAnsi="Times New Roman" w:cs="Times New Roman"/>
        </w:rPr>
      </w:pPr>
      <w:r>
        <w:rPr>
          <w:rFonts w:ascii="Times New Roman" w:hAnsi="Times New Roman" w:cs="Times New Roman"/>
          <w:bCs/>
        </w:rPr>
        <w:t xml:space="preserve">The thesis considered utilising other methods to help analyse frames, such as social media and websites. For example, </w:t>
      </w:r>
      <w:r w:rsidR="009F3FE2">
        <w:rPr>
          <w:rFonts w:ascii="Times New Roman" w:hAnsi="Times New Roman" w:cs="Times New Roman"/>
          <w:bCs/>
        </w:rPr>
        <w:t xml:space="preserve">a </w:t>
      </w:r>
      <w:r>
        <w:rPr>
          <w:rFonts w:ascii="Times New Roman" w:hAnsi="Times New Roman" w:cs="Times New Roman"/>
        </w:rPr>
        <w:t>possible method for analysing framing is through the internet and social media. While Sinn Fein Youth do not have a website, they have an active Twitter account with 2,811 followers (as of November 2014) and a Facebook account. On the Facebook account for example, a video was posted that was narrated by a former Hunger Striker who builds on Bobby Sands’ legacy to justify disengagement on the grounds of achieving equality and that a united Ireland can be pursued through political means</w:t>
      </w:r>
      <w:r w:rsidR="009F3FE2">
        <w:rPr>
          <w:rFonts w:ascii="Times New Roman" w:hAnsi="Times New Roman" w:cs="Times New Roman"/>
        </w:rPr>
        <w:t>,</w:t>
      </w:r>
      <w:r>
        <w:rPr>
          <w:rFonts w:ascii="Times New Roman" w:hAnsi="Times New Roman" w:cs="Times New Roman"/>
        </w:rPr>
        <w:t xml:space="preserve"> so young people never need to experience the conflict. Other postings emphasise specifically the move toward a united Ireland and removing British soldiers, and while these posts can be framed in different ways, it is in a context of the broader disengagement frame. Therefore a limited analysis of social media corroborates the thesis’ argument, but it is not deployed further because the focus groups and interviews method was far more effective at explaining how young members contextualise and interpret these individual posts into a coherent frame, and where this framing emerged from. </w:t>
      </w:r>
      <w:r>
        <w:rPr>
          <w:rFonts w:ascii="Times New Roman" w:hAnsi="Times New Roman" w:cs="Times New Roman"/>
          <w:bCs/>
        </w:rPr>
        <w:t xml:space="preserve">So, </w:t>
      </w:r>
      <w:r>
        <w:rPr>
          <w:rFonts w:ascii="Times New Roman" w:hAnsi="Times New Roman" w:cs="Times New Roman"/>
        </w:rPr>
        <w:t xml:space="preserve">while websites were </w:t>
      </w:r>
      <w:r w:rsidR="009F3FE2">
        <w:rPr>
          <w:rFonts w:ascii="Times New Roman" w:hAnsi="Times New Roman" w:cs="Times New Roman"/>
        </w:rPr>
        <w:t xml:space="preserve">corroborative and </w:t>
      </w:r>
      <w:r>
        <w:rPr>
          <w:rFonts w:ascii="Times New Roman" w:hAnsi="Times New Roman" w:cs="Times New Roman"/>
        </w:rPr>
        <w:t xml:space="preserve">useful for gathering reports on community work, there was no analysis of websites, social media and forums as texts because: a) in some cases, there are no websites (Sinn Fein Youth); b) access to forums is limited to members; and c) while social media does reflect the disengagement frame, it was only through interviews that it was clear what the meaning was behind these disparate postings – and while this </w:t>
      </w:r>
      <w:r w:rsidR="009F3FE2">
        <w:rPr>
          <w:rFonts w:ascii="Times New Roman" w:hAnsi="Times New Roman" w:cs="Times New Roman"/>
        </w:rPr>
        <w:t>corroborated the findings</w:t>
      </w:r>
      <w:r>
        <w:rPr>
          <w:rFonts w:ascii="Times New Roman" w:hAnsi="Times New Roman" w:cs="Times New Roman"/>
        </w:rPr>
        <w:t xml:space="preserve">, it did not provide substantial added value to merit a deeper discourse analysis. </w:t>
      </w:r>
    </w:p>
    <w:p w14:paraId="64B2D77E" w14:textId="784F33E4" w:rsidR="009755FE" w:rsidRDefault="006B0984" w:rsidP="009755FE">
      <w:pPr>
        <w:spacing w:line="360" w:lineRule="auto"/>
        <w:ind w:firstLine="720"/>
        <w:jc w:val="both"/>
        <w:rPr>
          <w:rFonts w:ascii="Times New Roman" w:hAnsi="Times New Roman" w:cs="Times New Roman"/>
        </w:rPr>
      </w:pPr>
      <w:r>
        <w:rPr>
          <w:rFonts w:ascii="Times New Roman" w:hAnsi="Times New Roman" w:cs="Times New Roman"/>
          <w:bCs/>
        </w:rPr>
        <w:t>Thus, the methods outlined above were situated within the thesis’ framework of analysis, which is applied</w:t>
      </w:r>
      <w:r w:rsidR="00D563F9">
        <w:rPr>
          <w:rFonts w:ascii="Times New Roman" w:hAnsi="Times New Roman" w:cs="Times New Roman"/>
          <w:bCs/>
        </w:rPr>
        <w:t xml:space="preserve"> in three empirical chapters, but first, Chapter Three will provide a background to the Irish Republican movement. While one function of this </w:t>
      </w:r>
      <w:r w:rsidR="00D563F9">
        <w:rPr>
          <w:rFonts w:ascii="Times New Roman" w:hAnsi="Times New Roman" w:cs="Times New Roman"/>
          <w:bCs/>
        </w:rPr>
        <w:lastRenderedPageBreak/>
        <w:t>chapter is to give an historical introduction, it serves to underpin the analysis in a number of ways.</w:t>
      </w:r>
      <w:r>
        <w:rPr>
          <w:rFonts w:ascii="Times New Roman" w:hAnsi="Times New Roman" w:cs="Times New Roman"/>
          <w:bCs/>
        </w:rPr>
        <w:t xml:space="preserve"> Th</w:t>
      </w:r>
      <w:r w:rsidR="00C31FBE">
        <w:rPr>
          <w:rFonts w:ascii="Times New Roman" w:hAnsi="Times New Roman" w:cs="Times New Roman"/>
          <w:bCs/>
        </w:rPr>
        <w:t>e</w:t>
      </w:r>
      <w:r>
        <w:rPr>
          <w:rFonts w:ascii="Times New Roman" w:hAnsi="Times New Roman" w:cs="Times New Roman"/>
          <w:bCs/>
        </w:rPr>
        <w:t xml:space="preserve"> chapter applies the framework to account for the ebbs and flows of the Irish Republican movement from the early 1900s to the ceasefire in 1994.</w:t>
      </w:r>
      <w:r w:rsidR="00D563F9">
        <w:rPr>
          <w:rFonts w:ascii="Times New Roman" w:hAnsi="Times New Roman" w:cs="Times New Roman"/>
          <w:bCs/>
        </w:rPr>
        <w:t xml:space="preserve"> Firstly, it demonstrates how the Irish Republican movement has managed to continue from generation to generation, providing insights into how the Provisional IRA’s disengagement has been more successful. Secondly, in addition to explaining the rise of the IRA and the Provisional IRA in the 1960s, the chapter provides one of the first comparative analyses of different attempts at disengagement in one social movement. Thirdly, the chapter looks at the causes of the Provisional IRA’s campaign by providing a generational analysis, which later underpins how the 1990s disengagement process was successful.</w:t>
      </w:r>
      <w:r w:rsidR="009755FE">
        <w:rPr>
          <w:rFonts w:ascii="Times New Roman" w:hAnsi="Times New Roman" w:cs="Times New Roman"/>
          <w:bCs/>
        </w:rPr>
        <w:t xml:space="preserve"> </w:t>
      </w:r>
    </w:p>
    <w:p w14:paraId="33724E96" w14:textId="3BCA8DE8" w:rsidR="009E3DF5" w:rsidRPr="00D563F9" w:rsidRDefault="00D563F9" w:rsidP="009755FE">
      <w:pPr>
        <w:spacing w:line="360" w:lineRule="auto"/>
        <w:ind w:firstLine="720"/>
        <w:jc w:val="both"/>
        <w:rPr>
          <w:rFonts w:ascii="Times New Roman" w:hAnsi="Times New Roman" w:cs="Times New Roman"/>
          <w:bCs/>
        </w:rPr>
      </w:pPr>
      <w:r>
        <w:rPr>
          <w:rFonts w:ascii="Times New Roman" w:hAnsi="Times New Roman" w:cs="Times New Roman"/>
          <w:bCs/>
        </w:rPr>
        <w:t xml:space="preserve"> </w:t>
      </w:r>
    </w:p>
    <w:p w14:paraId="433D9AF9" w14:textId="77777777" w:rsidR="009E3DF5" w:rsidRPr="002A237B" w:rsidRDefault="009E3DF5" w:rsidP="00B57C7F">
      <w:pPr>
        <w:spacing w:line="360" w:lineRule="auto"/>
      </w:pPr>
    </w:p>
    <w:p w14:paraId="2D6F0B10" w14:textId="77777777" w:rsidR="00D563F9" w:rsidRDefault="00D563F9" w:rsidP="00B57C7F">
      <w:pPr>
        <w:spacing w:line="360" w:lineRule="auto"/>
        <w:rPr>
          <w:rFonts w:ascii="Times New Roman" w:hAnsi="Times New Roman" w:cs="Times New Roman"/>
          <w:b/>
        </w:rPr>
      </w:pPr>
      <w:r>
        <w:rPr>
          <w:rFonts w:ascii="Times New Roman" w:hAnsi="Times New Roman" w:cs="Times New Roman"/>
          <w:b/>
        </w:rPr>
        <w:br w:type="page"/>
      </w:r>
    </w:p>
    <w:p w14:paraId="1184C804" w14:textId="77777777" w:rsidR="009E3DF5" w:rsidRPr="009E3DF5" w:rsidRDefault="009E3DF5" w:rsidP="00B57C7F">
      <w:pPr>
        <w:pStyle w:val="Heading2"/>
        <w:spacing w:before="120" w:line="360" w:lineRule="auto"/>
      </w:pPr>
      <w:bookmarkStart w:id="34" w:name="_Toc389208817"/>
      <w:r w:rsidRPr="009E3DF5">
        <w:lastRenderedPageBreak/>
        <w:t>CHAPTER THREE</w:t>
      </w:r>
      <w:bookmarkEnd w:id="34"/>
      <w:r w:rsidRPr="009E3DF5">
        <w:t xml:space="preserve"> </w:t>
      </w:r>
    </w:p>
    <w:p w14:paraId="2DFA0139" w14:textId="77777777" w:rsidR="009E3DF5" w:rsidRPr="001C3D76" w:rsidRDefault="00E35D47" w:rsidP="00B57C7F">
      <w:pPr>
        <w:spacing w:line="360" w:lineRule="auto"/>
        <w:ind w:right="1701"/>
        <w:rPr>
          <w:b/>
          <w:bCs/>
          <w:sz w:val="40"/>
          <w:szCs w:val="40"/>
        </w:rPr>
      </w:pPr>
      <w:r>
        <w:rPr>
          <w:b/>
          <w:bCs/>
          <w:sz w:val="40"/>
          <w:szCs w:val="40"/>
        </w:rPr>
        <w:t>The Irish Republican Movement</w:t>
      </w:r>
    </w:p>
    <w:p w14:paraId="6B0DA1ED" w14:textId="77777777" w:rsidR="00D807B4" w:rsidRDefault="00D807B4" w:rsidP="00B57C7F">
      <w:pPr>
        <w:spacing w:line="360" w:lineRule="auto"/>
        <w:rPr>
          <w:rFonts w:ascii="Times New Roman" w:hAnsi="Times New Roman" w:cs="Times New Roman"/>
          <w:sz w:val="22"/>
          <w:szCs w:val="22"/>
        </w:rPr>
        <w:sectPr w:rsidR="00D807B4" w:rsidSect="00F4623B">
          <w:footnotePr>
            <w:numRestart w:val="eachSect"/>
          </w:footnotePr>
          <w:type w:val="continuous"/>
          <w:pgSz w:w="11906" w:h="16838"/>
          <w:pgMar w:top="1440" w:right="1440" w:bottom="1440" w:left="2268" w:header="709" w:footer="709" w:gutter="0"/>
          <w:cols w:space="708"/>
          <w:docGrid w:linePitch="360"/>
        </w:sectPr>
      </w:pPr>
    </w:p>
    <w:p w14:paraId="6B03CCCE" w14:textId="77777777" w:rsidR="00B57C7F"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lastRenderedPageBreak/>
        <w:t xml:space="preserve">Despite the promises of a ‘long peace’ in Northern Ireland following the Provisional IRA’s disengagement in 2005, a glance at the history of the Irish Republican movement might give the impression that history will continue to repeat itself. Organisational disengagement and a decline in violence has often preceded the revival of a new iteration of the IRA: the Irish Free State’s campaign in the 1920s and the Border Campaign in the 1960s witnessed the ‘end’ of the IRA in different ways, only to see some continuation in the case of the former and a massive resurgence following on from the latter. The emergence of the Provisional IRA </w:t>
      </w:r>
      <w:r w:rsidR="001111D5">
        <w:rPr>
          <w:rFonts w:ascii="Times New Roman" w:hAnsi="Times New Roman" w:cs="Times New Roman"/>
        </w:rPr>
        <w:t>in 19</w:t>
      </w:r>
      <w:r w:rsidR="00E44FC5">
        <w:rPr>
          <w:rFonts w:ascii="Times New Roman" w:hAnsi="Times New Roman" w:cs="Times New Roman"/>
        </w:rPr>
        <w:t>69</w:t>
      </w:r>
      <w:r w:rsidR="001111D5">
        <w:rPr>
          <w:rFonts w:ascii="Times New Roman" w:hAnsi="Times New Roman" w:cs="Times New Roman"/>
        </w:rPr>
        <w:t xml:space="preserve"> </w:t>
      </w:r>
      <w:r w:rsidRPr="00A819D6">
        <w:rPr>
          <w:rFonts w:ascii="Times New Roman" w:hAnsi="Times New Roman" w:cs="Times New Roman"/>
        </w:rPr>
        <w:t xml:space="preserve">was followed by an attempt at disengagement in 1975, and although this failed, the lessons of each of these attempts at disengagement would provide guidance to the Provisional IRA leadership in the 1980s onwards. </w:t>
      </w:r>
    </w:p>
    <w:p w14:paraId="0509E01C" w14:textId="0BD4FD24"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Chapter Three </w:t>
      </w:r>
      <w:r>
        <w:rPr>
          <w:rFonts w:ascii="Times New Roman" w:hAnsi="Times New Roman" w:cs="Times New Roman"/>
        </w:rPr>
        <w:t>provides an historical overview of the Irish Republican movement and the factors that drive it. Underpinning the chapter is the question of why the various attempts at disengagement have not succeeded and how different iterations of the IRA have continued from one generation to another, re-emerging to form the Provisional IRA in the early 1970s. The chapter argues that three factors account for the continuity of the IRA and the lack of substantive disengagement of the Irish Republican movement: 1) the maintenance of political systems which produced and sustained grievances; 2) the role of family networks and Republican networks which provided inter-generational links and resources for future mobilisation; and 3) the lack of frame resonance among members when pursuing group disengagement.</w:t>
      </w:r>
      <w:r w:rsidR="00611B51">
        <w:rPr>
          <w:rFonts w:ascii="Times New Roman" w:hAnsi="Times New Roman" w:cs="Times New Roman"/>
        </w:rPr>
        <w:t xml:space="preserve"> Therefore, Chapter Three applies the analytical framework set out in the previous chapter</w:t>
      </w:r>
      <w:r w:rsidR="00443B84">
        <w:rPr>
          <w:rFonts w:ascii="Times New Roman" w:hAnsi="Times New Roman" w:cs="Times New Roman"/>
        </w:rPr>
        <w:t>, yet this will be done to</w:t>
      </w:r>
      <w:r>
        <w:rPr>
          <w:rFonts w:ascii="Times New Roman" w:hAnsi="Times New Roman" w:cs="Times New Roman"/>
        </w:rPr>
        <w:t xml:space="preserve"> provide the foundations for explaining the Provisional IRA’s disengagement in the second half of the thesis.</w:t>
      </w:r>
      <w:r w:rsidR="00443B84">
        <w:rPr>
          <w:rStyle w:val="FootnoteReference"/>
          <w:rFonts w:ascii="Times New Roman" w:hAnsi="Times New Roman" w:cs="Times New Roman"/>
        </w:rPr>
        <w:footnoteReference w:id="263"/>
      </w:r>
      <w:r>
        <w:rPr>
          <w:rFonts w:ascii="Times New Roman" w:hAnsi="Times New Roman" w:cs="Times New Roman"/>
        </w:rPr>
        <w:t xml:space="preserve"> Having contextualised the chapter, the next section will outline the formative period of the Irish Republican movement.  </w:t>
      </w:r>
    </w:p>
    <w:p w14:paraId="533F2DC4" w14:textId="77777777" w:rsidR="0015068F" w:rsidRPr="0015068F" w:rsidRDefault="0015068F" w:rsidP="00B57C7F">
      <w:pPr>
        <w:pStyle w:val="Heading3"/>
        <w:spacing w:before="120" w:line="360" w:lineRule="auto"/>
        <w:rPr>
          <w:rStyle w:val="Heading3Char"/>
          <w:b/>
          <w:bCs/>
          <w:iCs/>
        </w:rPr>
      </w:pPr>
      <w:bookmarkStart w:id="35" w:name="_Toc389208818"/>
      <w:r w:rsidRPr="0015068F">
        <w:lastRenderedPageBreak/>
        <w:t>The Rise of the Irish Republican Movement and Partition</w:t>
      </w:r>
      <w:bookmarkEnd w:id="35"/>
    </w:p>
    <w:p w14:paraId="39CBA047" w14:textId="0F5D19FD" w:rsidR="0082174D"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At the core of the Irish Republican movement is the goal of replacing British influence in Ireland with an independent socialist Republic on the entire Irish island. While Republicans would primarily see its conflict as a war of independence against British colonialism, the deep-rooted legacy of Protestant Unionist colonists in the north would later develop a life of its own, which would have a substantial impact on Irish Republican goals. The consociational political system that would emerge following the Provisional IRA’s official disengagement in 2005 was </w:t>
      </w:r>
      <w:r w:rsidR="001111D5">
        <w:rPr>
          <w:rFonts w:ascii="Times New Roman" w:hAnsi="Times New Roman" w:cs="Times New Roman"/>
        </w:rPr>
        <w:t>a</w:t>
      </w:r>
      <w:r w:rsidRPr="00A819D6">
        <w:rPr>
          <w:rFonts w:ascii="Times New Roman" w:hAnsi="Times New Roman" w:cs="Times New Roman"/>
        </w:rPr>
        <w:t xml:space="preserve"> recognition of the social divisions that existed between the Catholic, Nationalist, Republican communities and Protestant, Unionist, Loyalist communities. While these divisions were more nuanced – many Irish Republicans were Protestants – the divisions would manifest themselves in the form of conflict and the eme</w:t>
      </w:r>
      <w:r w:rsidR="00E44FC5">
        <w:rPr>
          <w:rFonts w:ascii="Times New Roman" w:hAnsi="Times New Roman" w:cs="Times New Roman"/>
        </w:rPr>
        <w:t>rgence of the Irish Republican m</w:t>
      </w:r>
      <w:r w:rsidRPr="00A819D6">
        <w:rPr>
          <w:rFonts w:ascii="Times New Roman" w:hAnsi="Times New Roman" w:cs="Times New Roman"/>
        </w:rPr>
        <w:t>ovement. The political elites in Ireland in the 1700s, known as the Protestant Ascendancy, were able to exert more power in the island by exploiting e</w:t>
      </w:r>
      <w:r w:rsidR="00E44FC5">
        <w:rPr>
          <w:rFonts w:ascii="Times New Roman" w:hAnsi="Times New Roman" w:cs="Times New Roman"/>
        </w:rPr>
        <w:t>xternal threats from France. The</w:t>
      </w:r>
      <w:r w:rsidRPr="00A819D6">
        <w:rPr>
          <w:rFonts w:ascii="Times New Roman" w:hAnsi="Times New Roman" w:cs="Times New Roman"/>
        </w:rPr>
        <w:t xml:space="preserve"> powerbase of the Protestant Ascendancy was found in the north-east of Ireland; decedents of Scottish and English settlers, they formed a community that was culturally and economically closer to the British state</w:t>
      </w:r>
      <w:r w:rsidR="00D51325">
        <w:rPr>
          <w:rFonts w:ascii="Times New Roman" w:hAnsi="Times New Roman" w:cs="Times New Roman"/>
        </w:rPr>
        <w:t>.</w:t>
      </w:r>
      <w:r w:rsidRPr="00A819D6">
        <w:rPr>
          <w:rStyle w:val="FootnoteReference"/>
          <w:rFonts w:ascii="Times New Roman" w:hAnsi="Times New Roman" w:cs="Times New Roman"/>
        </w:rPr>
        <w:footnoteReference w:id="264"/>
      </w:r>
      <w:r w:rsidRPr="00A819D6">
        <w:rPr>
          <w:rFonts w:ascii="Times New Roman" w:hAnsi="Times New Roman" w:cs="Times New Roman"/>
        </w:rPr>
        <w:t xml:space="preserve"> </w:t>
      </w:r>
    </w:p>
    <w:p w14:paraId="53D0A918" w14:textId="7E45BFDB"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Within this context, Irish nationalism – in the form of the United Irishmen </w:t>
      </w:r>
      <w:r w:rsidR="001B156E">
        <w:rPr>
          <w:rFonts w:ascii="Times New Roman" w:hAnsi="Times New Roman" w:cs="Times New Roman"/>
        </w:rPr>
        <w:t xml:space="preserve">movement </w:t>
      </w:r>
      <w:r w:rsidRPr="00A819D6">
        <w:rPr>
          <w:rFonts w:ascii="Times New Roman" w:hAnsi="Times New Roman" w:cs="Times New Roman"/>
        </w:rPr>
        <w:t>- began to emerge in the late 18</w:t>
      </w:r>
      <w:r w:rsidRPr="00A819D6">
        <w:rPr>
          <w:rFonts w:ascii="Times New Roman" w:hAnsi="Times New Roman" w:cs="Times New Roman"/>
          <w:vertAlign w:val="superscript"/>
        </w:rPr>
        <w:t>th</w:t>
      </w:r>
      <w:r w:rsidRPr="00A819D6">
        <w:rPr>
          <w:rFonts w:ascii="Times New Roman" w:hAnsi="Times New Roman" w:cs="Times New Roman"/>
        </w:rPr>
        <w:t xml:space="preserve"> century, with the aim of attaining Catholic emancipation and weakening/breaking of constitutional ties with the British state</w:t>
      </w:r>
      <w:r w:rsidR="00D51325">
        <w:rPr>
          <w:rFonts w:ascii="Times New Roman" w:hAnsi="Times New Roman" w:cs="Times New Roman"/>
        </w:rPr>
        <w:t>.</w:t>
      </w:r>
      <w:r w:rsidRPr="00A819D6">
        <w:rPr>
          <w:rStyle w:val="FootnoteReference"/>
          <w:rFonts w:ascii="Times New Roman" w:hAnsi="Times New Roman" w:cs="Times New Roman"/>
        </w:rPr>
        <w:footnoteReference w:id="265"/>
      </w:r>
      <w:r w:rsidRPr="00A819D6">
        <w:rPr>
          <w:rFonts w:ascii="Times New Roman" w:hAnsi="Times New Roman" w:cs="Times New Roman"/>
        </w:rPr>
        <w:t xml:space="preserve"> The make-up up this social movement was initially a mix of Protestants and Catholics, however the Catholic-Protestant cleavage began to mask onto Irish Nationalist-British Unionist cleavages over time. Neither was the social movement contiguous or monolithic throughout this period. In this context, three types of political activism developed in Ireland: republican militants; constitutional nationalists/republicans; and unionists (which will be discussed later). The year 1858 marked the formation of the Irish Republican Brotherhood (IRB) a forerunner of the Irish Republican Army, whose primary grievance was the link with Britain and the monarchy, and Catholic discrimination under the Protestant Ascendancy which was </w:t>
      </w:r>
      <w:r w:rsidRPr="00A819D6">
        <w:rPr>
          <w:rFonts w:ascii="Times New Roman" w:hAnsi="Times New Roman" w:cs="Times New Roman"/>
        </w:rPr>
        <w:lastRenderedPageBreak/>
        <w:t xml:space="preserve">used to maintain the British connection. The small group of nationalists utilised the Irish Diaspora in the US as a safe haven to assist in executing its violent activities aimed at removing the British presence in Ireland, with assassinations and a dynamiting campaign in mainland British cities concluding in 1887. Over the next few decades, Republicanism coalesced with constitutional nationalism on one hand, and the development of Irish cultural activism on the other, with Gaelic sports being a significant means of social networking, however, their significance would only become really apparent in the 1916 Easter Rising. Constitutional nationalists, such as Parnell and Redmond, sought greater Irish power and representation, or Home Rule, through the British parliament. </w:t>
      </w:r>
    </w:p>
    <w:p w14:paraId="06F3EDBE" w14:textId="6A47BDD8"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The advent of the First World War pushed the Home Rule bill off the agenda, however, this was not before the proposal had elicited a strong response from the north’s Protestant and Unionist community. Protestants in the north had remained opposed to any form of self-governance and wished to remain a part of the British Empire. In response, 100,000 </w:t>
      </w:r>
      <w:r w:rsidR="001B156E">
        <w:rPr>
          <w:rFonts w:ascii="Times New Roman" w:hAnsi="Times New Roman" w:cs="Times New Roman"/>
        </w:rPr>
        <w:t>(</w:t>
      </w:r>
      <w:r w:rsidRPr="00A819D6">
        <w:rPr>
          <w:rFonts w:ascii="Times New Roman" w:hAnsi="Times New Roman" w:cs="Times New Roman"/>
        </w:rPr>
        <w:t>mainly</w:t>
      </w:r>
      <w:r w:rsidR="001B156E">
        <w:rPr>
          <w:rFonts w:ascii="Times New Roman" w:hAnsi="Times New Roman" w:cs="Times New Roman"/>
        </w:rPr>
        <w:t>)</w:t>
      </w:r>
      <w:r w:rsidRPr="00A819D6">
        <w:rPr>
          <w:rFonts w:ascii="Times New Roman" w:hAnsi="Times New Roman" w:cs="Times New Roman"/>
        </w:rPr>
        <w:t xml:space="preserve"> Protestants joined to form the Ulster Volunteer Force (UVF) in 1912 to act as a bulwark against Home Rule. The militia was trained and it was armed through smuggling that the British army ignored. The north had a strong culture of mobilisation, although in earlier iterations the nature of this mobilisation and resistance was a religious one. As such, narratives of Loyal Ulster Protestants resisting and not surrendering to Catholicism permeated the identity. Institutions such as the Orange Order played a part in fostering the Unionist identity but it also acted as a formal social network: later, membership of the Orange Order and political power would be synonymous for the new Northern Irish state. In 1912, the mobilisation of the UVF was a clear message of defiance to Westminster, but also to the Republican movement. </w:t>
      </w:r>
    </w:p>
    <w:p w14:paraId="56F43457" w14:textId="5BE0DF29"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The mobilisation of the Ulster Volunteers led to a similar mobilisation of</w:t>
      </w:r>
      <w:r w:rsidR="00BA7561">
        <w:rPr>
          <w:rFonts w:ascii="Times New Roman" w:hAnsi="Times New Roman" w:cs="Times New Roman"/>
        </w:rPr>
        <w:t xml:space="preserve"> Irish (nationalist) Volunteers, and in the future Loyalists and Republicans would continue to have this capacity to provoke the other.</w:t>
      </w:r>
      <w:r w:rsidRPr="00A819D6">
        <w:rPr>
          <w:rFonts w:ascii="Times New Roman" w:hAnsi="Times New Roman" w:cs="Times New Roman"/>
        </w:rPr>
        <w:t xml:space="preserve"> A new generation of leaders had consolidated their position in the IRB and, in conjunction with other militants, launched the 1916 Easter Rising by seizing strongpoints in the centre of Dublin. By seeking to fight the British forces in conventional warfare, the Easter Rising was crushed in a matter of days – the Irish public responded with anything but the sympathy that its leaders hoped it would inspire. However, the execution of the </w:t>
      </w:r>
      <w:r w:rsidRPr="00A819D6">
        <w:rPr>
          <w:rFonts w:ascii="Times New Roman" w:hAnsi="Times New Roman" w:cs="Times New Roman"/>
        </w:rPr>
        <w:lastRenderedPageBreak/>
        <w:t>imprisoned leaders, coupled with opposition to prospective army conscription, eventually began to delegitimise the British presence. The Republican party, Sinn Fein, had been wrongly linked with the Easter Rising by the media, however this association had stuck and led to Sinn Fein’s overwhelming victory in the 1918 General Election</w:t>
      </w:r>
      <w:r w:rsidR="00D51325">
        <w:rPr>
          <w:rFonts w:ascii="Times New Roman" w:hAnsi="Times New Roman" w:cs="Times New Roman"/>
        </w:rPr>
        <w:t>.</w:t>
      </w:r>
      <w:r w:rsidRPr="00A819D6">
        <w:rPr>
          <w:rStyle w:val="FootnoteReference"/>
          <w:rFonts w:ascii="Times New Roman" w:hAnsi="Times New Roman" w:cs="Times New Roman"/>
        </w:rPr>
        <w:footnoteReference w:id="266"/>
      </w:r>
      <w:r w:rsidRPr="00A819D6">
        <w:rPr>
          <w:rFonts w:ascii="Times New Roman" w:hAnsi="Times New Roman" w:cs="Times New Roman"/>
        </w:rPr>
        <w:t xml:space="preserve"> Republicans took the victory as an endorsement from the Irish people for a 32-county Republic free of British rule, with Sinn Fein setting about establishing an independent parliament in name, the Dail Eireann, while calling for continued war with Britain until it had withdrawn. Thus began the Anglo-Irish war, which saw the IRB/Irish Republican Army adopt guerrilla and assassination tactics that fought the British forces to an apparent stalemate, leading to negotiations between the two. The 1922 treaty paved the way for an Irish Free State which would remain part of the British Empire through an oath of allegiance to the King</w:t>
      </w:r>
      <w:r w:rsidR="00D51325">
        <w:rPr>
          <w:rFonts w:ascii="Times New Roman" w:hAnsi="Times New Roman" w:cs="Times New Roman"/>
        </w:rPr>
        <w:t>.</w:t>
      </w:r>
      <w:r w:rsidRPr="00A819D6">
        <w:rPr>
          <w:rStyle w:val="FootnoteReference"/>
          <w:rFonts w:ascii="Times New Roman" w:hAnsi="Times New Roman" w:cs="Times New Roman"/>
        </w:rPr>
        <w:footnoteReference w:id="267"/>
      </w:r>
      <w:r w:rsidRPr="00A819D6">
        <w:rPr>
          <w:rFonts w:ascii="Times New Roman" w:hAnsi="Times New Roman" w:cs="Times New Roman"/>
        </w:rPr>
        <w:t xml:space="preserve"> Later, the Irish Free State would unilaterally break all linkages with Britain to form the Republic of Ireland in 1949. </w:t>
      </w:r>
    </w:p>
    <w:p w14:paraId="7188CEC9" w14:textId="218F0D60"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Prior to the treaty, in 1921, Britain had partitioned Ireland and granted Home Rule to the north. Above all, the Northern Irish state was established to protect the interests of the Protestant Unionist community. The caveats that were attached in the 1922 treaty, such as a border commission, the establishment of north-south institutions, and the use of proportional representation in elections, were attempts to reconcile the contradictions in a Unionist state with a significant Nationalist population</w:t>
      </w:r>
      <w:r w:rsidR="00D51325">
        <w:rPr>
          <w:rFonts w:ascii="Times New Roman" w:hAnsi="Times New Roman" w:cs="Times New Roman"/>
        </w:rPr>
        <w:t>.</w:t>
      </w:r>
      <w:r w:rsidRPr="00A819D6">
        <w:rPr>
          <w:rStyle w:val="FootnoteReference"/>
          <w:rFonts w:ascii="Times New Roman" w:hAnsi="Times New Roman" w:cs="Times New Roman"/>
        </w:rPr>
        <w:footnoteReference w:id="268"/>
      </w:r>
      <w:r w:rsidRPr="00A819D6">
        <w:rPr>
          <w:rFonts w:ascii="Times New Roman" w:hAnsi="Times New Roman" w:cs="Times New Roman"/>
        </w:rPr>
        <w:t xml:space="preserve"> The counties of Antrim and Down contained a large majority of Protestants; London/Derry</w:t>
      </w:r>
      <w:r w:rsidR="00D51325">
        <w:rPr>
          <w:rFonts w:ascii="Times New Roman" w:hAnsi="Times New Roman" w:cs="Times New Roman"/>
        </w:rPr>
        <w:t>,</w:t>
      </w:r>
      <w:r w:rsidRPr="00A819D6">
        <w:rPr>
          <w:rStyle w:val="FootnoteReference"/>
          <w:rFonts w:ascii="Times New Roman" w:hAnsi="Times New Roman" w:cs="Times New Roman"/>
        </w:rPr>
        <w:footnoteReference w:id="269"/>
      </w:r>
      <w:r w:rsidRPr="00A819D6">
        <w:rPr>
          <w:rFonts w:ascii="Times New Roman" w:hAnsi="Times New Roman" w:cs="Times New Roman"/>
        </w:rPr>
        <w:t xml:space="preserve"> Tyrone, and Armagh had a significant Catholic population while over half of Fermanagh’s population were Catholic</w:t>
      </w:r>
      <w:r w:rsidR="00D51325">
        <w:rPr>
          <w:rFonts w:ascii="Times New Roman" w:hAnsi="Times New Roman" w:cs="Times New Roman"/>
        </w:rPr>
        <w:t>.</w:t>
      </w:r>
      <w:r w:rsidRPr="00A819D6">
        <w:rPr>
          <w:rStyle w:val="FootnoteReference"/>
          <w:rFonts w:ascii="Times New Roman" w:hAnsi="Times New Roman" w:cs="Times New Roman"/>
        </w:rPr>
        <w:footnoteReference w:id="270"/>
      </w:r>
      <w:r w:rsidRPr="00A819D6">
        <w:rPr>
          <w:rFonts w:ascii="Times New Roman" w:hAnsi="Times New Roman" w:cs="Times New Roman"/>
        </w:rPr>
        <w:t xml:space="preserve"> For Protestants, the partition system did not guarantee their security: firstly, support of the British could not be relied upon; the Irish state to the south posed a threat to the North’s existence; and the minority Catholic population were viewed as disloyal and </w:t>
      </w:r>
      <w:r w:rsidRPr="00A819D6">
        <w:rPr>
          <w:rFonts w:ascii="Times New Roman" w:hAnsi="Times New Roman" w:cs="Times New Roman"/>
        </w:rPr>
        <w:lastRenderedPageBreak/>
        <w:t>a potentially destabilising force. The solution for Unionists was to dominate the political landscape by abrogating the aforementioned caveats, most notably removing PR for elections, thus providing the Ulster Unionist Party a hegemonic role in the Northern Irish state</w:t>
      </w:r>
      <w:r w:rsidR="00D51325">
        <w:rPr>
          <w:rFonts w:ascii="Times New Roman" w:hAnsi="Times New Roman" w:cs="Times New Roman"/>
        </w:rPr>
        <w:t>.</w:t>
      </w:r>
      <w:r w:rsidRPr="00A819D6">
        <w:rPr>
          <w:rStyle w:val="FootnoteReference"/>
          <w:rFonts w:ascii="Times New Roman" w:hAnsi="Times New Roman" w:cs="Times New Roman"/>
        </w:rPr>
        <w:footnoteReference w:id="271"/>
      </w:r>
      <w:r w:rsidRPr="00A819D6">
        <w:rPr>
          <w:rFonts w:ascii="Times New Roman" w:hAnsi="Times New Roman" w:cs="Times New Roman"/>
        </w:rPr>
        <w:t xml:space="preserve"> The new Protestant Ascendancy regime was perceived as necessary to guarantee security in a still-hostile political system post-partition. The new regime facilitated the total disengagement of the UVF, which was incorporated into its auxiliary police-force, the B-Specials, to accompany the Royal Ulster Constabulary (RUC). The impact of partition on the Catholic population was different; while it frustrated Nationalist aspirations, the extent of mobilisation among Republicans was limited. The contingent presence of a new, legitimate and (internally) powerful Irish state in the south, balanced by Britain, effectively squeezed the Republican</w:t>
      </w:r>
      <w:r w:rsidR="001B156E">
        <w:rPr>
          <w:rFonts w:ascii="Times New Roman" w:hAnsi="Times New Roman" w:cs="Times New Roman"/>
        </w:rPr>
        <w:t>s</w:t>
      </w:r>
      <w:r w:rsidRPr="00A819D6">
        <w:rPr>
          <w:rFonts w:ascii="Times New Roman" w:hAnsi="Times New Roman" w:cs="Times New Roman"/>
        </w:rPr>
        <w:t>’ room for manoeuvre. What was to follow was a civil war between the IRA and the new Irish Free State, which would conclude in the first case of disengagement in the Irish Republican movement. However, this process of disengagement was not successful and re-emerged in the 1950s for another brief, failed campaign.</w:t>
      </w:r>
    </w:p>
    <w:p w14:paraId="2871E56A" w14:textId="77777777" w:rsidR="0015068F" w:rsidRPr="00A819D6" w:rsidRDefault="0015068F" w:rsidP="00B57C7F">
      <w:pPr>
        <w:spacing w:line="360" w:lineRule="auto"/>
        <w:ind w:firstLine="720"/>
        <w:jc w:val="both"/>
        <w:rPr>
          <w:rFonts w:ascii="Times New Roman" w:hAnsi="Times New Roman" w:cs="Times New Roman"/>
        </w:rPr>
      </w:pPr>
    </w:p>
    <w:p w14:paraId="347AD8AB" w14:textId="77777777" w:rsidR="0015068F" w:rsidRPr="00A819D6" w:rsidRDefault="0015068F" w:rsidP="00B57C7F">
      <w:pPr>
        <w:pStyle w:val="Heading3"/>
        <w:spacing w:before="120" w:line="360" w:lineRule="auto"/>
      </w:pPr>
      <w:bookmarkStart w:id="36" w:name="_Toc389208819"/>
      <w:r w:rsidRPr="00A819D6">
        <w:t xml:space="preserve">Partition and Disengagement: 1920s to </w:t>
      </w:r>
      <w:r w:rsidR="00973E0C">
        <w:t>the 196</w:t>
      </w:r>
      <w:r w:rsidRPr="00A819D6">
        <w:t>0s</w:t>
      </w:r>
      <w:bookmarkEnd w:id="36"/>
    </w:p>
    <w:p w14:paraId="67D6E4B2" w14:textId="77777777"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t xml:space="preserve">Despite representing a partial success for the IRA, the treaty did not lead to their successful disengagement. The movement split in two, with one forming the nascent Free State army, and the other continuing under the IRA. The cause of the dispute was the treaty itself, which was seen </w:t>
      </w:r>
      <w:r w:rsidR="001111D5">
        <w:rPr>
          <w:rFonts w:ascii="Times New Roman" w:hAnsi="Times New Roman" w:cs="Times New Roman"/>
        </w:rPr>
        <w:t>as a radical departure</w:t>
      </w:r>
      <w:r w:rsidRPr="00A819D6">
        <w:rPr>
          <w:rFonts w:ascii="Times New Roman" w:hAnsi="Times New Roman" w:cs="Times New Roman"/>
        </w:rPr>
        <w:t xml:space="preserve"> from the movement’s goals of an independent Irish republic. The treaty also did not provide many guarantees as to the sovereignty of the north of Ireland and the ones it did required the consent of Unionists. The subsequent outcome was a civil war between pro-treaty and anti-treaty Republican elements. The decision to accept the treaty was substantially different from the disengagement process that the Provisional IRA </w:t>
      </w:r>
      <w:r w:rsidR="001111D5">
        <w:rPr>
          <w:rFonts w:ascii="Times New Roman" w:hAnsi="Times New Roman" w:cs="Times New Roman"/>
        </w:rPr>
        <w:t xml:space="preserve">eventually </w:t>
      </w:r>
      <w:r w:rsidRPr="00A819D6">
        <w:rPr>
          <w:rFonts w:ascii="Times New Roman" w:hAnsi="Times New Roman" w:cs="Times New Roman"/>
        </w:rPr>
        <w:t xml:space="preserve">undertook. The nature of negotiations between the IRA and the UK limited the extent there could be dialogue internally in order to convince them of the treaty. Although the Free State was not able to bring about the IRA’s disengagement </w:t>
      </w:r>
      <w:r w:rsidRPr="00A819D6">
        <w:rPr>
          <w:rFonts w:ascii="Times New Roman" w:hAnsi="Times New Roman" w:cs="Times New Roman"/>
        </w:rPr>
        <w:lastRenderedPageBreak/>
        <w:t>completely, it was able to weaken it substantially. The cease-fire period that had accompanied the treaty negotiations had the effect of weakening the IRA prior to the civil war. Cease-fires can offer the opportunity for militants to resurface and this facilitated individual disengagement by instilling the desire to lead a normal life or start a family. In addition to how these individual factors impacted upon the organisation, the organisation became a weaker fighting force due to inactivity, exposure and penetration of intelligence services, thus facilitating forced disengagement by an opposing force. Nevertheless, cease-fires can also be opportunities to reinforce positions; therefore the extent that cease-fires may lead to deeper disengagement depends on the form it takes. The Irish Free State was able to enforce disengagement primarily because of the legitimacy it had, something which the British forces didn’t, thus allowing it to employ greater repressive action whilst constricting its potential support-base. In the face of defeat, the IRA and Sinn Fein (who had been against the treaty) experienced a split, forming the party Fianna Fail under their leader, de Valera, who persuaded most of the IRA to abandon violence. Once in power, Fi</w:t>
      </w:r>
      <w:r w:rsidR="001111D5">
        <w:rPr>
          <w:rFonts w:ascii="Times New Roman" w:hAnsi="Times New Roman" w:cs="Times New Roman"/>
        </w:rPr>
        <w:t>a</w:t>
      </w:r>
      <w:r w:rsidRPr="00A819D6">
        <w:rPr>
          <w:rFonts w:ascii="Times New Roman" w:hAnsi="Times New Roman" w:cs="Times New Roman"/>
        </w:rPr>
        <w:t>nna Fail removed the objectionable aspects of the 1921 Treaty and integrated a substantial number of IRA member to join the security forces</w:t>
      </w:r>
      <w:r w:rsidR="00D51325">
        <w:rPr>
          <w:rFonts w:ascii="Times New Roman" w:hAnsi="Times New Roman" w:cs="Times New Roman"/>
        </w:rPr>
        <w:t>.</w:t>
      </w:r>
      <w:r w:rsidRPr="00A819D6">
        <w:rPr>
          <w:rStyle w:val="FootnoteReference"/>
          <w:rFonts w:ascii="Times New Roman" w:hAnsi="Times New Roman" w:cs="Times New Roman"/>
        </w:rPr>
        <w:footnoteReference w:id="272"/>
      </w:r>
      <w:r w:rsidRPr="00A819D6">
        <w:rPr>
          <w:rFonts w:ascii="Times New Roman" w:hAnsi="Times New Roman" w:cs="Times New Roman"/>
        </w:rPr>
        <w:t xml:space="preserve">  However, the rump IRA had not completely disengaged as an organisation despite a renewed crack-down by both governments in Ireland, north and south, and a number of trained soldiers and volunteers who opposed the treaty still remained active</w:t>
      </w:r>
      <w:r w:rsidR="00D51325">
        <w:rPr>
          <w:rFonts w:ascii="Times New Roman" w:hAnsi="Times New Roman" w:cs="Times New Roman"/>
        </w:rPr>
        <w:t>.</w:t>
      </w:r>
      <w:r w:rsidRPr="00A819D6">
        <w:rPr>
          <w:rStyle w:val="FootnoteReference"/>
          <w:rFonts w:ascii="Times New Roman" w:hAnsi="Times New Roman" w:cs="Times New Roman"/>
        </w:rPr>
        <w:footnoteReference w:id="273"/>
      </w:r>
      <w:r w:rsidRPr="00A819D6">
        <w:rPr>
          <w:rFonts w:ascii="Times New Roman" w:hAnsi="Times New Roman" w:cs="Times New Roman"/>
        </w:rPr>
        <w:t xml:space="preserve"> </w:t>
      </w:r>
    </w:p>
    <w:p w14:paraId="3A1072EE" w14:textId="5D9D1F5E"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t xml:space="preserve"> </w:t>
      </w:r>
      <w:r w:rsidRPr="00A819D6">
        <w:rPr>
          <w:rFonts w:ascii="Times New Roman" w:hAnsi="Times New Roman" w:cs="Times New Roman"/>
        </w:rPr>
        <w:tab/>
        <w:t>Thus Irish Republicanism survived in a weaker form: it still viewed the Irish Free State as illegitimate and took advantage of the UK’s war with Nazi Germany to launch a limited terrorism campaign in Northern Ireland and Britain. However, the establishment of the Irish Republic in 1949 removed many of the grievances the IRA had toward the south, thus its focus was aimed at the north</w:t>
      </w:r>
      <w:r w:rsidR="00D51325">
        <w:rPr>
          <w:rFonts w:ascii="Times New Roman" w:hAnsi="Times New Roman" w:cs="Times New Roman"/>
        </w:rPr>
        <w:t>.</w:t>
      </w:r>
      <w:r w:rsidRPr="00A819D6">
        <w:rPr>
          <w:rStyle w:val="FootnoteReference"/>
          <w:rFonts w:ascii="Times New Roman" w:hAnsi="Times New Roman" w:cs="Times New Roman"/>
        </w:rPr>
        <w:footnoteReference w:id="274"/>
      </w:r>
      <w:r w:rsidRPr="00A819D6">
        <w:rPr>
          <w:rFonts w:ascii="Times New Roman" w:hAnsi="Times New Roman" w:cs="Times New Roman"/>
        </w:rPr>
        <w:t xml:space="preserve"> Despite the declining support for the IRA, it was still able to recruit a new generation, with most members responsible for attacks being young</w:t>
      </w:r>
      <w:r w:rsidR="00D51325">
        <w:rPr>
          <w:rFonts w:ascii="Times New Roman" w:hAnsi="Times New Roman" w:cs="Times New Roman"/>
        </w:rPr>
        <w:t>.</w:t>
      </w:r>
      <w:r w:rsidRPr="00A819D6">
        <w:rPr>
          <w:rStyle w:val="FootnoteReference"/>
          <w:rFonts w:ascii="Times New Roman" w:hAnsi="Times New Roman" w:cs="Times New Roman"/>
        </w:rPr>
        <w:footnoteReference w:id="275"/>
      </w:r>
      <w:r w:rsidRPr="00A819D6">
        <w:rPr>
          <w:rFonts w:ascii="Times New Roman" w:hAnsi="Times New Roman" w:cs="Times New Roman"/>
        </w:rPr>
        <w:t xml:space="preserve"> The symbols, history and excitement of the IRA allowed the old-guard to pass on the struggle to a new generation, whose strategy shifted toward a guerrilla campaign in the north in 1956. The plan involved </w:t>
      </w:r>
      <w:r w:rsidRPr="00A819D6">
        <w:rPr>
          <w:rFonts w:ascii="Times New Roman" w:hAnsi="Times New Roman" w:cs="Times New Roman"/>
        </w:rPr>
        <w:lastRenderedPageBreak/>
        <w:t>using flying columns from the Republic of Ireland to cause paralysis in the north, hopefully setting up liberated areas. However, the IRA did not actively attempt to mobilise the population in the north. Instead, it claimed the 1916 proclamation as the ultimate source of authority and legitimacy but its use of mythical language meant its strategy was incomprehensible to the population</w:t>
      </w:r>
      <w:r w:rsidR="00B1546E">
        <w:rPr>
          <w:rFonts w:ascii="Times New Roman" w:hAnsi="Times New Roman" w:cs="Times New Roman"/>
        </w:rPr>
        <w:t>.</w:t>
      </w:r>
      <w:r w:rsidRPr="00A819D6">
        <w:rPr>
          <w:rStyle w:val="FootnoteReference"/>
          <w:rFonts w:ascii="Times New Roman" w:hAnsi="Times New Roman" w:cs="Times New Roman"/>
        </w:rPr>
        <w:footnoteReference w:id="276"/>
      </w:r>
      <w:r w:rsidRPr="00A819D6">
        <w:rPr>
          <w:rFonts w:ascii="Times New Roman" w:hAnsi="Times New Roman" w:cs="Times New Roman"/>
        </w:rPr>
        <w:t xml:space="preserve"> During this period, social changes were occurring whereby Republicanism and anti-partitionism were not resonating: the younger generation were looking to Stormont and Westminster to address grievances, even if in vain. Despite five hundred incidents in the border campaign, the IRA admitted defeat in 1962. A document drawn up by the leadership identified four reasons for failure: 1) the people saw no connection between the fight in the North and the improving of Irish social conditions; 2) a lack of resources…money and the right type of weapons; 2) the lack of an efficient publicity and propaganda machine; and 4) dwindling public support in the North and South, making it virtually impossible for men to operate on Guerrilla lines</w:t>
      </w:r>
      <w:r w:rsidR="00B1546E">
        <w:rPr>
          <w:rFonts w:ascii="Times New Roman" w:hAnsi="Times New Roman" w:cs="Times New Roman"/>
        </w:rPr>
        <w:t>.</w:t>
      </w:r>
      <w:r w:rsidRPr="00A819D6">
        <w:rPr>
          <w:rStyle w:val="FootnoteReference"/>
          <w:rFonts w:ascii="Times New Roman" w:hAnsi="Times New Roman" w:cs="Times New Roman"/>
        </w:rPr>
        <w:footnoteReference w:id="277"/>
      </w:r>
      <w:r w:rsidRPr="00A819D6">
        <w:rPr>
          <w:rFonts w:ascii="Times New Roman" w:hAnsi="Times New Roman" w:cs="Times New Roman"/>
        </w:rPr>
        <w:t xml:space="preserve"> Most academic perspectives concur with this analysis, with the failure of the border campaign being attributed to: a) the successful use of internment by the Stormont and Dublin governments, their co-operation</w:t>
      </w:r>
      <w:r w:rsidR="00B1546E">
        <w:rPr>
          <w:rFonts w:ascii="Times New Roman" w:hAnsi="Times New Roman" w:cs="Times New Roman"/>
        </w:rPr>
        <w:t>,</w:t>
      </w:r>
      <w:r w:rsidRPr="00A819D6">
        <w:rPr>
          <w:rStyle w:val="FootnoteReference"/>
          <w:rFonts w:ascii="Times New Roman" w:hAnsi="Times New Roman" w:cs="Times New Roman"/>
        </w:rPr>
        <w:footnoteReference w:id="278"/>
      </w:r>
      <w:r w:rsidRPr="00A819D6">
        <w:rPr>
          <w:rFonts w:ascii="Times New Roman" w:hAnsi="Times New Roman" w:cs="Times New Roman"/>
        </w:rPr>
        <w:fldChar w:fldCharType="begin"/>
      </w:r>
      <w:r w:rsidR="003D17E7">
        <w:rPr>
          <w:rFonts w:ascii="Times New Roman" w:hAnsi="Times New Roman" w:cs="Times New Roman"/>
        </w:rPr>
        <w:instrText xml:space="preserve"> ADDIN EN.CITE &lt;EndNote&gt;&lt;Cite&gt;&lt;Author&gt;English&lt;/Author&gt;&lt;Year&gt;2003&lt;/Year&gt;&lt;RecNum&gt;197&lt;/RecNum&gt;&lt;record&gt;&lt;rec-number&gt;197&lt;/rec-number&gt;&lt;foreign-keys&gt;&lt;key app="EN" db-id="s0ftft29jf2psaezx93xwz5s00fwpa9avrwv"&gt;197&lt;/key&gt;&lt;/foreign-keys&gt;&lt;ref-type name="Book"&gt;6&lt;/ref-type&gt;&lt;contributors&gt;&lt;authors&gt;&lt;author&gt;English, Richard&lt;/author&gt;&lt;/authors&gt;&lt;/contributors&gt;&lt;titles&gt;&lt;title&gt;Armed Struggle: the History of the IRA&lt;/title&gt;&lt;/titles&gt;&lt;dates&gt;&lt;year&gt;2003&lt;/year&gt;&lt;/dates&gt;&lt;pub-location&gt;London&lt;/pub-location&gt;&lt;publisher&gt;Macmillan&lt;/publisher&gt;&lt;urls&gt;&lt;/urls&gt;&lt;/record&gt;&lt;/Cite&gt;&lt;/EndNote&gt;</w:instrText>
      </w:r>
      <w:r w:rsidRPr="00A819D6">
        <w:rPr>
          <w:rFonts w:ascii="Times New Roman" w:hAnsi="Times New Roman" w:cs="Times New Roman"/>
        </w:rPr>
        <w:fldChar w:fldCharType="end"/>
      </w:r>
      <w:r w:rsidR="003D17E7" w:rsidRPr="00A819D6">
        <w:rPr>
          <w:rFonts w:ascii="Times New Roman" w:hAnsi="Times New Roman" w:cs="Times New Roman"/>
        </w:rPr>
        <w:t xml:space="preserve"> </w:t>
      </w:r>
      <w:r w:rsidRPr="00A819D6">
        <w:rPr>
          <w:rFonts w:ascii="Times New Roman" w:hAnsi="Times New Roman" w:cs="Times New Roman"/>
        </w:rPr>
        <w:t xml:space="preserve"> and the loss of a safe sanctuary in the Republic</w:t>
      </w:r>
      <w:r w:rsidR="00B1546E">
        <w:rPr>
          <w:rFonts w:ascii="Times New Roman" w:hAnsi="Times New Roman" w:cs="Times New Roman"/>
        </w:rPr>
        <w:t>;</w:t>
      </w:r>
      <w:r w:rsidRPr="00A819D6">
        <w:rPr>
          <w:rStyle w:val="FootnoteReference"/>
          <w:rFonts w:ascii="Times New Roman" w:hAnsi="Times New Roman" w:cs="Times New Roman"/>
        </w:rPr>
        <w:footnoteReference w:id="279"/>
      </w:r>
      <w:r w:rsidRPr="00A819D6">
        <w:rPr>
          <w:rFonts w:ascii="Times New Roman" w:hAnsi="Times New Roman" w:cs="Times New Roman"/>
        </w:rPr>
        <w:t xml:space="preserve"> b) the full mobilisation of the North’s forces such as the B-Specials</w:t>
      </w:r>
      <w:r w:rsidR="00B1546E">
        <w:rPr>
          <w:rFonts w:ascii="Times New Roman" w:hAnsi="Times New Roman" w:cs="Times New Roman"/>
        </w:rPr>
        <w:t>;</w:t>
      </w:r>
      <w:r w:rsidRPr="00A819D6">
        <w:rPr>
          <w:rStyle w:val="FootnoteReference"/>
          <w:rFonts w:ascii="Times New Roman" w:hAnsi="Times New Roman" w:cs="Times New Roman"/>
        </w:rPr>
        <w:footnoteReference w:id="280"/>
      </w:r>
      <w:r w:rsidRPr="00A819D6">
        <w:rPr>
          <w:rFonts w:ascii="Times New Roman" w:hAnsi="Times New Roman" w:cs="Times New Roman"/>
        </w:rPr>
        <w:t xml:space="preserve"> and c) a lack of support in the north or south, which arguably freed the hands of both governments to institute strong coercive measures. </w:t>
      </w:r>
    </w:p>
    <w:p w14:paraId="54F026D8" w14:textId="77777777" w:rsidR="000F08FB"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r>
      <w:r w:rsidR="00F66499">
        <w:rPr>
          <w:rFonts w:ascii="Times New Roman" w:hAnsi="Times New Roman" w:cs="Times New Roman"/>
        </w:rPr>
        <w:t>Drawing on Cronin’s arguments on how terrorism campaigns end,</w:t>
      </w:r>
      <w:r w:rsidR="00F66499">
        <w:rPr>
          <w:rStyle w:val="FootnoteReference"/>
          <w:rFonts w:ascii="Times New Roman" w:hAnsi="Times New Roman" w:cs="Times New Roman"/>
        </w:rPr>
        <w:footnoteReference w:id="281"/>
      </w:r>
      <w:r w:rsidR="00F66499">
        <w:rPr>
          <w:rFonts w:ascii="Times New Roman" w:hAnsi="Times New Roman" w:cs="Times New Roman"/>
        </w:rPr>
        <w:t xml:space="preserve"> t</w:t>
      </w:r>
      <w:r w:rsidRPr="00A819D6">
        <w:rPr>
          <w:rFonts w:ascii="Times New Roman" w:hAnsi="Times New Roman" w:cs="Times New Roman"/>
        </w:rPr>
        <w:t>he main factor in the IRA’s decision to disengage was burnout</w:t>
      </w:r>
      <w:r w:rsidRPr="00A819D6">
        <w:rPr>
          <w:rStyle w:val="FootnoteReference"/>
          <w:rFonts w:ascii="Times New Roman" w:hAnsi="Times New Roman" w:cs="Times New Roman"/>
        </w:rPr>
        <w:footnoteReference w:id="282"/>
      </w:r>
      <w:r w:rsidRPr="00A819D6">
        <w:rPr>
          <w:rFonts w:ascii="Times New Roman" w:hAnsi="Times New Roman" w:cs="Times New Roman"/>
        </w:rPr>
        <w:t xml:space="preserve"> among its members as a result of failing to mobilise the population. In 1962, the IRA Army Council, recently expanded </w:t>
      </w:r>
      <w:r w:rsidR="000F08FB">
        <w:rPr>
          <w:rFonts w:ascii="Times New Roman" w:hAnsi="Times New Roman" w:cs="Times New Roman"/>
        </w:rPr>
        <w:t xml:space="preserve">in order </w:t>
      </w:r>
      <w:r w:rsidRPr="00A819D6">
        <w:rPr>
          <w:rFonts w:ascii="Times New Roman" w:hAnsi="Times New Roman" w:cs="Times New Roman"/>
        </w:rPr>
        <w:t>to strengthen the leader</w:t>
      </w:r>
      <w:r w:rsidR="00B1546E">
        <w:rPr>
          <w:rFonts w:ascii="Times New Roman" w:hAnsi="Times New Roman" w:cs="Times New Roman"/>
        </w:rPr>
        <w:t>,</w:t>
      </w:r>
      <w:r w:rsidRPr="00A819D6">
        <w:rPr>
          <w:rStyle w:val="FootnoteReference"/>
          <w:rFonts w:ascii="Times New Roman" w:hAnsi="Times New Roman" w:cs="Times New Roman"/>
        </w:rPr>
        <w:footnoteReference w:id="283"/>
      </w:r>
      <w:r w:rsidRPr="00A819D6">
        <w:rPr>
          <w:rFonts w:ascii="Times New Roman" w:hAnsi="Times New Roman" w:cs="Times New Roman"/>
        </w:rPr>
        <w:t xml:space="preserve"> met and unanimously voted to end the border campaign, blaming the defeat on: ‘the attitude of the general public whose </w:t>
      </w:r>
      <w:r w:rsidRPr="00A819D6">
        <w:rPr>
          <w:rFonts w:ascii="Times New Roman" w:hAnsi="Times New Roman" w:cs="Times New Roman"/>
        </w:rPr>
        <w:lastRenderedPageBreak/>
        <w:t>minds have been deliberately distracted from the supreme issue facing the Irish people – the unity and freedom of Ireland’, urging the people to show greater support in its preparation for the ‘final and victorious phase of the struggle’</w:t>
      </w:r>
      <w:r w:rsidR="00B1546E">
        <w:rPr>
          <w:rFonts w:ascii="Times New Roman" w:hAnsi="Times New Roman" w:cs="Times New Roman"/>
        </w:rPr>
        <w:t>.</w:t>
      </w:r>
      <w:r w:rsidRPr="00A819D6">
        <w:rPr>
          <w:rStyle w:val="FootnoteReference"/>
          <w:rFonts w:ascii="Times New Roman" w:hAnsi="Times New Roman" w:cs="Times New Roman"/>
        </w:rPr>
        <w:footnoteReference w:id="284"/>
      </w:r>
      <w:r w:rsidRPr="00A819D6">
        <w:rPr>
          <w:rFonts w:ascii="Times New Roman" w:hAnsi="Times New Roman" w:cs="Times New Roman"/>
        </w:rPr>
        <w:t xml:space="preserve"> The IRA’s internal soul-searching that followed pointed to how the ‘fight for freedom had become an end in itself…We could never hope to succeed because we never planned to succeed’</w:t>
      </w:r>
      <w:r w:rsidR="00B1546E">
        <w:rPr>
          <w:rFonts w:ascii="Times New Roman" w:hAnsi="Times New Roman" w:cs="Times New Roman"/>
        </w:rPr>
        <w:t>.</w:t>
      </w:r>
      <w:r w:rsidRPr="00A819D6">
        <w:rPr>
          <w:rStyle w:val="FootnoteReference"/>
          <w:rFonts w:ascii="Times New Roman" w:hAnsi="Times New Roman" w:cs="Times New Roman"/>
        </w:rPr>
        <w:footnoteReference w:id="285"/>
      </w:r>
      <w:r w:rsidRPr="00A819D6">
        <w:rPr>
          <w:rFonts w:ascii="Times New Roman" w:hAnsi="Times New Roman" w:cs="Times New Roman"/>
        </w:rPr>
        <w:t xml:space="preserve"> Burnout and the strategic re-think led to a mixed form of disengagement, similar to previous campaigns. </w:t>
      </w:r>
    </w:p>
    <w:p w14:paraId="2415EE60" w14:textId="56760894" w:rsidR="0015068F" w:rsidRPr="00A819D6" w:rsidRDefault="0015068F" w:rsidP="000F08FB">
      <w:pPr>
        <w:spacing w:line="360" w:lineRule="auto"/>
        <w:ind w:firstLine="720"/>
        <w:jc w:val="both"/>
        <w:rPr>
          <w:rFonts w:ascii="Times New Roman" w:hAnsi="Times New Roman" w:cs="Times New Roman"/>
        </w:rPr>
      </w:pPr>
      <w:r w:rsidRPr="00A819D6">
        <w:rPr>
          <w:rFonts w:ascii="Times New Roman" w:hAnsi="Times New Roman" w:cs="Times New Roman"/>
        </w:rPr>
        <w:t xml:space="preserve">First of all, there was no attitudinal change in terms of ideology or objectives; the attitudinal shift was primarily with regard to tactical use of political violence but this was only with regard to their </w:t>
      </w:r>
      <w:r w:rsidRPr="00A819D6">
        <w:rPr>
          <w:rFonts w:ascii="Times New Roman" w:hAnsi="Times New Roman" w:cs="Times New Roman"/>
          <w:i/>
          <w:iCs/>
        </w:rPr>
        <w:t>current</w:t>
      </w:r>
      <w:r w:rsidRPr="00A819D6">
        <w:rPr>
          <w:rFonts w:ascii="Times New Roman" w:hAnsi="Times New Roman" w:cs="Times New Roman"/>
        </w:rPr>
        <w:t xml:space="preserve"> utility. There was no attempt to de-legitimise the use of political violence and the tactic was not framed as something to be traded for incentives as it would be in the 1990s disengagement process. Furthermore, the disengagement frame the IRA leadership had been using to move the movement in a different direction did not resonate and was often at odds with its members. </w:t>
      </w:r>
      <w:r w:rsidR="000F08FB">
        <w:rPr>
          <w:rFonts w:ascii="Times New Roman" w:hAnsi="Times New Roman" w:cs="Times New Roman"/>
        </w:rPr>
        <w:t>T</w:t>
      </w:r>
      <w:r w:rsidRPr="00A819D6">
        <w:rPr>
          <w:rFonts w:ascii="Times New Roman" w:hAnsi="Times New Roman" w:cs="Times New Roman"/>
        </w:rPr>
        <w:t>he Marxist justification contained in the disengagement frame undermined the message’s credibility and broke narrative fidelity for many traditional Republicans. In terms of causing a split, the cease-fire led to a number of older leaders leaving with the intention to start up a new movement, but instead they retired out of disillusionment</w:t>
      </w:r>
      <w:r w:rsidR="00B1546E">
        <w:rPr>
          <w:rFonts w:ascii="Times New Roman" w:hAnsi="Times New Roman" w:cs="Times New Roman"/>
        </w:rPr>
        <w:t>.</w:t>
      </w:r>
      <w:r w:rsidRPr="00A819D6">
        <w:rPr>
          <w:rStyle w:val="FootnoteReference"/>
          <w:rFonts w:ascii="Times New Roman" w:hAnsi="Times New Roman" w:cs="Times New Roman"/>
        </w:rPr>
        <w:footnoteReference w:id="286"/>
      </w:r>
      <w:r w:rsidRPr="00A819D6">
        <w:rPr>
          <w:rFonts w:ascii="Times New Roman" w:hAnsi="Times New Roman" w:cs="Times New Roman"/>
        </w:rPr>
        <w:t xml:space="preserve"> One of the prominent dissenters who stayed within the IRA, </w:t>
      </w:r>
      <w:r w:rsidR="001111D5">
        <w:rPr>
          <w:rFonts w:ascii="Times New Roman" w:hAnsi="Times New Roman" w:cs="Times New Roman"/>
        </w:rPr>
        <w:t xml:space="preserve">Sean </w:t>
      </w:r>
      <w:r w:rsidRPr="00A819D6">
        <w:rPr>
          <w:rFonts w:ascii="Times New Roman" w:hAnsi="Times New Roman" w:cs="Times New Roman"/>
        </w:rPr>
        <w:t>MacStiofain, was concerned that the neglect of the military component of the IRA risked causing it to lose its strength, cohesion and identity. To pacify such dissenting voices, the IRA leadership rhetorically quashed the notion of relinquishing the use of force as one of many tactics. Furthermore, the leadership authorised a degree of military planning to convince the traditionalists of the commitment to armed force</w:t>
      </w:r>
      <w:r w:rsidR="00B1546E">
        <w:rPr>
          <w:rFonts w:ascii="Times New Roman" w:hAnsi="Times New Roman" w:cs="Times New Roman"/>
        </w:rPr>
        <w:t>.</w:t>
      </w:r>
      <w:r w:rsidRPr="00A819D6">
        <w:rPr>
          <w:rStyle w:val="FootnoteReference"/>
          <w:rFonts w:ascii="Times New Roman" w:hAnsi="Times New Roman" w:cs="Times New Roman"/>
        </w:rPr>
        <w:footnoteReference w:id="287"/>
      </w:r>
      <w:r w:rsidRPr="00A819D6">
        <w:rPr>
          <w:rFonts w:ascii="Times New Roman" w:hAnsi="Times New Roman" w:cs="Times New Roman"/>
        </w:rPr>
        <w:t xml:space="preserve"> Thus, the leadership’s inability to successfully diffuse its new strategy, which effectively was toward disengagement, meant that to avoid a split and to maintain narrative fidelity, its implementation of disengagement was inconsistent or weak. For example, the leadership directed all IRA units to dump </w:t>
      </w:r>
      <w:r w:rsidRPr="00A819D6">
        <w:rPr>
          <w:rFonts w:ascii="Times New Roman" w:hAnsi="Times New Roman" w:cs="Times New Roman"/>
        </w:rPr>
        <w:lastRenderedPageBreak/>
        <w:t>arms, but also proclaiming that the movement remained intact and could continue the armed struggle if it wished</w:t>
      </w:r>
      <w:r w:rsidR="00B1546E">
        <w:rPr>
          <w:rFonts w:ascii="Times New Roman" w:hAnsi="Times New Roman" w:cs="Times New Roman"/>
        </w:rPr>
        <w:t>.</w:t>
      </w:r>
      <w:r w:rsidRPr="00A819D6">
        <w:rPr>
          <w:rStyle w:val="FootnoteReference"/>
          <w:rFonts w:ascii="Times New Roman" w:hAnsi="Times New Roman" w:cs="Times New Roman"/>
        </w:rPr>
        <w:footnoteReference w:id="288"/>
      </w:r>
      <w:r w:rsidRPr="00A819D6">
        <w:rPr>
          <w:rFonts w:ascii="Times New Roman" w:hAnsi="Times New Roman" w:cs="Times New Roman"/>
        </w:rPr>
        <w:t xml:space="preserve"> </w:t>
      </w:r>
    </w:p>
    <w:p w14:paraId="7866B183" w14:textId="77777777"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t>If the IRA had been beaten in the 1920s, the question of how it managed to survive throughout these decades has clear implications for the current disengagement process. Firstly, the IRA had a monopoly on Republican cultural symbols and parades, such as the Easter Rising commemorations, specifically the 50</w:t>
      </w:r>
      <w:r w:rsidRPr="00A819D6">
        <w:rPr>
          <w:rFonts w:ascii="Times New Roman" w:hAnsi="Times New Roman" w:cs="Times New Roman"/>
          <w:vertAlign w:val="superscript"/>
        </w:rPr>
        <w:t>th</w:t>
      </w:r>
      <w:r w:rsidRPr="00A819D6">
        <w:rPr>
          <w:rFonts w:ascii="Times New Roman" w:hAnsi="Times New Roman" w:cs="Times New Roman"/>
        </w:rPr>
        <w:t xml:space="preserve"> anniversary in 1966 which had a substantial impact on improving the IRA’s strength, even if it was still officially disengaged</w:t>
      </w:r>
      <w:r w:rsidR="00B1546E">
        <w:rPr>
          <w:rFonts w:ascii="Times New Roman" w:hAnsi="Times New Roman" w:cs="Times New Roman"/>
        </w:rPr>
        <w:t>.</w:t>
      </w:r>
      <w:r w:rsidRPr="00A819D6">
        <w:rPr>
          <w:rStyle w:val="FootnoteReference"/>
          <w:rFonts w:ascii="Times New Roman" w:hAnsi="Times New Roman" w:cs="Times New Roman"/>
        </w:rPr>
        <w:footnoteReference w:id="289"/>
      </w:r>
      <w:r w:rsidRPr="00A819D6">
        <w:rPr>
          <w:rFonts w:ascii="Times New Roman" w:hAnsi="Times New Roman" w:cs="Times New Roman"/>
        </w:rPr>
        <w:t xml:space="preserve"> Cultural activities provided a form of social space that was relatively free from repression that could sustain membership between generations. Family ties also became another means of sustaining the IRA from the 1920s onwards: as the group became smaller under the pressure of state repression, its membership became inward looking through marriage into ‘IRA families’</w:t>
      </w:r>
      <w:r w:rsidR="00B1546E">
        <w:rPr>
          <w:rFonts w:ascii="Times New Roman" w:hAnsi="Times New Roman" w:cs="Times New Roman"/>
        </w:rPr>
        <w:t>.</w:t>
      </w:r>
      <w:r w:rsidRPr="00A819D6">
        <w:rPr>
          <w:rStyle w:val="FootnoteReference"/>
          <w:rFonts w:ascii="Times New Roman" w:hAnsi="Times New Roman" w:cs="Times New Roman"/>
        </w:rPr>
        <w:footnoteReference w:id="290"/>
      </w:r>
      <w:r w:rsidRPr="00A819D6">
        <w:rPr>
          <w:rFonts w:ascii="Times New Roman" w:hAnsi="Times New Roman" w:cs="Times New Roman"/>
        </w:rPr>
        <w:t xml:space="preserve"> Thus through family ties, Republican traditionalism could be passed on between generations</w:t>
      </w:r>
      <w:r w:rsidR="00B1546E">
        <w:rPr>
          <w:rFonts w:ascii="Times New Roman" w:hAnsi="Times New Roman" w:cs="Times New Roman"/>
        </w:rPr>
        <w:t>,</w:t>
      </w:r>
      <w:r w:rsidRPr="00A819D6">
        <w:rPr>
          <w:rStyle w:val="FootnoteReference"/>
          <w:rFonts w:ascii="Times New Roman" w:hAnsi="Times New Roman" w:cs="Times New Roman"/>
        </w:rPr>
        <w:footnoteReference w:id="291"/>
      </w:r>
      <w:r w:rsidRPr="00A819D6">
        <w:rPr>
          <w:rFonts w:ascii="Times New Roman" w:hAnsi="Times New Roman" w:cs="Times New Roman"/>
        </w:rPr>
        <w:t xml:space="preserve"> and the fact that many of the core grievances of Republicanism remained had facilitated a move into violence, even if the extent of this was limited. Furthermore, disengagement failed because the disengagement frame did not resonate with members – through a lack of credibility, a lack of narrative fidelity, and through a lack of attempts to develop linkages throughout the movement to enforce or diffuse the frame. Crucially, many of the structurally based grievances that legitimised political violence in this frame still existed. As a consequence, when the opportunity and demand for an armed campaign emerged during the civil rights movement in the late 1960s, the IRA - albeit weak and divided - could provide the narratives and resources to guide violent mobilisation to a greater extent than if there had been no IRA network. The divisions that failed disengagement created in the IRA would lead to the emergence of the Provisional IRA, but in the Provisional IRA would be two different generations. One would be the traditionalists who joined the IRA prior to the civil rights movement </w:t>
      </w:r>
      <w:r w:rsidRPr="00A819D6">
        <w:rPr>
          <w:rFonts w:ascii="Times New Roman" w:hAnsi="Times New Roman" w:cs="Times New Roman"/>
        </w:rPr>
        <w:lastRenderedPageBreak/>
        <w:t xml:space="preserve">and opposed the 1962 disengagement; the other would be the recruits who joined in response to the state response to the civil rights movement.    </w:t>
      </w:r>
    </w:p>
    <w:p w14:paraId="16B4EA39" w14:textId="77777777" w:rsidR="0015068F" w:rsidRPr="00A819D6" w:rsidRDefault="0015068F" w:rsidP="00B57C7F">
      <w:pPr>
        <w:spacing w:line="360" w:lineRule="auto"/>
        <w:ind w:firstLine="720"/>
        <w:jc w:val="both"/>
        <w:rPr>
          <w:rFonts w:ascii="Times New Roman" w:hAnsi="Times New Roman" w:cs="Times New Roman"/>
        </w:rPr>
      </w:pPr>
    </w:p>
    <w:p w14:paraId="358A5B75" w14:textId="77777777" w:rsidR="0015068F" w:rsidRPr="00A819D6" w:rsidRDefault="0015068F" w:rsidP="00B57C7F">
      <w:pPr>
        <w:pStyle w:val="Heading3"/>
        <w:spacing w:before="120" w:line="360" w:lineRule="auto"/>
      </w:pPr>
      <w:bookmarkStart w:id="37" w:name="_Toc389208820"/>
      <w:r w:rsidRPr="00A819D6">
        <w:t>Emergence of the Troubles</w:t>
      </w:r>
      <w:bookmarkEnd w:id="37"/>
    </w:p>
    <w:p w14:paraId="17E36DAD" w14:textId="106B1007"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The following section explains how the Troubles emerged and what led to the emergence of the Provisional IRA. </w:t>
      </w:r>
      <w:r w:rsidR="00443B84">
        <w:rPr>
          <w:rFonts w:ascii="Times New Roman" w:hAnsi="Times New Roman" w:cs="Times New Roman"/>
        </w:rPr>
        <w:t xml:space="preserve">This section provides much of the context and analytical foundations for the proceeding chapters with regard to organisational (and generational) dynamics, attitudes, and structural factors. </w:t>
      </w:r>
      <w:r w:rsidRPr="00A819D6">
        <w:rPr>
          <w:rFonts w:ascii="Times New Roman" w:hAnsi="Times New Roman" w:cs="Times New Roman"/>
        </w:rPr>
        <w:t xml:space="preserve">One key point that it seeks to make is the motivations for engaging in violence for the pre-1960s IRA generation and the 1960s IRA generation were quite different and this would have a substantial impact on the Provisional IRA’s disengagement. The pre-1960s generation is used to refer to the members of the IRA who were involved in the group during the 1956 Border Campaign and prior to the full emergence of the civil rights movement in the mid-1960s. This generation tends to be linked in a network of familial ties and are bitterly opposed to a full political route to a united Irish Republic. The 1960s generation are those who were either active in the civil rights movement – such as Gerry Adams and Martin McGuinness – and those who as teenagers experienced the violence and, for example, joined the IRA motivated out of revenge after events such as Bloody Sunday in 1972. The term 1960s generation is of course not entirely precise, but it is used to refer to the specific period in the late 1960s and early 1970s where the civil rights movement </w:t>
      </w:r>
      <w:r w:rsidR="00271F90">
        <w:rPr>
          <w:rFonts w:ascii="Times New Roman" w:hAnsi="Times New Roman" w:cs="Times New Roman"/>
        </w:rPr>
        <w:t>gave way to</w:t>
      </w:r>
      <w:r w:rsidRPr="00A819D6">
        <w:rPr>
          <w:rFonts w:ascii="Times New Roman" w:hAnsi="Times New Roman" w:cs="Times New Roman"/>
        </w:rPr>
        <w:t xml:space="preserve"> armed violence. Of course, many people joined the IRA, or later the Provisional IRA, in the preceding decades of the conflict, but the young generation that joined in the 1960s and early 1970s, in the main</w:t>
      </w:r>
      <w:r w:rsidR="00271F90">
        <w:rPr>
          <w:rFonts w:ascii="Times New Roman" w:hAnsi="Times New Roman" w:cs="Times New Roman"/>
        </w:rPr>
        <w:t xml:space="preserve"> were</w:t>
      </w:r>
      <w:r w:rsidRPr="00A819D6">
        <w:rPr>
          <w:rFonts w:ascii="Times New Roman" w:hAnsi="Times New Roman" w:cs="Times New Roman"/>
        </w:rPr>
        <w:t xml:space="preserve"> motivated</w:t>
      </w:r>
      <w:r w:rsidR="00271F90">
        <w:rPr>
          <w:rFonts w:ascii="Times New Roman" w:hAnsi="Times New Roman" w:cs="Times New Roman"/>
        </w:rPr>
        <w:t xml:space="preserve"> by the zeitgeist of the period and</w:t>
      </w:r>
      <w:r w:rsidRPr="00A819D6">
        <w:rPr>
          <w:rFonts w:ascii="Times New Roman" w:hAnsi="Times New Roman" w:cs="Times New Roman"/>
        </w:rPr>
        <w:t xml:space="preserve"> became the spearhead of the group. </w:t>
      </w:r>
    </w:p>
    <w:p w14:paraId="0AF334FB" w14:textId="778F79DE"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The causes of the conflict that emerged in the 1960s that led to a reinvigoration of the IRA were built in to the formation of the Northern Irish state. O’Leary argues that it was the Unionists’ ability to exert hegemonic rule that was the primary cause of the 1960s conflict. The demarcation of Northern Ireland as six counties guaranteed an in-built Unionist majority and the presence of a Catholic, </w:t>
      </w:r>
      <w:r w:rsidR="00271F90" w:rsidRPr="00A819D6">
        <w:rPr>
          <w:rFonts w:ascii="Times New Roman" w:hAnsi="Times New Roman" w:cs="Times New Roman"/>
        </w:rPr>
        <w:t>Nationalist</w:t>
      </w:r>
      <w:r w:rsidRPr="00A819D6">
        <w:rPr>
          <w:rFonts w:ascii="Times New Roman" w:hAnsi="Times New Roman" w:cs="Times New Roman"/>
        </w:rPr>
        <w:t xml:space="preserve"> ‘other’ minority encouraged the Unionists to maintain this hegemonic </w:t>
      </w:r>
      <w:r w:rsidRPr="00A819D6">
        <w:rPr>
          <w:rFonts w:ascii="Times New Roman" w:hAnsi="Times New Roman" w:cs="Times New Roman"/>
        </w:rPr>
        <w:lastRenderedPageBreak/>
        <w:t>rule</w:t>
      </w:r>
      <w:r w:rsidR="00B1546E">
        <w:rPr>
          <w:rFonts w:ascii="Times New Roman" w:hAnsi="Times New Roman" w:cs="Times New Roman"/>
        </w:rPr>
        <w:t>.</w:t>
      </w:r>
      <w:r w:rsidRPr="00A819D6">
        <w:rPr>
          <w:rStyle w:val="FootnoteReference"/>
          <w:rFonts w:ascii="Times New Roman" w:hAnsi="Times New Roman" w:cs="Times New Roman"/>
        </w:rPr>
        <w:footnoteReference w:id="292"/>
      </w:r>
      <w:r w:rsidRPr="00A819D6">
        <w:rPr>
          <w:rFonts w:ascii="Times New Roman" w:hAnsi="Times New Roman" w:cs="Times New Roman"/>
        </w:rPr>
        <w:t xml:space="preserve"> The new Irish state in the South made claims to the six counties and De Valera’s reshaping of the Republic of Ireland as a Catholic state reinforced the fears of the Northern Protestants. And of course, whether they supported the IRA or not, the Catholic population in the North were looked upon with deep suspicion</w:t>
      </w:r>
      <w:r w:rsidR="00B1546E">
        <w:rPr>
          <w:rFonts w:ascii="Times New Roman" w:hAnsi="Times New Roman" w:cs="Times New Roman"/>
        </w:rPr>
        <w:t>.</w:t>
      </w:r>
      <w:r w:rsidRPr="00A819D6">
        <w:rPr>
          <w:rStyle w:val="FootnoteReference"/>
          <w:rFonts w:ascii="Times New Roman" w:hAnsi="Times New Roman" w:cs="Times New Roman"/>
        </w:rPr>
        <w:footnoteReference w:id="293"/>
      </w:r>
      <w:r w:rsidRPr="00A819D6">
        <w:rPr>
          <w:rFonts w:ascii="Times New Roman" w:hAnsi="Times New Roman" w:cs="Times New Roman"/>
        </w:rPr>
        <w:t xml:space="preserve"> Making up one third of the new state’s population, Unionists feared that the growing Catholic population could force reintegration with the South. However, before the 1960s the Nationalist population was mainly passive and the IRA was unable to mobilise the population. Instead, what occurred was an effective apathy to Unionist hegemony. The Catholic population shortly preceding partition had viewed the government in the South as the source of legitimacy and the Irish c</w:t>
      </w:r>
      <w:r w:rsidR="00271F90">
        <w:rPr>
          <w:rFonts w:ascii="Times New Roman" w:hAnsi="Times New Roman" w:cs="Times New Roman"/>
        </w:rPr>
        <w:t xml:space="preserve">ommunity as the identity group; </w:t>
      </w:r>
      <w:r w:rsidRPr="00A819D6">
        <w:rPr>
          <w:rFonts w:ascii="Times New Roman" w:hAnsi="Times New Roman" w:cs="Times New Roman"/>
        </w:rPr>
        <w:t xml:space="preserve">they were looking to Dublin as the centre of power while a new centre of power was emerging around them. Very few Catholics joined the RUC despite having a one-third quota </w:t>
      </w:r>
      <w:r w:rsidR="00271F90">
        <w:rPr>
          <w:rFonts w:ascii="Times New Roman" w:hAnsi="Times New Roman" w:cs="Times New Roman"/>
        </w:rPr>
        <w:t xml:space="preserve">designated </w:t>
      </w:r>
      <w:r w:rsidRPr="00A819D6">
        <w:rPr>
          <w:rFonts w:ascii="Times New Roman" w:hAnsi="Times New Roman" w:cs="Times New Roman"/>
        </w:rPr>
        <w:t>for Catholics; Nationalist parties abstained from Stormont; and little effort was made to challenge the redrawing of local government boundaries</w:t>
      </w:r>
      <w:r w:rsidR="00271F90">
        <w:rPr>
          <w:rFonts w:ascii="Times New Roman" w:hAnsi="Times New Roman" w:cs="Times New Roman"/>
        </w:rPr>
        <w:t>.</w:t>
      </w:r>
      <w:r w:rsidRPr="00A819D6">
        <w:rPr>
          <w:rFonts w:ascii="Times New Roman" w:hAnsi="Times New Roman" w:cs="Times New Roman"/>
        </w:rPr>
        <w:t xml:space="preserve"> Furthermore, separate social networks and institutions were maintained, such as the maintenance of Catholic schools in the face of attempts by Stormont to create a secular system</w:t>
      </w:r>
      <w:r w:rsidR="00B1546E">
        <w:rPr>
          <w:rFonts w:ascii="Times New Roman" w:hAnsi="Times New Roman" w:cs="Times New Roman"/>
        </w:rPr>
        <w:t>.</w:t>
      </w:r>
      <w:r w:rsidRPr="00A819D6">
        <w:rPr>
          <w:rStyle w:val="FootnoteReference"/>
          <w:rFonts w:ascii="Times New Roman" w:hAnsi="Times New Roman" w:cs="Times New Roman"/>
        </w:rPr>
        <w:footnoteReference w:id="294"/>
      </w:r>
      <w:r w:rsidRPr="00A819D6">
        <w:rPr>
          <w:rFonts w:ascii="Times New Roman" w:hAnsi="Times New Roman" w:cs="Times New Roman"/>
        </w:rPr>
        <w:t xml:space="preserve"> </w:t>
      </w:r>
    </w:p>
    <w:p w14:paraId="2F443E54" w14:textId="56434218"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However, by the 1950s some prosperous Catholics were prepared to accept the permanency of Northern Ireland, the sectarian divide was diminishing in the eyes of Catholics</w:t>
      </w:r>
      <w:r w:rsidR="00B1546E">
        <w:rPr>
          <w:rFonts w:ascii="Times New Roman" w:hAnsi="Times New Roman" w:cs="Times New Roman"/>
        </w:rPr>
        <w:t>,</w:t>
      </w:r>
      <w:r>
        <w:rPr>
          <w:rStyle w:val="FootnoteReference"/>
          <w:rFonts w:ascii="Times New Roman" w:hAnsi="Times New Roman" w:cs="Times New Roman"/>
        </w:rPr>
        <w:footnoteReference w:id="295"/>
      </w:r>
      <w:r w:rsidRPr="00A819D6">
        <w:rPr>
          <w:rFonts w:ascii="Times New Roman" w:hAnsi="Times New Roman" w:cs="Times New Roman"/>
        </w:rPr>
        <w:t xml:space="preserve"> and the British welfare system compared far more favourably than what was available in the South</w:t>
      </w:r>
      <w:r w:rsidR="00B1546E">
        <w:rPr>
          <w:rFonts w:ascii="Times New Roman" w:hAnsi="Times New Roman" w:cs="Times New Roman"/>
        </w:rPr>
        <w:t>.</w:t>
      </w:r>
      <w:r>
        <w:rPr>
          <w:rStyle w:val="FootnoteReference"/>
          <w:rFonts w:ascii="Times New Roman" w:hAnsi="Times New Roman" w:cs="Times New Roman"/>
        </w:rPr>
        <w:footnoteReference w:id="296"/>
      </w:r>
      <w:r w:rsidRPr="00A819D6">
        <w:rPr>
          <w:rFonts w:ascii="Times New Roman" w:hAnsi="Times New Roman" w:cs="Times New Roman"/>
        </w:rPr>
        <w:t xml:space="preserve"> Gradually, an emerging economically and socially mobile Catholic population came</w:t>
      </w:r>
      <w:r w:rsidR="00271F90">
        <w:rPr>
          <w:rFonts w:ascii="Times New Roman" w:hAnsi="Times New Roman" w:cs="Times New Roman"/>
        </w:rPr>
        <w:t xml:space="preserve"> face</w:t>
      </w:r>
      <w:r w:rsidRPr="00A819D6">
        <w:rPr>
          <w:rFonts w:ascii="Times New Roman" w:hAnsi="Times New Roman" w:cs="Times New Roman"/>
        </w:rPr>
        <w:t xml:space="preserve"> to face with the restrictions that Unionist dominance placed on their aspirations in the political, economic and social spheres.  Partition had guaranteed an in-built Unionist majority, providing the conditions for the Ulster Unionist Party to win all of the elections from 1920 to 1969</w:t>
      </w:r>
      <w:r w:rsidR="00B1546E">
        <w:rPr>
          <w:rFonts w:ascii="Times New Roman" w:hAnsi="Times New Roman" w:cs="Times New Roman"/>
        </w:rPr>
        <w:t>.</w:t>
      </w:r>
      <w:r>
        <w:rPr>
          <w:rStyle w:val="FootnoteReference"/>
          <w:rFonts w:ascii="Times New Roman" w:hAnsi="Times New Roman" w:cs="Times New Roman"/>
        </w:rPr>
        <w:footnoteReference w:id="297"/>
      </w:r>
      <w:r w:rsidRPr="00A819D6">
        <w:rPr>
          <w:rFonts w:ascii="Times New Roman" w:hAnsi="Times New Roman" w:cs="Times New Roman"/>
        </w:rPr>
        <w:t xml:space="preserve"> The Northern Ireland voting system still awarded more votes to businesses and </w:t>
      </w:r>
      <w:r w:rsidRPr="00A819D6">
        <w:rPr>
          <w:rFonts w:ascii="Times New Roman" w:hAnsi="Times New Roman" w:cs="Times New Roman"/>
        </w:rPr>
        <w:lastRenderedPageBreak/>
        <w:t>universities, which tended to be Protestant. The changes in local government boundaries led to accusations of gerrymandering, whereby fewer Unionist votes would gain more seats than Nationalist votes. The outcome of skewed results would have knock-on effects on the distribution of resources, leading to further grievances such as the lack of housing. In addition to dominating the political sphere, Protestants dominated the civil service and security services through a mix of structural factors (e.g. education) and discrimination. Catholics in local councils that were dominated by Protestants/Unionists tended to face discrimination in terms of housing, with the council seeking to keep Catholics in ‘Catholic areas’, thus leading to overcrowding. Thus, Northern Ireland Catholics perceived and experienced a number of grievances and political exclusion, even if the Protestants were not convinced of this claim’s validity. Unionist hegemony extended to expressions of identity, with bans on the flag of the Irish Republic, singing the Irish national anthem and restrictions on Republican movements</w:t>
      </w:r>
      <w:r w:rsidR="00B1546E">
        <w:rPr>
          <w:rFonts w:ascii="Times New Roman" w:hAnsi="Times New Roman" w:cs="Times New Roman"/>
        </w:rPr>
        <w:t>.</w:t>
      </w:r>
      <w:r>
        <w:rPr>
          <w:rStyle w:val="FootnoteReference"/>
          <w:rFonts w:ascii="Times New Roman" w:hAnsi="Times New Roman" w:cs="Times New Roman"/>
        </w:rPr>
        <w:footnoteReference w:id="298"/>
      </w:r>
      <w:r w:rsidRPr="00A819D6">
        <w:rPr>
          <w:rFonts w:ascii="Times New Roman" w:hAnsi="Times New Roman" w:cs="Times New Roman"/>
        </w:rPr>
        <w:t xml:space="preserve"> Therefore, while the grievances that would motivate the conflict can be traced back to partition, it was only in the 1960s that the Catholic, Nationalist population began to recognise and articulate these grievances.</w:t>
      </w:r>
    </w:p>
    <w:p w14:paraId="6817D862" w14:textId="4A6E8D0D"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This was the context for the mobilisation of the 1960s, which took a number of forms. The first was tied to the disengagement of the IRA, with Republicans mobilising on identity issues and organising parades and flying the Irish Republic’s flag. The second type was community movements against grievances such as in housing, which IRA members became involved in but by no means </w:t>
      </w:r>
      <w:r w:rsidR="00BB4DF3">
        <w:rPr>
          <w:rFonts w:ascii="Times New Roman" w:hAnsi="Times New Roman" w:cs="Times New Roman"/>
        </w:rPr>
        <w:t>controlled</w:t>
      </w:r>
      <w:r w:rsidRPr="00A819D6">
        <w:rPr>
          <w:rFonts w:ascii="Times New Roman" w:hAnsi="Times New Roman" w:cs="Times New Roman"/>
        </w:rPr>
        <w:t xml:space="preserve">. The third, which was closely related to the second, was with regard to the new middle class and focused more on the denial of space in political opportunities.  The fourth was the rise of Reverend Ian Paisley’s Loyalist movement and the Gusty Spence’s </w:t>
      </w:r>
      <w:r w:rsidR="004A003D">
        <w:rPr>
          <w:rFonts w:ascii="Times New Roman" w:hAnsi="Times New Roman" w:cs="Times New Roman"/>
        </w:rPr>
        <w:t xml:space="preserve">(new) </w:t>
      </w:r>
      <w:r w:rsidRPr="00A819D6">
        <w:rPr>
          <w:rFonts w:ascii="Times New Roman" w:hAnsi="Times New Roman" w:cs="Times New Roman"/>
        </w:rPr>
        <w:t>UVF; this movement was provocative and violent toward the emerging civil rights movement and Catholics/Nationalists/Republicans</w:t>
      </w:r>
      <w:r w:rsidRPr="00A819D6">
        <w:rPr>
          <w:rStyle w:val="FootnoteReference"/>
          <w:rFonts w:ascii="Times New Roman" w:hAnsi="Times New Roman" w:cs="Times New Roman"/>
        </w:rPr>
        <w:footnoteReference w:id="299"/>
      </w:r>
      <w:r w:rsidRPr="00A819D6">
        <w:rPr>
          <w:rFonts w:ascii="Times New Roman" w:hAnsi="Times New Roman" w:cs="Times New Roman"/>
        </w:rPr>
        <w:t xml:space="preserve"> in general. However, the political system meant that the new middle class would never gain power in Stormont to affect social change, hence incentivising extra-parliamentary activity such as sit-ins, marches and protests that encapsulated the 1960s civil rights movement. Stormont was not entirely intransigent to the civil rights movement: </w:t>
      </w:r>
      <w:r w:rsidRPr="00A819D6">
        <w:rPr>
          <w:rFonts w:ascii="Times New Roman" w:hAnsi="Times New Roman" w:cs="Times New Roman"/>
        </w:rPr>
        <w:lastRenderedPageBreak/>
        <w:t xml:space="preserve">Prime Minister O’Neil had been pursuing a strategy of economic modernisation and inter-communal reconciliation. However, much of this strategy back-fired as it had raised expectations that could not be met. Economic modernisation may have facilitated the growing Catholic middle class but political and social constraints meant mobility was frustrated and brought them to make comparisons between themselves (as Catholics) and (middle class) Protestants. </w:t>
      </w:r>
    </w:p>
    <w:p w14:paraId="75D50675" w14:textId="2B1F899A"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Thus, experiencing grievances but unable to effect change, multiple social movements emerged and the growing support among the Catholic population provided an opportunity for the IRA leadership to implement its disengagement process into social activism. Bearing in mind that the failure of the Border Campaign was put down to a lack of popular support, the IRA leadership’s strategy had</w:t>
      </w:r>
      <w:r w:rsidR="004A003D">
        <w:rPr>
          <w:rFonts w:ascii="Times New Roman" w:hAnsi="Times New Roman" w:cs="Times New Roman"/>
        </w:rPr>
        <w:t xml:space="preserve"> moved to social and grassroots </w:t>
      </w:r>
      <w:r w:rsidRPr="00A819D6">
        <w:rPr>
          <w:rFonts w:ascii="Times New Roman" w:hAnsi="Times New Roman" w:cs="Times New Roman"/>
        </w:rPr>
        <w:t>political activism to create such relations – something which the future Provisional IRA leader, Gerry Adams, would seek to emulate</w:t>
      </w:r>
      <w:r w:rsidR="00B1546E">
        <w:rPr>
          <w:rFonts w:ascii="Times New Roman" w:hAnsi="Times New Roman" w:cs="Times New Roman"/>
        </w:rPr>
        <w:t>.</w:t>
      </w:r>
      <w:r w:rsidRPr="00A819D6">
        <w:rPr>
          <w:rStyle w:val="FootnoteReference"/>
          <w:rFonts w:ascii="Times New Roman" w:hAnsi="Times New Roman" w:cs="Times New Roman"/>
        </w:rPr>
        <w:footnoteReference w:id="300"/>
      </w:r>
      <w:r w:rsidRPr="00A819D6">
        <w:rPr>
          <w:rFonts w:ascii="Times New Roman" w:hAnsi="Times New Roman" w:cs="Times New Roman"/>
        </w:rPr>
        <w:t xml:space="preserve"> It is unlikely this was a plan to re-launch an armed struggle as Unionists saw it, but it did have the effect of helping the leadership to move away from such a strategy and recruit a new left-wing generation</w:t>
      </w:r>
      <w:r w:rsidR="00B1546E">
        <w:rPr>
          <w:rFonts w:ascii="Times New Roman" w:hAnsi="Times New Roman" w:cs="Times New Roman"/>
        </w:rPr>
        <w:t>.</w:t>
      </w:r>
      <w:r w:rsidRPr="00A819D6">
        <w:rPr>
          <w:rStyle w:val="FootnoteReference"/>
          <w:rFonts w:ascii="Times New Roman" w:hAnsi="Times New Roman" w:cs="Times New Roman"/>
        </w:rPr>
        <w:footnoteReference w:id="301"/>
      </w:r>
      <w:r w:rsidRPr="00A819D6">
        <w:rPr>
          <w:rFonts w:ascii="Times New Roman" w:hAnsi="Times New Roman" w:cs="Times New Roman"/>
        </w:rPr>
        <w:t xml:space="preserve"> Thus, through Republican clubs, they played a key role in forming and driving the Northern Ireland Civil Rights Association (NICRA), one of the key movements in the period. Despite the role of the IRA within this movement and the huge potential for mass mobilisation that it possessed, there was still nothing in the early days to suggest that a return to violence was inevitable. Republicans were competing with a wide range of forces within the civil rights movement. However, the repression the civil rights movement and the Catholic population faced was to radicalise the population and revitalise the traditional elements of the Republican movement, thus leading to large-scale violent mobilisation.</w:t>
      </w:r>
    </w:p>
    <w:p w14:paraId="0865B510" w14:textId="062E2C71"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The coercive arm of the Northern Ireland state consisted of the Royal Ulster Constabulary and the B-Specials, a part-time reserve force initially recruited from the original UVF and being exclusively Protestant. Catholics viewed the B-Specials </w:t>
      </w:r>
      <w:r w:rsidRPr="00A819D6">
        <w:rPr>
          <w:rFonts w:ascii="Times New Roman" w:hAnsi="Times New Roman" w:cs="Times New Roman"/>
        </w:rPr>
        <w:lastRenderedPageBreak/>
        <w:t>as an openly sectarian Protestant militia</w:t>
      </w:r>
      <w:r w:rsidR="00B1546E">
        <w:rPr>
          <w:rFonts w:ascii="Times New Roman" w:hAnsi="Times New Roman" w:cs="Times New Roman"/>
        </w:rPr>
        <w:t>,</w:t>
      </w:r>
      <w:r>
        <w:rPr>
          <w:rStyle w:val="FootnoteReference"/>
          <w:rFonts w:ascii="Times New Roman" w:hAnsi="Times New Roman" w:cs="Times New Roman"/>
        </w:rPr>
        <w:footnoteReference w:id="302"/>
      </w:r>
      <w:r w:rsidRPr="00A819D6">
        <w:rPr>
          <w:rFonts w:ascii="Times New Roman" w:hAnsi="Times New Roman" w:cs="Times New Roman"/>
        </w:rPr>
        <w:t xml:space="preserve"> whereas Protestants viewed them as heroic defenders of the state against the IRA</w:t>
      </w:r>
      <w:r w:rsidR="00B1546E">
        <w:rPr>
          <w:rFonts w:ascii="Times New Roman" w:hAnsi="Times New Roman" w:cs="Times New Roman"/>
        </w:rPr>
        <w:t>.</w:t>
      </w:r>
      <w:r>
        <w:rPr>
          <w:rStyle w:val="FootnoteReference"/>
          <w:rFonts w:ascii="Times New Roman" w:hAnsi="Times New Roman" w:cs="Times New Roman"/>
        </w:rPr>
        <w:footnoteReference w:id="303"/>
      </w:r>
      <w:r w:rsidRPr="00A819D6">
        <w:rPr>
          <w:rFonts w:ascii="Times New Roman" w:hAnsi="Times New Roman" w:cs="Times New Roman"/>
        </w:rPr>
        <w:t xml:space="preserve"> </w:t>
      </w:r>
      <w:r w:rsidR="004A003D">
        <w:rPr>
          <w:rFonts w:ascii="Times New Roman" w:hAnsi="Times New Roman" w:cs="Times New Roman"/>
        </w:rPr>
        <w:t>F</w:t>
      </w:r>
      <w:r w:rsidRPr="00A819D6">
        <w:rPr>
          <w:rFonts w:ascii="Times New Roman" w:hAnsi="Times New Roman" w:cs="Times New Roman"/>
        </w:rPr>
        <w:t>or many Unionists</w:t>
      </w:r>
      <w:r w:rsidR="004A003D">
        <w:rPr>
          <w:rFonts w:ascii="Times New Roman" w:hAnsi="Times New Roman" w:cs="Times New Roman"/>
        </w:rPr>
        <w:t>,</w:t>
      </w:r>
      <w:r w:rsidRPr="00A819D6">
        <w:rPr>
          <w:rFonts w:ascii="Times New Roman" w:hAnsi="Times New Roman" w:cs="Times New Roman"/>
        </w:rPr>
        <w:t xml:space="preserve"> the IRA and Nationalism was often synonymous, so the perceived threat was more to the identity and community rather than the violence itself. The RUC had foundational problems with regard to legitimacy with the Catholic population, who were underrepresented in the police force. A series of confrontations in Derry between the civil rights movement and the RUC and the B-Specials escalated the level of violence dramatically. The riots led to the establishment of Free Derry, whereby the RUC and the Northern Irish state effectively lost control over a part of the city. It also radicalised the Catholic electorate, where in the April election a number of civil rights and radical leftist candidates were elected</w:t>
      </w:r>
      <w:r w:rsidR="00B1546E">
        <w:rPr>
          <w:rFonts w:ascii="Times New Roman" w:hAnsi="Times New Roman" w:cs="Times New Roman"/>
        </w:rPr>
        <w:t>.</w:t>
      </w:r>
      <w:r>
        <w:rPr>
          <w:rStyle w:val="FootnoteReference"/>
          <w:rFonts w:ascii="Times New Roman" w:hAnsi="Times New Roman" w:cs="Times New Roman"/>
        </w:rPr>
        <w:footnoteReference w:id="304"/>
      </w:r>
      <w:r w:rsidRPr="00A819D6">
        <w:rPr>
          <w:rFonts w:ascii="Times New Roman" w:hAnsi="Times New Roman" w:cs="Times New Roman"/>
        </w:rPr>
        <w:t xml:space="preserve"> However, the absorption of the middle class into political structures risked making the civil rights protests more volatile: firstly, the transfer of civil rights stewards (responsible for calming violence) to political campaigning teams weakened the steward ranks at protests</w:t>
      </w:r>
      <w:r w:rsidR="00B1546E">
        <w:rPr>
          <w:rFonts w:ascii="Times New Roman" w:hAnsi="Times New Roman" w:cs="Times New Roman"/>
        </w:rPr>
        <w:t>;</w:t>
      </w:r>
      <w:r w:rsidRPr="00A819D6">
        <w:rPr>
          <w:rStyle w:val="FootnoteReference"/>
          <w:rFonts w:ascii="Times New Roman" w:hAnsi="Times New Roman" w:cs="Times New Roman"/>
        </w:rPr>
        <w:footnoteReference w:id="305"/>
      </w:r>
      <w:r w:rsidRPr="00A819D6">
        <w:rPr>
          <w:rFonts w:ascii="Times New Roman" w:hAnsi="Times New Roman" w:cs="Times New Roman"/>
        </w:rPr>
        <w:t xml:space="preserve"> secondly, the youth were left leaderless and without direction after having been mobilised and brought onto the street</w:t>
      </w:r>
      <w:r>
        <w:rPr>
          <w:rFonts w:ascii="Times New Roman" w:hAnsi="Times New Roman" w:cs="Times New Roman"/>
        </w:rPr>
        <w:t>s by the civil rights movement</w:t>
      </w:r>
      <w:r w:rsidR="00B1546E">
        <w:rPr>
          <w:rFonts w:ascii="Times New Roman" w:hAnsi="Times New Roman" w:cs="Times New Roman"/>
        </w:rPr>
        <w:t>.</w:t>
      </w:r>
      <w:r>
        <w:rPr>
          <w:rStyle w:val="FootnoteReference"/>
          <w:rFonts w:ascii="Times New Roman" w:hAnsi="Times New Roman" w:cs="Times New Roman"/>
        </w:rPr>
        <w:footnoteReference w:id="306"/>
      </w:r>
      <w:r w:rsidRPr="00A819D6">
        <w:rPr>
          <w:rFonts w:ascii="Times New Roman" w:hAnsi="Times New Roman" w:cs="Times New Roman"/>
        </w:rPr>
        <w:t xml:space="preserve"> Violence between youths and the RUC, and sectarian attacks, were becoming a much more common feature: the RUC and B-Specials had lost all legitimacy and were deeply resented by the Catholic population. The violence that erupted in 1969 had a contagious effect, with protests and violence erupting throughout Northern Ireland. With the RUC exhausted and stretched, the British army were sent in.  </w:t>
      </w:r>
    </w:p>
    <w:p w14:paraId="40DFD259" w14:textId="1CD29EE5"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The army’s presence was met with relief and disorientation by Catholics, and even Republicans. However, ov</w:t>
      </w:r>
      <w:r w:rsidR="004A003D">
        <w:rPr>
          <w:rFonts w:ascii="Times New Roman" w:hAnsi="Times New Roman" w:cs="Times New Roman"/>
        </w:rPr>
        <w:t xml:space="preserve">er the coming months the army </w:t>
      </w:r>
      <w:r w:rsidRPr="00A819D6">
        <w:rPr>
          <w:rFonts w:ascii="Times New Roman" w:hAnsi="Times New Roman" w:cs="Times New Roman"/>
        </w:rPr>
        <w:t>came to be included in the same frame as the RUC and the B-Specials</w:t>
      </w:r>
      <w:r w:rsidR="00B1546E">
        <w:rPr>
          <w:rFonts w:ascii="Times New Roman" w:hAnsi="Times New Roman" w:cs="Times New Roman"/>
        </w:rPr>
        <w:t>.</w:t>
      </w:r>
      <w:r w:rsidRPr="00A819D6">
        <w:rPr>
          <w:rStyle w:val="FootnoteReference"/>
          <w:rFonts w:ascii="Times New Roman" w:hAnsi="Times New Roman" w:cs="Times New Roman"/>
        </w:rPr>
        <w:footnoteReference w:id="307"/>
      </w:r>
      <w:r w:rsidRPr="00A819D6">
        <w:rPr>
          <w:rFonts w:ascii="Times New Roman" w:hAnsi="Times New Roman" w:cs="Times New Roman"/>
        </w:rPr>
        <w:t xml:space="preserve"> Inter-communal violence increased, with Catholic communities being burned out of their houses by Loyalists. By this point, any concessions made to the civil rights movement failed: grievances </w:t>
      </w:r>
      <w:r w:rsidRPr="00A819D6">
        <w:rPr>
          <w:rFonts w:ascii="Times New Roman" w:hAnsi="Times New Roman" w:cs="Times New Roman"/>
        </w:rPr>
        <w:lastRenderedPageBreak/>
        <w:t>of housing and electoral gerrymandering had shifted to a perceived need to defend the community and get revenge. The IRA had also been deeply involved in this transformation, while playing a role in organising the conflict (although this should not be overstated – instances of violence were much more organic), they also were seen as the solution by some. The youth that had been largely abandoned by the civil rights movement found the IRA much more accepting to its clashes with the RUC and the army. Gradually, some brigades of the IRA began to use the limited weapons it had available to it, with the IRA’s defence of St Matthews church against a Loyalist attack encouraging the expansion of the armed dimension. In this charged atmosphere, the British army’s tactics and means of dealing with the protests, culminating in Bloody Sunday, and Stormont’s indiscriminate arrest of suspected IRA members</w:t>
      </w:r>
      <w:r w:rsidR="00B1546E">
        <w:rPr>
          <w:rFonts w:ascii="Times New Roman" w:hAnsi="Times New Roman" w:cs="Times New Roman"/>
        </w:rPr>
        <w:t>,</w:t>
      </w:r>
      <w:r w:rsidRPr="00A819D6">
        <w:rPr>
          <w:rStyle w:val="FootnoteReference"/>
          <w:rFonts w:ascii="Times New Roman" w:hAnsi="Times New Roman" w:cs="Times New Roman"/>
        </w:rPr>
        <w:footnoteReference w:id="308"/>
      </w:r>
      <w:r w:rsidRPr="00A819D6">
        <w:rPr>
          <w:rFonts w:ascii="Times New Roman" w:hAnsi="Times New Roman" w:cs="Times New Roman"/>
        </w:rPr>
        <w:t xml:space="preserve"> functioned as the IRA’s best recruiting sergeant</w:t>
      </w:r>
      <w:r w:rsidR="00B1546E">
        <w:rPr>
          <w:rFonts w:ascii="Times New Roman" w:hAnsi="Times New Roman" w:cs="Times New Roman"/>
        </w:rPr>
        <w:t>.</w:t>
      </w:r>
      <w:r w:rsidRPr="00A819D6">
        <w:rPr>
          <w:rStyle w:val="FootnoteReference"/>
          <w:rFonts w:ascii="Times New Roman" w:hAnsi="Times New Roman" w:cs="Times New Roman"/>
        </w:rPr>
        <w:footnoteReference w:id="309"/>
      </w:r>
      <w:r w:rsidRPr="00A819D6">
        <w:rPr>
          <w:rFonts w:ascii="Times New Roman" w:hAnsi="Times New Roman" w:cs="Times New Roman"/>
        </w:rPr>
        <w:t xml:space="preserve"> </w:t>
      </w:r>
    </w:p>
    <w:p w14:paraId="65956843" w14:textId="43634142"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t xml:space="preserve">Throughout the early days of </w:t>
      </w:r>
      <w:r w:rsidR="004A55DA">
        <w:rPr>
          <w:rFonts w:ascii="Times New Roman" w:hAnsi="Times New Roman" w:cs="Times New Roman"/>
        </w:rPr>
        <w:t xml:space="preserve">the </w:t>
      </w:r>
      <w:r w:rsidRPr="00A819D6">
        <w:rPr>
          <w:rFonts w:ascii="Times New Roman" w:hAnsi="Times New Roman" w:cs="Times New Roman"/>
        </w:rPr>
        <w:t xml:space="preserve">civil rights movement, the IRA had been reluctant to </w:t>
      </w:r>
      <w:r w:rsidR="004A55DA">
        <w:rPr>
          <w:rFonts w:ascii="Times New Roman" w:hAnsi="Times New Roman" w:cs="Times New Roman"/>
        </w:rPr>
        <w:t xml:space="preserve">or unable to </w:t>
      </w:r>
      <w:r w:rsidRPr="00A819D6">
        <w:rPr>
          <w:rFonts w:ascii="Times New Roman" w:hAnsi="Times New Roman" w:cs="Times New Roman"/>
        </w:rPr>
        <w:t>use armed violence. However, with the radicalisation of the population, often deliberately cultivated by IRA members</w:t>
      </w:r>
      <w:r w:rsidR="00B1546E">
        <w:rPr>
          <w:rFonts w:ascii="Times New Roman" w:hAnsi="Times New Roman" w:cs="Times New Roman"/>
        </w:rPr>
        <w:t>,</w:t>
      </w:r>
      <w:r w:rsidRPr="00A819D6">
        <w:rPr>
          <w:rStyle w:val="FootnoteReference"/>
          <w:rFonts w:ascii="Times New Roman" w:hAnsi="Times New Roman" w:cs="Times New Roman"/>
        </w:rPr>
        <w:footnoteReference w:id="310"/>
      </w:r>
      <w:r w:rsidR="004A55DA">
        <w:rPr>
          <w:rFonts w:ascii="Times New Roman" w:hAnsi="Times New Roman" w:cs="Times New Roman"/>
        </w:rPr>
        <w:t xml:space="preserve"> old members ca</w:t>
      </w:r>
      <w:r w:rsidRPr="00A819D6">
        <w:rPr>
          <w:rFonts w:ascii="Times New Roman" w:hAnsi="Times New Roman" w:cs="Times New Roman"/>
        </w:rPr>
        <w:t>me back and re-engage</w:t>
      </w:r>
      <w:r w:rsidR="004A55DA">
        <w:rPr>
          <w:rFonts w:ascii="Times New Roman" w:hAnsi="Times New Roman" w:cs="Times New Roman"/>
        </w:rPr>
        <w:t>d</w:t>
      </w:r>
      <w:r w:rsidRPr="00A819D6">
        <w:rPr>
          <w:rFonts w:ascii="Times New Roman" w:hAnsi="Times New Roman" w:cs="Times New Roman"/>
        </w:rPr>
        <w:t xml:space="preserve"> in the organisational activities. Elements within the IRA began to argue for an armed strategy that revolved around launching defensive </w:t>
      </w:r>
      <w:r w:rsidRPr="00A819D6">
        <w:rPr>
          <w:rFonts w:ascii="Times New Roman" w:hAnsi="Times New Roman" w:cs="Times New Roman"/>
          <w:i/>
          <w:iCs/>
        </w:rPr>
        <w:t>and</w:t>
      </w:r>
      <w:r w:rsidRPr="00A819D6">
        <w:rPr>
          <w:rFonts w:ascii="Times New Roman" w:hAnsi="Times New Roman" w:cs="Times New Roman"/>
        </w:rPr>
        <w:t xml:space="preserve"> offensive campaigns, however, this </w:t>
      </w:r>
      <w:r w:rsidR="004A55DA">
        <w:rPr>
          <w:rFonts w:ascii="Times New Roman" w:hAnsi="Times New Roman" w:cs="Times New Roman"/>
        </w:rPr>
        <w:t>and a number of other issues le</w:t>
      </w:r>
      <w:r w:rsidRPr="00A819D6">
        <w:rPr>
          <w:rFonts w:ascii="Times New Roman" w:hAnsi="Times New Roman" w:cs="Times New Roman"/>
        </w:rPr>
        <w:t>d</w:t>
      </w:r>
      <w:r w:rsidR="004A55DA">
        <w:rPr>
          <w:rFonts w:ascii="Times New Roman" w:hAnsi="Times New Roman" w:cs="Times New Roman"/>
        </w:rPr>
        <w:t xml:space="preserve"> to</w:t>
      </w:r>
      <w:r w:rsidRPr="00A819D6">
        <w:rPr>
          <w:rFonts w:ascii="Times New Roman" w:hAnsi="Times New Roman" w:cs="Times New Roman"/>
        </w:rPr>
        <w:t xml:space="preserve"> the internal divisions that splinter</w:t>
      </w:r>
      <w:r w:rsidR="004A55DA">
        <w:rPr>
          <w:rFonts w:ascii="Times New Roman" w:hAnsi="Times New Roman" w:cs="Times New Roman"/>
        </w:rPr>
        <w:t>ed</w:t>
      </w:r>
      <w:r w:rsidRPr="00A819D6">
        <w:rPr>
          <w:rFonts w:ascii="Times New Roman" w:hAnsi="Times New Roman" w:cs="Times New Roman"/>
        </w:rPr>
        <w:t xml:space="preserve"> the movement into the Provisional IRA and Official IRA</w:t>
      </w:r>
      <w:r w:rsidR="00CC02E5">
        <w:rPr>
          <w:rFonts w:ascii="Times New Roman" w:hAnsi="Times New Roman" w:cs="Times New Roman"/>
        </w:rPr>
        <w:t xml:space="preserve"> in 19</w:t>
      </w:r>
      <w:r w:rsidR="0010280C">
        <w:rPr>
          <w:rFonts w:ascii="Times New Roman" w:hAnsi="Times New Roman" w:cs="Times New Roman"/>
        </w:rPr>
        <w:t>69</w:t>
      </w:r>
      <w:r w:rsidRPr="00A819D6">
        <w:rPr>
          <w:rFonts w:ascii="Times New Roman" w:hAnsi="Times New Roman" w:cs="Times New Roman"/>
        </w:rPr>
        <w:t>. At the time</w:t>
      </w:r>
      <w:r w:rsidR="00CC02E5">
        <w:rPr>
          <w:rFonts w:ascii="Times New Roman" w:hAnsi="Times New Roman" w:cs="Times New Roman"/>
        </w:rPr>
        <w:t xml:space="preserve"> prior to the split</w:t>
      </w:r>
      <w:r w:rsidRPr="00A819D6">
        <w:rPr>
          <w:rFonts w:ascii="Times New Roman" w:hAnsi="Times New Roman" w:cs="Times New Roman"/>
        </w:rPr>
        <w:t>, the IRA leadership had been implementing a controversial disengagement strategy which emphasised grassroots activism at the expense of a military dimension, and ideologically it had shifted in a Marxist direction, which alienated a section of the group</w:t>
      </w:r>
      <w:r w:rsidR="00B1546E">
        <w:rPr>
          <w:rFonts w:ascii="Times New Roman" w:hAnsi="Times New Roman" w:cs="Times New Roman"/>
        </w:rPr>
        <w:t>.</w:t>
      </w:r>
      <w:r w:rsidRPr="00A819D6">
        <w:rPr>
          <w:rStyle w:val="FootnoteReference"/>
          <w:rFonts w:ascii="Times New Roman" w:hAnsi="Times New Roman" w:cs="Times New Roman"/>
        </w:rPr>
        <w:footnoteReference w:id="311"/>
      </w:r>
      <w:r w:rsidRPr="00A819D6">
        <w:rPr>
          <w:rFonts w:ascii="Times New Roman" w:hAnsi="Times New Roman" w:cs="Times New Roman"/>
        </w:rPr>
        <w:t xml:space="preserve"> The final breaking point was the IRA leadership’s attempt to expand its disengagement into a political route by dropping abstentionism – thus allowing its political wing, Sinn Fein, to take any seats it won in Westminster, Stormont and the Dail. The leadership managed to convince and manufacture a majority of the IRA to support its disengagement, but when it pushed discontented members out or senior leaders left of their own accord, they were being pushed into a </w:t>
      </w:r>
      <w:r w:rsidRPr="00A819D6">
        <w:rPr>
          <w:rFonts w:ascii="Times New Roman" w:hAnsi="Times New Roman" w:cs="Times New Roman"/>
        </w:rPr>
        <w:lastRenderedPageBreak/>
        <w:t xml:space="preserve">political environment that provided opportunities for armed violence and recruitment on a large scale. </w:t>
      </w:r>
    </w:p>
    <w:p w14:paraId="2FCDBA91" w14:textId="404A5C11" w:rsidR="0015068F" w:rsidRPr="00A819D6" w:rsidRDefault="00CC02E5" w:rsidP="00B57C7F">
      <w:pPr>
        <w:spacing w:line="360" w:lineRule="auto"/>
        <w:ind w:firstLine="720"/>
        <w:jc w:val="both"/>
        <w:rPr>
          <w:rFonts w:ascii="Times New Roman" w:hAnsi="Times New Roman" w:cs="Times New Roman"/>
        </w:rPr>
      </w:pPr>
      <w:r>
        <w:rPr>
          <w:rFonts w:ascii="Times New Roman" w:hAnsi="Times New Roman" w:cs="Times New Roman"/>
        </w:rPr>
        <w:t>Following the split with the Official IRA</w:t>
      </w:r>
      <w:r w:rsidR="0010280C">
        <w:rPr>
          <w:rFonts w:ascii="Times New Roman" w:hAnsi="Times New Roman" w:cs="Times New Roman"/>
        </w:rPr>
        <w:t xml:space="preserve"> in 1969</w:t>
      </w:r>
      <w:r>
        <w:rPr>
          <w:rFonts w:ascii="Times New Roman" w:hAnsi="Times New Roman" w:cs="Times New Roman"/>
        </w:rPr>
        <w:t>, the k</w:t>
      </w:r>
      <w:r w:rsidR="0015068F" w:rsidRPr="00A819D6">
        <w:rPr>
          <w:rFonts w:ascii="Times New Roman" w:hAnsi="Times New Roman" w:cs="Times New Roman"/>
        </w:rPr>
        <w:t xml:space="preserve">ey to the Provisional IRA gaining strength </w:t>
      </w:r>
      <w:r w:rsidRPr="00A819D6">
        <w:rPr>
          <w:rFonts w:ascii="Times New Roman" w:hAnsi="Times New Roman" w:cs="Times New Roman"/>
        </w:rPr>
        <w:t xml:space="preserve">at the expense of its rivals </w:t>
      </w:r>
      <w:r w:rsidR="0015068F" w:rsidRPr="00A819D6">
        <w:rPr>
          <w:rFonts w:ascii="Times New Roman" w:hAnsi="Times New Roman" w:cs="Times New Roman"/>
        </w:rPr>
        <w:t>was the resources it could draw: people became more willing to join because they were seen as more effective at fighting the British and RUC forces, and recruitment gradually increased over the 1970s. Another part of their success in this period was the continuation of the IRA network that existed prior to the civil rights movement. US-Republican relations were on the whole based on personal networks between former Republicans involved in the 1920s or 1950s campaigns: these networks acted as the hubs that could connect to a working-class American-Irish community who were moved by the romantic notion of Republican armed struggle</w:t>
      </w:r>
      <w:r w:rsidR="00B1546E">
        <w:rPr>
          <w:rFonts w:ascii="Times New Roman" w:hAnsi="Times New Roman" w:cs="Times New Roman"/>
        </w:rPr>
        <w:t>.</w:t>
      </w:r>
      <w:r w:rsidR="0015068F">
        <w:rPr>
          <w:rStyle w:val="FootnoteReference"/>
          <w:rFonts w:ascii="Times New Roman" w:hAnsi="Times New Roman" w:cs="Times New Roman"/>
        </w:rPr>
        <w:footnoteReference w:id="312"/>
      </w:r>
      <w:r w:rsidR="0015068F" w:rsidRPr="00A819D6">
        <w:rPr>
          <w:rFonts w:ascii="Times New Roman" w:hAnsi="Times New Roman" w:cs="Times New Roman"/>
        </w:rPr>
        <w:t xml:space="preserve"> Within Northern Ireland, ties to the previous generation and their re-engagement provided the P</w:t>
      </w:r>
      <w:r w:rsidR="00E92399">
        <w:rPr>
          <w:rFonts w:ascii="Times New Roman" w:hAnsi="Times New Roman" w:cs="Times New Roman"/>
        </w:rPr>
        <w:t xml:space="preserve">rovisional </w:t>
      </w:r>
      <w:r w:rsidR="0015068F" w:rsidRPr="00A819D6">
        <w:rPr>
          <w:rFonts w:ascii="Times New Roman" w:hAnsi="Times New Roman" w:cs="Times New Roman"/>
        </w:rPr>
        <w:t xml:space="preserve">IRA with leadership, authority and political entrepreneurs to mobilise a frustrated but largely rudderless youth, specifically in Derry. Of course, the IRA had always attracted people in its youth wing so mobilisation would have most likely still occurred, though perhaps it would have had limited authority, experience and certainly </w:t>
      </w:r>
      <w:r w:rsidR="00014D0F">
        <w:rPr>
          <w:rFonts w:ascii="Times New Roman" w:hAnsi="Times New Roman" w:cs="Times New Roman"/>
        </w:rPr>
        <w:t xml:space="preserve">fewer </w:t>
      </w:r>
      <w:r w:rsidR="0015068F" w:rsidRPr="00A819D6">
        <w:rPr>
          <w:rFonts w:ascii="Times New Roman" w:hAnsi="Times New Roman" w:cs="Times New Roman"/>
        </w:rPr>
        <w:t>personal networks with the crucial US support-base. In a hypothetical situation where there was no generational link and militant mobilisation structure in place, the intensity of Catholic mobilisa</w:t>
      </w:r>
      <w:r w:rsidR="00014D0F">
        <w:rPr>
          <w:rFonts w:ascii="Times New Roman" w:hAnsi="Times New Roman" w:cs="Times New Roman"/>
        </w:rPr>
        <w:t>tion, anger and youth violence c</w:t>
      </w:r>
      <w:r w:rsidR="0015068F" w:rsidRPr="00A819D6">
        <w:rPr>
          <w:rFonts w:ascii="Times New Roman" w:hAnsi="Times New Roman" w:cs="Times New Roman"/>
        </w:rPr>
        <w:t>ould have still lead to the formation of an original militant group. However, such a militant group would have to compete with more established mobilisation agents such as Labour Youth and the problems above would still apply.  Thus, the radicalisation of the 1960s generation had provided an opportunity for the former generation, who had not abandoned support for armed violence, to re-engage in the movement. The generational connection, and thus the lack of total disengagement by the IRA in the 1960s, enabled a much stronger form of violent mobilisation to occur. Through this trans-Atlantic inter-generational network, the Provisional IRA was able to procure weapons and resources which would lead the leadership to argue that 1972 was the year of victory.</w:t>
      </w:r>
    </w:p>
    <w:p w14:paraId="027B198E" w14:textId="77777777" w:rsidR="0015068F" w:rsidRPr="00A819D6" w:rsidRDefault="0015068F" w:rsidP="00B57C7F">
      <w:pPr>
        <w:spacing w:line="360" w:lineRule="auto"/>
        <w:ind w:firstLine="720"/>
        <w:jc w:val="both"/>
        <w:rPr>
          <w:rFonts w:ascii="Times New Roman" w:hAnsi="Times New Roman" w:cs="Times New Roman"/>
        </w:rPr>
      </w:pPr>
    </w:p>
    <w:p w14:paraId="47901E00" w14:textId="77777777" w:rsidR="0015068F" w:rsidRPr="00A819D6" w:rsidRDefault="0015068F" w:rsidP="00B57C7F">
      <w:pPr>
        <w:pStyle w:val="Heading3"/>
        <w:spacing w:before="120" w:line="360" w:lineRule="auto"/>
      </w:pPr>
      <w:bookmarkStart w:id="38" w:name="_Toc389208821"/>
      <w:r w:rsidRPr="00A819D6">
        <w:lastRenderedPageBreak/>
        <w:t>Failed Disengagement in 1975 and Generational Transition</w:t>
      </w:r>
      <w:bookmarkEnd w:id="38"/>
      <w:r w:rsidRPr="00A819D6">
        <w:t xml:space="preserve"> </w:t>
      </w:r>
    </w:p>
    <w:p w14:paraId="7EDBAF6E" w14:textId="6AC61AA0"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t xml:space="preserve">For the Provisional IRA, 1972 was the year of victory; it was also the deadliest in the Troubles. Excessive repressive measures taken by the British army on Bloody Sunday and the indiscriminate arrest of Catholics through a botched policy of internment </w:t>
      </w:r>
      <w:r w:rsidR="00BB4DF3">
        <w:rPr>
          <w:rFonts w:ascii="Times New Roman" w:hAnsi="Times New Roman" w:cs="Times New Roman"/>
        </w:rPr>
        <w:t xml:space="preserve">without trial </w:t>
      </w:r>
      <w:r w:rsidRPr="00A819D6">
        <w:rPr>
          <w:rFonts w:ascii="Times New Roman" w:hAnsi="Times New Roman" w:cs="Times New Roman"/>
        </w:rPr>
        <w:t>gave the Republican movement a substantial propaganda boost</w:t>
      </w:r>
      <w:r w:rsidR="00B1546E">
        <w:rPr>
          <w:rFonts w:ascii="Times New Roman" w:hAnsi="Times New Roman" w:cs="Times New Roman"/>
        </w:rPr>
        <w:t>.</w:t>
      </w:r>
      <w:r w:rsidRPr="00A819D6">
        <w:rPr>
          <w:rStyle w:val="FootnoteReference"/>
          <w:rFonts w:ascii="Times New Roman" w:hAnsi="Times New Roman" w:cs="Times New Roman"/>
        </w:rPr>
        <w:footnoteReference w:id="313"/>
      </w:r>
      <w:r w:rsidRPr="00A819D6">
        <w:rPr>
          <w:rFonts w:ascii="Times New Roman" w:hAnsi="Times New Roman" w:cs="Times New Roman"/>
        </w:rPr>
        <w:t xml:space="preserve"> A few Catholic communities, such as Free Derry, became Republican strongholds that the British forces would not enter, much to the frustration of the Unionist community. The Republicans were able to claim another propaganda victory when the Unionist centre of power, Stormont, was prorogued and responsibility for Northern Ireland was given to Westminster</w:t>
      </w:r>
      <w:r w:rsidR="00B1546E">
        <w:rPr>
          <w:rFonts w:ascii="Times New Roman" w:hAnsi="Times New Roman" w:cs="Times New Roman"/>
        </w:rPr>
        <w:t>.</w:t>
      </w:r>
      <w:r w:rsidRPr="00A819D6">
        <w:rPr>
          <w:rStyle w:val="FootnoteReference"/>
          <w:rFonts w:ascii="Times New Roman" w:hAnsi="Times New Roman" w:cs="Times New Roman"/>
        </w:rPr>
        <w:footnoteReference w:id="314"/>
      </w:r>
      <w:r w:rsidRPr="00A819D6">
        <w:rPr>
          <w:rFonts w:ascii="Times New Roman" w:hAnsi="Times New Roman" w:cs="Times New Roman"/>
        </w:rPr>
        <w:t xml:space="preserve"> With this in mind, it can be understood why the P</w:t>
      </w:r>
      <w:r w:rsidR="00E92399">
        <w:rPr>
          <w:rFonts w:ascii="Times New Roman" w:hAnsi="Times New Roman" w:cs="Times New Roman"/>
        </w:rPr>
        <w:t xml:space="preserve">rovisional </w:t>
      </w:r>
      <w:r w:rsidRPr="00A819D6">
        <w:rPr>
          <w:rFonts w:ascii="Times New Roman" w:hAnsi="Times New Roman" w:cs="Times New Roman"/>
        </w:rPr>
        <w:t xml:space="preserve">IRA may have understood that the 1972 negotiations with Whitelaw, the British secretary for Northern Ireland, marked the beginning of </w:t>
      </w:r>
      <w:r w:rsidR="00383A88" w:rsidRPr="00A819D6">
        <w:rPr>
          <w:rFonts w:ascii="Times New Roman" w:hAnsi="Times New Roman" w:cs="Times New Roman"/>
        </w:rPr>
        <w:t>a British withdrawal</w:t>
      </w:r>
      <w:r w:rsidR="00383A88">
        <w:rPr>
          <w:rFonts w:ascii="Times New Roman" w:hAnsi="Times New Roman" w:cs="Times New Roman"/>
        </w:rPr>
        <w:t xml:space="preserve"> and</w:t>
      </w:r>
      <w:r w:rsidR="00383A88" w:rsidRPr="00A819D6">
        <w:rPr>
          <w:rFonts w:ascii="Times New Roman" w:hAnsi="Times New Roman" w:cs="Times New Roman"/>
        </w:rPr>
        <w:t xml:space="preserve"> </w:t>
      </w:r>
      <w:r w:rsidR="00383A88">
        <w:rPr>
          <w:rFonts w:ascii="Times New Roman" w:hAnsi="Times New Roman" w:cs="Times New Roman"/>
        </w:rPr>
        <w:t>the end of</w:t>
      </w:r>
      <w:r w:rsidRPr="00A819D6">
        <w:rPr>
          <w:rFonts w:ascii="Times New Roman" w:hAnsi="Times New Roman" w:cs="Times New Roman"/>
        </w:rPr>
        <w:t xml:space="preserve"> partition </w:t>
      </w:r>
      <w:r w:rsidR="00383A88">
        <w:rPr>
          <w:rFonts w:ascii="Times New Roman" w:hAnsi="Times New Roman" w:cs="Times New Roman"/>
        </w:rPr>
        <w:t>in</w:t>
      </w:r>
      <w:r w:rsidRPr="00A819D6">
        <w:rPr>
          <w:rFonts w:ascii="Times New Roman" w:hAnsi="Times New Roman" w:cs="Times New Roman"/>
        </w:rPr>
        <w:t xml:space="preserve"> Ireland</w:t>
      </w:r>
      <w:r w:rsidR="00B1546E">
        <w:rPr>
          <w:rFonts w:ascii="Times New Roman" w:hAnsi="Times New Roman" w:cs="Times New Roman"/>
        </w:rPr>
        <w:t>.</w:t>
      </w:r>
      <w:r w:rsidRPr="00A819D6">
        <w:rPr>
          <w:rStyle w:val="FootnoteReference"/>
          <w:rFonts w:ascii="Times New Roman" w:hAnsi="Times New Roman" w:cs="Times New Roman"/>
        </w:rPr>
        <w:footnoteReference w:id="315"/>
      </w:r>
      <w:r w:rsidRPr="00A819D6">
        <w:rPr>
          <w:rFonts w:ascii="Times New Roman" w:hAnsi="Times New Roman" w:cs="Times New Roman"/>
        </w:rPr>
        <w:t xml:space="preserve"> Such a perspective was not entirely far-fetched, with a Daily Mail opinion poll in 1971 indicating that 60 per cent of the British public supported the British army’s withdrawal</w:t>
      </w:r>
      <w:r w:rsidR="00B1546E">
        <w:rPr>
          <w:rFonts w:ascii="Times New Roman" w:hAnsi="Times New Roman" w:cs="Times New Roman"/>
        </w:rPr>
        <w:t>.</w:t>
      </w:r>
      <w:r w:rsidRPr="00A819D6">
        <w:rPr>
          <w:rStyle w:val="FootnoteReference"/>
          <w:rFonts w:ascii="Times New Roman" w:hAnsi="Times New Roman" w:cs="Times New Roman"/>
        </w:rPr>
        <w:footnoteReference w:id="316"/>
      </w:r>
      <w:r w:rsidRPr="00A819D6">
        <w:rPr>
          <w:rFonts w:ascii="Times New Roman" w:hAnsi="Times New Roman" w:cs="Times New Roman"/>
        </w:rPr>
        <w:t xml:space="preserve"> The P</w:t>
      </w:r>
      <w:r w:rsidR="00E92399">
        <w:rPr>
          <w:rFonts w:ascii="Times New Roman" w:hAnsi="Times New Roman" w:cs="Times New Roman"/>
        </w:rPr>
        <w:t xml:space="preserve">rovisional </w:t>
      </w:r>
      <w:r w:rsidRPr="00A819D6">
        <w:rPr>
          <w:rFonts w:ascii="Times New Roman" w:hAnsi="Times New Roman" w:cs="Times New Roman"/>
        </w:rPr>
        <w:t>IRA leadership called a 72-hour ceasefire to signal the intent of initiating negotiations, which two months later was extended to a week-long ceasefire to allow for negotiations to take place with P</w:t>
      </w:r>
      <w:r w:rsidR="00E92399">
        <w:rPr>
          <w:rFonts w:ascii="Times New Roman" w:hAnsi="Times New Roman" w:cs="Times New Roman"/>
        </w:rPr>
        <w:t xml:space="preserve">rovisional </w:t>
      </w:r>
      <w:r w:rsidRPr="00A819D6">
        <w:rPr>
          <w:rFonts w:ascii="Times New Roman" w:hAnsi="Times New Roman" w:cs="Times New Roman"/>
        </w:rPr>
        <w:t>IRA leader MacStiofain firmly in charge of the Republican negotiating team. The P</w:t>
      </w:r>
      <w:r w:rsidR="00E92399">
        <w:rPr>
          <w:rFonts w:ascii="Times New Roman" w:hAnsi="Times New Roman" w:cs="Times New Roman"/>
        </w:rPr>
        <w:t xml:space="preserve">rovisional </w:t>
      </w:r>
      <w:r w:rsidRPr="00A819D6">
        <w:rPr>
          <w:rFonts w:ascii="Times New Roman" w:hAnsi="Times New Roman" w:cs="Times New Roman"/>
        </w:rPr>
        <w:t>IRA negotiating team pushed firmly for a British withdrawal, on which Whitelaw later commented on: ‘the IRA leaders simply made impossible demands which I told them the British government would never concede. They were in fact still in a mood of defiance and determination to carry on until their absurd ultimatums were met'</w:t>
      </w:r>
      <w:r w:rsidR="00B1546E">
        <w:rPr>
          <w:rFonts w:ascii="Times New Roman" w:hAnsi="Times New Roman" w:cs="Times New Roman"/>
        </w:rPr>
        <w:t>.</w:t>
      </w:r>
      <w:r w:rsidRPr="00A819D6">
        <w:rPr>
          <w:rStyle w:val="FootnoteReference"/>
          <w:rFonts w:ascii="Times New Roman" w:hAnsi="Times New Roman" w:cs="Times New Roman"/>
        </w:rPr>
        <w:footnoteReference w:id="317"/>
      </w:r>
      <w:r w:rsidRPr="00A819D6">
        <w:rPr>
          <w:rFonts w:ascii="Times New Roman" w:hAnsi="Times New Roman" w:cs="Times New Roman"/>
        </w:rPr>
        <w:t xml:space="preserve">  After the quick failure of the negotiations, MacStiofain decided to escalate the campaign of violence, thus resulting in the strategic mistake of the Provisional IRA’s bombing of Protestant areas (known as Bloody Friday). The public outrage to the attack put pressure on the British government, who were now charged with full responsibility for the province, to act on the Republican strongholds</w:t>
      </w:r>
      <w:r w:rsidR="00B1546E">
        <w:rPr>
          <w:rFonts w:ascii="Times New Roman" w:hAnsi="Times New Roman" w:cs="Times New Roman"/>
        </w:rPr>
        <w:t>.</w:t>
      </w:r>
      <w:r w:rsidRPr="00A819D6">
        <w:rPr>
          <w:rFonts w:ascii="Times New Roman" w:hAnsi="Times New Roman" w:cs="Times New Roman"/>
        </w:rPr>
        <w:t xml:space="preserve"> Through </w:t>
      </w:r>
      <w:r w:rsidRPr="00A819D6">
        <w:rPr>
          <w:rFonts w:ascii="Times New Roman" w:hAnsi="Times New Roman" w:cs="Times New Roman"/>
        </w:rPr>
        <w:lastRenderedPageBreak/>
        <w:t>Operation Motorman, the British army asserted its territorial control throughout Northern Ireland, destroying the P</w:t>
      </w:r>
      <w:r w:rsidR="00E92399">
        <w:rPr>
          <w:rFonts w:ascii="Times New Roman" w:hAnsi="Times New Roman" w:cs="Times New Roman"/>
        </w:rPr>
        <w:t xml:space="preserve">rovisional </w:t>
      </w:r>
      <w:r w:rsidRPr="00A819D6">
        <w:rPr>
          <w:rFonts w:ascii="Times New Roman" w:hAnsi="Times New Roman" w:cs="Times New Roman"/>
        </w:rPr>
        <w:t>IRA’s military position and forcing the Republicans to adapt to the new circumstances</w:t>
      </w:r>
      <w:r w:rsidR="00B1546E">
        <w:rPr>
          <w:rFonts w:ascii="Times New Roman" w:hAnsi="Times New Roman" w:cs="Times New Roman"/>
        </w:rPr>
        <w:t>.</w:t>
      </w:r>
      <w:r w:rsidRPr="00A819D6">
        <w:rPr>
          <w:rStyle w:val="FootnoteReference"/>
          <w:rFonts w:ascii="Times New Roman" w:hAnsi="Times New Roman" w:cs="Times New Roman"/>
        </w:rPr>
        <w:footnoteReference w:id="318"/>
      </w:r>
      <w:r w:rsidRPr="00A819D6">
        <w:rPr>
          <w:rFonts w:ascii="Times New Roman" w:hAnsi="Times New Roman" w:cs="Times New Roman"/>
        </w:rPr>
        <w:t xml:space="preserve"> </w:t>
      </w:r>
    </w:p>
    <w:p w14:paraId="4CE6001A" w14:textId="0A07DD6B"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Yet the lesson taken from this year was that violence had to be increased and brought to the British mainland in 1973 and 1974. The strategic rationale behind the campaign was to put pressure on the British establishment by terrorising the population. However, the intensity of the attacks was never enough and the public gradually became desensitised to the attacks. The inability of violence to provide the required gains slowly led to a strategic rethink, which will be explored later, and part of this rethink was toward negotiations</w:t>
      </w:r>
      <w:r w:rsidR="00B1546E">
        <w:rPr>
          <w:rFonts w:ascii="Times New Roman" w:hAnsi="Times New Roman" w:cs="Times New Roman"/>
        </w:rPr>
        <w:t>.</w:t>
      </w:r>
      <w:r w:rsidRPr="00A819D6">
        <w:rPr>
          <w:rStyle w:val="FootnoteReference"/>
          <w:rFonts w:ascii="Times New Roman" w:hAnsi="Times New Roman" w:cs="Times New Roman"/>
        </w:rPr>
        <w:footnoteReference w:id="319"/>
      </w:r>
      <w:r w:rsidRPr="00A819D6">
        <w:rPr>
          <w:rFonts w:ascii="Times New Roman" w:hAnsi="Times New Roman" w:cs="Times New Roman"/>
        </w:rPr>
        <w:t xml:space="preserve"> Since the 1972 ceasefire there was an emerging </w:t>
      </w:r>
      <w:r w:rsidR="00383A88">
        <w:rPr>
          <w:rFonts w:ascii="Times New Roman" w:hAnsi="Times New Roman" w:cs="Times New Roman"/>
        </w:rPr>
        <w:t>division</w:t>
      </w:r>
      <w:r w:rsidRPr="00A819D6">
        <w:rPr>
          <w:rFonts w:ascii="Times New Roman" w:hAnsi="Times New Roman" w:cs="Times New Roman"/>
        </w:rPr>
        <w:t xml:space="preserve"> within the movement, with some of the leadership, most notably </w:t>
      </w:r>
      <w:r w:rsidR="00BB4DF3">
        <w:rPr>
          <w:rFonts w:ascii="Times New Roman" w:hAnsi="Times New Roman" w:cs="Times New Roman"/>
        </w:rPr>
        <w:t xml:space="preserve">Ruairi </w:t>
      </w:r>
      <w:r w:rsidRPr="00A819D6">
        <w:rPr>
          <w:rFonts w:ascii="Times New Roman" w:hAnsi="Times New Roman" w:cs="Times New Roman"/>
        </w:rPr>
        <w:t xml:space="preserve">O’Bradaigh and </w:t>
      </w:r>
      <w:r w:rsidR="00BB4DF3">
        <w:rPr>
          <w:rFonts w:ascii="Times New Roman" w:hAnsi="Times New Roman" w:cs="Times New Roman"/>
        </w:rPr>
        <w:t xml:space="preserve">Daithi </w:t>
      </w:r>
      <w:r w:rsidRPr="00A819D6">
        <w:rPr>
          <w:rFonts w:ascii="Times New Roman" w:hAnsi="Times New Roman" w:cs="Times New Roman"/>
        </w:rPr>
        <w:t>O’Conaill, pushing for another ceasefire</w:t>
      </w:r>
      <w:r w:rsidR="00B1546E">
        <w:rPr>
          <w:rFonts w:ascii="Times New Roman" w:hAnsi="Times New Roman" w:cs="Times New Roman"/>
        </w:rPr>
        <w:t>.</w:t>
      </w:r>
      <w:r w:rsidRPr="00A819D6">
        <w:rPr>
          <w:rStyle w:val="FootnoteReference"/>
          <w:rFonts w:ascii="Times New Roman" w:hAnsi="Times New Roman" w:cs="Times New Roman"/>
        </w:rPr>
        <w:footnoteReference w:id="320"/>
      </w:r>
      <w:r w:rsidRPr="00A819D6">
        <w:rPr>
          <w:rFonts w:ascii="Times New Roman" w:hAnsi="Times New Roman" w:cs="Times New Roman"/>
        </w:rPr>
        <w:t xml:space="preserve"> Over the coming years, with MacStiofain’s growing marginalisation</w:t>
      </w:r>
      <w:r w:rsidR="00B1546E">
        <w:rPr>
          <w:rFonts w:ascii="Times New Roman" w:hAnsi="Times New Roman" w:cs="Times New Roman"/>
        </w:rPr>
        <w:t>,</w:t>
      </w:r>
      <w:r w:rsidRPr="00A819D6">
        <w:rPr>
          <w:rStyle w:val="FootnoteReference"/>
          <w:rFonts w:ascii="Times New Roman" w:hAnsi="Times New Roman" w:cs="Times New Roman"/>
        </w:rPr>
        <w:footnoteReference w:id="321"/>
      </w:r>
      <w:r w:rsidRPr="00A819D6">
        <w:rPr>
          <w:rFonts w:ascii="Times New Roman" w:hAnsi="Times New Roman" w:cs="Times New Roman"/>
        </w:rPr>
        <w:t xml:space="preserve"> O’Bradaigh and O’Conaill began to assert control, pushing the P</w:t>
      </w:r>
      <w:r w:rsidR="00E92399">
        <w:rPr>
          <w:rFonts w:ascii="Times New Roman" w:hAnsi="Times New Roman" w:cs="Times New Roman"/>
        </w:rPr>
        <w:t xml:space="preserve">rovisional </w:t>
      </w:r>
      <w:r w:rsidRPr="00A819D6">
        <w:rPr>
          <w:rFonts w:ascii="Times New Roman" w:hAnsi="Times New Roman" w:cs="Times New Roman"/>
        </w:rPr>
        <w:t xml:space="preserve">IRA toward the 1975 ceasefire. In late 1974 and early 1975, a series of backchannel meetings with intermediaries led the Provisional IRA to announce a truce to allow for negotiations with Britain; the truce would officially last for under a year until January 1976. </w:t>
      </w:r>
    </w:p>
    <w:p w14:paraId="2E9ECA13" w14:textId="156E32A9"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t xml:space="preserve">The </w:t>
      </w:r>
      <w:r w:rsidR="006C2B15">
        <w:rPr>
          <w:rFonts w:ascii="Times New Roman" w:hAnsi="Times New Roman" w:cs="Times New Roman"/>
        </w:rPr>
        <w:t>chapter contends</w:t>
      </w:r>
      <w:r w:rsidRPr="00A819D6">
        <w:rPr>
          <w:rFonts w:ascii="Times New Roman" w:hAnsi="Times New Roman" w:cs="Times New Roman"/>
        </w:rPr>
        <w:t xml:space="preserve"> that the 1975 ceasefire was an attempt at disengagement, but it was a failed one which informed the more successful disengagement process that began in the 1990s. In many ways, the 1975 ceasefire was a case-study for </w:t>
      </w:r>
      <w:r w:rsidR="00BB4DF3">
        <w:rPr>
          <w:rFonts w:ascii="Times New Roman" w:hAnsi="Times New Roman" w:cs="Times New Roman"/>
        </w:rPr>
        <w:t xml:space="preserve">Gerry </w:t>
      </w:r>
      <w:r w:rsidRPr="00A819D6">
        <w:rPr>
          <w:rFonts w:ascii="Times New Roman" w:hAnsi="Times New Roman" w:cs="Times New Roman"/>
        </w:rPr>
        <w:t>Adams on how not to disengage</w:t>
      </w:r>
      <w:r w:rsidR="00B1546E">
        <w:rPr>
          <w:rFonts w:ascii="Times New Roman" w:hAnsi="Times New Roman" w:cs="Times New Roman"/>
        </w:rPr>
        <w:t>.</w:t>
      </w:r>
      <w:r w:rsidRPr="00A819D6">
        <w:rPr>
          <w:rStyle w:val="FootnoteReference"/>
          <w:rFonts w:ascii="Times New Roman" w:hAnsi="Times New Roman" w:cs="Times New Roman"/>
        </w:rPr>
        <w:footnoteReference w:id="322"/>
      </w:r>
      <w:r w:rsidRPr="00A819D6">
        <w:rPr>
          <w:rFonts w:ascii="Times New Roman" w:hAnsi="Times New Roman" w:cs="Times New Roman"/>
        </w:rPr>
        <w:t xml:space="preserve"> The leadership behind the strategy </w:t>
      </w:r>
      <w:r w:rsidR="006D77F7">
        <w:rPr>
          <w:rFonts w:ascii="Times New Roman" w:hAnsi="Times New Roman" w:cs="Times New Roman"/>
        </w:rPr>
        <w:t>began to lose credibility, particularly following O’Conaill’s arrest, leaving a discredited O’Bradaigh to stand up to the hardliners</w:t>
      </w:r>
      <w:r w:rsidR="00B1546E">
        <w:rPr>
          <w:rFonts w:ascii="Times New Roman" w:hAnsi="Times New Roman" w:cs="Times New Roman"/>
        </w:rPr>
        <w:t>.</w:t>
      </w:r>
      <w:r w:rsidRPr="00A819D6">
        <w:rPr>
          <w:rStyle w:val="FootnoteReference"/>
          <w:rFonts w:ascii="Times New Roman" w:hAnsi="Times New Roman" w:cs="Times New Roman"/>
        </w:rPr>
        <w:footnoteReference w:id="323"/>
      </w:r>
      <w:r w:rsidRPr="00A819D6">
        <w:rPr>
          <w:rFonts w:ascii="Times New Roman" w:hAnsi="Times New Roman" w:cs="Times New Roman"/>
        </w:rPr>
        <w:t xml:space="preserve"> Furthermore, there was little dialogue between the leadership and members to explain the process and convince them by pointing to benefits that disengagement could bring, and there was </w:t>
      </w:r>
      <w:r w:rsidRPr="00A819D6">
        <w:rPr>
          <w:rFonts w:ascii="Times New Roman" w:hAnsi="Times New Roman" w:cs="Times New Roman"/>
        </w:rPr>
        <w:lastRenderedPageBreak/>
        <w:t>little in the way of a clearly articulated strategy that framed disengagement. One Provisional IRA member who was arrested for carrying explosives during the 1975 ceasefire explained why it did not succeed:</w:t>
      </w:r>
    </w:p>
    <w:p w14:paraId="1CBB1292" w14:textId="77777777" w:rsidR="0015068F" w:rsidRPr="00A819D6" w:rsidRDefault="0015068F" w:rsidP="00B57C7F">
      <w:pPr>
        <w:spacing w:line="360" w:lineRule="auto"/>
        <w:jc w:val="both"/>
        <w:rPr>
          <w:rFonts w:ascii="Times New Roman" w:hAnsi="Times New Roman" w:cs="Times New Roman"/>
        </w:rPr>
      </w:pPr>
    </w:p>
    <w:p w14:paraId="4FC43272" w14:textId="3BC409CE" w:rsidR="0015068F" w:rsidRPr="00A819D6" w:rsidRDefault="0015068F" w:rsidP="00B57C7F">
      <w:pPr>
        <w:spacing w:line="360" w:lineRule="auto"/>
        <w:ind w:left="567" w:right="567"/>
        <w:jc w:val="both"/>
        <w:rPr>
          <w:rFonts w:ascii="Times New Roman" w:hAnsi="Times New Roman" w:cs="Times New Roman"/>
          <w:i/>
          <w:iCs/>
          <w:color w:val="000000"/>
        </w:rPr>
      </w:pPr>
      <w:r w:rsidRPr="00A819D6">
        <w:rPr>
          <w:rFonts w:ascii="Times New Roman" w:hAnsi="Times New Roman" w:cs="Times New Roman"/>
          <w:i/>
          <w:iCs/>
          <w:color w:val="000000"/>
        </w:rPr>
        <w:t>Politically, where it was going, militarily, where it was going, nobody knew, we hadn’t a clue</w:t>
      </w:r>
      <w:r w:rsidR="00383A88">
        <w:rPr>
          <w:rFonts w:ascii="Times New Roman" w:hAnsi="Times New Roman" w:cs="Times New Roman"/>
          <w:i/>
          <w:iCs/>
          <w:color w:val="000000"/>
        </w:rPr>
        <w:t>.</w:t>
      </w:r>
      <w:r w:rsidRPr="00A819D6">
        <w:rPr>
          <w:rFonts w:ascii="Times New Roman" w:hAnsi="Times New Roman" w:cs="Times New Roman"/>
          <w:i/>
          <w:iCs/>
          <w:color w:val="000000"/>
        </w:rPr>
        <w:t xml:space="preserve"> </w:t>
      </w:r>
      <w:r w:rsidR="00383A88">
        <w:rPr>
          <w:rFonts w:ascii="Times New Roman" w:hAnsi="Times New Roman" w:cs="Times New Roman"/>
          <w:i/>
          <w:iCs/>
          <w:color w:val="000000"/>
        </w:rPr>
        <w:t>Y</w:t>
      </w:r>
      <w:r w:rsidRPr="00A819D6">
        <w:rPr>
          <w:rFonts w:ascii="Times New Roman" w:hAnsi="Times New Roman" w:cs="Times New Roman"/>
          <w:i/>
          <w:iCs/>
          <w:color w:val="000000"/>
        </w:rPr>
        <w:t>ou just did what you were told. It didn’t surprise me that it didn’t [succeed] because there was no strategy behind it. It was like ‘let’s stop and see what happens’…The only dialogue that was going on was the secret dialogue between the leadership and the British government, I’m sure through mediators.</w:t>
      </w:r>
      <w:r w:rsidRPr="00A819D6">
        <w:rPr>
          <w:rStyle w:val="FootnoteReference"/>
          <w:rFonts w:ascii="Times New Roman" w:hAnsi="Times New Roman" w:cs="Times New Roman"/>
          <w:i/>
          <w:iCs/>
          <w:color w:val="000000"/>
        </w:rPr>
        <w:footnoteReference w:id="324"/>
      </w:r>
    </w:p>
    <w:p w14:paraId="34D01D3A" w14:textId="77777777" w:rsidR="0015068F" w:rsidRPr="00A819D6" w:rsidRDefault="0015068F" w:rsidP="00B57C7F">
      <w:pPr>
        <w:spacing w:line="360" w:lineRule="auto"/>
        <w:ind w:left="567" w:right="567"/>
        <w:jc w:val="both"/>
        <w:rPr>
          <w:rFonts w:ascii="Times New Roman" w:hAnsi="Times New Roman" w:cs="Times New Roman"/>
          <w:i/>
          <w:iCs/>
        </w:rPr>
      </w:pPr>
    </w:p>
    <w:p w14:paraId="2EFDFD6F" w14:textId="77777777"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In addition, the organisational linkages that would have allowed a disengagement frame to be diffused, even a weak one, were not developed and the generational gap exacerbated this problem. Brigade commanders initially accepted the decision but the determination to remain engaged by the new, young recruits demonstrated a lack of organisational discipline:</w:t>
      </w:r>
    </w:p>
    <w:p w14:paraId="60F04A1D" w14:textId="77777777" w:rsidR="0015068F" w:rsidRPr="00A819D6" w:rsidRDefault="0015068F" w:rsidP="00B57C7F">
      <w:pPr>
        <w:spacing w:line="360" w:lineRule="auto"/>
        <w:ind w:firstLine="720"/>
        <w:jc w:val="both"/>
        <w:rPr>
          <w:rFonts w:ascii="Times New Roman" w:hAnsi="Times New Roman" w:cs="Times New Roman"/>
        </w:rPr>
      </w:pPr>
    </w:p>
    <w:p w14:paraId="7D581C9D" w14:textId="68738FE8" w:rsidR="0015068F" w:rsidRDefault="0015068F" w:rsidP="00B57C7F">
      <w:pPr>
        <w:spacing w:line="360" w:lineRule="auto"/>
        <w:ind w:left="567" w:right="567"/>
        <w:jc w:val="both"/>
        <w:rPr>
          <w:rFonts w:ascii="Times New Roman" w:hAnsi="Times New Roman" w:cs="Times New Roman"/>
          <w:i/>
          <w:iCs/>
        </w:rPr>
      </w:pPr>
      <w:r w:rsidRPr="00A819D6">
        <w:rPr>
          <w:rFonts w:ascii="Times New Roman" w:hAnsi="Times New Roman" w:cs="Times New Roman"/>
          <w:i/>
          <w:iCs/>
          <w:color w:val="000000"/>
        </w:rPr>
        <w:t>In ‘75 I was young and we were just running the streets, we were up to all sorts and we didn’t want to stop. I think at times we put our foot over the line a bit and got our wrists slapped for it and everything else…</w:t>
      </w:r>
      <w:r w:rsidR="00BD1367">
        <w:rPr>
          <w:rFonts w:ascii="Times New Roman" w:hAnsi="Times New Roman" w:cs="Times New Roman"/>
          <w:i/>
          <w:iCs/>
          <w:color w:val="000000"/>
        </w:rPr>
        <w:t>O</w:t>
      </w:r>
      <w:r w:rsidRPr="00A819D6">
        <w:rPr>
          <w:rFonts w:ascii="Times New Roman" w:hAnsi="Times New Roman" w:cs="Times New Roman"/>
          <w:i/>
          <w:iCs/>
          <w:color w:val="000000"/>
        </w:rPr>
        <w:t>n the ground for us it was like, we will do what we are told but we are getting ready to go here you know. You were probably looking for an excuse, an opportunity to go again and ‘that’s it, let’s go’. So that’s the way you were thinking, you were just ready to go again, it wasn’t like you were saying ‘no hold on a minute here, let’s think this out...this is an opportunity for peace here’. We didn’t think like that at that time.</w:t>
      </w:r>
      <w:r w:rsidRPr="00A819D6">
        <w:rPr>
          <w:rStyle w:val="FootnoteReference"/>
          <w:rFonts w:ascii="Times New Roman" w:hAnsi="Times New Roman" w:cs="Times New Roman"/>
          <w:i/>
          <w:iCs/>
          <w:color w:val="000000"/>
        </w:rPr>
        <w:footnoteReference w:id="325"/>
      </w:r>
      <w:r w:rsidRPr="00A819D6">
        <w:rPr>
          <w:rFonts w:ascii="Times New Roman" w:hAnsi="Times New Roman" w:cs="Times New Roman"/>
          <w:i/>
          <w:iCs/>
          <w:color w:val="000000"/>
        </w:rPr>
        <w:t xml:space="preserve">    </w:t>
      </w:r>
      <w:r w:rsidRPr="00A819D6">
        <w:rPr>
          <w:rFonts w:ascii="Times New Roman" w:hAnsi="Times New Roman" w:cs="Times New Roman"/>
          <w:i/>
          <w:iCs/>
        </w:rPr>
        <w:t xml:space="preserve">   </w:t>
      </w:r>
    </w:p>
    <w:p w14:paraId="384EAA52" w14:textId="77777777" w:rsidR="0015068F" w:rsidRPr="00A819D6" w:rsidRDefault="0015068F" w:rsidP="00B57C7F">
      <w:pPr>
        <w:spacing w:line="360" w:lineRule="auto"/>
        <w:ind w:left="567" w:right="567"/>
        <w:jc w:val="both"/>
        <w:rPr>
          <w:rFonts w:ascii="Times New Roman" w:hAnsi="Times New Roman" w:cs="Times New Roman"/>
          <w:i/>
          <w:iCs/>
        </w:rPr>
      </w:pPr>
    </w:p>
    <w:p w14:paraId="3CE8EC39" w14:textId="3464AF9E" w:rsidR="0015068F" w:rsidRPr="00A819D6" w:rsidRDefault="0015068F" w:rsidP="00B57C7F">
      <w:pPr>
        <w:spacing w:line="360" w:lineRule="auto"/>
        <w:jc w:val="both"/>
        <w:rPr>
          <w:rFonts w:ascii="Times New Roman" w:hAnsi="Times New Roman" w:cs="Times New Roman"/>
        </w:rPr>
      </w:pPr>
      <w:r w:rsidRPr="00A819D6">
        <w:rPr>
          <w:rFonts w:ascii="Times New Roman" w:hAnsi="Times New Roman" w:cs="Times New Roman"/>
        </w:rPr>
        <w:lastRenderedPageBreak/>
        <w:tab/>
        <w:t xml:space="preserve">The type of attitudinal change that disengagement requires was not filtered throughout the movement, particularly </w:t>
      </w:r>
      <w:r w:rsidR="00BD1367">
        <w:rPr>
          <w:rFonts w:ascii="Times New Roman" w:hAnsi="Times New Roman" w:cs="Times New Roman"/>
        </w:rPr>
        <w:t xml:space="preserve">among </w:t>
      </w:r>
      <w:r w:rsidRPr="00A819D6">
        <w:rPr>
          <w:rFonts w:ascii="Times New Roman" w:hAnsi="Times New Roman" w:cs="Times New Roman"/>
        </w:rPr>
        <w:t>the younger generation. The breakdown of the 1975 ceasefire and the use of this time for the British government to implement a new strategy to counter the Provisional IRA had prompted significant change internally. From the 1970s to the 1980s, the older pre-1960s generation began to lose influence to the ascendant 1960s generation, specifically Gerry Adams. Recognising the problems the Provisional IRA’s command structure presented, Adams began the process of restructuring the movement into specialised cells. Furthermore, the Provisional IRA gradually began to build a social and political dimension to accompany the armed struggle. While these changes were primarily brought about to improve the Provisional IRA’s efficacy in armed violence, it also centred more power on Adams</w:t>
      </w:r>
      <w:r w:rsidRPr="00A819D6">
        <w:rPr>
          <w:rStyle w:val="FootnoteReference"/>
          <w:rFonts w:ascii="Times New Roman" w:hAnsi="Times New Roman" w:cs="Times New Roman"/>
        </w:rPr>
        <w:footnoteReference w:id="326"/>
      </w:r>
      <w:r w:rsidRPr="00A819D6">
        <w:rPr>
          <w:rFonts w:ascii="Times New Roman" w:hAnsi="Times New Roman" w:cs="Times New Roman"/>
        </w:rPr>
        <w:t xml:space="preserve"> and it placed the 1960s generation – and therefore Adams’ own network - in a hegemonic position within the movement. As will be discussed in the next chapter, these changes provided the linkages to diffuse the disengagement frame.</w:t>
      </w:r>
    </w:p>
    <w:p w14:paraId="4EBB17C7" w14:textId="77777777" w:rsidR="0015068F" w:rsidRPr="00A819D6" w:rsidRDefault="0015068F" w:rsidP="00B57C7F">
      <w:pPr>
        <w:spacing w:line="360" w:lineRule="auto"/>
        <w:jc w:val="both"/>
        <w:rPr>
          <w:rFonts w:ascii="Times New Roman" w:hAnsi="Times New Roman" w:cs="Times New Roman"/>
        </w:rPr>
      </w:pPr>
    </w:p>
    <w:p w14:paraId="7A8C1BA9" w14:textId="77777777" w:rsidR="0015068F" w:rsidRPr="00A819D6" w:rsidRDefault="0015068F" w:rsidP="00B57C7F">
      <w:pPr>
        <w:pStyle w:val="Heading3"/>
        <w:spacing w:before="120" w:line="360" w:lineRule="auto"/>
      </w:pPr>
      <w:bookmarkStart w:id="39" w:name="_Toc389208822"/>
      <w:r w:rsidRPr="00A819D6">
        <w:t>The Provisional IRA’s Disengagement: an Overview</w:t>
      </w:r>
      <w:bookmarkEnd w:id="39"/>
    </w:p>
    <w:p w14:paraId="6C0E1196" w14:textId="77777777"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Before the thesis goes into greater depth on the disengagement process in the next chapters, it will firstly provide a holistic overview to clarify the key stages of disengagement. In 1994, the Provisional IRA announced that it was implementing a ceasefire to allow for negotiations, which it felt had been signalled by the British government. The ceasefire had followed a number of developments in the 1980s. Firstly, the northern leadership had asserted its control over the movement and the older, southern leadership became marginalised and/or left the Provisional IRA in 1986. The 1986 walkout stemmed from the leadership’s desire to contest elections in the Republic of Ireland, which the old leadership saw as a betrayal of Republicanism and the beginning of the end of armed struggle.</w:t>
      </w:r>
      <w:r w:rsidR="00CC02E5">
        <w:rPr>
          <w:rFonts w:ascii="Times New Roman" w:hAnsi="Times New Roman" w:cs="Times New Roman"/>
        </w:rPr>
        <w:t xml:space="preserve"> Secondly, there was a growing recognition in the Provisional IRA that it could not defeat the British state militarily, which also recognised that it could not defeat the Provisional IRA.</w:t>
      </w:r>
      <w:r w:rsidRPr="00A819D6">
        <w:rPr>
          <w:rFonts w:ascii="Times New Roman" w:hAnsi="Times New Roman" w:cs="Times New Roman"/>
        </w:rPr>
        <w:t xml:space="preserve"> </w:t>
      </w:r>
      <w:r w:rsidR="00CC02E5">
        <w:rPr>
          <w:rFonts w:ascii="Times New Roman" w:hAnsi="Times New Roman" w:cs="Times New Roman"/>
        </w:rPr>
        <w:t>Thirdly, e</w:t>
      </w:r>
      <w:r w:rsidRPr="00A819D6">
        <w:rPr>
          <w:rFonts w:ascii="Times New Roman" w:hAnsi="Times New Roman" w:cs="Times New Roman"/>
        </w:rPr>
        <w:t xml:space="preserve">lectoral success following the Hunger Strikes by Provisional IRA prisoners reinforced the </w:t>
      </w:r>
      <w:r w:rsidRPr="00A819D6">
        <w:rPr>
          <w:rFonts w:ascii="Times New Roman" w:hAnsi="Times New Roman" w:cs="Times New Roman"/>
        </w:rPr>
        <w:lastRenderedPageBreak/>
        <w:t>political direction that Gerry Adams wished to take the movement, but the political struggle was to be carried out in tandem with the armed struggle. This new political strategy opened up dialogue between Sinn Fein elites, although mainly Gerry Adams, with Nationalist allies in the form of the S</w:t>
      </w:r>
      <w:r w:rsidR="00E92399">
        <w:rPr>
          <w:rFonts w:ascii="Times New Roman" w:hAnsi="Times New Roman" w:cs="Times New Roman"/>
        </w:rPr>
        <w:t xml:space="preserve">ocial </w:t>
      </w:r>
      <w:r w:rsidRPr="00A819D6">
        <w:rPr>
          <w:rFonts w:ascii="Times New Roman" w:hAnsi="Times New Roman" w:cs="Times New Roman"/>
        </w:rPr>
        <w:t>D</w:t>
      </w:r>
      <w:r w:rsidR="00E92399">
        <w:rPr>
          <w:rFonts w:ascii="Times New Roman" w:hAnsi="Times New Roman" w:cs="Times New Roman"/>
        </w:rPr>
        <w:t xml:space="preserve">emocratic </w:t>
      </w:r>
      <w:r w:rsidRPr="00A819D6">
        <w:rPr>
          <w:rFonts w:ascii="Times New Roman" w:hAnsi="Times New Roman" w:cs="Times New Roman"/>
        </w:rPr>
        <w:t>L</w:t>
      </w:r>
      <w:r w:rsidR="00E92399">
        <w:rPr>
          <w:rFonts w:ascii="Times New Roman" w:hAnsi="Times New Roman" w:cs="Times New Roman"/>
        </w:rPr>
        <w:t xml:space="preserve">abour </w:t>
      </w:r>
      <w:r w:rsidRPr="00A819D6">
        <w:rPr>
          <w:rFonts w:ascii="Times New Roman" w:hAnsi="Times New Roman" w:cs="Times New Roman"/>
        </w:rPr>
        <w:t>P</w:t>
      </w:r>
      <w:r w:rsidR="00E92399">
        <w:rPr>
          <w:rFonts w:ascii="Times New Roman" w:hAnsi="Times New Roman" w:cs="Times New Roman"/>
        </w:rPr>
        <w:t>arty (SDLP)</w:t>
      </w:r>
      <w:r w:rsidRPr="00A819D6">
        <w:rPr>
          <w:rFonts w:ascii="Times New Roman" w:hAnsi="Times New Roman" w:cs="Times New Roman"/>
        </w:rPr>
        <w:t xml:space="preserve"> and the Republic of Ireland, all with the aim of encouraging the Provisional IRA’s end to violence to help facilitate a negotiated settlement. In the early 1990s, the British government had begun to send signals to the Provisional IRA, acknowledging that they could not be defeated, and that an end to hostilities would allow negotiations to take place. In addition, the British Secretary of State for Northern Ireland announced that Britain has no selfish interests in Northern Ireland, opening the prospect that it could become a persuader for Irish reunification and that it may withdraw British soldiers. Consequently, in August 1994, the Provisional IRA announced ‘a complete cessation of military operations’</w:t>
      </w:r>
      <w:r w:rsidR="00B1546E">
        <w:rPr>
          <w:rFonts w:ascii="Times New Roman" w:hAnsi="Times New Roman" w:cs="Times New Roman"/>
        </w:rPr>
        <w:t>.</w:t>
      </w:r>
      <w:r w:rsidRPr="00A819D6">
        <w:rPr>
          <w:rStyle w:val="FootnoteReference"/>
          <w:rFonts w:ascii="Times New Roman" w:hAnsi="Times New Roman" w:cs="Times New Roman"/>
        </w:rPr>
        <w:footnoteReference w:id="327"/>
      </w:r>
      <w:r w:rsidRPr="00A819D6">
        <w:rPr>
          <w:rFonts w:ascii="Times New Roman" w:hAnsi="Times New Roman" w:cs="Times New Roman"/>
        </w:rPr>
        <w:t xml:space="preserve">  </w:t>
      </w:r>
    </w:p>
    <w:p w14:paraId="72C5969C" w14:textId="25DF515D"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 xml:space="preserve">The ceasefire did not lead to negotiations as Sinn Fein and the Provisional IRA had hoped. There were calls from the British, Unionists and the Irish governments for an unconditional and permanent end to hostilities. Furthermore, as a result of Unionist pressure and weak leadership, the Major government in Britain made Unionist demands for the decommissioning of the Provisional IRA’s arsenal a precondition for negotiations. Unable to meet this demand, the ceasefire broke down in 1996 for two years. With the election of a new government in Britain, decommissioning was moved as a requirement after negotiations, which culminated in the 1998 Good Friday Agreement. Endorsed by Sinn Fein members, accepted by the Provisional IRA, and voted for by a majority in both north and south Ireland, the agreement marked the beginning of the peace process. The Good Friday Agreement enshrined the principle of consent for a united Ireland, which provided security for Unionists but it also allowed Republicans the prospect of ending partition through a border poll: changing demographics where Unionists were becoming a minority gave the Republicans optimism with this regard. Cross-border institutions were established to expand the Irish dimension and irredentist claims were removed from the Irish constitution, while Britain accepted the principle of a united Ireland if both the north and south consented in referenda. Crucially, a power-sharing agreement in </w:t>
      </w:r>
      <w:r w:rsidRPr="00A819D6">
        <w:rPr>
          <w:rFonts w:ascii="Times New Roman" w:hAnsi="Times New Roman" w:cs="Times New Roman"/>
        </w:rPr>
        <w:lastRenderedPageBreak/>
        <w:t>a Northern Irish Assembly gave Sinn Fein the opportunity to participate in government. A system of bloc-voting was introduced, whereby Assembly members were designated as Nationalist, Unionist, or Other, with</w:t>
      </w:r>
      <w:r w:rsidR="008B5A75">
        <w:rPr>
          <w:rFonts w:ascii="Times New Roman" w:hAnsi="Times New Roman" w:cs="Times New Roman"/>
        </w:rPr>
        <w:t xml:space="preserve"> Nationalists and Unionists having</w:t>
      </w:r>
      <w:r w:rsidRPr="00A819D6">
        <w:rPr>
          <w:rFonts w:ascii="Times New Roman" w:hAnsi="Times New Roman" w:cs="Times New Roman"/>
        </w:rPr>
        <w:t xml:space="preserve"> a veto on legislation and requiring majority voting from both communities to pass legislation. </w:t>
      </w:r>
    </w:p>
    <w:p w14:paraId="212FC6E6" w14:textId="77777777" w:rsidR="0015068F" w:rsidRPr="00A819D6"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t>Sinn Fein’s participation in government was contingent on the Provisional IRA decommissioning and formally disbanding. In 2005, it was confirmed that the Provisional IRA had destroyed all of its arms and Seanna Walsh, the former officer commanding at the H-Blocks/Maze prison, announced that the Provisional IRA’s Army Council ‘has formerly ordered an end to the armed campaign’</w:t>
      </w:r>
      <w:r w:rsidR="00B1546E">
        <w:rPr>
          <w:rFonts w:ascii="Times New Roman" w:hAnsi="Times New Roman" w:cs="Times New Roman"/>
        </w:rPr>
        <w:t>.</w:t>
      </w:r>
      <w:r w:rsidRPr="00A819D6">
        <w:rPr>
          <w:rStyle w:val="FootnoteReference"/>
          <w:rFonts w:ascii="Times New Roman" w:hAnsi="Times New Roman" w:cs="Times New Roman"/>
        </w:rPr>
        <w:footnoteReference w:id="328"/>
      </w:r>
      <w:r w:rsidRPr="00A819D6">
        <w:rPr>
          <w:rFonts w:ascii="Times New Roman" w:hAnsi="Times New Roman" w:cs="Times New Roman"/>
        </w:rPr>
        <w:t xml:space="preserve"> The final major battle in the Provisional IRA’s disengagement was Sinn Fein’s acceptance of Northern Ireland’s new police force, the Police Service of Northern Ireland (PSNI) in 2007. Thereafter, Sinn Fein has encouraged Republicans to join the police force and have helped to legitimise it; they have publicly opposed attacks by armed Republican groups; and have substantially brought to an end their involvement in vigilante activities such as punishment beatings. Nevertheless, one of the main issues that has emerged in the last few years has been Sinn Fein’s perceived </w:t>
      </w:r>
      <w:r w:rsidR="005E6892">
        <w:rPr>
          <w:rFonts w:ascii="Times New Roman" w:hAnsi="Times New Roman" w:cs="Times New Roman"/>
        </w:rPr>
        <w:t>glamourisation</w:t>
      </w:r>
      <w:r w:rsidRPr="00A819D6">
        <w:rPr>
          <w:rFonts w:ascii="Times New Roman" w:hAnsi="Times New Roman" w:cs="Times New Roman"/>
        </w:rPr>
        <w:t xml:space="preserve"> of terrorism and armed struggle, through Republican commemorations in Castlederg for example. Having provided an overview of the Provisional IRA’s disengagement, the next chapter will use a frames analysis to explain why the disengagement process in the 1990s was successful where others had previously failed. </w:t>
      </w:r>
    </w:p>
    <w:p w14:paraId="40EE3282" w14:textId="77777777" w:rsidR="0015068F" w:rsidRPr="00A819D6" w:rsidRDefault="0015068F" w:rsidP="00B57C7F">
      <w:pPr>
        <w:spacing w:line="360" w:lineRule="auto"/>
        <w:jc w:val="both"/>
        <w:rPr>
          <w:rFonts w:ascii="Times New Roman" w:hAnsi="Times New Roman" w:cs="Times New Roman"/>
        </w:rPr>
      </w:pPr>
    </w:p>
    <w:p w14:paraId="0D146D9C" w14:textId="77777777" w:rsidR="0015068F" w:rsidRPr="00A819D6" w:rsidRDefault="0015068F" w:rsidP="00B57C7F">
      <w:pPr>
        <w:pStyle w:val="Heading3"/>
        <w:spacing w:before="120" w:line="360" w:lineRule="auto"/>
      </w:pPr>
      <w:bookmarkStart w:id="40" w:name="_Toc389208823"/>
      <w:r w:rsidRPr="00A819D6">
        <w:t>Conclusions</w:t>
      </w:r>
      <w:bookmarkEnd w:id="40"/>
      <w:r w:rsidRPr="00A819D6">
        <w:t xml:space="preserve"> </w:t>
      </w:r>
    </w:p>
    <w:p w14:paraId="25AC393A" w14:textId="77777777" w:rsidR="0031646C" w:rsidRDefault="0015068F" w:rsidP="00B57C7F">
      <w:pPr>
        <w:spacing w:line="360" w:lineRule="auto"/>
        <w:jc w:val="both"/>
        <w:rPr>
          <w:rFonts w:ascii="Times New Roman" w:hAnsi="Times New Roman" w:cs="Times New Roman"/>
        </w:rPr>
      </w:pPr>
      <w:r w:rsidRPr="00A819D6">
        <w:rPr>
          <w:rFonts w:ascii="Times New Roman" w:hAnsi="Times New Roman" w:cs="Times New Roman"/>
        </w:rPr>
        <w:tab/>
        <w:t xml:space="preserve">While the chapter has provided an historical background to the Irish Republican movement, it has been </w:t>
      </w:r>
      <w:r w:rsidR="000D6E98">
        <w:rPr>
          <w:rFonts w:ascii="Times New Roman" w:hAnsi="Times New Roman" w:cs="Times New Roman"/>
        </w:rPr>
        <w:t>guided by one implicit question</w:t>
      </w:r>
      <w:r w:rsidRPr="00A819D6">
        <w:rPr>
          <w:rFonts w:ascii="Times New Roman" w:hAnsi="Times New Roman" w:cs="Times New Roman"/>
        </w:rPr>
        <w:t>: why have previous IRA disengagement processes failed? The first reason regards the continued existence of political systems that were capable of driving two forms of mobilisation. The continued partition of Ireland, with the Unionist British presence in the north, and an illegitimate Free State in the south, mean</w:t>
      </w:r>
      <w:r w:rsidR="00FA0398">
        <w:rPr>
          <w:rFonts w:ascii="Times New Roman" w:hAnsi="Times New Roman" w:cs="Times New Roman"/>
        </w:rPr>
        <w:t>t</w:t>
      </w:r>
      <w:r w:rsidRPr="00A819D6">
        <w:rPr>
          <w:rFonts w:ascii="Times New Roman" w:hAnsi="Times New Roman" w:cs="Times New Roman"/>
        </w:rPr>
        <w:t xml:space="preserve"> that the rationale and legitimacy behind the IRA’s 1920s campaign still exist</w:t>
      </w:r>
      <w:r w:rsidR="00FA0398">
        <w:rPr>
          <w:rFonts w:ascii="Times New Roman" w:hAnsi="Times New Roman" w:cs="Times New Roman"/>
        </w:rPr>
        <w:t>ed</w:t>
      </w:r>
      <w:r w:rsidRPr="00A819D6">
        <w:rPr>
          <w:rFonts w:ascii="Times New Roman" w:hAnsi="Times New Roman" w:cs="Times New Roman"/>
        </w:rPr>
        <w:t xml:space="preserve">. Partition resulted in a political system </w:t>
      </w:r>
      <w:r w:rsidRPr="00A819D6">
        <w:rPr>
          <w:rFonts w:ascii="Times New Roman" w:hAnsi="Times New Roman" w:cs="Times New Roman"/>
        </w:rPr>
        <w:lastRenderedPageBreak/>
        <w:t>in the north which was governed by a zero-sum logic between two supposedly incompatible identities</w:t>
      </w:r>
      <w:r w:rsidR="00FA0398">
        <w:rPr>
          <w:rFonts w:ascii="Times New Roman" w:hAnsi="Times New Roman" w:cs="Times New Roman"/>
        </w:rPr>
        <w:t xml:space="preserve"> and there was no institutional mechanism to manage it</w:t>
      </w:r>
      <w:r w:rsidRPr="00A819D6">
        <w:rPr>
          <w:rFonts w:ascii="Times New Roman" w:hAnsi="Times New Roman" w:cs="Times New Roman"/>
        </w:rPr>
        <w:t>.</w:t>
      </w:r>
      <w:r w:rsidR="00611B51">
        <w:rPr>
          <w:rStyle w:val="FootnoteReference"/>
          <w:rFonts w:ascii="Times New Roman" w:hAnsi="Times New Roman" w:cs="Times New Roman"/>
        </w:rPr>
        <w:footnoteReference w:id="329"/>
      </w:r>
      <w:r w:rsidRPr="00A819D6">
        <w:rPr>
          <w:rFonts w:ascii="Times New Roman" w:hAnsi="Times New Roman" w:cs="Times New Roman"/>
        </w:rPr>
        <w:t xml:space="preserve"> Unionist hegemony, as the solution to this incompatibility, created further social and political grievances. The repression that followed the civil rights movement created a further set of grievances, and the presence of the British army and the RUC in Republican communities provided easy targets to address those personal grievances. </w:t>
      </w:r>
    </w:p>
    <w:p w14:paraId="363F192C" w14:textId="5B1C2648" w:rsidR="0031646C" w:rsidRDefault="0015068F" w:rsidP="0031646C">
      <w:pPr>
        <w:spacing w:line="360" w:lineRule="auto"/>
        <w:ind w:firstLine="720"/>
        <w:jc w:val="both"/>
        <w:rPr>
          <w:rFonts w:ascii="Times New Roman" w:hAnsi="Times New Roman" w:cs="Times New Roman"/>
        </w:rPr>
      </w:pPr>
      <w:r w:rsidRPr="00A819D6">
        <w:rPr>
          <w:rFonts w:ascii="Times New Roman" w:hAnsi="Times New Roman" w:cs="Times New Roman"/>
        </w:rPr>
        <w:t xml:space="preserve">The second reason was because there was inter-generational continuity in the Irish Republican movement that allowed it to survive from the defeat in the 1920s civil war until the 1960s. Family networks provided the linkages for a traditionalist Republican movement to exist independently on any substantial support. Through the occupation of space in Republican commemorations, parades and clubs, the IRA could tap in to latent community support by utilising the credibility that appeals to Republican culture bestowed. It also provided an alternative route to continue mobilisation at a grassroots level, placing them in a good position when opportunities arose. While the 1960s context may have been sufficient for a new generation to take up arms, the continuity of Republican networks provided leadership, experience and resources. </w:t>
      </w:r>
    </w:p>
    <w:p w14:paraId="63BDBEFB" w14:textId="2DB5773D" w:rsidR="0015068F" w:rsidRPr="00A819D6" w:rsidRDefault="0015068F" w:rsidP="0031646C">
      <w:pPr>
        <w:spacing w:line="360" w:lineRule="auto"/>
        <w:ind w:firstLine="720"/>
        <w:jc w:val="both"/>
        <w:rPr>
          <w:rFonts w:ascii="Times New Roman" w:hAnsi="Times New Roman" w:cs="Times New Roman"/>
        </w:rPr>
      </w:pPr>
      <w:r w:rsidRPr="00A819D6">
        <w:rPr>
          <w:rFonts w:ascii="Times New Roman" w:hAnsi="Times New Roman" w:cs="Times New Roman"/>
        </w:rPr>
        <w:t xml:space="preserve">Thirdly, group disengagement in each of the cases analysed varied in terms of their success. The 1920s disengagement was successful insofar as it left an IRA rump, although without the extensive repression in the north, perhaps its actual strength was latent. The 1960s disengagement was unsuccessful because its Marxist frame was anathema to many and forces external to the group marginalised and discredited any attempts by Republicans to argue for disengagement into a political route: recognising this, the Official IRA engaged in a limited armed campaign too. While the 1960s disengagement was driven by an incoherent frame, there was more of a strategy underpinning it than the 1975 ceasefire. The failure to communicate with members and show gains from disengagement, the lack of organisational discipline, and the lack of attitudinal change among the younger generation undermined any chance of success. Taken together, it is these three reasons which explain why the Provisional IRA existed and why the Irish Republican movement had managed to survive.  </w:t>
      </w:r>
    </w:p>
    <w:p w14:paraId="01547DB3" w14:textId="4AD80594" w:rsidR="0015068F" w:rsidRDefault="0015068F" w:rsidP="00B57C7F">
      <w:pPr>
        <w:spacing w:line="360" w:lineRule="auto"/>
        <w:ind w:firstLine="720"/>
        <w:jc w:val="both"/>
        <w:rPr>
          <w:rFonts w:ascii="Times New Roman" w:hAnsi="Times New Roman" w:cs="Times New Roman"/>
        </w:rPr>
      </w:pPr>
      <w:r w:rsidRPr="00A819D6">
        <w:rPr>
          <w:rFonts w:ascii="Times New Roman" w:hAnsi="Times New Roman" w:cs="Times New Roman"/>
        </w:rPr>
        <w:lastRenderedPageBreak/>
        <w:t xml:space="preserve">The </w:t>
      </w:r>
      <w:r w:rsidR="00FA0398">
        <w:rPr>
          <w:rFonts w:ascii="Times New Roman" w:hAnsi="Times New Roman" w:cs="Times New Roman"/>
        </w:rPr>
        <w:t>next three chapters</w:t>
      </w:r>
      <w:r w:rsidRPr="00A819D6">
        <w:rPr>
          <w:rFonts w:ascii="Times New Roman" w:hAnsi="Times New Roman" w:cs="Times New Roman"/>
        </w:rPr>
        <w:t xml:space="preserve"> will explore the extent the Provisional IRA’s disengagement that began in 1994 has overcome these three factors that have allowed the Irish Republican movement to continue its armed campaign from one generation to another. Successful disengagement firstly needs to be underpinned by, to some degree or another, a commitment by actors involved. Upon recognising the need for disengagement, the difficult part in the process is convincing the rest of the group. The next chapter analyses how the justification for disengagement was made by the leadership in the form of a disengagement frame, which was then diffused throughout the group. The key difference with the 1990s disengagement from previous attempts was that it successfully resonated, which provided a strong foundation for the disbandment of the group, reformation at the political level, and transformation of inter-generational linkages.   </w:t>
      </w:r>
    </w:p>
    <w:p w14:paraId="2166FFB1" w14:textId="77777777" w:rsidR="0015068F" w:rsidRPr="00A819D6" w:rsidRDefault="0015068F" w:rsidP="00B57C7F">
      <w:pPr>
        <w:spacing w:line="360" w:lineRule="auto"/>
        <w:ind w:firstLine="720"/>
        <w:jc w:val="both"/>
        <w:rPr>
          <w:rFonts w:ascii="Times New Roman" w:hAnsi="Times New Roman" w:cs="Times New Roman"/>
        </w:rPr>
      </w:pPr>
    </w:p>
    <w:p w14:paraId="076BDD9B" w14:textId="77777777" w:rsidR="0015068F" w:rsidRPr="00A819D6" w:rsidRDefault="0015068F" w:rsidP="00B57C7F">
      <w:pPr>
        <w:spacing w:line="360" w:lineRule="auto"/>
        <w:ind w:left="720" w:hanging="720"/>
        <w:jc w:val="both"/>
        <w:rPr>
          <w:rFonts w:ascii="Times New Roman" w:hAnsi="Times New Roman" w:cs="Times New Roman"/>
          <w:noProof/>
        </w:rPr>
      </w:pPr>
      <w:r w:rsidRPr="00A819D6">
        <w:rPr>
          <w:rFonts w:ascii="Times New Roman" w:hAnsi="Times New Roman" w:cs="Times New Roman"/>
        </w:rPr>
        <w:fldChar w:fldCharType="begin"/>
      </w:r>
      <w:r w:rsidRPr="00A819D6">
        <w:rPr>
          <w:rFonts w:ascii="Times New Roman" w:hAnsi="Times New Roman" w:cs="Times New Roman"/>
        </w:rPr>
        <w:instrText xml:space="preserve"> ADDIN EN.REFLIST </w:instrText>
      </w:r>
      <w:r w:rsidRPr="00A819D6">
        <w:rPr>
          <w:rFonts w:ascii="Times New Roman" w:hAnsi="Times New Roman" w:cs="Times New Roman"/>
        </w:rPr>
        <w:fldChar w:fldCharType="separate"/>
      </w:r>
    </w:p>
    <w:p w14:paraId="50213A0B" w14:textId="77777777" w:rsidR="0015068F" w:rsidRDefault="0015068F" w:rsidP="00B57C7F">
      <w:pPr>
        <w:spacing w:line="360" w:lineRule="auto"/>
        <w:jc w:val="both"/>
        <w:rPr>
          <w:rFonts w:ascii="Times New Roman" w:hAnsi="Times New Roman" w:cs="Times New Roman"/>
          <w:noProof/>
        </w:rPr>
        <w:sectPr w:rsidR="0015068F" w:rsidSect="00BE3349">
          <w:footnotePr>
            <w:numRestart w:val="eachSect"/>
          </w:footnotePr>
          <w:type w:val="continuous"/>
          <w:pgSz w:w="11906" w:h="16838"/>
          <w:pgMar w:top="1440" w:right="1440" w:bottom="1440" w:left="2268" w:header="709" w:footer="709" w:gutter="0"/>
          <w:cols w:space="708"/>
          <w:docGrid w:linePitch="360"/>
        </w:sectPr>
      </w:pPr>
    </w:p>
    <w:p w14:paraId="4F48F3E5" w14:textId="2CE78DDA" w:rsidR="00991000" w:rsidRPr="003825F8" w:rsidRDefault="0015068F" w:rsidP="00B57C7F">
      <w:pPr>
        <w:pStyle w:val="Heading2"/>
        <w:spacing w:before="120" w:line="360" w:lineRule="auto"/>
        <w:rPr>
          <w:b/>
        </w:rPr>
      </w:pPr>
      <w:r w:rsidRPr="00A819D6">
        <w:rPr>
          <w:rFonts w:ascii="Times New Roman" w:hAnsi="Times New Roman" w:cs="Times New Roman"/>
        </w:rPr>
        <w:lastRenderedPageBreak/>
        <w:fldChar w:fldCharType="end"/>
      </w:r>
      <w:bookmarkStart w:id="41" w:name="_Toc389208824"/>
      <w:r w:rsidR="009E3DF5" w:rsidRPr="003825F8">
        <w:t>CHAPTER FOUR</w:t>
      </w:r>
      <w:bookmarkEnd w:id="41"/>
    </w:p>
    <w:p w14:paraId="3CC18669" w14:textId="7B8B8F34" w:rsidR="00991000" w:rsidRPr="001C3D76" w:rsidRDefault="00991000" w:rsidP="00B57C7F">
      <w:pPr>
        <w:spacing w:line="360" w:lineRule="auto"/>
        <w:ind w:right="1701"/>
        <w:jc w:val="both"/>
        <w:rPr>
          <w:b/>
          <w:sz w:val="40"/>
          <w:szCs w:val="40"/>
        </w:rPr>
      </w:pPr>
      <w:r w:rsidRPr="001C3D76">
        <w:rPr>
          <w:b/>
          <w:sz w:val="40"/>
          <w:szCs w:val="40"/>
        </w:rPr>
        <w:t xml:space="preserve">The </w:t>
      </w:r>
      <w:r w:rsidR="00BE3349">
        <w:rPr>
          <w:b/>
          <w:sz w:val="40"/>
          <w:szCs w:val="40"/>
        </w:rPr>
        <w:t>Disengagement of</w:t>
      </w:r>
      <w:r w:rsidR="001D6C87">
        <w:rPr>
          <w:b/>
          <w:sz w:val="40"/>
          <w:szCs w:val="40"/>
        </w:rPr>
        <w:t xml:space="preserve"> </w:t>
      </w:r>
      <w:r w:rsidR="00BE3349">
        <w:rPr>
          <w:b/>
          <w:sz w:val="40"/>
          <w:szCs w:val="40"/>
        </w:rPr>
        <w:t>the Provisional IRA</w:t>
      </w:r>
    </w:p>
    <w:p w14:paraId="674E4B66" w14:textId="77777777" w:rsidR="00D807B4" w:rsidRDefault="00D807B4" w:rsidP="00B57C7F">
      <w:pPr>
        <w:spacing w:line="360" w:lineRule="auto"/>
        <w:ind w:firstLine="720"/>
        <w:jc w:val="both"/>
        <w:rPr>
          <w:rFonts w:ascii="Times New Roman" w:hAnsi="Times New Roman" w:cs="Times New Roman"/>
        </w:rPr>
        <w:sectPr w:rsidR="00D807B4" w:rsidSect="00BE3349">
          <w:footnotePr>
            <w:numRestart w:val="eachSect"/>
          </w:footnotePr>
          <w:pgSz w:w="11906" w:h="16838"/>
          <w:pgMar w:top="1440" w:right="1440" w:bottom="1440" w:left="2268" w:header="709" w:footer="709" w:gutter="0"/>
          <w:cols w:space="708"/>
          <w:docGrid w:linePitch="360"/>
        </w:sectPr>
      </w:pPr>
    </w:p>
    <w:p w14:paraId="41AF7F6A" w14:textId="77777777" w:rsidR="00991000" w:rsidRDefault="00991000" w:rsidP="00B57C7F">
      <w:pPr>
        <w:spacing w:line="360" w:lineRule="auto"/>
        <w:ind w:firstLine="720"/>
        <w:jc w:val="both"/>
        <w:rPr>
          <w:rFonts w:ascii="Times New Roman" w:hAnsi="Times New Roman" w:cs="Times New Roman"/>
        </w:rPr>
      </w:pPr>
    </w:p>
    <w:p w14:paraId="3401C3F0" w14:textId="77777777" w:rsidR="001D6C87"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While research on disengagement may still be relatively sparse, the same cannot be said for research on the Northern Irish peace process. In her work on How Terrorism Ends, Cronin outlines the dominant perspective of how the Provisional IRA’s campaign drew to a conclusion: State and non-state repression, combining a policing and intelligence approach with paramilitary assassinations, led both the British government and the Provisional IRA to </w:t>
      </w:r>
      <w:r w:rsidR="00A1037B">
        <w:rPr>
          <w:rFonts w:ascii="Times New Roman" w:hAnsi="Times New Roman" w:cs="Times New Roman"/>
        </w:rPr>
        <w:t>see</w:t>
      </w:r>
      <w:r>
        <w:rPr>
          <w:rFonts w:ascii="Times New Roman" w:hAnsi="Times New Roman" w:cs="Times New Roman"/>
        </w:rPr>
        <w:t xml:space="preserve"> the conflict </w:t>
      </w:r>
      <w:r w:rsidR="00A1037B">
        <w:rPr>
          <w:rFonts w:ascii="Times New Roman" w:hAnsi="Times New Roman" w:cs="Times New Roman"/>
        </w:rPr>
        <w:t>as</w:t>
      </w:r>
      <w:r>
        <w:rPr>
          <w:rFonts w:ascii="Times New Roman" w:hAnsi="Times New Roman" w:cs="Times New Roman"/>
        </w:rPr>
        <w:t xml:space="preserve"> a stalemate, and electoral success reinforced the potential in an exclusively political route. As the parties engaged in the peace process, they became invested </w:t>
      </w:r>
      <w:r w:rsidR="007B140D">
        <w:rPr>
          <w:rFonts w:ascii="Times New Roman" w:hAnsi="Times New Roman" w:cs="Times New Roman"/>
        </w:rPr>
        <w:t xml:space="preserve">in it </w:t>
      </w:r>
      <w:r>
        <w:rPr>
          <w:rFonts w:ascii="Times New Roman" w:hAnsi="Times New Roman" w:cs="Times New Roman"/>
        </w:rPr>
        <w:t>and found it increasingly difficult to return fully to an armed strategy. The culmination of this process, the Good Friday Agreement, was ambiguously constructed to be acceptable to both Unionists and Republicans, with Sinn Fein arguing that its constitutional agenda was being advanced. In the background throughout this settlement was a changing international context, with South African intermediaries assisting with the process, thus leading to a sense that history was marching in a certain direction that made the Republican armed struggle obsolete</w:t>
      </w:r>
      <w:r w:rsidR="00B1546E">
        <w:rPr>
          <w:rFonts w:ascii="Times New Roman" w:hAnsi="Times New Roman" w:cs="Times New Roman"/>
        </w:rPr>
        <w:t>.</w:t>
      </w:r>
      <w:r>
        <w:rPr>
          <w:rStyle w:val="FootnoteReference"/>
          <w:rFonts w:ascii="Times New Roman" w:hAnsi="Times New Roman" w:cs="Times New Roman"/>
        </w:rPr>
        <w:footnoteReference w:id="330"/>
      </w:r>
      <w:r>
        <w:rPr>
          <w:rFonts w:ascii="Times New Roman" w:hAnsi="Times New Roman" w:cs="Times New Roman"/>
        </w:rPr>
        <w:t xml:space="preserve"> </w:t>
      </w:r>
    </w:p>
    <w:p w14:paraId="04B7ECEA" w14:textId="55A2E78B"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As discussed in Chapter One, the criticism of this mainstream analysis is it vastly underplays the internal difficulties in implementing the disengagement process and the ri</w:t>
      </w:r>
      <w:r w:rsidR="001D6C87">
        <w:rPr>
          <w:rFonts w:ascii="Times New Roman" w:hAnsi="Times New Roman" w:cs="Times New Roman"/>
        </w:rPr>
        <w:t>sk of a slip-back into violence.</w:t>
      </w:r>
      <w:r>
        <w:rPr>
          <w:rFonts w:ascii="Times New Roman" w:hAnsi="Times New Roman" w:cs="Times New Roman"/>
        </w:rPr>
        <w:t xml:space="preserve"> </w:t>
      </w:r>
      <w:r w:rsidR="001D6C87">
        <w:rPr>
          <w:rFonts w:ascii="Times New Roman" w:hAnsi="Times New Roman" w:cs="Times New Roman"/>
        </w:rPr>
        <w:t>I</w:t>
      </w:r>
      <w:r>
        <w:rPr>
          <w:rFonts w:ascii="Times New Roman" w:hAnsi="Times New Roman" w:cs="Times New Roman"/>
        </w:rPr>
        <w:t>t conflates the leadership with the entire group, and assumes that the group came to the same conclusions at the same time, which they did not.</w:t>
      </w:r>
      <w:r w:rsidR="00611B51">
        <w:rPr>
          <w:rFonts w:ascii="Times New Roman" w:hAnsi="Times New Roman" w:cs="Times New Roman"/>
        </w:rPr>
        <w:t xml:space="preserve"> Taking a slightly different perspective, Moloney argues that a clique surrounding Adams cajoled, bullied and tricked the entire Provisional IRA into disengagement, yet this analysis ignores discussions among prisoners and simplifies the debates taking place at the grassroots.</w:t>
      </w:r>
      <w:r w:rsidR="00611B51">
        <w:rPr>
          <w:rStyle w:val="FootnoteReference"/>
          <w:rFonts w:ascii="Times New Roman" w:hAnsi="Times New Roman" w:cs="Times New Roman"/>
        </w:rPr>
        <w:footnoteReference w:id="331"/>
      </w:r>
      <w:r w:rsidR="001D6C87">
        <w:rPr>
          <w:rFonts w:ascii="Times New Roman" w:hAnsi="Times New Roman" w:cs="Times New Roman"/>
        </w:rPr>
        <w:t xml:space="preserve"> </w:t>
      </w:r>
      <w:r>
        <w:rPr>
          <w:rFonts w:ascii="Times New Roman" w:hAnsi="Times New Roman" w:cs="Times New Roman"/>
        </w:rPr>
        <w:t xml:space="preserve">Chapter Four demonstrates the significance of internal factors in implementing the disengagement process, from </w:t>
      </w:r>
      <w:r>
        <w:rPr>
          <w:rFonts w:ascii="Times New Roman" w:hAnsi="Times New Roman" w:cs="Times New Roman"/>
        </w:rPr>
        <w:lastRenderedPageBreak/>
        <w:t xml:space="preserve">1994 to </w:t>
      </w:r>
      <w:r w:rsidR="009A58CE">
        <w:rPr>
          <w:rFonts w:ascii="Times New Roman" w:hAnsi="Times New Roman" w:cs="Times New Roman"/>
        </w:rPr>
        <w:t>2005</w:t>
      </w:r>
      <w:r w:rsidR="00B1546E">
        <w:rPr>
          <w:rFonts w:ascii="Times New Roman" w:hAnsi="Times New Roman" w:cs="Times New Roman"/>
        </w:rPr>
        <w:t>,</w:t>
      </w:r>
      <w:r>
        <w:rPr>
          <w:rStyle w:val="FootnoteReference"/>
          <w:rFonts w:ascii="Times New Roman" w:hAnsi="Times New Roman" w:cs="Times New Roman"/>
        </w:rPr>
        <w:footnoteReference w:id="332"/>
      </w:r>
      <w:r>
        <w:rPr>
          <w:rFonts w:ascii="Times New Roman" w:hAnsi="Times New Roman" w:cs="Times New Roman"/>
        </w:rPr>
        <w:t xml:space="preserve"> by </w:t>
      </w:r>
      <w:r w:rsidR="007E470D">
        <w:rPr>
          <w:rFonts w:ascii="Times New Roman" w:hAnsi="Times New Roman" w:cs="Times New Roman"/>
        </w:rPr>
        <w:t>using a frames analysis approach to explain how narrative fidelity, credibility and linkages were fundamental to the resonance of the disengagement frame</w:t>
      </w:r>
      <w:r>
        <w:rPr>
          <w:rFonts w:ascii="Times New Roman" w:hAnsi="Times New Roman" w:cs="Times New Roman"/>
        </w:rPr>
        <w:t xml:space="preserve">. </w:t>
      </w:r>
    </w:p>
    <w:p w14:paraId="579B8925" w14:textId="77777777" w:rsidR="007D0B1E" w:rsidRDefault="007E470D" w:rsidP="00B57C7F">
      <w:pPr>
        <w:spacing w:line="360" w:lineRule="auto"/>
        <w:ind w:firstLine="720"/>
        <w:jc w:val="both"/>
        <w:rPr>
          <w:rFonts w:ascii="Times New Roman" w:hAnsi="Times New Roman" w:cs="Times New Roman"/>
        </w:rPr>
      </w:pPr>
      <w:r>
        <w:rPr>
          <w:rFonts w:ascii="Times New Roman" w:hAnsi="Times New Roman" w:cs="Times New Roman"/>
        </w:rPr>
        <w:t>Having set out the focus of</w:t>
      </w:r>
      <w:r w:rsidR="00991000">
        <w:rPr>
          <w:rFonts w:ascii="Times New Roman" w:hAnsi="Times New Roman" w:cs="Times New Roman"/>
        </w:rPr>
        <w:t xml:space="preserve"> the chapter in the context of pre-existing literature, the chapter will briefly reiterate the framework that is applied in the chapter. In terms of levels of analysis, the chapter focuses on the group level of analysis, differentiating between the initiators of the disengagement process, which is by and large the leadership, and those members it s</w:t>
      </w:r>
      <w:r w:rsidR="00BA38FE">
        <w:rPr>
          <w:rFonts w:ascii="Times New Roman" w:hAnsi="Times New Roman" w:cs="Times New Roman"/>
        </w:rPr>
        <w:t>eeks</w:t>
      </w:r>
      <w:r w:rsidR="00991000">
        <w:rPr>
          <w:rFonts w:ascii="Times New Roman" w:hAnsi="Times New Roman" w:cs="Times New Roman"/>
        </w:rPr>
        <w:t xml:space="preserve"> to convince.</w:t>
      </w:r>
      <w:r w:rsidR="006B6319">
        <w:rPr>
          <w:rFonts w:ascii="Times New Roman" w:hAnsi="Times New Roman" w:cs="Times New Roman"/>
        </w:rPr>
        <w:t xml:space="preserve"> The leadership often ha</w:t>
      </w:r>
      <w:r w:rsidR="001D6C87">
        <w:rPr>
          <w:rFonts w:ascii="Times New Roman" w:hAnsi="Times New Roman" w:cs="Times New Roman"/>
        </w:rPr>
        <w:t>s</w:t>
      </w:r>
      <w:r w:rsidR="006B6319">
        <w:rPr>
          <w:rFonts w:ascii="Times New Roman" w:hAnsi="Times New Roman" w:cs="Times New Roman"/>
        </w:rPr>
        <w:t xml:space="preserve"> greater liberty to express new ideas and strategies, hence why they are often the proponents of disengagement frames, and others in the movement may also be sympathetic to these new ideas but reluctant to speak up </w:t>
      </w:r>
      <w:r w:rsidR="007D0B1E">
        <w:rPr>
          <w:rFonts w:ascii="Times New Roman" w:hAnsi="Times New Roman" w:cs="Times New Roman"/>
        </w:rPr>
        <w:t xml:space="preserve">at </w:t>
      </w:r>
      <w:r w:rsidR="006B6319">
        <w:rPr>
          <w:rFonts w:ascii="Times New Roman" w:hAnsi="Times New Roman" w:cs="Times New Roman"/>
        </w:rPr>
        <w:t xml:space="preserve">first. </w:t>
      </w:r>
      <w:r w:rsidR="00991000">
        <w:rPr>
          <w:rFonts w:ascii="Times New Roman" w:hAnsi="Times New Roman" w:cs="Times New Roman"/>
        </w:rPr>
        <w:t xml:space="preserve">While most studies have been conducted at this level of analysis, there has been surprisingly little </w:t>
      </w:r>
      <w:r w:rsidR="00991000" w:rsidRPr="00AD65A8">
        <w:rPr>
          <w:rFonts w:ascii="Times New Roman" w:hAnsi="Times New Roman" w:cs="Times New Roman"/>
          <w:i/>
        </w:rPr>
        <w:t>conceptual</w:t>
      </w:r>
      <w:r w:rsidR="00991000">
        <w:rPr>
          <w:rFonts w:ascii="Times New Roman" w:hAnsi="Times New Roman" w:cs="Times New Roman"/>
        </w:rPr>
        <w:t xml:space="preserve"> analysis of the Provisional IRA’s collective disengagement in the 1994 to </w:t>
      </w:r>
      <w:r w:rsidR="00BA38FE">
        <w:rPr>
          <w:rFonts w:ascii="Times New Roman" w:hAnsi="Times New Roman" w:cs="Times New Roman"/>
        </w:rPr>
        <w:t xml:space="preserve">2005 </w:t>
      </w:r>
      <w:r w:rsidR="00991000">
        <w:rPr>
          <w:rFonts w:ascii="Times New Roman" w:hAnsi="Times New Roman" w:cs="Times New Roman"/>
        </w:rPr>
        <w:t>period</w:t>
      </w:r>
      <w:r w:rsidR="006D77F7">
        <w:rPr>
          <w:rFonts w:ascii="Times New Roman" w:hAnsi="Times New Roman" w:cs="Times New Roman"/>
        </w:rPr>
        <w:t xml:space="preserve"> (see Chapter One)</w:t>
      </w:r>
      <w:r w:rsidR="00B1546E">
        <w:rPr>
          <w:rFonts w:ascii="Times New Roman" w:hAnsi="Times New Roman" w:cs="Times New Roman"/>
        </w:rPr>
        <w:t>.</w:t>
      </w:r>
      <w:r w:rsidR="00991000">
        <w:rPr>
          <w:rFonts w:ascii="Times New Roman" w:hAnsi="Times New Roman" w:cs="Times New Roman"/>
        </w:rPr>
        <w:t xml:space="preserve"> Furthermore, the chapter focuses on social networks in terms of generations</w:t>
      </w:r>
      <w:r w:rsidR="00BA38FE">
        <w:rPr>
          <w:rFonts w:ascii="Times New Roman" w:hAnsi="Times New Roman" w:cs="Times New Roman"/>
        </w:rPr>
        <w:t xml:space="preserve"> to show how this can influence the disengagement process</w:t>
      </w:r>
      <w:r w:rsidR="00991000">
        <w:rPr>
          <w:rFonts w:ascii="Times New Roman" w:hAnsi="Times New Roman" w:cs="Times New Roman"/>
        </w:rPr>
        <w:t xml:space="preserve">. </w:t>
      </w:r>
    </w:p>
    <w:p w14:paraId="1F087399" w14:textId="4F296274" w:rsidR="00C87793" w:rsidRDefault="00991000" w:rsidP="00B57C7F">
      <w:pPr>
        <w:spacing w:line="360" w:lineRule="auto"/>
        <w:ind w:firstLine="720"/>
        <w:jc w:val="both"/>
        <w:rPr>
          <w:rFonts w:ascii="Times New Roman" w:hAnsi="Times New Roman" w:cs="Times New Roman"/>
        </w:rPr>
      </w:pPr>
      <w:r>
        <w:rPr>
          <w:rFonts w:ascii="Times New Roman" w:hAnsi="Times New Roman" w:cs="Times New Roman"/>
        </w:rPr>
        <w:t>Although Moghadam</w:t>
      </w:r>
      <w:r w:rsidR="007D0B1E">
        <w:rPr>
          <w:rFonts w:ascii="Times New Roman" w:hAnsi="Times New Roman" w:cs="Times New Roman"/>
        </w:rPr>
        <w:t xml:space="preserve"> and Sageman</w:t>
      </w:r>
      <w:r>
        <w:rPr>
          <w:rFonts w:ascii="Times New Roman" w:hAnsi="Times New Roman" w:cs="Times New Roman"/>
        </w:rPr>
        <w:t xml:space="preserve"> analyse disengagement in terms of generations,</w:t>
      </w:r>
      <w:r w:rsidR="007D0B1E">
        <w:rPr>
          <w:rStyle w:val="FootnoteReference"/>
          <w:rFonts w:ascii="Times New Roman" w:hAnsi="Times New Roman" w:cs="Times New Roman"/>
        </w:rPr>
        <w:footnoteReference w:id="333"/>
      </w:r>
      <w:r w:rsidR="007D0B1E">
        <w:rPr>
          <w:rFonts w:ascii="Times New Roman" w:hAnsi="Times New Roman" w:cs="Times New Roman"/>
        </w:rPr>
        <w:t xml:space="preserve"> </w:t>
      </w:r>
      <w:r>
        <w:rPr>
          <w:rFonts w:ascii="Times New Roman" w:hAnsi="Times New Roman" w:cs="Times New Roman"/>
        </w:rPr>
        <w:t>there is little in the way of an analysis of relations between generations and the consequences for disengagement, or how factors that shaped the generation – as opposed to simply the group – contributed to the success of disengagement. The thesis coins the phrase ‘generational hegemony’ to describe a situation where one social network, broadly born in the same period</w:t>
      </w:r>
      <w:r w:rsidR="00CE666B">
        <w:rPr>
          <w:rFonts w:ascii="Times New Roman" w:hAnsi="Times New Roman" w:cs="Times New Roman"/>
        </w:rPr>
        <w:t xml:space="preserve"> (and into similar experiences)</w:t>
      </w:r>
      <w:r>
        <w:rPr>
          <w:rFonts w:ascii="Times New Roman" w:hAnsi="Times New Roman" w:cs="Times New Roman"/>
        </w:rPr>
        <w:t xml:space="preserve"> and with deep and durable relations with each other, tend to dominate a movement whilst the next generation, for many reasons, find it difficult to assert themselves. Drawing on Rapoport’s definition, the chapter focuses on two generations of Provisional IRA members: the old generation </w:t>
      </w:r>
      <w:r w:rsidR="00A1037B">
        <w:rPr>
          <w:rFonts w:ascii="Times New Roman" w:hAnsi="Times New Roman" w:cs="Times New Roman"/>
        </w:rPr>
        <w:t>consisted of</w:t>
      </w:r>
      <w:r>
        <w:rPr>
          <w:rFonts w:ascii="Times New Roman" w:hAnsi="Times New Roman" w:cs="Times New Roman"/>
        </w:rPr>
        <w:t xml:space="preserve"> members like McStiofain and O’Connail, members of the IRA before the start of the Troubles; and the Troubles generation from th</w:t>
      </w:r>
      <w:r w:rsidR="00C87793">
        <w:rPr>
          <w:rFonts w:ascii="Times New Roman" w:hAnsi="Times New Roman" w:cs="Times New Roman"/>
        </w:rPr>
        <w:t>e late 1960s until the early 197</w:t>
      </w:r>
      <w:r>
        <w:rPr>
          <w:rFonts w:ascii="Times New Roman" w:hAnsi="Times New Roman" w:cs="Times New Roman"/>
        </w:rPr>
        <w:t>0s.</w:t>
      </w:r>
      <w:r w:rsidR="006B6319">
        <w:rPr>
          <w:rFonts w:ascii="Times New Roman" w:hAnsi="Times New Roman" w:cs="Times New Roman"/>
        </w:rPr>
        <w:t xml:space="preserve"> </w:t>
      </w:r>
      <w:r>
        <w:rPr>
          <w:rFonts w:ascii="Times New Roman" w:hAnsi="Times New Roman" w:cs="Times New Roman"/>
        </w:rPr>
        <w:t xml:space="preserve"> </w:t>
      </w:r>
    </w:p>
    <w:p w14:paraId="22477CF7" w14:textId="502BA2B3"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Finally, </w:t>
      </w:r>
      <w:r w:rsidR="006B6319">
        <w:rPr>
          <w:rFonts w:ascii="Times New Roman" w:hAnsi="Times New Roman" w:cs="Times New Roman"/>
        </w:rPr>
        <w:t xml:space="preserve">as discussed in Chapter Two, </w:t>
      </w:r>
      <w:r>
        <w:rPr>
          <w:rFonts w:ascii="Times New Roman" w:hAnsi="Times New Roman" w:cs="Times New Roman"/>
        </w:rPr>
        <w:t xml:space="preserve">the fundamental conceptual issue with regard to disengagement is the connection between attitudes and behaviour, and frames analysis provides a unique way of analysing disengagement and how attitudes change within a movement. </w:t>
      </w:r>
      <w:r w:rsidR="007A762C">
        <w:rPr>
          <w:rFonts w:ascii="Times New Roman" w:hAnsi="Times New Roman" w:cs="Times New Roman"/>
        </w:rPr>
        <w:t>T</w:t>
      </w:r>
      <w:r>
        <w:rPr>
          <w:rFonts w:ascii="Times New Roman" w:hAnsi="Times New Roman" w:cs="Times New Roman"/>
        </w:rPr>
        <w:t xml:space="preserve">he thesis argues that the disengagement process is built around a new frame </w:t>
      </w:r>
      <w:r w:rsidR="007A762C">
        <w:rPr>
          <w:rFonts w:ascii="Times New Roman" w:hAnsi="Times New Roman" w:cs="Times New Roman"/>
        </w:rPr>
        <w:t xml:space="preserve">being </w:t>
      </w:r>
      <w:r>
        <w:rPr>
          <w:rFonts w:ascii="Times New Roman" w:hAnsi="Times New Roman" w:cs="Times New Roman"/>
        </w:rPr>
        <w:t>constructed by factions of the movement.</w:t>
      </w:r>
      <w:r w:rsidR="009A58CE">
        <w:rPr>
          <w:rFonts w:ascii="Times New Roman" w:hAnsi="Times New Roman" w:cs="Times New Roman"/>
        </w:rPr>
        <w:t xml:space="preserve"> Throughout the Provisional IRA’s disengagement until 2013 (the time under study), the thesis identifies three stages in the Provisional IRA’s disengagement frame. Chapter Four will provide an overview firstly and then focus on the first stage, whereas Chapter Five and Six will analyse how it has transformed over time.</w:t>
      </w:r>
      <w:r>
        <w:rPr>
          <w:rFonts w:ascii="Times New Roman" w:hAnsi="Times New Roman" w:cs="Times New Roman"/>
        </w:rPr>
        <w:t xml:space="preserve"> </w:t>
      </w:r>
      <w:r w:rsidR="00B12569">
        <w:rPr>
          <w:rFonts w:ascii="Times New Roman" w:hAnsi="Times New Roman" w:cs="Times New Roman"/>
        </w:rPr>
        <w:t xml:space="preserve">Disengagement frames begin to exhibit different types of attitudinal change, accounting for differences in motivation and commitment to ending violence – the thesis identifies three types of frame: tactical disengagement; conditional de-radicalisation; and unconditional de-radicalisation. In group disengagement, one such frame becomes dominant and is used to convince members of the merits of disengagement. </w:t>
      </w:r>
      <w:r>
        <w:rPr>
          <w:rFonts w:ascii="Times New Roman" w:hAnsi="Times New Roman" w:cs="Times New Roman"/>
        </w:rPr>
        <w:t>The chapter analyses how this frame emerges, but more crucially, how it is diffused throughout the movement to ensure successful disengagement. Successful disengagement in this context refers to the disengagement frame resonating – being accepted – by the majority of the movement.</w:t>
      </w:r>
      <w:r w:rsidR="00CE666B">
        <w:rPr>
          <w:rFonts w:ascii="Times New Roman" w:hAnsi="Times New Roman" w:cs="Times New Roman"/>
        </w:rPr>
        <w:t xml:space="preserve"> The thesis argues that frame resonance provides an additional indicator of the risk of recidivism to accompany recidivism statistics.</w:t>
      </w:r>
      <w:r>
        <w:rPr>
          <w:rFonts w:ascii="Times New Roman" w:hAnsi="Times New Roman" w:cs="Times New Roman"/>
        </w:rPr>
        <w:t xml:space="preserve"> In terms of disengagement, the chapter does not include organisational disengagement as this is discussed in the next chapter</w:t>
      </w:r>
      <w:r w:rsidR="00A1037B">
        <w:rPr>
          <w:rFonts w:ascii="Times New Roman" w:hAnsi="Times New Roman" w:cs="Times New Roman"/>
        </w:rPr>
        <w:t>.</w:t>
      </w:r>
      <w:r>
        <w:rPr>
          <w:rFonts w:ascii="Times New Roman" w:hAnsi="Times New Roman" w:cs="Times New Roman"/>
        </w:rPr>
        <w:t xml:space="preserve"> For </w:t>
      </w:r>
      <w:r w:rsidR="00A1037B">
        <w:rPr>
          <w:rFonts w:ascii="Times New Roman" w:hAnsi="Times New Roman" w:cs="Times New Roman"/>
        </w:rPr>
        <w:t>frames to successfully resonate</w:t>
      </w:r>
      <w:r>
        <w:rPr>
          <w:rFonts w:ascii="Times New Roman" w:hAnsi="Times New Roman" w:cs="Times New Roman"/>
        </w:rPr>
        <w:t xml:space="preserve"> there must be narrative fideli</w:t>
      </w:r>
      <w:r w:rsidR="00A1037B">
        <w:rPr>
          <w:rFonts w:ascii="Times New Roman" w:hAnsi="Times New Roman" w:cs="Times New Roman"/>
        </w:rPr>
        <w:t>ty:</w:t>
      </w:r>
      <w:r>
        <w:rPr>
          <w:rFonts w:ascii="Times New Roman" w:hAnsi="Times New Roman" w:cs="Times New Roman"/>
        </w:rPr>
        <w:t xml:space="preserve"> a disengagement frame must be consistent with the movement’s goals, beliefs and myths; there must be sufficient linkages that allow the frame to be diffused, which can be difficult for illicit groups like the Provisional IRA; and the ‘messengers’ of the frame must be seen as credible.</w:t>
      </w:r>
      <w:r w:rsidR="006B6319">
        <w:rPr>
          <w:rStyle w:val="FootnoteReference"/>
          <w:rFonts w:ascii="Times New Roman" w:hAnsi="Times New Roman" w:cs="Times New Roman"/>
        </w:rPr>
        <w:footnoteReference w:id="334"/>
      </w:r>
      <w:r>
        <w:rPr>
          <w:rFonts w:ascii="Times New Roman" w:hAnsi="Times New Roman" w:cs="Times New Roman"/>
        </w:rPr>
        <w:t xml:space="preserve"> </w:t>
      </w:r>
    </w:p>
    <w:p w14:paraId="42076AB2" w14:textId="3E1A3F76" w:rsidR="00B2475F" w:rsidRDefault="00991000" w:rsidP="00B57C7F">
      <w:pPr>
        <w:spacing w:line="360" w:lineRule="auto"/>
        <w:ind w:firstLine="720"/>
        <w:jc w:val="both"/>
        <w:rPr>
          <w:rFonts w:ascii="Times New Roman" w:hAnsi="Times New Roman" w:cs="Times New Roman"/>
        </w:rPr>
      </w:pPr>
      <w:r>
        <w:rPr>
          <w:rFonts w:ascii="Times New Roman" w:hAnsi="Times New Roman" w:cs="Times New Roman"/>
        </w:rPr>
        <w:t>The framework outlined above provides an explanation of how the Provisional IRA disengaged in the 1994-</w:t>
      </w:r>
      <w:r w:rsidR="00BA38FE">
        <w:rPr>
          <w:rFonts w:ascii="Times New Roman" w:hAnsi="Times New Roman" w:cs="Times New Roman"/>
        </w:rPr>
        <w:t>2005</w:t>
      </w:r>
      <w:r>
        <w:rPr>
          <w:rFonts w:ascii="Times New Roman" w:hAnsi="Times New Roman" w:cs="Times New Roman"/>
        </w:rPr>
        <w:t xml:space="preserve"> period of the process, and it is used to contribute to the conceptualisation of disengagement.</w:t>
      </w:r>
      <w:r w:rsidR="009A58CE">
        <w:rPr>
          <w:rFonts w:ascii="Times New Roman" w:hAnsi="Times New Roman" w:cs="Times New Roman"/>
        </w:rPr>
        <w:t xml:space="preserve"> As stated, the process of organisational disengagement will be discussed separately in the next chapter, which will explore how the disengagement frame was diffused throughout the Irish </w:t>
      </w:r>
      <w:r w:rsidR="009A58CE">
        <w:rPr>
          <w:rFonts w:ascii="Times New Roman" w:hAnsi="Times New Roman" w:cs="Times New Roman"/>
        </w:rPr>
        <w:lastRenderedPageBreak/>
        <w:t xml:space="preserve">Republican movement. Yet it was the decision to disengage in the 1990s by the Provisional IRA, and </w:t>
      </w:r>
      <w:r w:rsidR="00537ED6">
        <w:rPr>
          <w:rFonts w:ascii="Times New Roman" w:hAnsi="Times New Roman" w:cs="Times New Roman"/>
        </w:rPr>
        <w:t xml:space="preserve">the fact </w:t>
      </w:r>
      <w:r w:rsidR="009A58CE">
        <w:rPr>
          <w:rFonts w:ascii="Times New Roman" w:hAnsi="Times New Roman" w:cs="Times New Roman"/>
        </w:rPr>
        <w:t>that the majority of its members supported it, which instigated the broader move toward disengagement.</w:t>
      </w:r>
      <w:r>
        <w:rPr>
          <w:rFonts w:ascii="Times New Roman" w:hAnsi="Times New Roman" w:cs="Times New Roman"/>
        </w:rPr>
        <w:t xml:space="preserve"> </w:t>
      </w:r>
      <w:r w:rsidR="00A1037B">
        <w:rPr>
          <w:rFonts w:ascii="Times New Roman" w:hAnsi="Times New Roman" w:cs="Times New Roman"/>
        </w:rPr>
        <w:t>T</w:t>
      </w:r>
      <w:r>
        <w:rPr>
          <w:rFonts w:ascii="Times New Roman" w:hAnsi="Times New Roman" w:cs="Times New Roman"/>
        </w:rPr>
        <w:t xml:space="preserve">here were </w:t>
      </w:r>
      <w:r w:rsidR="00A1037B">
        <w:rPr>
          <w:rFonts w:ascii="Times New Roman" w:hAnsi="Times New Roman" w:cs="Times New Roman"/>
        </w:rPr>
        <w:t>three</w:t>
      </w:r>
      <w:r>
        <w:rPr>
          <w:rFonts w:ascii="Times New Roman" w:hAnsi="Times New Roman" w:cs="Times New Roman"/>
        </w:rPr>
        <w:t xml:space="preserve"> main factors that contributed to the successful resonance of the disengagement frame among large sections of the Provisional IRA in the 1990s</w:t>
      </w:r>
      <w:r w:rsidR="00BA38FE">
        <w:rPr>
          <w:rFonts w:ascii="Times New Roman" w:hAnsi="Times New Roman" w:cs="Times New Roman"/>
        </w:rPr>
        <w:t xml:space="preserve"> and onwards</w:t>
      </w:r>
      <w:r>
        <w:rPr>
          <w:rFonts w:ascii="Times New Roman" w:hAnsi="Times New Roman" w:cs="Times New Roman"/>
        </w:rPr>
        <w:t xml:space="preserve">. Firstly, the frame maintained narrative fidelity, which legitimised past violence but de-legitimised current violence by referencing the initial motivations for engaging in armed violence in the 1960s. </w:t>
      </w:r>
      <w:r w:rsidR="009A58CE">
        <w:rPr>
          <w:rFonts w:ascii="Times New Roman" w:hAnsi="Times New Roman" w:cs="Times New Roman"/>
        </w:rPr>
        <w:t xml:space="preserve">While in the early days of the disengagement frame, particularly at the start of the 1994 ceasefire, there was no overt de-legitimisation (apart from </w:t>
      </w:r>
      <w:r w:rsidR="00E76902">
        <w:rPr>
          <w:rFonts w:ascii="Times New Roman" w:hAnsi="Times New Roman" w:cs="Times New Roman"/>
        </w:rPr>
        <w:t xml:space="preserve">by </w:t>
      </w:r>
      <w:r w:rsidR="00537ED6">
        <w:rPr>
          <w:rFonts w:ascii="Times New Roman" w:hAnsi="Times New Roman" w:cs="Times New Roman"/>
        </w:rPr>
        <w:t xml:space="preserve">some Sinn Fein figures), </w:t>
      </w:r>
      <w:r w:rsidR="009A58CE">
        <w:rPr>
          <w:rFonts w:ascii="Times New Roman" w:hAnsi="Times New Roman" w:cs="Times New Roman"/>
        </w:rPr>
        <w:t xml:space="preserve">the conditions that surrounded disengagement meant that it soon would have to de-legitimise violence. </w:t>
      </w:r>
      <w:r>
        <w:rPr>
          <w:rFonts w:ascii="Times New Roman" w:hAnsi="Times New Roman" w:cs="Times New Roman"/>
        </w:rPr>
        <w:t>Secondly, the messengers of the frame had credibility within the movement, which was augmented by the prison experience</w:t>
      </w:r>
      <w:r w:rsidR="00BA38FE">
        <w:rPr>
          <w:rFonts w:ascii="Times New Roman" w:hAnsi="Times New Roman" w:cs="Times New Roman"/>
        </w:rPr>
        <w:t>,</w:t>
      </w:r>
      <w:r>
        <w:rPr>
          <w:rFonts w:ascii="Times New Roman" w:hAnsi="Times New Roman" w:cs="Times New Roman"/>
        </w:rPr>
        <w:t xml:space="preserve"> generational hegemony</w:t>
      </w:r>
      <w:r w:rsidR="00BA38FE">
        <w:rPr>
          <w:rFonts w:ascii="Times New Roman" w:hAnsi="Times New Roman" w:cs="Times New Roman"/>
        </w:rPr>
        <w:t xml:space="preserve"> and the structure of the group</w:t>
      </w:r>
      <w:r>
        <w:rPr>
          <w:rFonts w:ascii="Times New Roman" w:hAnsi="Times New Roman" w:cs="Times New Roman"/>
        </w:rPr>
        <w:t>. Thirdly, the leadership had encouraged an intensive level of internal debate and discussion over a number of years, which helped to convince a large number of members on the direction the movement was going</w:t>
      </w:r>
      <w:r w:rsidR="00537ED6">
        <w:rPr>
          <w:rFonts w:ascii="Times New Roman" w:hAnsi="Times New Roman" w:cs="Times New Roman"/>
        </w:rPr>
        <w:t xml:space="preserve"> in. This had already been taking</w:t>
      </w:r>
      <w:r>
        <w:rPr>
          <w:rFonts w:ascii="Times New Roman" w:hAnsi="Times New Roman" w:cs="Times New Roman"/>
        </w:rPr>
        <w:t xml:space="preserve"> place within prisons, which were structured in such a way to facilitate this form of dialogue</w:t>
      </w:r>
      <w:r w:rsidR="00881801">
        <w:rPr>
          <w:rFonts w:ascii="Times New Roman" w:hAnsi="Times New Roman" w:cs="Times New Roman"/>
        </w:rPr>
        <w:t xml:space="preserve">. </w:t>
      </w:r>
    </w:p>
    <w:p w14:paraId="2B91D50A" w14:textId="4AF728CF" w:rsidR="00991000" w:rsidRDefault="00881801" w:rsidP="00B57C7F">
      <w:pPr>
        <w:spacing w:line="360" w:lineRule="auto"/>
        <w:ind w:firstLine="720"/>
        <w:jc w:val="both"/>
        <w:rPr>
          <w:rFonts w:ascii="Times New Roman" w:hAnsi="Times New Roman" w:cs="Times New Roman"/>
        </w:rPr>
      </w:pPr>
      <w:r>
        <w:rPr>
          <w:rFonts w:ascii="Times New Roman" w:hAnsi="Times New Roman" w:cs="Times New Roman"/>
        </w:rPr>
        <w:t>The chapter considers other possible factors: for example,</w:t>
      </w:r>
      <w:r w:rsidR="00991000">
        <w:rPr>
          <w:rFonts w:ascii="Times New Roman" w:hAnsi="Times New Roman" w:cs="Times New Roman"/>
        </w:rPr>
        <w:t xml:space="preserve"> the leadership was able to provide a number of incentives for disengagement which manifested in political, military and social dimensions</w:t>
      </w:r>
      <w:r w:rsidR="007B024C">
        <w:rPr>
          <w:rFonts w:ascii="Times New Roman" w:hAnsi="Times New Roman" w:cs="Times New Roman"/>
        </w:rPr>
        <w:t xml:space="preserve"> from 1998 onwards. </w:t>
      </w:r>
      <w:r>
        <w:rPr>
          <w:rFonts w:ascii="Times New Roman" w:hAnsi="Times New Roman" w:cs="Times New Roman"/>
        </w:rPr>
        <w:t xml:space="preserve">The thesis concedes that incentives were important, as will be shown in the next chapter, but it argues that these incentives are subordinate to frame diffusion as it was internal changes that constructed these routes as incentives in the first place. </w:t>
      </w:r>
      <w:r w:rsidR="007B024C">
        <w:rPr>
          <w:rFonts w:ascii="Times New Roman" w:hAnsi="Times New Roman" w:cs="Times New Roman"/>
        </w:rPr>
        <w:t>While interaction with the ‘other’ was not a substantial factor in the disengagement process</w:t>
      </w:r>
      <w:r w:rsidR="00991000">
        <w:rPr>
          <w:rFonts w:ascii="Times New Roman" w:hAnsi="Times New Roman" w:cs="Times New Roman"/>
        </w:rPr>
        <w:t xml:space="preserve">, the findings of the chapter do lend some credence to Ashour’s argument that external interaction </w:t>
      </w:r>
      <w:r w:rsidR="00B2475F">
        <w:rPr>
          <w:rFonts w:ascii="Times New Roman" w:hAnsi="Times New Roman" w:cs="Times New Roman"/>
        </w:rPr>
        <w:t>can affect</w:t>
      </w:r>
      <w:r w:rsidR="00991000">
        <w:rPr>
          <w:rFonts w:ascii="Times New Roman" w:hAnsi="Times New Roman" w:cs="Times New Roman"/>
        </w:rPr>
        <w:t xml:space="preserve"> the world-views of the leadership </w:t>
      </w:r>
      <w:r w:rsidR="00B2475F">
        <w:rPr>
          <w:rFonts w:ascii="Times New Roman" w:hAnsi="Times New Roman" w:cs="Times New Roman"/>
        </w:rPr>
        <w:t>but not necessarily</w:t>
      </w:r>
      <w:r w:rsidR="00991000">
        <w:rPr>
          <w:rFonts w:ascii="Times New Roman" w:hAnsi="Times New Roman" w:cs="Times New Roman"/>
        </w:rPr>
        <w:t xml:space="preserve"> the followers.</w:t>
      </w:r>
      <w:r w:rsidR="006B6319">
        <w:rPr>
          <w:rStyle w:val="FootnoteReference"/>
          <w:rFonts w:ascii="Times New Roman" w:hAnsi="Times New Roman" w:cs="Times New Roman"/>
        </w:rPr>
        <w:footnoteReference w:id="335"/>
      </w:r>
      <w:r w:rsidR="00991000">
        <w:rPr>
          <w:rFonts w:ascii="Times New Roman" w:hAnsi="Times New Roman" w:cs="Times New Roman"/>
        </w:rPr>
        <w:t xml:space="preserve"> Furthermore, with </w:t>
      </w:r>
      <w:r w:rsidR="007B024C">
        <w:rPr>
          <w:rFonts w:ascii="Times New Roman" w:hAnsi="Times New Roman" w:cs="Times New Roman"/>
        </w:rPr>
        <w:t>regard to the literature’s emphasis</w:t>
      </w:r>
      <w:r w:rsidR="00991000">
        <w:rPr>
          <w:rFonts w:ascii="Times New Roman" w:hAnsi="Times New Roman" w:cs="Times New Roman"/>
        </w:rPr>
        <w:t xml:space="preserve"> on the role of state repression</w:t>
      </w:r>
      <w:r w:rsidR="007B024C">
        <w:rPr>
          <w:rFonts w:ascii="Times New Roman" w:hAnsi="Times New Roman" w:cs="Times New Roman"/>
        </w:rPr>
        <w:t xml:space="preserve"> as outlined in Chapter One</w:t>
      </w:r>
      <w:r w:rsidR="00991000">
        <w:rPr>
          <w:rFonts w:ascii="Times New Roman" w:hAnsi="Times New Roman" w:cs="Times New Roman"/>
        </w:rPr>
        <w:t xml:space="preserve">, the chapter finds that while state repression helped to change attitudes to armed struggle, this was not significant for all of its members who wanted to continue using violence. Thus, external interaction and state </w:t>
      </w:r>
      <w:r w:rsidR="00991000">
        <w:rPr>
          <w:rFonts w:ascii="Times New Roman" w:hAnsi="Times New Roman" w:cs="Times New Roman"/>
        </w:rPr>
        <w:lastRenderedPageBreak/>
        <w:t>repression played a role in instigating disengagement among a section of the movement, but</w:t>
      </w:r>
      <w:r>
        <w:rPr>
          <w:rFonts w:ascii="Times New Roman" w:hAnsi="Times New Roman" w:cs="Times New Roman"/>
        </w:rPr>
        <w:t xml:space="preserve"> it was the three</w:t>
      </w:r>
      <w:r w:rsidR="00991000">
        <w:rPr>
          <w:rFonts w:ascii="Times New Roman" w:hAnsi="Times New Roman" w:cs="Times New Roman"/>
        </w:rPr>
        <w:t xml:space="preserve"> factors outlined above which ensured the frame successfully resonated. </w:t>
      </w:r>
    </w:p>
    <w:p w14:paraId="14A6BB26" w14:textId="77777777" w:rsidR="00991000" w:rsidRDefault="00991000" w:rsidP="00B57C7F">
      <w:pPr>
        <w:spacing w:line="360" w:lineRule="auto"/>
        <w:jc w:val="both"/>
        <w:rPr>
          <w:rFonts w:ascii="Times New Roman" w:hAnsi="Times New Roman" w:cs="Times New Roman"/>
        </w:rPr>
      </w:pPr>
    </w:p>
    <w:p w14:paraId="5B666477" w14:textId="77777777" w:rsidR="00D946B9" w:rsidRDefault="00D946B9" w:rsidP="00B57C7F">
      <w:pPr>
        <w:pStyle w:val="Heading3"/>
        <w:spacing w:before="120" w:line="360" w:lineRule="auto"/>
      </w:pPr>
      <w:bookmarkStart w:id="42" w:name="_Toc389208825"/>
      <w:r>
        <w:t>Disengagement Frames</w:t>
      </w:r>
      <w:r w:rsidR="0010282F">
        <w:t xml:space="preserve"> and De-Radicalisation</w:t>
      </w:r>
      <w:bookmarkEnd w:id="42"/>
    </w:p>
    <w:p w14:paraId="021420FD" w14:textId="77777777" w:rsidR="00B56FDB" w:rsidRDefault="00D946B9" w:rsidP="00B57C7F">
      <w:pPr>
        <w:spacing w:line="360" w:lineRule="auto"/>
        <w:jc w:val="both"/>
        <w:rPr>
          <w:rFonts w:ascii="Times New Roman" w:hAnsi="Times New Roman" w:cs="Times New Roman"/>
        </w:rPr>
      </w:pPr>
      <w:r>
        <w:rPr>
          <w:rFonts w:ascii="Times New Roman" w:hAnsi="Times New Roman" w:cs="Times New Roman"/>
        </w:rPr>
        <w:tab/>
        <w:t>To build on the points made in Chapter Two, the thesis argues that just as frames are developed to mobilise members for political ends, frames need to be constructed and adapted to de-mobilise members</w:t>
      </w:r>
      <w:r w:rsidR="0010282F">
        <w:rPr>
          <w:rFonts w:ascii="Times New Roman" w:hAnsi="Times New Roman" w:cs="Times New Roman"/>
        </w:rPr>
        <w:t xml:space="preserve"> from armed activity</w:t>
      </w:r>
      <w:r>
        <w:rPr>
          <w:rFonts w:ascii="Times New Roman" w:hAnsi="Times New Roman" w:cs="Times New Roman"/>
        </w:rPr>
        <w:t>.</w:t>
      </w:r>
      <w:r w:rsidR="0010282F">
        <w:rPr>
          <w:rFonts w:ascii="Times New Roman" w:hAnsi="Times New Roman" w:cs="Times New Roman"/>
        </w:rPr>
        <w:t xml:space="preserve"> Frames can function by linking together pre-existent or latent attitudes that an individual could not articulate, or they can lead to a transformation in attitudes by removing normative barriers or being more persuasive. A frame does not need to be entirely accepted as other influences such as peer pressure can compensate for a lack of </w:t>
      </w:r>
      <w:r w:rsidR="00D752F8">
        <w:rPr>
          <w:rFonts w:ascii="Times New Roman" w:hAnsi="Times New Roman" w:cs="Times New Roman"/>
        </w:rPr>
        <w:t xml:space="preserve">resonance, and in this case a frame can act as a script to follow, which can then begin to resonate over a longer period of time. </w:t>
      </w:r>
      <w:r w:rsidR="00043512">
        <w:rPr>
          <w:rFonts w:ascii="Times New Roman" w:hAnsi="Times New Roman" w:cs="Times New Roman"/>
        </w:rPr>
        <w:t xml:space="preserve">Frames analysis has advantages over the concept of de-radicalisation insofar as it can specifically explain </w:t>
      </w:r>
      <w:r w:rsidR="00EB1CAC">
        <w:rPr>
          <w:rFonts w:ascii="Times New Roman" w:hAnsi="Times New Roman" w:cs="Times New Roman"/>
        </w:rPr>
        <w:t>how violence is de-legitimised and which forms of violence is de-legitimised.</w:t>
      </w:r>
      <w:r w:rsidR="006A56BA">
        <w:rPr>
          <w:rFonts w:ascii="Times New Roman" w:hAnsi="Times New Roman" w:cs="Times New Roman"/>
        </w:rPr>
        <w:t xml:space="preserve"> The thesis </w:t>
      </w:r>
      <w:r w:rsidR="009A58CE">
        <w:rPr>
          <w:rFonts w:ascii="Times New Roman" w:hAnsi="Times New Roman" w:cs="Times New Roman"/>
        </w:rPr>
        <w:t>analyses</w:t>
      </w:r>
      <w:r w:rsidR="006A56BA">
        <w:rPr>
          <w:rFonts w:ascii="Times New Roman" w:hAnsi="Times New Roman" w:cs="Times New Roman"/>
        </w:rPr>
        <w:t xml:space="preserve"> three types of disengagement frame which shapes the success of the process: tactical disengagement; conditional de-radicalisation; and u</w:t>
      </w:r>
      <w:r w:rsidR="006B6319">
        <w:rPr>
          <w:rFonts w:ascii="Times New Roman" w:hAnsi="Times New Roman" w:cs="Times New Roman"/>
        </w:rPr>
        <w:t xml:space="preserve">nconditional de-radicalisation. </w:t>
      </w:r>
    </w:p>
    <w:p w14:paraId="022903E6" w14:textId="1DBDF789" w:rsidR="00A92B03" w:rsidRDefault="006B6319" w:rsidP="00B56FDB">
      <w:pPr>
        <w:spacing w:line="360" w:lineRule="auto"/>
        <w:ind w:firstLine="720"/>
        <w:jc w:val="both"/>
        <w:rPr>
          <w:rFonts w:ascii="Times New Roman" w:hAnsi="Times New Roman" w:cs="Times New Roman"/>
        </w:rPr>
      </w:pPr>
      <w:r>
        <w:rPr>
          <w:rFonts w:ascii="Times New Roman" w:hAnsi="Times New Roman" w:cs="Times New Roman"/>
        </w:rPr>
        <w:t>To recap</w:t>
      </w:r>
      <w:r w:rsidR="009A58CE">
        <w:rPr>
          <w:rFonts w:ascii="Times New Roman" w:hAnsi="Times New Roman" w:cs="Times New Roman"/>
        </w:rPr>
        <w:t xml:space="preserve"> on the discussion in Chapter Two</w:t>
      </w:r>
      <w:r>
        <w:rPr>
          <w:rFonts w:ascii="Times New Roman" w:hAnsi="Times New Roman" w:cs="Times New Roman"/>
        </w:rPr>
        <w:t>: tactical disengagement refers to when violence is stopped for tactical reasons with no de-legitimisation of violence; conditional de-radicalisation refers to when a cessation of violence is contingent (either explicitly or implicitly) on the existing</w:t>
      </w:r>
      <w:r w:rsidR="009A58CE">
        <w:rPr>
          <w:rFonts w:ascii="Times New Roman" w:hAnsi="Times New Roman" w:cs="Times New Roman"/>
        </w:rPr>
        <w:t xml:space="preserve"> or anticipated</w:t>
      </w:r>
      <w:r>
        <w:rPr>
          <w:rFonts w:ascii="Times New Roman" w:hAnsi="Times New Roman" w:cs="Times New Roman"/>
        </w:rPr>
        <w:t xml:space="preserve"> conditions and involves de-legitimising violence; unconditional de-radicalisation refers to the complete de-legitimisation of all violence, but it can also consist of the de-glamourisation of violence.</w:t>
      </w:r>
      <w:r w:rsidR="009A58CE">
        <w:rPr>
          <w:rFonts w:ascii="Times New Roman" w:hAnsi="Times New Roman" w:cs="Times New Roman"/>
        </w:rPr>
        <w:t xml:space="preserve"> These three frame types can be analysed as a spectrum, whereby adopting a tactical disengagement frame can push toward deeper disengagement, which requires the construction of frames </w:t>
      </w:r>
      <w:r w:rsidR="00B56FDB">
        <w:rPr>
          <w:rFonts w:ascii="Times New Roman" w:hAnsi="Times New Roman" w:cs="Times New Roman"/>
        </w:rPr>
        <w:t>that</w:t>
      </w:r>
      <w:r w:rsidR="009A58CE">
        <w:rPr>
          <w:rFonts w:ascii="Times New Roman" w:hAnsi="Times New Roman" w:cs="Times New Roman"/>
        </w:rPr>
        <w:t xml:space="preserve"> de-legitimise violence, therefore reducing the desire to engage in violence and reducing the risk of recidivism.</w:t>
      </w:r>
      <w:r w:rsidR="00EB1CAC">
        <w:rPr>
          <w:rFonts w:ascii="Times New Roman" w:hAnsi="Times New Roman" w:cs="Times New Roman"/>
        </w:rPr>
        <w:t xml:space="preserve"> </w:t>
      </w:r>
    </w:p>
    <w:p w14:paraId="7A8739C9" w14:textId="75BC0661" w:rsidR="0047614A" w:rsidRDefault="006A56BA" w:rsidP="00B57C7F">
      <w:pPr>
        <w:spacing w:line="360" w:lineRule="auto"/>
        <w:ind w:firstLine="720"/>
        <w:jc w:val="both"/>
        <w:rPr>
          <w:rFonts w:ascii="Times New Roman" w:hAnsi="Times New Roman" w:cs="Times New Roman"/>
        </w:rPr>
      </w:pPr>
      <w:r>
        <w:rPr>
          <w:rFonts w:ascii="Times New Roman" w:hAnsi="Times New Roman" w:cs="Times New Roman"/>
        </w:rPr>
        <w:t>T</w:t>
      </w:r>
      <w:r w:rsidR="00EB1CAC">
        <w:rPr>
          <w:rFonts w:ascii="Times New Roman" w:hAnsi="Times New Roman" w:cs="Times New Roman"/>
        </w:rPr>
        <w:t xml:space="preserve">he literature </w:t>
      </w:r>
      <w:r>
        <w:rPr>
          <w:rFonts w:ascii="Times New Roman" w:hAnsi="Times New Roman" w:cs="Times New Roman"/>
        </w:rPr>
        <w:t>has underplayed</w:t>
      </w:r>
      <w:r w:rsidR="00EB1CAC">
        <w:rPr>
          <w:rFonts w:ascii="Times New Roman" w:hAnsi="Times New Roman" w:cs="Times New Roman"/>
        </w:rPr>
        <w:t xml:space="preserve"> other manifestations of de-radicalisation that may be conditional</w:t>
      </w:r>
      <w:r w:rsidR="00B56FDB">
        <w:rPr>
          <w:rFonts w:ascii="Times New Roman" w:hAnsi="Times New Roman" w:cs="Times New Roman"/>
        </w:rPr>
        <w:t>,</w:t>
      </w:r>
      <w:r>
        <w:rPr>
          <w:rStyle w:val="FootnoteReference"/>
          <w:rFonts w:ascii="Times New Roman" w:hAnsi="Times New Roman" w:cs="Times New Roman"/>
        </w:rPr>
        <w:footnoteReference w:id="336"/>
      </w:r>
      <w:r w:rsidR="00EB1CAC">
        <w:rPr>
          <w:rFonts w:ascii="Times New Roman" w:hAnsi="Times New Roman" w:cs="Times New Roman"/>
        </w:rPr>
        <w:t xml:space="preserve"> but on the whole, </w:t>
      </w:r>
      <w:r>
        <w:rPr>
          <w:rFonts w:ascii="Times New Roman" w:hAnsi="Times New Roman" w:cs="Times New Roman"/>
        </w:rPr>
        <w:t xml:space="preserve">the thesis argues that </w:t>
      </w:r>
      <w:r w:rsidR="009A58CE">
        <w:rPr>
          <w:rFonts w:ascii="Times New Roman" w:hAnsi="Times New Roman" w:cs="Times New Roman"/>
        </w:rPr>
        <w:t>conditional de-</w:t>
      </w:r>
      <w:r w:rsidR="009A58CE">
        <w:rPr>
          <w:rFonts w:ascii="Times New Roman" w:hAnsi="Times New Roman" w:cs="Times New Roman"/>
        </w:rPr>
        <w:lastRenderedPageBreak/>
        <w:t>radicalisation</w:t>
      </w:r>
      <w:r>
        <w:rPr>
          <w:rFonts w:ascii="Times New Roman" w:hAnsi="Times New Roman" w:cs="Times New Roman"/>
        </w:rPr>
        <w:t xml:space="preserve"> is </w:t>
      </w:r>
      <w:r w:rsidR="00EB1CAC">
        <w:rPr>
          <w:rFonts w:ascii="Times New Roman" w:hAnsi="Times New Roman" w:cs="Times New Roman"/>
        </w:rPr>
        <w:t>better at reducing the risk of recidivism in society</w:t>
      </w:r>
      <w:r w:rsidR="00253531">
        <w:rPr>
          <w:rFonts w:ascii="Times New Roman" w:hAnsi="Times New Roman" w:cs="Times New Roman"/>
        </w:rPr>
        <w:t xml:space="preserve"> because:</w:t>
      </w:r>
      <w:r w:rsidR="00EB1CAC">
        <w:rPr>
          <w:rFonts w:ascii="Times New Roman" w:hAnsi="Times New Roman" w:cs="Times New Roman"/>
        </w:rPr>
        <w:t xml:space="preserve"> firstly</w:t>
      </w:r>
      <w:r w:rsidR="00253531">
        <w:rPr>
          <w:rFonts w:ascii="Times New Roman" w:hAnsi="Times New Roman" w:cs="Times New Roman"/>
        </w:rPr>
        <w:t>,</w:t>
      </w:r>
      <w:r w:rsidR="00EB1CAC">
        <w:rPr>
          <w:rFonts w:ascii="Times New Roman" w:hAnsi="Times New Roman" w:cs="Times New Roman"/>
        </w:rPr>
        <w:t xml:space="preserve"> conditional de-radicalisation can resonate more successfully</w:t>
      </w:r>
      <w:r w:rsidR="00253531">
        <w:rPr>
          <w:rFonts w:ascii="Times New Roman" w:hAnsi="Times New Roman" w:cs="Times New Roman"/>
        </w:rPr>
        <w:t>;</w:t>
      </w:r>
      <w:r w:rsidR="00EB1CAC">
        <w:rPr>
          <w:rFonts w:ascii="Times New Roman" w:hAnsi="Times New Roman" w:cs="Times New Roman"/>
        </w:rPr>
        <w:t xml:space="preserve"> and secondly</w:t>
      </w:r>
      <w:r w:rsidR="00253531">
        <w:rPr>
          <w:rFonts w:ascii="Times New Roman" w:hAnsi="Times New Roman" w:cs="Times New Roman"/>
        </w:rPr>
        <w:t>,</w:t>
      </w:r>
      <w:r w:rsidR="00EB1CAC">
        <w:rPr>
          <w:rFonts w:ascii="Times New Roman" w:hAnsi="Times New Roman" w:cs="Times New Roman"/>
        </w:rPr>
        <w:t xml:space="preserve"> the durability of structures, or whatever the conditions may be, tend to be just as durable as unconditional de-radicalisation, especially at a societal level.</w:t>
      </w:r>
      <w:r w:rsidR="003205EE">
        <w:rPr>
          <w:rFonts w:ascii="Times New Roman" w:hAnsi="Times New Roman" w:cs="Times New Roman"/>
        </w:rPr>
        <w:t xml:space="preserve"> </w:t>
      </w:r>
      <w:r w:rsidR="006B6319">
        <w:rPr>
          <w:rFonts w:ascii="Times New Roman" w:hAnsi="Times New Roman" w:cs="Times New Roman"/>
        </w:rPr>
        <w:t>Furthermore, most discussions on disengagement limit the analysis to a very specific time period in the process,</w:t>
      </w:r>
      <w:r w:rsidR="006B6319">
        <w:rPr>
          <w:rStyle w:val="FootnoteReference"/>
          <w:rFonts w:ascii="Times New Roman" w:hAnsi="Times New Roman" w:cs="Times New Roman"/>
        </w:rPr>
        <w:footnoteReference w:id="337"/>
      </w:r>
      <w:r w:rsidR="006B6319">
        <w:rPr>
          <w:rFonts w:ascii="Times New Roman" w:hAnsi="Times New Roman" w:cs="Times New Roman"/>
        </w:rPr>
        <w:t xml:space="preserve"> and therefore do not capture how attitudes change over a longer period of time after the commitment to disengage. </w:t>
      </w:r>
      <w:r w:rsidR="003205EE">
        <w:rPr>
          <w:rFonts w:ascii="Times New Roman" w:hAnsi="Times New Roman" w:cs="Times New Roman"/>
        </w:rPr>
        <w:t>As will be shown, the Provisional IRA’s frame was typified by</w:t>
      </w:r>
      <w:r w:rsidR="006B6319">
        <w:rPr>
          <w:rFonts w:ascii="Times New Roman" w:hAnsi="Times New Roman" w:cs="Times New Roman"/>
        </w:rPr>
        <w:t xml:space="preserve"> a transition from tactical disengagement</w:t>
      </w:r>
      <w:r w:rsidR="009A58CE">
        <w:rPr>
          <w:rFonts w:ascii="Times New Roman" w:hAnsi="Times New Roman" w:cs="Times New Roman"/>
        </w:rPr>
        <w:t xml:space="preserve"> in the early 1990s</w:t>
      </w:r>
      <w:r w:rsidR="006B6319">
        <w:rPr>
          <w:rFonts w:ascii="Times New Roman" w:hAnsi="Times New Roman" w:cs="Times New Roman"/>
        </w:rPr>
        <w:t xml:space="preserve"> to</w:t>
      </w:r>
      <w:r w:rsidR="003205EE">
        <w:rPr>
          <w:rFonts w:ascii="Times New Roman" w:hAnsi="Times New Roman" w:cs="Times New Roman"/>
        </w:rPr>
        <w:t xml:space="preserve"> conditional de-radicalisation</w:t>
      </w:r>
      <w:r w:rsidR="009A58CE">
        <w:rPr>
          <w:rFonts w:ascii="Times New Roman" w:hAnsi="Times New Roman" w:cs="Times New Roman"/>
        </w:rPr>
        <w:t xml:space="preserve"> from the late 1990s onwards</w:t>
      </w:r>
      <w:r w:rsidR="006B6319">
        <w:rPr>
          <w:rFonts w:ascii="Times New Roman" w:hAnsi="Times New Roman" w:cs="Times New Roman"/>
        </w:rPr>
        <w:t>, and that the latter built on the former</w:t>
      </w:r>
      <w:r w:rsidR="009A58CE">
        <w:rPr>
          <w:rFonts w:ascii="Times New Roman" w:hAnsi="Times New Roman" w:cs="Times New Roman"/>
        </w:rPr>
        <w:t xml:space="preserve"> and were more intertwined than the arguments used in previous Provisional IRA ceasefires</w:t>
      </w:r>
      <w:r w:rsidR="003205EE">
        <w:rPr>
          <w:rFonts w:ascii="Times New Roman" w:hAnsi="Times New Roman" w:cs="Times New Roman"/>
        </w:rPr>
        <w:t>.</w:t>
      </w:r>
      <w:r w:rsidR="009A58CE">
        <w:rPr>
          <w:rStyle w:val="FootnoteReference"/>
          <w:rFonts w:ascii="Times New Roman" w:hAnsi="Times New Roman" w:cs="Times New Roman"/>
        </w:rPr>
        <w:footnoteReference w:id="338"/>
      </w:r>
      <w:r w:rsidR="009A58CE">
        <w:rPr>
          <w:rFonts w:ascii="Times New Roman" w:hAnsi="Times New Roman" w:cs="Times New Roman"/>
        </w:rPr>
        <w:t xml:space="preserve"> The </w:t>
      </w:r>
      <w:r w:rsidR="003205EE">
        <w:rPr>
          <w:rFonts w:ascii="Times New Roman" w:hAnsi="Times New Roman" w:cs="Times New Roman"/>
        </w:rPr>
        <w:t xml:space="preserve">literature either presents this </w:t>
      </w:r>
      <w:r w:rsidR="009A58CE">
        <w:rPr>
          <w:rFonts w:ascii="Times New Roman" w:hAnsi="Times New Roman" w:cs="Times New Roman"/>
        </w:rPr>
        <w:t xml:space="preserve">attitudinal change </w:t>
      </w:r>
      <w:r w:rsidR="003205EE">
        <w:rPr>
          <w:rFonts w:ascii="Times New Roman" w:hAnsi="Times New Roman" w:cs="Times New Roman"/>
        </w:rPr>
        <w:t>as not having a substantial effect on reducing the risk of recidivism</w:t>
      </w:r>
      <w:r w:rsidR="003205EE">
        <w:rPr>
          <w:rStyle w:val="FootnoteReference"/>
          <w:rFonts w:ascii="Times New Roman" w:hAnsi="Times New Roman" w:cs="Times New Roman"/>
        </w:rPr>
        <w:footnoteReference w:id="339"/>
      </w:r>
      <w:r w:rsidR="003205EE">
        <w:rPr>
          <w:rFonts w:ascii="Times New Roman" w:hAnsi="Times New Roman" w:cs="Times New Roman"/>
        </w:rPr>
        <w:t xml:space="preserve"> or underplays the significance of attitudinal change by conflating it with tactical disengagement</w:t>
      </w:r>
      <w:r w:rsidR="00B1546E">
        <w:rPr>
          <w:rFonts w:ascii="Times New Roman" w:hAnsi="Times New Roman" w:cs="Times New Roman"/>
        </w:rPr>
        <w:t>,</w:t>
      </w:r>
      <w:r w:rsidR="003205EE">
        <w:rPr>
          <w:rStyle w:val="FootnoteReference"/>
          <w:rFonts w:ascii="Times New Roman" w:hAnsi="Times New Roman" w:cs="Times New Roman"/>
        </w:rPr>
        <w:footnoteReference w:id="340"/>
      </w:r>
      <w:r w:rsidR="003205EE">
        <w:rPr>
          <w:rFonts w:ascii="Times New Roman" w:hAnsi="Times New Roman" w:cs="Times New Roman"/>
        </w:rPr>
        <w:t xml:space="preserve"> but Chapter Four will argue that this type of disengagement frame was essential to end the Provisional IRA’s campaign.</w:t>
      </w:r>
      <w:r>
        <w:rPr>
          <w:rFonts w:ascii="Times New Roman" w:hAnsi="Times New Roman" w:cs="Times New Roman"/>
        </w:rPr>
        <w:t xml:space="preserve"> </w:t>
      </w:r>
      <w:r w:rsidR="006B6319">
        <w:rPr>
          <w:rFonts w:ascii="Times New Roman" w:hAnsi="Times New Roman" w:cs="Times New Roman"/>
        </w:rPr>
        <w:t>T</w:t>
      </w:r>
      <w:r>
        <w:rPr>
          <w:rFonts w:ascii="Times New Roman" w:hAnsi="Times New Roman" w:cs="Times New Roman"/>
        </w:rPr>
        <w:t xml:space="preserve">his example of conditional de-radicalisation </w:t>
      </w:r>
      <w:r w:rsidR="006B6319">
        <w:rPr>
          <w:rFonts w:ascii="Times New Roman" w:hAnsi="Times New Roman" w:cs="Times New Roman"/>
        </w:rPr>
        <w:t>can be contrasted with</w:t>
      </w:r>
      <w:r>
        <w:rPr>
          <w:rFonts w:ascii="Times New Roman" w:hAnsi="Times New Roman" w:cs="Times New Roman"/>
        </w:rPr>
        <w:t xml:space="preserve"> tactical disengagement which manifested in the 1920s, 1960s and 1975: tactical disengagement can lead to recidivism when the opportunities arise and the struggle can be passed on from one generation to another. </w:t>
      </w:r>
      <w:r w:rsidR="003205EE">
        <w:rPr>
          <w:rFonts w:ascii="Times New Roman" w:hAnsi="Times New Roman" w:cs="Times New Roman"/>
        </w:rPr>
        <w:t xml:space="preserve">The different types of disengagement frame employed can have a significant impact on the success of the disengagement process, and this has implications insofar as which type should be encouraged – states, for example, may be inclined to encourage unconditional de-radicalisation. </w:t>
      </w:r>
      <w:r w:rsidR="00253531">
        <w:rPr>
          <w:rFonts w:ascii="Times New Roman" w:hAnsi="Times New Roman" w:cs="Times New Roman"/>
        </w:rPr>
        <w:t xml:space="preserve"> </w:t>
      </w:r>
      <w:r w:rsidR="00C55726">
        <w:rPr>
          <w:rFonts w:ascii="Times New Roman" w:hAnsi="Times New Roman" w:cs="Times New Roman"/>
        </w:rPr>
        <w:t>T</w:t>
      </w:r>
      <w:r w:rsidR="00253531">
        <w:rPr>
          <w:rFonts w:ascii="Times New Roman" w:hAnsi="Times New Roman" w:cs="Times New Roman"/>
        </w:rPr>
        <w:t>he primary aim of Chapter Four is to explain the process by which it was diffused and why it successfully resonated, but firstly the chapter will provide an overview of the Provisional IRA’s disengagement frame</w:t>
      </w:r>
      <w:r w:rsidR="00D77A61">
        <w:rPr>
          <w:rFonts w:ascii="Times New Roman" w:hAnsi="Times New Roman" w:cs="Times New Roman"/>
        </w:rPr>
        <w:t xml:space="preserve"> as it currently stands</w:t>
      </w:r>
      <w:r w:rsidR="0047614A">
        <w:rPr>
          <w:rFonts w:ascii="Times New Roman" w:hAnsi="Times New Roman" w:cs="Times New Roman"/>
        </w:rPr>
        <w:t xml:space="preserve">. </w:t>
      </w:r>
    </w:p>
    <w:p w14:paraId="52ADA1EA" w14:textId="77777777" w:rsidR="00B56FDB" w:rsidRDefault="00C55726" w:rsidP="00B57C7F">
      <w:pPr>
        <w:spacing w:line="360" w:lineRule="auto"/>
        <w:ind w:firstLine="720"/>
        <w:jc w:val="both"/>
        <w:rPr>
          <w:rFonts w:ascii="Times New Roman" w:hAnsi="Times New Roman" w:cs="Times New Roman"/>
        </w:rPr>
      </w:pPr>
      <w:bookmarkStart w:id="43" w:name="_GoBack"/>
      <w:r>
        <w:rPr>
          <w:rFonts w:ascii="Times New Roman" w:hAnsi="Times New Roman" w:cs="Times New Roman"/>
        </w:rPr>
        <w:t>At the beginnin</w:t>
      </w:r>
      <w:r w:rsidR="00300096">
        <w:rPr>
          <w:rFonts w:ascii="Times New Roman" w:hAnsi="Times New Roman" w:cs="Times New Roman"/>
        </w:rPr>
        <w:t xml:space="preserve">g of the disengagement process in 1994, </w:t>
      </w:r>
      <w:r>
        <w:rPr>
          <w:rFonts w:ascii="Times New Roman" w:hAnsi="Times New Roman" w:cs="Times New Roman"/>
        </w:rPr>
        <w:t xml:space="preserve">the process was </w:t>
      </w:r>
      <w:r w:rsidR="00300096">
        <w:rPr>
          <w:rFonts w:ascii="Times New Roman" w:hAnsi="Times New Roman" w:cs="Times New Roman"/>
        </w:rPr>
        <w:t>partly</w:t>
      </w:r>
      <w:r>
        <w:rPr>
          <w:rFonts w:ascii="Times New Roman" w:hAnsi="Times New Roman" w:cs="Times New Roman"/>
        </w:rPr>
        <w:t xml:space="preserve"> driven by tactical considerations</w:t>
      </w:r>
      <w:r w:rsidR="00DE4D2F">
        <w:rPr>
          <w:rFonts w:ascii="Times New Roman" w:hAnsi="Times New Roman" w:cs="Times New Roman"/>
        </w:rPr>
        <w:t xml:space="preserve"> but it differed from the previous tactical </w:t>
      </w:r>
      <w:r w:rsidR="00DE4D2F">
        <w:rPr>
          <w:rFonts w:ascii="Times New Roman" w:hAnsi="Times New Roman" w:cs="Times New Roman"/>
        </w:rPr>
        <w:lastRenderedPageBreak/>
        <w:t>disengagements in the 1960s. Underpinning the re-framing of armed struggle was its presentation as something to be traded in for political objectives, which is in stark contrast to typical cases of tactical disengagement</w:t>
      </w:r>
      <w:r w:rsidR="00B56FDB">
        <w:rPr>
          <w:rFonts w:ascii="Times New Roman" w:hAnsi="Times New Roman" w:cs="Times New Roman"/>
        </w:rPr>
        <w:t>,</w:t>
      </w:r>
      <w:r w:rsidR="00DE4D2F">
        <w:rPr>
          <w:rFonts w:ascii="Times New Roman" w:hAnsi="Times New Roman" w:cs="Times New Roman"/>
        </w:rPr>
        <w:t xml:space="preserve"> which is driven by a lack of opportunities.</w:t>
      </w:r>
      <w:r w:rsidR="00300096">
        <w:rPr>
          <w:rFonts w:ascii="Times New Roman" w:hAnsi="Times New Roman" w:cs="Times New Roman"/>
        </w:rPr>
        <w:t xml:space="preserve"> Also, as will be explored before, there </w:t>
      </w:r>
      <w:r w:rsidR="00B56FDB">
        <w:rPr>
          <w:rFonts w:ascii="Times New Roman" w:hAnsi="Times New Roman" w:cs="Times New Roman"/>
        </w:rPr>
        <w:t>were</w:t>
      </w:r>
      <w:r w:rsidR="00300096">
        <w:rPr>
          <w:rFonts w:ascii="Times New Roman" w:hAnsi="Times New Roman" w:cs="Times New Roman"/>
        </w:rPr>
        <w:t xml:space="preserve"> a growing number of Provisional IRA and Sinn Fein members who recognised the limitations of armed struggle in the long-term.</w:t>
      </w:r>
      <w:r w:rsidR="00300096">
        <w:rPr>
          <w:rStyle w:val="FootnoteReference"/>
          <w:rFonts w:ascii="Times New Roman" w:hAnsi="Times New Roman" w:cs="Times New Roman"/>
        </w:rPr>
        <w:footnoteReference w:id="341"/>
      </w:r>
      <w:r w:rsidR="004B7D34">
        <w:rPr>
          <w:rFonts w:ascii="Times New Roman" w:hAnsi="Times New Roman" w:cs="Times New Roman"/>
        </w:rPr>
        <w:t xml:space="preserve"> </w:t>
      </w:r>
      <w:r w:rsidR="00300096">
        <w:rPr>
          <w:rFonts w:ascii="Times New Roman" w:hAnsi="Times New Roman" w:cs="Times New Roman"/>
        </w:rPr>
        <w:t>While, t</w:t>
      </w:r>
      <w:r w:rsidR="004B7D34">
        <w:rPr>
          <w:rFonts w:ascii="Times New Roman" w:hAnsi="Times New Roman" w:cs="Times New Roman"/>
        </w:rPr>
        <w:t>he IRA in the 1960s marginalised armed struggle because it was not tactically efficacious in the given period, they were not using disengagement as a bargaining chip like the Provisional IRA</w:t>
      </w:r>
      <w:r w:rsidR="00300096">
        <w:rPr>
          <w:rFonts w:ascii="Times New Roman" w:hAnsi="Times New Roman" w:cs="Times New Roman"/>
        </w:rPr>
        <w:t xml:space="preserve"> in the 1990s, and unlike 1975, there was no substantial drive to re-engage in armed struggle</w:t>
      </w:r>
      <w:r w:rsidR="004B7D34">
        <w:rPr>
          <w:rFonts w:ascii="Times New Roman" w:hAnsi="Times New Roman" w:cs="Times New Roman"/>
        </w:rPr>
        <w:t>.</w:t>
      </w:r>
      <w:r w:rsidR="00DE4D2F">
        <w:rPr>
          <w:rFonts w:ascii="Times New Roman" w:hAnsi="Times New Roman" w:cs="Times New Roman"/>
        </w:rPr>
        <w:t xml:space="preserve"> Therefore, while the Provisional IRA’s disengagement may appear tactical,</w:t>
      </w:r>
      <w:r w:rsidR="004B7D34">
        <w:rPr>
          <w:rFonts w:ascii="Times New Roman" w:hAnsi="Times New Roman" w:cs="Times New Roman"/>
        </w:rPr>
        <w:t xml:space="preserve"> there is a clear difference from other types of tactical disengagement, as</w:t>
      </w:r>
      <w:r w:rsidR="00DE4D2F">
        <w:rPr>
          <w:rFonts w:ascii="Times New Roman" w:hAnsi="Times New Roman" w:cs="Times New Roman"/>
        </w:rPr>
        <w:t xml:space="preserve"> its arguments in effect de-legitimised the use of violence if certain conditions were met – and these were negotiations. </w:t>
      </w:r>
    </w:p>
    <w:p w14:paraId="30C0CCCF" w14:textId="6A297EB3" w:rsidR="004B7D34" w:rsidRDefault="00DE4D2F" w:rsidP="00B57C7F">
      <w:pPr>
        <w:spacing w:line="360" w:lineRule="auto"/>
        <w:ind w:firstLine="720"/>
        <w:jc w:val="both"/>
        <w:rPr>
          <w:rFonts w:ascii="Times New Roman" w:hAnsi="Times New Roman" w:cs="Times New Roman"/>
        </w:rPr>
      </w:pPr>
      <w:r>
        <w:rPr>
          <w:rFonts w:ascii="Times New Roman" w:hAnsi="Times New Roman" w:cs="Times New Roman"/>
        </w:rPr>
        <w:t>Of course, the Tactical Use of Armed Struggle (TUAS) reinforced the perception that there was no genuine attitudinal change, but TUAS was subordinated to the disengagement frame and it did not contradict the inherent de-legitimisation of armed struggle that was built in</w:t>
      </w:r>
      <w:r w:rsidR="004B7D34">
        <w:rPr>
          <w:rFonts w:ascii="Times New Roman" w:hAnsi="Times New Roman" w:cs="Times New Roman"/>
        </w:rPr>
        <w:t xml:space="preserve"> to the frame. TUAS comforted some members and helped to bring them along on the process</w:t>
      </w:r>
      <w:r w:rsidR="00B1546E">
        <w:rPr>
          <w:rFonts w:ascii="Times New Roman" w:hAnsi="Times New Roman" w:cs="Times New Roman"/>
        </w:rPr>
        <w:t>,</w:t>
      </w:r>
      <w:r w:rsidR="004B7D34">
        <w:rPr>
          <w:rStyle w:val="FootnoteReference"/>
          <w:rFonts w:ascii="Times New Roman" w:hAnsi="Times New Roman" w:cs="Times New Roman"/>
        </w:rPr>
        <w:footnoteReference w:id="342"/>
      </w:r>
      <w:r w:rsidR="004B7D34">
        <w:rPr>
          <w:rFonts w:ascii="Times New Roman" w:hAnsi="Times New Roman" w:cs="Times New Roman"/>
        </w:rPr>
        <w:t xml:space="preserve"> but it was part of a broader disengagement frame which was driven by the logic of ending armed struggle.</w:t>
      </w:r>
      <w:r w:rsidR="00DE732D">
        <w:rPr>
          <w:rFonts w:ascii="Times New Roman" w:hAnsi="Times New Roman" w:cs="Times New Roman"/>
        </w:rPr>
        <w:t xml:space="preserve"> Therefore, in order to win the argument for the disengagement frame, </w:t>
      </w:r>
      <w:r w:rsidR="00300096">
        <w:rPr>
          <w:rFonts w:ascii="Times New Roman" w:hAnsi="Times New Roman" w:cs="Times New Roman"/>
        </w:rPr>
        <w:t xml:space="preserve">key </w:t>
      </w:r>
      <w:r w:rsidR="00DE732D">
        <w:rPr>
          <w:rFonts w:ascii="Times New Roman" w:hAnsi="Times New Roman" w:cs="Times New Roman"/>
        </w:rPr>
        <w:t>Provisional IRA members would need to discredit and de-legitimise violence</w:t>
      </w:r>
      <w:r w:rsidR="00300096">
        <w:rPr>
          <w:rFonts w:ascii="Times New Roman" w:hAnsi="Times New Roman" w:cs="Times New Roman"/>
        </w:rPr>
        <w:t xml:space="preserve"> later on, which occurred from 1998 onwards</w:t>
      </w:r>
      <w:r w:rsidR="00DE732D">
        <w:rPr>
          <w:rFonts w:ascii="Times New Roman" w:hAnsi="Times New Roman" w:cs="Times New Roman"/>
        </w:rPr>
        <w:t>. While de-legitimisation may not take the form of moral arguments (at least not in the early stages of the process</w:t>
      </w:r>
      <w:r w:rsidR="00300096">
        <w:rPr>
          <w:rFonts w:ascii="Times New Roman" w:hAnsi="Times New Roman" w:cs="Times New Roman"/>
        </w:rPr>
        <w:t xml:space="preserve"> focused on in this chapter</w:t>
      </w:r>
      <w:r w:rsidR="00DE732D">
        <w:rPr>
          <w:rFonts w:ascii="Times New Roman" w:hAnsi="Times New Roman" w:cs="Times New Roman"/>
        </w:rPr>
        <w:t xml:space="preserve">), the continued use of armed struggle independent of a strategy toward disengagement would be portrayed as irrational and driven by greed and personal gain. </w:t>
      </w:r>
      <w:r w:rsidR="00DE2664">
        <w:rPr>
          <w:rFonts w:ascii="Times New Roman" w:hAnsi="Times New Roman" w:cs="Times New Roman"/>
        </w:rPr>
        <w:t>Rather than reflecting a lack of genuine commitment to ending violence, the tactical disengagement frame in the early stages of the process was an attempt to ensure the disengagement process resonated with as many members as possible, as the movement was still divided.</w:t>
      </w:r>
      <w:r w:rsidR="00DE732D">
        <w:rPr>
          <w:rFonts w:ascii="Times New Roman" w:hAnsi="Times New Roman" w:cs="Times New Roman"/>
        </w:rPr>
        <w:t xml:space="preserve"> </w:t>
      </w:r>
      <w:r w:rsidR="004B7D34">
        <w:rPr>
          <w:rFonts w:ascii="Times New Roman" w:hAnsi="Times New Roman" w:cs="Times New Roman"/>
        </w:rPr>
        <w:t xml:space="preserve">   </w:t>
      </w:r>
      <w:r w:rsidR="00C55726">
        <w:rPr>
          <w:rFonts w:ascii="Times New Roman" w:hAnsi="Times New Roman" w:cs="Times New Roman"/>
        </w:rPr>
        <w:t xml:space="preserve"> </w:t>
      </w:r>
    </w:p>
    <w:p w14:paraId="6F7DE442" w14:textId="56CA2D24" w:rsidR="0047614A" w:rsidRDefault="00DE4D2F" w:rsidP="00B57C7F">
      <w:pPr>
        <w:spacing w:line="360" w:lineRule="auto"/>
        <w:ind w:firstLine="720"/>
        <w:jc w:val="both"/>
        <w:rPr>
          <w:rFonts w:ascii="Times New Roman" w:hAnsi="Times New Roman" w:cs="Times New Roman"/>
        </w:rPr>
      </w:pPr>
      <w:r>
        <w:rPr>
          <w:rFonts w:ascii="Times New Roman" w:hAnsi="Times New Roman" w:cs="Times New Roman"/>
        </w:rPr>
        <w:t>From 1998 onwards, t</w:t>
      </w:r>
      <w:r w:rsidR="005C22AF">
        <w:rPr>
          <w:rFonts w:ascii="Times New Roman" w:hAnsi="Times New Roman" w:cs="Times New Roman"/>
        </w:rPr>
        <w:t xml:space="preserve">he Provisional IRA’s disengagement frame took on a sharp conditional de-radicalisation component, with its de-legitimisation of present </w:t>
      </w:r>
      <w:r w:rsidR="005C22AF">
        <w:rPr>
          <w:rFonts w:ascii="Times New Roman" w:hAnsi="Times New Roman" w:cs="Times New Roman"/>
        </w:rPr>
        <w:lastRenderedPageBreak/>
        <w:t>violence being one side of a coin to the legitimisation of past violence. While the construction of the frame in s</w:t>
      </w:r>
      <w:r w:rsidR="007139ED">
        <w:rPr>
          <w:rFonts w:ascii="Times New Roman" w:hAnsi="Times New Roman" w:cs="Times New Roman"/>
        </w:rPr>
        <w:t>uch a manner was not inevitable:</w:t>
      </w:r>
      <w:r w:rsidR="005C22AF">
        <w:rPr>
          <w:rFonts w:ascii="Times New Roman" w:hAnsi="Times New Roman" w:cs="Times New Roman"/>
        </w:rPr>
        <w:t xml:space="preserve"> the shape of the Pr</w:t>
      </w:r>
      <w:r w:rsidR="006855DE">
        <w:rPr>
          <w:rFonts w:ascii="Times New Roman" w:hAnsi="Times New Roman" w:cs="Times New Roman"/>
        </w:rPr>
        <w:t xml:space="preserve">ovisional IRA organisationally and </w:t>
      </w:r>
      <w:r w:rsidR="005C22AF">
        <w:rPr>
          <w:rFonts w:ascii="Times New Roman" w:hAnsi="Times New Roman" w:cs="Times New Roman"/>
        </w:rPr>
        <w:t xml:space="preserve">ideologically and the strong desire to avoid a split had incentivised this type of frame being constructed. </w:t>
      </w:r>
      <w:r w:rsidR="0047614A">
        <w:rPr>
          <w:rFonts w:ascii="Times New Roman" w:hAnsi="Times New Roman" w:cs="Times New Roman"/>
        </w:rPr>
        <w:t>Armed struggle has been a core part of the Provisional IRA’s mobilising frame, therefore the first aspect of the disengagement frame was to marginalise its role and subordinate it to Republican principles. Therefore a form of frame amplification occurred – a process by which the movement emphasis</w:t>
      </w:r>
      <w:r w:rsidR="007139ED">
        <w:rPr>
          <w:rFonts w:ascii="Times New Roman" w:hAnsi="Times New Roman" w:cs="Times New Roman"/>
        </w:rPr>
        <w:t>es</w:t>
      </w:r>
      <w:r w:rsidR="0047614A">
        <w:rPr>
          <w:rFonts w:ascii="Times New Roman" w:hAnsi="Times New Roman" w:cs="Times New Roman"/>
        </w:rPr>
        <w:t xml:space="preserve"> one aspect of a pre-existing frame in order to mobilise support – and in the context of a disengagement frame, </w:t>
      </w:r>
      <w:r w:rsidR="00B34017">
        <w:rPr>
          <w:rFonts w:ascii="Times New Roman" w:hAnsi="Times New Roman" w:cs="Times New Roman"/>
        </w:rPr>
        <w:t>this involved elevating aspects of the frame to disconnect them from armed struggle. The Provisional IRA and Sinn Fein’s abandonment of abstentionism</w:t>
      </w:r>
      <w:r w:rsidR="0010280C">
        <w:rPr>
          <w:rStyle w:val="FootnoteReference"/>
          <w:rFonts w:ascii="Times New Roman" w:hAnsi="Times New Roman" w:cs="Times New Roman"/>
        </w:rPr>
        <w:footnoteReference w:id="343"/>
      </w:r>
      <w:r w:rsidR="00B34017">
        <w:rPr>
          <w:rFonts w:ascii="Times New Roman" w:hAnsi="Times New Roman" w:cs="Times New Roman"/>
        </w:rPr>
        <w:t xml:space="preserve"> provided them with a dry-run of this process:</w:t>
      </w:r>
      <w:r w:rsidR="0047614A">
        <w:rPr>
          <w:rFonts w:ascii="Times New Roman" w:hAnsi="Times New Roman" w:cs="Times New Roman"/>
        </w:rPr>
        <w:t xml:space="preserve"> </w:t>
      </w:r>
    </w:p>
    <w:p w14:paraId="4BAAA79F" w14:textId="77777777" w:rsidR="008C6F53" w:rsidRDefault="0047614A" w:rsidP="00B57C7F">
      <w:pPr>
        <w:spacing w:line="360" w:lineRule="auto"/>
        <w:ind w:firstLine="720"/>
        <w:jc w:val="both"/>
        <w:rPr>
          <w:rFonts w:ascii="Times New Roman" w:hAnsi="Times New Roman" w:cs="Times New Roman"/>
        </w:rPr>
      </w:pPr>
      <w:r>
        <w:rPr>
          <w:rFonts w:ascii="Times New Roman" w:hAnsi="Times New Roman" w:cs="Times New Roman"/>
        </w:rPr>
        <w:t xml:space="preserve">  </w:t>
      </w:r>
    </w:p>
    <w:p w14:paraId="6CED4B1C" w14:textId="77777777" w:rsidR="008C6F53" w:rsidRPr="008C6F53" w:rsidRDefault="008C6F53" w:rsidP="00B57C7F">
      <w:pPr>
        <w:spacing w:line="360" w:lineRule="auto"/>
        <w:ind w:left="567" w:right="567"/>
        <w:jc w:val="both"/>
        <w:rPr>
          <w:rFonts w:ascii="Times New Roman" w:eastAsia="Times New Roman" w:hAnsi="Times New Roman" w:cs="Times New Roman"/>
          <w:i/>
          <w:iCs/>
          <w:lang w:bidi="hi-IN"/>
        </w:rPr>
      </w:pPr>
      <w:r w:rsidRPr="008C6F53">
        <w:rPr>
          <w:rFonts w:ascii="Times New Roman" w:eastAsia="Times New Roman" w:hAnsi="Times New Roman" w:cs="Times New Roman"/>
          <w:i/>
          <w:iCs/>
          <w:color w:val="000000"/>
          <w:lang w:bidi="hi-IN"/>
        </w:rPr>
        <w:t>People mistake strategies for principles and that’s wrong. Abstentionism was a strategy, a tactic, and one day it wasn’t working too good so what do you do with a strategy that isn’t working, you change it….be pragmatic, that is the only way you are going to be successful…</w:t>
      </w:r>
      <w:r w:rsidR="00B34017">
        <w:rPr>
          <w:rStyle w:val="FootnoteReference"/>
          <w:rFonts w:ascii="Times New Roman" w:eastAsia="Times New Roman" w:hAnsi="Times New Roman" w:cs="Times New Roman"/>
          <w:i/>
          <w:iCs/>
          <w:color w:val="000000"/>
          <w:lang w:bidi="hi-IN"/>
        </w:rPr>
        <w:footnoteReference w:id="344"/>
      </w:r>
    </w:p>
    <w:p w14:paraId="666774E5" w14:textId="77777777" w:rsidR="008C6F53" w:rsidRDefault="008C6F53" w:rsidP="00B57C7F">
      <w:pPr>
        <w:spacing w:line="360" w:lineRule="auto"/>
        <w:jc w:val="both"/>
        <w:rPr>
          <w:rFonts w:ascii="Times New Roman" w:hAnsi="Times New Roman" w:cs="Times New Roman"/>
        </w:rPr>
      </w:pPr>
    </w:p>
    <w:p w14:paraId="29FC5B9F" w14:textId="77777777" w:rsidR="00B34017" w:rsidRDefault="00B34017" w:rsidP="00B57C7F">
      <w:pPr>
        <w:spacing w:line="360" w:lineRule="auto"/>
        <w:jc w:val="both"/>
        <w:rPr>
          <w:rFonts w:ascii="Times New Roman" w:hAnsi="Times New Roman" w:cs="Times New Roman"/>
        </w:rPr>
      </w:pPr>
      <w:r>
        <w:rPr>
          <w:rFonts w:ascii="Times New Roman" w:hAnsi="Times New Roman" w:cs="Times New Roman"/>
        </w:rPr>
        <w:tab/>
        <w:t>Having set the precedent for putting ‘the objectives’ ahead of the tactic of abstentionism, the same logic cou</w:t>
      </w:r>
      <w:r w:rsidR="002B3EE2">
        <w:rPr>
          <w:rFonts w:ascii="Times New Roman" w:hAnsi="Times New Roman" w:cs="Times New Roman"/>
        </w:rPr>
        <w:t>ld be applied to armed struggle, and in doing so it has to compete with other tactics:</w:t>
      </w:r>
    </w:p>
    <w:p w14:paraId="5153A1DA" w14:textId="77777777" w:rsidR="002C43AE" w:rsidRDefault="002C43AE" w:rsidP="00B57C7F">
      <w:pPr>
        <w:spacing w:line="360" w:lineRule="auto"/>
        <w:jc w:val="both"/>
        <w:rPr>
          <w:rFonts w:ascii="Times New Roman" w:hAnsi="Times New Roman" w:cs="Times New Roman"/>
        </w:rPr>
      </w:pPr>
    </w:p>
    <w:p w14:paraId="1074FFCA" w14:textId="77777777" w:rsidR="002B3EE2" w:rsidRDefault="002B3EE2" w:rsidP="00B57C7F">
      <w:pPr>
        <w:spacing w:line="360" w:lineRule="auto"/>
        <w:ind w:left="567" w:right="567"/>
        <w:jc w:val="both"/>
        <w:rPr>
          <w:rFonts w:ascii="Times New Roman" w:hAnsi="Times New Roman" w:cs="Times New Roman"/>
          <w:i/>
          <w:iCs/>
          <w:color w:val="000000"/>
        </w:rPr>
      </w:pPr>
      <w:r w:rsidRPr="002C43AE">
        <w:rPr>
          <w:rFonts w:ascii="Times New Roman" w:hAnsi="Times New Roman" w:cs="Times New Roman"/>
          <w:i/>
          <w:iCs/>
          <w:color w:val="000000"/>
        </w:rPr>
        <w:t xml:space="preserve">On the back of the Hunger Strikes and elections there was potential for opening the floodgates for Sinn Fein becoming a ‘viable political party’; the armalite and ballot box was </w:t>
      </w:r>
      <w:r w:rsidR="0010280C">
        <w:rPr>
          <w:rFonts w:ascii="Times New Roman" w:hAnsi="Times New Roman" w:cs="Times New Roman"/>
          <w:i/>
          <w:iCs/>
          <w:color w:val="000000"/>
        </w:rPr>
        <w:t xml:space="preserve">a </w:t>
      </w:r>
      <w:r w:rsidRPr="002C43AE">
        <w:rPr>
          <w:rFonts w:ascii="Times New Roman" w:hAnsi="Times New Roman" w:cs="Times New Roman"/>
          <w:i/>
          <w:iCs/>
          <w:color w:val="000000"/>
        </w:rPr>
        <w:t>good strategy but we knew that would have to end</w:t>
      </w:r>
      <w:r w:rsidR="002C43AE" w:rsidRPr="002C43AE">
        <w:rPr>
          <w:rStyle w:val="FootnoteReference"/>
          <w:rFonts w:ascii="Times New Roman" w:hAnsi="Times New Roman" w:cs="Times New Roman"/>
          <w:i/>
          <w:iCs/>
          <w:color w:val="000000"/>
        </w:rPr>
        <w:footnoteReference w:id="345"/>
      </w:r>
    </w:p>
    <w:p w14:paraId="7385A8D1" w14:textId="77777777" w:rsidR="002C43AE" w:rsidRPr="002C43AE" w:rsidRDefault="002C43AE" w:rsidP="00B57C7F">
      <w:pPr>
        <w:spacing w:line="360" w:lineRule="auto"/>
        <w:ind w:left="567" w:right="567"/>
        <w:jc w:val="both"/>
        <w:rPr>
          <w:rFonts w:ascii="Times New Roman" w:hAnsi="Times New Roman" w:cs="Times New Roman"/>
          <w:i/>
          <w:iCs/>
        </w:rPr>
      </w:pPr>
    </w:p>
    <w:p w14:paraId="69AA6238" w14:textId="77777777" w:rsidR="002B3EE2" w:rsidRDefault="002B3EE2" w:rsidP="00B57C7F">
      <w:pPr>
        <w:spacing w:line="360" w:lineRule="auto"/>
        <w:jc w:val="both"/>
        <w:rPr>
          <w:rFonts w:ascii="Times New Roman" w:hAnsi="Times New Roman" w:cs="Times New Roman"/>
        </w:rPr>
      </w:pPr>
      <w:r>
        <w:rPr>
          <w:rFonts w:ascii="Times New Roman" w:hAnsi="Times New Roman" w:cs="Times New Roman"/>
        </w:rPr>
        <w:tab/>
      </w:r>
      <w:r w:rsidR="002F4F63">
        <w:rPr>
          <w:rFonts w:ascii="Times New Roman" w:hAnsi="Times New Roman" w:cs="Times New Roman"/>
        </w:rPr>
        <w:t>As armed struggle is recognised as a tactic which varies in its utility from one context to another, the disengagement frame then needs to identify what this context is in a way that can be reconciled with the objectives. As partition and the British influence still remained</w:t>
      </w:r>
      <w:r w:rsidR="006855DE">
        <w:rPr>
          <w:rFonts w:ascii="Times New Roman" w:hAnsi="Times New Roman" w:cs="Times New Roman"/>
        </w:rPr>
        <w:t xml:space="preserve"> in Ireland</w:t>
      </w:r>
      <w:r w:rsidR="002F4F63">
        <w:rPr>
          <w:rFonts w:ascii="Times New Roman" w:hAnsi="Times New Roman" w:cs="Times New Roman"/>
        </w:rPr>
        <w:t xml:space="preserve">, a coherent disengagement frame required another set of </w:t>
      </w:r>
      <w:r w:rsidR="00B156D0">
        <w:rPr>
          <w:rFonts w:ascii="Times New Roman" w:hAnsi="Times New Roman" w:cs="Times New Roman"/>
        </w:rPr>
        <w:t>conditions</w:t>
      </w:r>
      <w:r w:rsidR="002F4F63">
        <w:rPr>
          <w:rFonts w:ascii="Times New Roman" w:hAnsi="Times New Roman" w:cs="Times New Roman"/>
        </w:rPr>
        <w:t xml:space="preserve"> to judge the armed struggle against whilst maintaining mobilisation or avoiding admitting defeat. Thus, the Provisional IRA’s disengagement frame constructs two sets of conditions: in one, armed violence is</w:t>
      </w:r>
      <w:r w:rsidR="0010280C">
        <w:rPr>
          <w:rFonts w:ascii="Times New Roman" w:hAnsi="Times New Roman" w:cs="Times New Roman"/>
        </w:rPr>
        <w:t xml:space="preserve"> an</w:t>
      </w:r>
      <w:r w:rsidR="002F4F63">
        <w:rPr>
          <w:rFonts w:ascii="Times New Roman" w:hAnsi="Times New Roman" w:cs="Times New Roman"/>
        </w:rPr>
        <w:t xml:space="preserve"> inevitable, just and moral</w:t>
      </w:r>
      <w:r w:rsidR="0010280C">
        <w:rPr>
          <w:rFonts w:ascii="Times New Roman" w:hAnsi="Times New Roman" w:cs="Times New Roman"/>
        </w:rPr>
        <w:t xml:space="preserve"> response to conditions</w:t>
      </w:r>
      <w:r w:rsidR="0008727F">
        <w:rPr>
          <w:rFonts w:ascii="Times New Roman" w:hAnsi="Times New Roman" w:cs="Times New Roman"/>
        </w:rPr>
        <w:t xml:space="preserve"> (specifically the conditions of the 1960s)</w:t>
      </w:r>
      <w:r w:rsidR="002F4F63">
        <w:rPr>
          <w:rFonts w:ascii="Times New Roman" w:hAnsi="Times New Roman" w:cs="Times New Roman"/>
        </w:rPr>
        <w:t xml:space="preserve">; in the second, the Provisional IRA’s successful use of the political route makes armed violence irrational </w:t>
      </w:r>
      <w:r w:rsidR="00B156D0">
        <w:rPr>
          <w:rFonts w:ascii="Times New Roman" w:hAnsi="Times New Roman" w:cs="Times New Roman"/>
        </w:rPr>
        <w:t>and illegitimate. In terms of the past conditions, the following quote represents how frame amplification has been used to link the use of armed struggle to conditions:</w:t>
      </w:r>
    </w:p>
    <w:p w14:paraId="4886E7C5" w14:textId="77777777" w:rsidR="00B156D0" w:rsidRDefault="00B156D0" w:rsidP="00B57C7F">
      <w:pPr>
        <w:spacing w:line="360" w:lineRule="auto"/>
        <w:jc w:val="both"/>
        <w:rPr>
          <w:color w:val="000000"/>
          <w:sz w:val="23"/>
          <w:szCs w:val="23"/>
        </w:rPr>
      </w:pPr>
    </w:p>
    <w:p w14:paraId="7A7639D8" w14:textId="27570CD6" w:rsidR="006B623D" w:rsidRPr="006E1C06" w:rsidRDefault="006B623D" w:rsidP="00B57C7F">
      <w:pPr>
        <w:spacing w:line="360" w:lineRule="auto"/>
        <w:ind w:left="567" w:right="567"/>
        <w:jc w:val="both"/>
        <w:rPr>
          <w:rFonts w:ascii="Times New Roman" w:hAnsi="Times New Roman" w:cs="Times New Roman"/>
          <w:i/>
          <w:iCs/>
          <w:color w:val="000000"/>
        </w:rPr>
      </w:pPr>
      <w:r w:rsidRPr="006E1C06">
        <w:rPr>
          <w:rFonts w:ascii="Times New Roman" w:hAnsi="Times New Roman" w:cs="Times New Roman"/>
          <w:i/>
          <w:iCs/>
          <w:color w:val="000000"/>
        </w:rPr>
        <w:t>The thing young people throw back at you is ‘you done it, you fought the Brits and you did this and you did that’. And I say, ‘yep, in them circumstances, where I was growing up, the influences, the politics of the day and all of that stuff, that all influenced me to respond in a certain way’. The next big question is, ‘would you go back to it?’ ‘If I lived in the circumstances then, I would go back to it because it is justified, because nobody has the right to treat me or my family like a second-class cit</w:t>
      </w:r>
      <w:r w:rsidR="006E1C06" w:rsidRPr="006E1C06">
        <w:rPr>
          <w:rFonts w:ascii="Times New Roman" w:hAnsi="Times New Roman" w:cs="Times New Roman"/>
          <w:i/>
          <w:iCs/>
          <w:color w:val="000000"/>
        </w:rPr>
        <w:t>izen’…</w:t>
      </w:r>
      <w:r w:rsidRPr="006E1C06">
        <w:rPr>
          <w:rFonts w:ascii="Times New Roman" w:hAnsi="Times New Roman" w:cs="Times New Roman"/>
          <w:i/>
          <w:iCs/>
          <w:color w:val="000000"/>
        </w:rPr>
        <w:t>nobody has</w:t>
      </w:r>
      <w:r w:rsidR="006E1C06" w:rsidRPr="006E1C06">
        <w:rPr>
          <w:rFonts w:ascii="Times New Roman" w:hAnsi="Times New Roman" w:cs="Times New Roman"/>
          <w:i/>
          <w:iCs/>
          <w:color w:val="000000"/>
        </w:rPr>
        <w:t xml:space="preserve"> a</w:t>
      </w:r>
      <w:r w:rsidRPr="006E1C06">
        <w:rPr>
          <w:rFonts w:ascii="Times New Roman" w:hAnsi="Times New Roman" w:cs="Times New Roman"/>
          <w:i/>
          <w:iCs/>
          <w:color w:val="000000"/>
        </w:rPr>
        <w:t xml:space="preserve"> right to deny me a job or treat me like dirt like the Orange Order or the Unionists did, and nobody again will, because what we’ve done is stop that, we have cut that off. Didn’t achieve a united Ireland. Still not going to stop trying to achieve that, but it stopped that happening again….we have created a level playing field to talk...</w:t>
      </w:r>
      <w:r w:rsidR="006E1C06">
        <w:rPr>
          <w:rStyle w:val="FootnoteReference"/>
          <w:rFonts w:ascii="Times New Roman" w:hAnsi="Times New Roman" w:cs="Times New Roman"/>
          <w:i/>
          <w:iCs/>
          <w:color w:val="000000"/>
        </w:rPr>
        <w:footnoteReference w:id="346"/>
      </w:r>
    </w:p>
    <w:p w14:paraId="24960609" w14:textId="77777777" w:rsidR="006E1C06" w:rsidRDefault="006E1C06" w:rsidP="00B57C7F">
      <w:pPr>
        <w:spacing w:line="360" w:lineRule="auto"/>
        <w:jc w:val="both"/>
        <w:rPr>
          <w:color w:val="000000"/>
          <w:sz w:val="23"/>
          <w:szCs w:val="23"/>
        </w:rPr>
      </w:pPr>
    </w:p>
    <w:p w14:paraId="2A7256C5" w14:textId="62CEDB82" w:rsidR="006B623D" w:rsidRDefault="006E1C06" w:rsidP="00B57C7F">
      <w:pPr>
        <w:spacing w:line="360" w:lineRule="auto"/>
        <w:jc w:val="both"/>
        <w:rPr>
          <w:rFonts w:ascii="Times New Roman" w:hAnsi="Times New Roman" w:cs="Times New Roman"/>
          <w:color w:val="000000"/>
        </w:rPr>
      </w:pPr>
      <w:r>
        <w:rPr>
          <w:color w:val="000000"/>
          <w:sz w:val="23"/>
          <w:szCs w:val="23"/>
        </w:rPr>
        <w:tab/>
      </w:r>
      <w:r w:rsidRPr="006E1C06">
        <w:rPr>
          <w:rFonts w:ascii="Times New Roman" w:hAnsi="Times New Roman" w:cs="Times New Roman"/>
          <w:color w:val="000000"/>
        </w:rPr>
        <w:t xml:space="preserve">The extent to which the Provisional IRA’s disengagement can be attributed to </w:t>
      </w:r>
      <w:r>
        <w:rPr>
          <w:rFonts w:ascii="Times New Roman" w:hAnsi="Times New Roman" w:cs="Times New Roman"/>
          <w:color w:val="000000"/>
        </w:rPr>
        <w:t xml:space="preserve">these changes can be contested – considering many of the reforms to Northern </w:t>
      </w:r>
      <w:r>
        <w:rPr>
          <w:rFonts w:ascii="Times New Roman" w:hAnsi="Times New Roman" w:cs="Times New Roman"/>
          <w:color w:val="000000"/>
        </w:rPr>
        <w:lastRenderedPageBreak/>
        <w:t>Ireland occurred prior to 1994 – but it has been re-framed in order to legitimise disengagement. While there is a disagreement on the extent that these conditions determine behaviour or what the role of agency is</w:t>
      </w:r>
      <w:r w:rsidR="00B1546E">
        <w:rPr>
          <w:rFonts w:ascii="Times New Roman" w:hAnsi="Times New Roman" w:cs="Times New Roman"/>
          <w:color w:val="000000"/>
        </w:rPr>
        <w:t>,</w:t>
      </w:r>
      <w:r>
        <w:rPr>
          <w:rStyle w:val="FootnoteReference"/>
          <w:rFonts w:ascii="Times New Roman" w:hAnsi="Times New Roman" w:cs="Times New Roman"/>
          <w:color w:val="000000"/>
        </w:rPr>
        <w:footnoteReference w:id="347"/>
      </w:r>
      <w:r>
        <w:rPr>
          <w:rFonts w:ascii="Times New Roman" w:hAnsi="Times New Roman" w:cs="Times New Roman"/>
          <w:color w:val="000000"/>
        </w:rPr>
        <w:t xml:space="preserve"> </w:t>
      </w:r>
      <w:r w:rsidR="004F0056">
        <w:rPr>
          <w:rFonts w:ascii="Times New Roman" w:hAnsi="Times New Roman" w:cs="Times New Roman"/>
          <w:color w:val="000000"/>
        </w:rPr>
        <w:t>the disengagement frame is based on the contrast of these two conditions</w:t>
      </w:r>
      <w:r w:rsidR="0008727F">
        <w:rPr>
          <w:rFonts w:ascii="Times New Roman" w:hAnsi="Times New Roman" w:cs="Times New Roman"/>
          <w:color w:val="000000"/>
        </w:rPr>
        <w:t>: the repressive, discriminatory treatment of Catholics in the 1960s; and equality in the 2000s</w:t>
      </w:r>
      <w:r w:rsidR="007139ED">
        <w:rPr>
          <w:rFonts w:ascii="Times New Roman" w:hAnsi="Times New Roman" w:cs="Times New Roman"/>
          <w:color w:val="000000"/>
        </w:rPr>
        <w:t>.</w:t>
      </w:r>
      <w:r w:rsidR="0008727F">
        <w:rPr>
          <w:rFonts w:ascii="Times New Roman" w:hAnsi="Times New Roman" w:cs="Times New Roman"/>
          <w:color w:val="000000"/>
        </w:rPr>
        <w:t xml:space="preserve"> Once again, this aspect of disengagement emerged in the 2000s but it is rooted in the first stage in the 1990s. </w:t>
      </w:r>
      <w:r w:rsidR="004F0056">
        <w:rPr>
          <w:rFonts w:ascii="Times New Roman" w:hAnsi="Times New Roman" w:cs="Times New Roman"/>
          <w:color w:val="000000"/>
        </w:rPr>
        <w:t xml:space="preserve">Thus, while the concept of de-radicalisation </w:t>
      </w:r>
      <w:r w:rsidR="006855DE">
        <w:rPr>
          <w:rFonts w:ascii="Times New Roman" w:hAnsi="Times New Roman" w:cs="Times New Roman"/>
          <w:color w:val="000000"/>
        </w:rPr>
        <w:t xml:space="preserve">as used in the literature </w:t>
      </w:r>
      <w:r w:rsidR="004F0056">
        <w:rPr>
          <w:rFonts w:ascii="Times New Roman" w:hAnsi="Times New Roman" w:cs="Times New Roman"/>
          <w:color w:val="000000"/>
        </w:rPr>
        <w:t>would expect the de-legitimisation of all violence, the Provisional IRA’s frame builds on the legitimacy of past violence to de-legitimise current violence, which can manifest in the following types of arguments</w:t>
      </w:r>
      <w:r w:rsidR="00891745">
        <w:rPr>
          <w:rFonts w:ascii="Times New Roman" w:hAnsi="Times New Roman" w:cs="Times New Roman"/>
          <w:color w:val="000000"/>
        </w:rPr>
        <w:t>, in no particular order</w:t>
      </w:r>
      <w:r w:rsidR="004F0056">
        <w:rPr>
          <w:rFonts w:ascii="Times New Roman" w:hAnsi="Times New Roman" w:cs="Times New Roman"/>
          <w:color w:val="000000"/>
        </w:rPr>
        <w:t xml:space="preserve">: </w:t>
      </w:r>
      <w:r w:rsidRPr="006E1C06">
        <w:rPr>
          <w:rFonts w:ascii="Times New Roman" w:hAnsi="Times New Roman" w:cs="Times New Roman"/>
          <w:color w:val="000000"/>
        </w:rPr>
        <w:tab/>
      </w:r>
    </w:p>
    <w:p w14:paraId="7F7792B0" w14:textId="77777777" w:rsidR="00891745" w:rsidRPr="006E1C06" w:rsidRDefault="00891745" w:rsidP="00B57C7F">
      <w:pPr>
        <w:spacing w:line="360" w:lineRule="auto"/>
        <w:jc w:val="both"/>
        <w:rPr>
          <w:rFonts w:ascii="Times New Roman" w:hAnsi="Times New Roman" w:cs="Times New Roman"/>
          <w:color w:val="000000"/>
        </w:rPr>
      </w:pPr>
    </w:p>
    <w:p w14:paraId="294362F3" w14:textId="77777777" w:rsidR="00891745" w:rsidRPr="001C2F2F" w:rsidRDefault="001C2F2F" w:rsidP="00B57C7F">
      <w:pPr>
        <w:pStyle w:val="ListParagraph"/>
        <w:numPr>
          <w:ilvl w:val="0"/>
          <w:numId w:val="15"/>
        </w:numPr>
        <w:spacing w:line="360" w:lineRule="auto"/>
        <w:jc w:val="both"/>
        <w:rPr>
          <w:rFonts w:ascii="Times New Roman" w:hAnsi="Times New Roman" w:cs="Times New Roman"/>
        </w:rPr>
      </w:pPr>
      <w:r w:rsidRPr="001C2F2F">
        <w:rPr>
          <w:rFonts w:ascii="Times New Roman" w:hAnsi="Times New Roman" w:cs="Times New Roman"/>
          <w:b/>
          <w:bCs/>
          <w:color w:val="000000"/>
        </w:rPr>
        <w:t>Moral Duty:</w:t>
      </w:r>
      <w:r w:rsidR="004F0056" w:rsidRPr="001C2F2F">
        <w:rPr>
          <w:rFonts w:ascii="Times New Roman" w:hAnsi="Times New Roman" w:cs="Times New Roman"/>
          <w:color w:val="000000"/>
        </w:rPr>
        <w:t xml:space="preserve"> </w:t>
      </w:r>
      <w:r w:rsidR="00891745" w:rsidRPr="001C2F2F">
        <w:rPr>
          <w:rFonts w:ascii="Times New Roman" w:hAnsi="Times New Roman" w:cs="Times New Roman"/>
          <w:color w:val="000000"/>
        </w:rPr>
        <w:t>“</w:t>
      </w:r>
      <w:r w:rsidR="004F0056" w:rsidRPr="001C2F2F">
        <w:rPr>
          <w:rFonts w:ascii="Times New Roman" w:hAnsi="Times New Roman" w:cs="Times New Roman"/>
          <w:color w:val="000000"/>
        </w:rPr>
        <w:t>To me, the armed struggle, we fought it when it was the only option to defend ourselves and then to progress our struggle we did that, but if the conditions no longer existed, we were morally compelled to examine other possibilities. Who wants to fight a war if you don’t have to?</w:t>
      </w:r>
      <w:r w:rsidR="00891745" w:rsidRPr="001C2F2F">
        <w:rPr>
          <w:rFonts w:ascii="Times New Roman" w:hAnsi="Times New Roman" w:cs="Times New Roman"/>
          <w:color w:val="000000"/>
        </w:rPr>
        <w:t>”</w:t>
      </w:r>
      <w:r w:rsidR="00C726E2">
        <w:rPr>
          <w:rStyle w:val="FootnoteReference"/>
          <w:rFonts w:ascii="Times New Roman" w:hAnsi="Times New Roman" w:cs="Times New Roman"/>
          <w:color w:val="000000"/>
        </w:rPr>
        <w:footnoteReference w:id="348"/>
      </w:r>
      <w:r w:rsidR="00891745" w:rsidRPr="001C2F2F">
        <w:rPr>
          <w:rFonts w:ascii="Times New Roman" w:hAnsi="Times New Roman" w:cs="Times New Roman"/>
          <w:color w:val="000000"/>
        </w:rPr>
        <w:t xml:space="preserve"> </w:t>
      </w:r>
      <w:r w:rsidR="00DA5E4D">
        <w:rPr>
          <w:rFonts w:ascii="Times New Roman" w:hAnsi="Times New Roman" w:cs="Times New Roman"/>
          <w:color w:val="000000"/>
        </w:rPr>
        <w:t>This argument is often tied in with the discourse of providing a better future for the younger generation so they don’t have to engage in the armed struggle.</w:t>
      </w:r>
    </w:p>
    <w:p w14:paraId="1937C53E" w14:textId="62AD4EC7" w:rsidR="00891745" w:rsidRPr="001C2F2F" w:rsidRDefault="00891745" w:rsidP="00B57C7F">
      <w:pPr>
        <w:pStyle w:val="ListParagraph"/>
        <w:numPr>
          <w:ilvl w:val="0"/>
          <w:numId w:val="15"/>
        </w:numPr>
        <w:spacing w:line="360" w:lineRule="auto"/>
        <w:jc w:val="both"/>
        <w:rPr>
          <w:rFonts w:ascii="Times New Roman" w:hAnsi="Times New Roman" w:cs="Times New Roman"/>
        </w:rPr>
      </w:pPr>
      <w:r w:rsidRPr="001C2F2F">
        <w:rPr>
          <w:rFonts w:ascii="Times New Roman" w:hAnsi="Times New Roman" w:cs="Times New Roman"/>
          <w:b/>
          <w:bCs/>
          <w:color w:val="000000"/>
        </w:rPr>
        <w:t>Unique Conditions:</w:t>
      </w:r>
      <w:r w:rsidRPr="001C2F2F">
        <w:rPr>
          <w:rFonts w:ascii="Times New Roman" w:hAnsi="Times New Roman" w:cs="Times New Roman"/>
          <w:color w:val="000000"/>
        </w:rPr>
        <w:t xml:space="preserve"> </w:t>
      </w:r>
      <w:r w:rsidR="001C2F2F">
        <w:rPr>
          <w:rFonts w:ascii="Times New Roman" w:hAnsi="Times New Roman" w:cs="Times New Roman"/>
          <w:color w:val="000000"/>
        </w:rPr>
        <w:t>“</w:t>
      </w:r>
      <w:r w:rsidRPr="001C2F2F">
        <w:rPr>
          <w:rFonts w:ascii="Times New Roman" w:hAnsi="Times New Roman" w:cs="Times New Roman"/>
          <w:color w:val="000000"/>
        </w:rPr>
        <w:t>For anyone who thinks that killing one or two people a year will bring [the Republican] project any further, is crazy. A few years ago the logic was they wanted to bring the British soldiers back on to the streets, but there’s no logic to that….the presence came around because of the</w:t>
      </w:r>
      <w:r w:rsidR="005D04B5">
        <w:rPr>
          <w:rFonts w:ascii="Times New Roman" w:hAnsi="Times New Roman" w:cs="Times New Roman"/>
          <w:color w:val="000000"/>
        </w:rPr>
        <w:t xml:space="preserve"> repression of the civil rights. T</w:t>
      </w:r>
      <w:r w:rsidRPr="001C2F2F">
        <w:rPr>
          <w:rFonts w:ascii="Times New Roman" w:hAnsi="Times New Roman" w:cs="Times New Roman"/>
          <w:color w:val="000000"/>
        </w:rPr>
        <w:t>hat period is passed, you can’t just recreate the conditions, they don’t exist today… And even if they did suddenly have the capacity to do what the IRA had done for years, in twenty years’ time they are going to be where the IRA was in 1994. To me, the logic just isn’t there.</w:t>
      </w:r>
      <w:r w:rsidR="001C2F2F">
        <w:rPr>
          <w:rFonts w:ascii="Times New Roman" w:hAnsi="Times New Roman" w:cs="Times New Roman"/>
          <w:color w:val="000000"/>
        </w:rPr>
        <w:t>”</w:t>
      </w:r>
      <w:r w:rsidR="00C726E2">
        <w:rPr>
          <w:rStyle w:val="FootnoteReference"/>
          <w:rFonts w:ascii="Times New Roman" w:hAnsi="Times New Roman" w:cs="Times New Roman"/>
          <w:color w:val="000000"/>
        </w:rPr>
        <w:footnoteReference w:id="349"/>
      </w:r>
      <w:r w:rsidR="00BB31EE">
        <w:rPr>
          <w:rFonts w:ascii="Times New Roman" w:hAnsi="Times New Roman" w:cs="Times New Roman"/>
          <w:color w:val="000000"/>
        </w:rPr>
        <w:t xml:space="preserve"> This type of argument at first seems to be a form of tactical disengagement, yet its link to conditions which have durably changed makes any recidivism contingent on these conditions reversing. While this interviewee also used other arguments, this argument is often used to </w:t>
      </w:r>
      <w:r w:rsidR="00BB31EE">
        <w:rPr>
          <w:rFonts w:ascii="Times New Roman" w:hAnsi="Times New Roman" w:cs="Times New Roman"/>
          <w:color w:val="000000"/>
        </w:rPr>
        <w:lastRenderedPageBreak/>
        <w:t>convince other members who may not be supportive of disengagement in general.</w:t>
      </w:r>
    </w:p>
    <w:p w14:paraId="0B96A183" w14:textId="77777777" w:rsidR="001C2F2F" w:rsidRPr="001C2F2F" w:rsidRDefault="001C2F2F" w:rsidP="00B57C7F">
      <w:pPr>
        <w:pStyle w:val="NormalWeb"/>
        <w:numPr>
          <w:ilvl w:val="0"/>
          <w:numId w:val="15"/>
        </w:numPr>
        <w:spacing w:line="360" w:lineRule="auto"/>
        <w:jc w:val="both"/>
        <w:rPr>
          <w:rFonts w:ascii="Times New Roman" w:hAnsi="Times New Roman"/>
          <w:color w:val="000000"/>
        </w:rPr>
      </w:pPr>
      <w:r w:rsidRPr="001C2F2F">
        <w:rPr>
          <w:rFonts w:ascii="Times New Roman" w:hAnsi="Times New Roman"/>
          <w:b/>
          <w:bCs/>
        </w:rPr>
        <w:t>Political Progress</w:t>
      </w:r>
      <w:r w:rsidR="00891745" w:rsidRPr="001C2F2F">
        <w:rPr>
          <w:rFonts w:ascii="Times New Roman" w:hAnsi="Times New Roman"/>
          <w:b/>
          <w:bCs/>
        </w:rPr>
        <w:t>:</w:t>
      </w:r>
      <w:r w:rsidR="00891745" w:rsidRPr="001C2F2F">
        <w:rPr>
          <w:rFonts w:ascii="Times New Roman" w:hAnsi="Times New Roman"/>
        </w:rPr>
        <w:t xml:space="preserve"> </w:t>
      </w:r>
      <w:r>
        <w:rPr>
          <w:rFonts w:ascii="Times New Roman" w:hAnsi="Times New Roman"/>
        </w:rPr>
        <w:t>“T</w:t>
      </w:r>
      <w:r w:rsidRPr="001C2F2F">
        <w:rPr>
          <w:rFonts w:ascii="Times New Roman" w:eastAsia="Times New Roman" w:hAnsi="Times New Roman"/>
          <w:color w:val="000000"/>
          <w:lang w:bidi="hi-IN"/>
        </w:rPr>
        <w:t>here is power</w:t>
      </w:r>
      <w:r w:rsidR="00DA5E4D">
        <w:rPr>
          <w:rFonts w:ascii="Times New Roman" w:eastAsia="Times New Roman" w:hAnsi="Times New Roman"/>
          <w:color w:val="000000"/>
          <w:lang w:bidi="hi-IN"/>
        </w:rPr>
        <w:t>-sharing;</w:t>
      </w:r>
      <w:r>
        <w:rPr>
          <w:rFonts w:ascii="Times New Roman" w:eastAsia="Times New Roman" w:hAnsi="Times New Roman"/>
          <w:color w:val="000000"/>
          <w:lang w:bidi="hi-IN"/>
        </w:rPr>
        <w:t xml:space="preserve"> differences with the O</w:t>
      </w:r>
      <w:r w:rsidR="00DA5E4D">
        <w:rPr>
          <w:rFonts w:ascii="Times New Roman" w:eastAsia="Times New Roman" w:hAnsi="Times New Roman"/>
          <w:color w:val="000000"/>
          <w:lang w:bidi="hi-IN"/>
        </w:rPr>
        <w:t>range state.</w:t>
      </w:r>
      <w:r w:rsidRPr="001C2F2F">
        <w:rPr>
          <w:rFonts w:ascii="Times New Roman" w:eastAsia="Times New Roman" w:hAnsi="Times New Roman"/>
          <w:color w:val="000000"/>
          <w:lang w:bidi="hi-IN"/>
        </w:rPr>
        <w:t xml:space="preserve"> I know people dismiss the border poll but it isn’t something to dismiss, it is something to work toward. </w:t>
      </w:r>
      <w:r w:rsidR="00DA5E4D">
        <w:rPr>
          <w:rFonts w:ascii="Times New Roman" w:eastAsia="Times New Roman" w:hAnsi="Times New Roman"/>
          <w:color w:val="000000"/>
          <w:lang w:bidi="hi-IN"/>
        </w:rPr>
        <w:t>W</w:t>
      </w:r>
      <w:r w:rsidRPr="001C2F2F">
        <w:rPr>
          <w:rFonts w:ascii="Times New Roman" w:eastAsia="Times New Roman" w:hAnsi="Times New Roman"/>
          <w:color w:val="000000"/>
          <w:lang w:bidi="hi-IN"/>
        </w:rPr>
        <w:t>e now have a political voice, before it wouldn’t be tolerated.</w:t>
      </w:r>
      <w:r>
        <w:rPr>
          <w:rFonts w:ascii="Times New Roman" w:eastAsia="Times New Roman" w:hAnsi="Times New Roman"/>
          <w:color w:val="000000"/>
          <w:lang w:bidi="hi-IN"/>
        </w:rPr>
        <w:t>”</w:t>
      </w:r>
      <w:r w:rsidR="00C726E2">
        <w:rPr>
          <w:rStyle w:val="FootnoteReference"/>
          <w:rFonts w:ascii="Times New Roman" w:eastAsia="Times New Roman" w:hAnsi="Times New Roman"/>
          <w:color w:val="000000"/>
          <w:lang w:bidi="hi-IN"/>
        </w:rPr>
        <w:footnoteReference w:id="350"/>
      </w:r>
      <w:r w:rsidR="00BB31EE">
        <w:rPr>
          <w:rFonts w:ascii="Times New Roman" w:eastAsia="Times New Roman" w:hAnsi="Times New Roman"/>
          <w:color w:val="000000"/>
          <w:lang w:bidi="hi-IN"/>
        </w:rPr>
        <w:t xml:space="preserve"> Similar to the conditionality argument above, the credibility of this argument is influenced by the perceived progress at a political level. As will be discussed in Chapter Five, problems at the political level can then weaken this argument. </w:t>
      </w:r>
    </w:p>
    <w:p w14:paraId="2CBEC4BB" w14:textId="77777777" w:rsidR="001C2F2F" w:rsidRDefault="001C2F2F" w:rsidP="00B57C7F">
      <w:pPr>
        <w:pStyle w:val="NormalWeb"/>
        <w:numPr>
          <w:ilvl w:val="0"/>
          <w:numId w:val="15"/>
        </w:numPr>
        <w:spacing w:line="360" w:lineRule="auto"/>
        <w:jc w:val="both"/>
        <w:rPr>
          <w:rFonts w:ascii="Times New Roman" w:hAnsi="Times New Roman"/>
          <w:color w:val="000000"/>
        </w:rPr>
      </w:pPr>
      <w:r w:rsidRPr="001C2F2F">
        <w:rPr>
          <w:rFonts w:ascii="Times New Roman" w:hAnsi="Times New Roman"/>
          <w:b/>
          <w:bCs/>
        </w:rPr>
        <w:t>Lack of Alternatives:</w:t>
      </w:r>
      <w:r w:rsidRPr="001C2F2F">
        <w:rPr>
          <w:rFonts w:ascii="Times New Roman" w:hAnsi="Times New Roman"/>
        </w:rPr>
        <w:t xml:space="preserve"> </w:t>
      </w:r>
      <w:r w:rsidR="00DA5E4D">
        <w:rPr>
          <w:rFonts w:ascii="Times New Roman" w:hAnsi="Times New Roman"/>
        </w:rPr>
        <w:t>“T</w:t>
      </w:r>
      <w:r w:rsidRPr="001C2F2F">
        <w:rPr>
          <w:rFonts w:ascii="Times New Roman" w:hAnsi="Times New Roman"/>
          <w:color w:val="000000"/>
        </w:rPr>
        <w:t>he IRA fought the British army to a stand-still - these groups haven’t fought them to a start. Where is the campaign, where is the campaign? So you have all these groups all fighting the British government - what are you’s doing apart from racketeering, exploitation, tiger kidnapping, drug dealing?</w:t>
      </w:r>
      <w:r w:rsidR="00C726E2">
        <w:rPr>
          <w:rFonts w:ascii="Times New Roman" w:hAnsi="Times New Roman"/>
          <w:color w:val="000000"/>
        </w:rPr>
        <w:t>”</w:t>
      </w:r>
      <w:r w:rsidR="00C726E2">
        <w:rPr>
          <w:rStyle w:val="FootnoteReference"/>
          <w:rFonts w:ascii="Times New Roman" w:hAnsi="Times New Roman"/>
          <w:color w:val="000000"/>
        </w:rPr>
        <w:footnoteReference w:id="351"/>
      </w:r>
      <w:r w:rsidR="00BB31EE">
        <w:rPr>
          <w:rFonts w:ascii="Times New Roman" w:hAnsi="Times New Roman"/>
          <w:color w:val="000000"/>
        </w:rPr>
        <w:t xml:space="preserve"> In this example, the former Provisional IRA member attempts to associate the dissident groups with criminality and their lack of efficacy in using violence in order to de-legitimise them. Once again, this argument complements the overall disengagement frame and is targeted at those in the movement who may not be convinced by the other arguments presented in the frame.</w:t>
      </w:r>
    </w:p>
    <w:bookmarkEnd w:id="43"/>
    <w:p w14:paraId="2D8DFEDE" w14:textId="77777777" w:rsidR="0091749D" w:rsidRPr="001C2F2F" w:rsidRDefault="0091749D" w:rsidP="00B57C7F">
      <w:pPr>
        <w:pStyle w:val="NormalWeb"/>
        <w:spacing w:line="360" w:lineRule="auto"/>
        <w:ind w:left="720"/>
        <w:jc w:val="both"/>
        <w:rPr>
          <w:rFonts w:ascii="Times New Roman" w:hAnsi="Times New Roman"/>
          <w:color w:val="000000"/>
        </w:rPr>
      </w:pPr>
    </w:p>
    <w:p w14:paraId="3B7768AF" w14:textId="77777777" w:rsidR="006B623D" w:rsidRDefault="006855DE" w:rsidP="00B57C7F">
      <w:pPr>
        <w:spacing w:line="360" w:lineRule="auto"/>
        <w:ind w:firstLine="720"/>
        <w:jc w:val="both"/>
        <w:rPr>
          <w:color w:val="000000"/>
          <w:sz w:val="23"/>
          <w:szCs w:val="23"/>
        </w:rPr>
      </w:pPr>
      <w:r>
        <w:rPr>
          <w:rFonts w:ascii="Times New Roman" w:hAnsi="Times New Roman" w:cs="Times New Roman"/>
        </w:rPr>
        <w:t xml:space="preserve">As the frame </w:t>
      </w:r>
      <w:r w:rsidR="00C55726">
        <w:rPr>
          <w:rFonts w:ascii="Times New Roman" w:hAnsi="Times New Roman" w:cs="Times New Roman"/>
        </w:rPr>
        <w:t>later began to exhibit</w:t>
      </w:r>
      <w:r>
        <w:rPr>
          <w:rFonts w:ascii="Times New Roman" w:hAnsi="Times New Roman" w:cs="Times New Roman"/>
        </w:rPr>
        <w:t xml:space="preserve"> conditional de-radicalisation</w:t>
      </w:r>
      <w:r w:rsidR="00DE2664">
        <w:rPr>
          <w:rFonts w:ascii="Times New Roman" w:hAnsi="Times New Roman" w:cs="Times New Roman"/>
        </w:rPr>
        <w:t xml:space="preserve"> from the late 1990s onwards</w:t>
      </w:r>
      <w:r>
        <w:rPr>
          <w:rFonts w:ascii="Times New Roman" w:hAnsi="Times New Roman" w:cs="Times New Roman"/>
        </w:rPr>
        <w:t>, the arguments that c</w:t>
      </w:r>
      <w:r w:rsidR="00C55726">
        <w:rPr>
          <w:rFonts w:ascii="Times New Roman" w:hAnsi="Times New Roman" w:cs="Times New Roman"/>
        </w:rPr>
        <w:t>ould</w:t>
      </w:r>
      <w:r>
        <w:rPr>
          <w:rFonts w:ascii="Times New Roman" w:hAnsi="Times New Roman" w:cs="Times New Roman"/>
        </w:rPr>
        <w:t xml:space="preserve"> be made against violence are pluralistic, meaning all four arguments presented above can be used coherently to de-legitimise violence to different audiences. </w:t>
      </w:r>
      <w:r w:rsidR="00DA5E4D">
        <w:rPr>
          <w:rFonts w:ascii="Times New Roman" w:hAnsi="Times New Roman" w:cs="Times New Roman"/>
        </w:rPr>
        <w:t xml:space="preserve">Thus, the Provisional IRA’s disengagement frame relegated armed struggle to a tactic and amplified the part of the mobilising frame which emphasised the conditions that drove the conflict in the 1960s at the expense of the goal for a united Ireland. Consequently, it could coherently argue that the conditions had now changed which merited an end to the armed struggle, but those conditions were changed because of armed struggle too. Relating back to the literature on de-radicalisation, it could be understood why scholars would not </w:t>
      </w:r>
      <w:r w:rsidR="00DA5E4D">
        <w:rPr>
          <w:rFonts w:ascii="Times New Roman" w:hAnsi="Times New Roman" w:cs="Times New Roman"/>
        </w:rPr>
        <w:lastRenderedPageBreak/>
        <w:t xml:space="preserve">classify the case of the Provisional IRA as a group that has </w:t>
      </w:r>
      <w:r>
        <w:rPr>
          <w:rFonts w:ascii="Times New Roman" w:hAnsi="Times New Roman" w:cs="Times New Roman"/>
        </w:rPr>
        <w:t xml:space="preserve">‘genuinely </w:t>
      </w:r>
      <w:r w:rsidR="00DA5E4D">
        <w:rPr>
          <w:rFonts w:ascii="Times New Roman" w:hAnsi="Times New Roman" w:cs="Times New Roman"/>
        </w:rPr>
        <w:t>de-radicalised</w:t>
      </w:r>
      <w:r>
        <w:rPr>
          <w:rFonts w:ascii="Times New Roman" w:hAnsi="Times New Roman" w:cs="Times New Roman"/>
        </w:rPr>
        <w:t>’</w:t>
      </w:r>
      <w:r w:rsidR="00DA5E4D">
        <w:rPr>
          <w:rFonts w:ascii="Times New Roman" w:hAnsi="Times New Roman" w:cs="Times New Roman"/>
        </w:rPr>
        <w:t xml:space="preserve">. </w:t>
      </w:r>
      <w:r w:rsidR="009B7A3D">
        <w:rPr>
          <w:rFonts w:ascii="Times New Roman" w:hAnsi="Times New Roman" w:cs="Times New Roman"/>
        </w:rPr>
        <w:t>Yet quite clearly the disengagement fr</w:t>
      </w:r>
      <w:r w:rsidR="0010280C">
        <w:rPr>
          <w:rFonts w:ascii="Times New Roman" w:hAnsi="Times New Roman" w:cs="Times New Roman"/>
        </w:rPr>
        <w:t xml:space="preserve">ame does de-legitimise violence in terms of norms, morality and constitutionality, as discussed in Chapter Two. Subsequently, </w:t>
      </w:r>
      <w:r w:rsidR="009B7A3D">
        <w:rPr>
          <w:rFonts w:ascii="Times New Roman" w:hAnsi="Times New Roman" w:cs="Times New Roman"/>
        </w:rPr>
        <w:t>it represents a form of conditional de-radicalisation, rather than unconditional de-radicalisation</w:t>
      </w:r>
      <w:r>
        <w:rPr>
          <w:rFonts w:ascii="Times New Roman" w:hAnsi="Times New Roman" w:cs="Times New Roman"/>
        </w:rPr>
        <w:t xml:space="preserve"> or tactical disengagement</w:t>
      </w:r>
      <w:r w:rsidR="009B7A3D">
        <w:rPr>
          <w:rFonts w:ascii="Times New Roman" w:hAnsi="Times New Roman" w:cs="Times New Roman"/>
        </w:rPr>
        <w:t>.</w:t>
      </w:r>
      <w:r w:rsidR="00571BDB">
        <w:rPr>
          <w:rFonts w:ascii="Times New Roman" w:hAnsi="Times New Roman" w:cs="Times New Roman"/>
        </w:rPr>
        <w:t xml:space="preserve"> The literature has wrongly taken unconditional de-radicalisation as its expected standard for what </w:t>
      </w:r>
      <w:r w:rsidR="004B5406">
        <w:rPr>
          <w:rFonts w:ascii="Times New Roman" w:hAnsi="Times New Roman" w:cs="Times New Roman"/>
        </w:rPr>
        <w:t>de-radicalisation should entail:</w:t>
      </w:r>
      <w:r w:rsidR="00571BDB">
        <w:rPr>
          <w:rFonts w:ascii="Times New Roman" w:hAnsi="Times New Roman" w:cs="Times New Roman"/>
        </w:rPr>
        <w:t xml:space="preserve"> </w:t>
      </w:r>
      <w:r w:rsidR="004B5406">
        <w:rPr>
          <w:rFonts w:ascii="Times New Roman" w:hAnsi="Times New Roman" w:cs="Times New Roman"/>
        </w:rPr>
        <w:t>most</w:t>
      </w:r>
      <w:r w:rsidR="00571BDB">
        <w:rPr>
          <w:rFonts w:ascii="Times New Roman" w:hAnsi="Times New Roman" w:cs="Times New Roman"/>
        </w:rPr>
        <w:t xml:space="preserve"> Islamist de-radicalisation efforts have been highly conditional and even when these have entailed a complete rejection of all violence, their resonance has been limited. As will be demonstrated in the remainder of the chapter, and in Chapter Five, conditional de-radicalisation resonated more successfully in the Provisional IRA and it reduced the risk of recidivism far more effectively than a disengagement frame that emphasised unconditional de-radicalisation</w:t>
      </w:r>
      <w:r w:rsidR="004B5406">
        <w:rPr>
          <w:rFonts w:ascii="Times New Roman" w:hAnsi="Times New Roman" w:cs="Times New Roman"/>
        </w:rPr>
        <w:t xml:space="preserve"> or the cases of tactical disengagement which had defined previous cases of disengagement in the Irish Republican movement</w:t>
      </w:r>
      <w:r w:rsidR="00571BDB">
        <w:rPr>
          <w:rFonts w:ascii="Times New Roman" w:hAnsi="Times New Roman" w:cs="Times New Roman"/>
        </w:rPr>
        <w:t xml:space="preserve">. </w:t>
      </w:r>
      <w:r w:rsidR="004B5406">
        <w:rPr>
          <w:rFonts w:ascii="Times New Roman" w:hAnsi="Times New Roman" w:cs="Times New Roman"/>
        </w:rPr>
        <w:t>Having outlined the Provisional IRA’s disengagement frame, the chapter will now argue that one key part of its success was that it maintained narrative fidelity to the goals of the movement.</w:t>
      </w:r>
    </w:p>
    <w:p w14:paraId="6EF7D9D6" w14:textId="77777777" w:rsidR="00D77A61" w:rsidRPr="00D946B9" w:rsidRDefault="00D77A61" w:rsidP="00B57C7F">
      <w:pPr>
        <w:spacing w:line="360" w:lineRule="auto"/>
        <w:jc w:val="both"/>
        <w:rPr>
          <w:rFonts w:ascii="Times New Roman" w:hAnsi="Times New Roman" w:cs="Times New Roman"/>
        </w:rPr>
      </w:pPr>
    </w:p>
    <w:p w14:paraId="356CE5E5" w14:textId="77777777" w:rsidR="00991000" w:rsidRPr="009A544A" w:rsidRDefault="00991000" w:rsidP="00B57C7F">
      <w:pPr>
        <w:pStyle w:val="Heading3"/>
        <w:spacing w:before="120" w:line="360" w:lineRule="auto"/>
      </w:pPr>
      <w:bookmarkStart w:id="44" w:name="_Toc389208826"/>
      <w:r w:rsidRPr="009A544A">
        <w:t xml:space="preserve">Narrative Fidelity: from </w:t>
      </w:r>
      <w:r>
        <w:t>Armed Violence to Politics</w:t>
      </w:r>
      <w:bookmarkEnd w:id="44"/>
    </w:p>
    <w:p w14:paraId="2DBC6579"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According to frames theory, a frame has greater chance of successfully resonating when it remains consistent with pre-existent values and beliefs.</w:t>
      </w:r>
      <w:r w:rsidR="0010280C">
        <w:rPr>
          <w:rStyle w:val="FootnoteReference"/>
          <w:rFonts w:ascii="Times New Roman" w:hAnsi="Times New Roman" w:cs="Times New Roman"/>
        </w:rPr>
        <w:footnoteReference w:id="352"/>
      </w:r>
      <w:r>
        <w:rPr>
          <w:rFonts w:ascii="Times New Roman" w:hAnsi="Times New Roman" w:cs="Times New Roman"/>
        </w:rPr>
        <w:t xml:space="preserve"> In terms of applying frames analysis to disengagement, the thesis contends that as the target are active militants, a disengagement frame has to be consistent with the frame that was used to mobilise them or sustain their mobilisation. However, as the failed 1975 ceasefire demonstrated, generations within the movement can have markedly different motivations and that there needs to be narrative fidelity between the message that motivates armed struggle and the message that motivates disengagement. One Provisional IRA activist stated that, during the ceasefire, he was convinced they were going to win the war, and although disengagement through a political route was at the back on his mind at the time, it was not as clearly </w:t>
      </w:r>
      <w:r>
        <w:rPr>
          <w:rFonts w:ascii="Times New Roman" w:hAnsi="Times New Roman" w:cs="Times New Roman"/>
        </w:rPr>
        <w:lastRenderedPageBreak/>
        <w:t xml:space="preserve">articulated </w:t>
      </w:r>
      <w:r w:rsidR="00C70B3C">
        <w:rPr>
          <w:rFonts w:ascii="Times New Roman" w:hAnsi="Times New Roman" w:cs="Times New Roman"/>
        </w:rPr>
        <w:t xml:space="preserve">in 1975 </w:t>
      </w:r>
      <w:r>
        <w:rPr>
          <w:rFonts w:ascii="Times New Roman" w:hAnsi="Times New Roman" w:cs="Times New Roman"/>
        </w:rPr>
        <w:t>as it was in 1990 – thus there was little in terms of an articulated strategy that connected with what motivated them to participate in the movement in the 1970s</w:t>
      </w:r>
      <w:r w:rsidR="00B1546E">
        <w:rPr>
          <w:rFonts w:ascii="Times New Roman" w:hAnsi="Times New Roman" w:cs="Times New Roman"/>
        </w:rPr>
        <w:t>.</w:t>
      </w:r>
      <w:r>
        <w:rPr>
          <w:rStyle w:val="FootnoteReference"/>
          <w:rFonts w:ascii="Times New Roman" w:hAnsi="Times New Roman" w:cs="Times New Roman"/>
        </w:rPr>
        <w:footnoteReference w:id="353"/>
      </w:r>
      <w:r>
        <w:rPr>
          <w:rFonts w:ascii="Times New Roman" w:hAnsi="Times New Roman" w:cs="Times New Roman"/>
        </w:rPr>
        <w:t xml:space="preserve"> Furthermore, the thesis also argues that the success of narrative fidelity in the 1990s disengagement process was helped by the dominance of the generation as this meant there was gre</w:t>
      </w:r>
      <w:r w:rsidR="0010280C">
        <w:rPr>
          <w:rFonts w:ascii="Times New Roman" w:hAnsi="Times New Roman" w:cs="Times New Roman"/>
        </w:rPr>
        <w:t xml:space="preserve">ater homogeneity in experiences, shared motivations for joining, and </w:t>
      </w:r>
      <w:r>
        <w:rPr>
          <w:rFonts w:ascii="Times New Roman" w:hAnsi="Times New Roman" w:cs="Times New Roman"/>
        </w:rPr>
        <w:t>deeper friendships. Furthermore, ‘rubber-band diplomacy’ was conducted to ensure that the change in attitudes of the leadership did not drift too far away from the mainstream of the movement. Finally, to understand how the disengagement frame ensured narrative fidelity, it is important to contextualise it within the strategic changes that were affecting the leadership in the 1980s, and how, for example, the recognition of a stalemate in the conflict provided a bridge from armed conflict to a political direction.</w:t>
      </w:r>
    </w:p>
    <w:p w14:paraId="2F8DA049" w14:textId="67F3267E"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When scholars state that there was no de-radicalisation among Provisional IRA members</w:t>
      </w:r>
      <w:r w:rsidR="00B1546E">
        <w:rPr>
          <w:rFonts w:ascii="Times New Roman" w:hAnsi="Times New Roman" w:cs="Times New Roman"/>
        </w:rPr>
        <w:t>,</w:t>
      </w:r>
      <w:r>
        <w:rPr>
          <w:rStyle w:val="FootnoteReference"/>
          <w:rFonts w:ascii="Times New Roman" w:hAnsi="Times New Roman" w:cs="Times New Roman"/>
        </w:rPr>
        <w:footnoteReference w:id="354"/>
      </w:r>
      <w:r>
        <w:rPr>
          <w:rFonts w:ascii="Times New Roman" w:hAnsi="Times New Roman" w:cs="Times New Roman"/>
        </w:rPr>
        <w:t xml:space="preserve"> they are neglecting the changes that occurred in the movement prior to the movement’s disengagement. Whilst the concept of de-radicalisation tends to blur the nuances in attitudinal change, frames analysis helps to identify these changes between generations and show how this is significant. M.L.R Smith makes a convincing argument on how the Provisional IRA transitioned from an ideologically driven group to a more pragmatic group willing to trade in the armed struggle for political gains short of their original goals. The breakdown between different generations within the movement in the mid-1980s marked this shift. Building on M.L.R Smith’s</w:t>
      </w:r>
      <w:r w:rsidR="00FE244D">
        <w:rPr>
          <w:rFonts w:ascii="Times New Roman" w:hAnsi="Times New Roman" w:cs="Times New Roman"/>
        </w:rPr>
        <w:t xml:space="preserve"> </w:t>
      </w:r>
      <w:r>
        <w:rPr>
          <w:rFonts w:ascii="Times New Roman" w:hAnsi="Times New Roman" w:cs="Times New Roman"/>
        </w:rPr>
        <w:t>argument,</w:t>
      </w:r>
      <w:r w:rsidR="00FE244D">
        <w:rPr>
          <w:rStyle w:val="FootnoteReference"/>
          <w:rFonts w:ascii="Times New Roman" w:hAnsi="Times New Roman" w:cs="Times New Roman"/>
        </w:rPr>
        <w:footnoteReference w:id="355"/>
      </w:r>
      <w:r w:rsidR="00FE244D">
        <w:rPr>
          <w:rFonts w:ascii="Times New Roman" w:hAnsi="Times New Roman" w:cs="Times New Roman"/>
        </w:rPr>
        <w:t xml:space="preserve"> </w:t>
      </w:r>
      <w:r>
        <w:rPr>
          <w:rFonts w:ascii="Times New Roman" w:hAnsi="Times New Roman" w:cs="Times New Roman"/>
        </w:rPr>
        <w:t xml:space="preserve"> the thesis argues that this generational disjuncture can be traced back to the manner in which it was mobilised. The older generation utilised frame </w:t>
      </w:r>
      <w:r w:rsidR="003502D6">
        <w:rPr>
          <w:rFonts w:ascii="Times New Roman" w:hAnsi="Times New Roman" w:cs="Times New Roman"/>
        </w:rPr>
        <w:t>bridging in the civil rights movement</w:t>
      </w:r>
      <w:r>
        <w:rPr>
          <w:rFonts w:ascii="Times New Roman" w:hAnsi="Times New Roman" w:cs="Times New Roman"/>
        </w:rPr>
        <w:t xml:space="preserve"> to mobilise the younger generation, but the way in which the younger generation interpreted the frame was markedly different. Firstly, while supportive of a united Ireland, exposure to Republicanism was seen in cultural and identity-based terms rather than ideological ones – in a sense, </w:t>
      </w:r>
      <w:r w:rsidRPr="007A56EF">
        <w:rPr>
          <w:rFonts w:ascii="Times New Roman" w:hAnsi="Times New Roman" w:cs="Times New Roman"/>
          <w:i/>
        </w:rPr>
        <w:t>being</w:t>
      </w:r>
      <w:r>
        <w:rPr>
          <w:rFonts w:ascii="Times New Roman" w:hAnsi="Times New Roman" w:cs="Times New Roman"/>
        </w:rPr>
        <w:t xml:space="preserve"> a Republican helped to resolve some of the grievances that drove their involvement. Secondly, while the younger generation may have adopted much of the </w:t>
      </w:r>
      <w:r>
        <w:rPr>
          <w:rFonts w:ascii="Times New Roman" w:hAnsi="Times New Roman" w:cs="Times New Roman"/>
        </w:rPr>
        <w:lastRenderedPageBreak/>
        <w:t xml:space="preserve">Republican frame of ‘Brits out’, their initial mobilising frame was based on the specific conditions of the 1960s. These two differences impacted upon the disengagement frame that would develop: firstly, parity of esteem and equality became a central part of the frame; and secondly, they were able to (re)amplify the conditions of the 1960s as the main justification for violence, placing less emphasis on the presence of Britain or partition. Before expanding on these last two points, however, the section will expand on the point with regard to the transition between generations and mobilising frames.   </w:t>
      </w:r>
      <w:r>
        <w:rPr>
          <w:rFonts w:ascii="Times New Roman" w:hAnsi="Times New Roman" w:cs="Times New Roman"/>
        </w:rPr>
        <w:tab/>
      </w:r>
    </w:p>
    <w:p w14:paraId="674AD560" w14:textId="77777777" w:rsidR="001325FD" w:rsidRDefault="00991000" w:rsidP="00B57C7F">
      <w:pPr>
        <w:spacing w:line="360" w:lineRule="auto"/>
        <w:jc w:val="both"/>
        <w:rPr>
          <w:rFonts w:ascii="Times New Roman" w:hAnsi="Times New Roman" w:cs="Times New Roman"/>
        </w:rPr>
      </w:pPr>
      <w:r>
        <w:rPr>
          <w:rFonts w:ascii="Times New Roman" w:hAnsi="Times New Roman" w:cs="Times New Roman"/>
        </w:rPr>
        <w:tab/>
        <w:t xml:space="preserve">The Provisional IRA had split with the Official IRA in 1969 because the latter wished to </w:t>
      </w:r>
      <w:r w:rsidR="003502D6">
        <w:rPr>
          <w:rFonts w:ascii="Times New Roman" w:hAnsi="Times New Roman" w:cs="Times New Roman"/>
        </w:rPr>
        <w:t>end the policy of abstentionism and take up seats in parliament</w:t>
      </w:r>
      <w:r w:rsidR="00B1546E">
        <w:rPr>
          <w:rFonts w:ascii="Times New Roman" w:hAnsi="Times New Roman" w:cs="Times New Roman"/>
        </w:rPr>
        <w:t>.</w:t>
      </w:r>
      <w:r>
        <w:rPr>
          <w:rStyle w:val="FootnoteReference"/>
          <w:rFonts w:ascii="Times New Roman" w:hAnsi="Times New Roman" w:cs="Times New Roman"/>
        </w:rPr>
        <w:footnoteReference w:id="356"/>
      </w:r>
      <w:r>
        <w:rPr>
          <w:rFonts w:ascii="Times New Roman" w:hAnsi="Times New Roman" w:cs="Times New Roman"/>
        </w:rPr>
        <w:t xml:space="preserve"> The first generation leadership of the Provisional IRA called for a return to traditional Republican militancy, locating its claim to legitimacy in the 1916 Proclamation of Independence and the 1918 Sinn Fein election victory as a mandate for a united Ireland independent of Britain. Such ideals and principles did not factor much in the thinking of the young people who wished to join the Provisional IRA in the late 1960s and early 1970s. While some young people were motivated to join the Provisional IRA because family members were Republicans</w:t>
      </w:r>
      <w:r w:rsidR="00B1546E">
        <w:rPr>
          <w:rFonts w:ascii="Times New Roman" w:hAnsi="Times New Roman" w:cs="Times New Roman"/>
        </w:rPr>
        <w:t>,</w:t>
      </w:r>
      <w:r w:rsidR="003502D6">
        <w:rPr>
          <w:rStyle w:val="FootnoteReference"/>
          <w:rFonts w:ascii="Times New Roman" w:hAnsi="Times New Roman" w:cs="Times New Roman"/>
        </w:rPr>
        <w:footnoteReference w:id="357"/>
      </w:r>
      <w:r>
        <w:rPr>
          <w:rFonts w:ascii="Times New Roman" w:hAnsi="Times New Roman" w:cs="Times New Roman"/>
        </w:rPr>
        <w:t xml:space="preserve"> this did not mean that there were large numbers of people necessarily sympathetic or understanding of Republican ideology. Instead, a number of Republicans commented on how the motivation to join was because of the environment (checkpoints; armoured cars; soldiers on the streets; beatings; Bloody Sunday), while others mentioned how, as </w:t>
      </w:r>
      <w:r w:rsidR="0010280C">
        <w:rPr>
          <w:rFonts w:ascii="Times New Roman" w:hAnsi="Times New Roman" w:cs="Times New Roman"/>
        </w:rPr>
        <w:t>children</w:t>
      </w:r>
      <w:r>
        <w:rPr>
          <w:rFonts w:ascii="Times New Roman" w:hAnsi="Times New Roman" w:cs="Times New Roman"/>
        </w:rPr>
        <w:t>, it was cool to be given a gun</w:t>
      </w:r>
      <w:r w:rsidR="00B1546E">
        <w:rPr>
          <w:rFonts w:ascii="Times New Roman" w:hAnsi="Times New Roman" w:cs="Times New Roman"/>
        </w:rPr>
        <w:t>.</w:t>
      </w:r>
      <w:r>
        <w:rPr>
          <w:rStyle w:val="FootnoteReference"/>
          <w:rFonts w:ascii="Times New Roman" w:hAnsi="Times New Roman" w:cs="Times New Roman"/>
        </w:rPr>
        <w:footnoteReference w:id="358"/>
      </w:r>
      <w:r>
        <w:rPr>
          <w:rFonts w:ascii="Times New Roman" w:hAnsi="Times New Roman" w:cs="Times New Roman"/>
        </w:rPr>
        <w:t xml:space="preserve"> The primary role of social networks, rather than spreading Republican values, was in providing easy access to joining and functioning as a vetting-process for recruitment (at least initially)</w:t>
      </w:r>
      <w:r w:rsidR="00B1546E">
        <w:rPr>
          <w:rFonts w:ascii="Times New Roman" w:hAnsi="Times New Roman" w:cs="Times New Roman"/>
        </w:rPr>
        <w:t>.</w:t>
      </w:r>
      <w:r>
        <w:rPr>
          <w:rStyle w:val="FootnoteReference"/>
          <w:rFonts w:ascii="Times New Roman" w:hAnsi="Times New Roman" w:cs="Times New Roman"/>
        </w:rPr>
        <w:footnoteReference w:id="359"/>
      </w:r>
      <w:r>
        <w:rPr>
          <w:rFonts w:ascii="Times New Roman" w:hAnsi="Times New Roman" w:cs="Times New Roman"/>
        </w:rPr>
        <w:t xml:space="preserve"> However, such a disjuncture between the frame of a group and the motivations for joining is not </w:t>
      </w:r>
      <w:r>
        <w:rPr>
          <w:rFonts w:ascii="Times New Roman" w:hAnsi="Times New Roman" w:cs="Times New Roman"/>
        </w:rPr>
        <w:lastRenderedPageBreak/>
        <w:t>unusual</w:t>
      </w:r>
      <w:r w:rsidR="00B1546E">
        <w:rPr>
          <w:rFonts w:ascii="Times New Roman" w:hAnsi="Times New Roman" w:cs="Times New Roman"/>
        </w:rPr>
        <w:t>,</w:t>
      </w:r>
      <w:r>
        <w:rPr>
          <w:rStyle w:val="FootnoteReference"/>
          <w:rFonts w:ascii="Times New Roman" w:hAnsi="Times New Roman" w:cs="Times New Roman"/>
        </w:rPr>
        <w:footnoteReference w:id="360"/>
      </w:r>
      <w:r>
        <w:rPr>
          <w:rFonts w:ascii="Times New Roman" w:hAnsi="Times New Roman" w:cs="Times New Roman"/>
        </w:rPr>
        <w:t xml:space="preserve"> and while this is widely accepted in the terrorism literature, frames analysis provides insight into how this can be significant. Militant groups may often use frame bridging to reach new audiences for mobilisation; this involves connecting the group’s frame (Republicanism) with the frame (or general attitudes) of another group (the younger generation). The implicit frame and motivations that young people were mobilised by was one that was critical of the structure of the Northern Irish regime and discrimination against Catholics; it was the Republican movement and the Provisional IRA that reframed this as an anti-British campaign for the younger generation. Of course, there was extensive overlap and the two frames were complementary, however scholars underplay this distinction. </w:t>
      </w:r>
      <w:r>
        <w:rPr>
          <w:rFonts w:ascii="Times New Roman" w:hAnsi="Times New Roman" w:cs="Times New Roman"/>
        </w:rPr>
        <w:tab/>
      </w:r>
    </w:p>
    <w:p w14:paraId="3CE8C14E"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The Provisional IRA, under the leadership of the older generation, sought to subsume the anti-Stormont frame into its anti-British frame, and in many ways this successfully resonated with the younger generation. However, attempts at frame resonance came with two caveats. Firstly, the anti-Stormont frame was latent and it would be re-activated in the disengagement process. Secondly, an outcome of frame resonance, specifically through political education in prisons, was the strengthening of Irish and Catholic identity, not necessarily the older generation’s view of traditional Republicanism. Whilst this may have factored in on the sectarianism of the conflict, these two differences in how the Republican frame resonated would emerge in the 1980s.</w:t>
      </w:r>
    </w:p>
    <w:p w14:paraId="7178DC54" w14:textId="77777777" w:rsidR="00FE244D" w:rsidRDefault="00991000" w:rsidP="00B57C7F">
      <w:pPr>
        <w:spacing w:line="360" w:lineRule="auto"/>
        <w:jc w:val="both"/>
        <w:rPr>
          <w:rFonts w:ascii="Times New Roman" w:hAnsi="Times New Roman" w:cs="Times New Roman"/>
        </w:rPr>
      </w:pPr>
      <w:r>
        <w:rPr>
          <w:rFonts w:ascii="Times New Roman" w:hAnsi="Times New Roman" w:cs="Times New Roman"/>
        </w:rPr>
        <w:tab/>
        <w:t>Over the two decades from the emergence of the Provisional IRA, the older generation of leaders gradually lost authority to the younger (Troubles) generation based in the north. As discussed in the previous chapter, the failed disengagement process of 1975 undermined the authority of the older generation, which Adams and McGuinness would exploit in 1986</w:t>
      </w:r>
      <w:r w:rsidR="00B1546E">
        <w:rPr>
          <w:rFonts w:ascii="Times New Roman" w:hAnsi="Times New Roman" w:cs="Times New Roman"/>
        </w:rPr>
        <w:t>.</w:t>
      </w:r>
      <w:r>
        <w:rPr>
          <w:rStyle w:val="FootnoteReference"/>
          <w:rFonts w:ascii="Times New Roman" w:hAnsi="Times New Roman" w:cs="Times New Roman"/>
        </w:rPr>
        <w:footnoteReference w:id="361"/>
      </w:r>
      <w:r>
        <w:rPr>
          <w:rFonts w:ascii="Times New Roman" w:hAnsi="Times New Roman" w:cs="Times New Roman"/>
        </w:rPr>
        <w:t xml:space="preserve"> At the 1986 Ard Fheis, Adams and McGuinness spoke of removing the absention for the Dail in the Republic of Ireland, meaning that Sinn Fein would now take their seats in parliament. Following the Hunger Strikes, there was a belief that political participation could complement the armed struggle, which marked the beginning of the Provisional IRA and Sinn Fein’s </w:t>
      </w:r>
      <w:r>
        <w:rPr>
          <w:rFonts w:ascii="Times New Roman" w:hAnsi="Times New Roman" w:cs="Times New Roman"/>
        </w:rPr>
        <w:lastRenderedPageBreak/>
        <w:t xml:space="preserve">broad strategy. Critics claimed that a greater political dimension would bring an end to the armed struggle and would lead to a compromised negotiated settlement; while they were proven to be correct, delegates at the Ard Fheis were convinced by Adams and McGuinness, voting in huge numbers to accept the new strategy. In protest, the older generation of leaders walked out to form Republican Sinn Fein and then later Continuity IRA. </w:t>
      </w:r>
    </w:p>
    <w:p w14:paraId="484CA9B9" w14:textId="362B1D0A" w:rsidR="00991000" w:rsidRDefault="00991000" w:rsidP="00FE244D">
      <w:pPr>
        <w:spacing w:line="360" w:lineRule="auto"/>
        <w:ind w:firstLine="567"/>
        <w:jc w:val="both"/>
        <w:rPr>
          <w:rFonts w:ascii="Times New Roman" w:hAnsi="Times New Roman" w:cs="Times New Roman"/>
        </w:rPr>
      </w:pPr>
      <w:r>
        <w:rPr>
          <w:rFonts w:ascii="Times New Roman" w:hAnsi="Times New Roman" w:cs="Times New Roman"/>
        </w:rPr>
        <w:t>While this perspective emphasises the role of political participation</w:t>
      </w:r>
      <w:r w:rsidR="00A819AB">
        <w:rPr>
          <w:rFonts w:ascii="Times New Roman" w:hAnsi="Times New Roman" w:cs="Times New Roman"/>
        </w:rPr>
        <w:t>, or even the pursuit of political participation,</w:t>
      </w:r>
      <w:r>
        <w:rPr>
          <w:rFonts w:ascii="Times New Roman" w:hAnsi="Times New Roman" w:cs="Times New Roman"/>
        </w:rPr>
        <w:t xml:space="preserve"> in explaining moderation,</w:t>
      </w:r>
      <w:r w:rsidR="0010280C">
        <w:rPr>
          <w:rStyle w:val="FootnoteReference"/>
          <w:rFonts w:ascii="Times New Roman" w:hAnsi="Times New Roman" w:cs="Times New Roman"/>
        </w:rPr>
        <w:footnoteReference w:id="362"/>
      </w:r>
      <w:r>
        <w:rPr>
          <w:rFonts w:ascii="Times New Roman" w:hAnsi="Times New Roman" w:cs="Times New Roman"/>
        </w:rPr>
        <w:t xml:space="preserve"> the thesis adds greater emphasis on the generational gap outlined above. The traditional Republican frame never substantially resonated with the </w:t>
      </w:r>
      <w:r w:rsidR="001325FD">
        <w:rPr>
          <w:rFonts w:ascii="Times New Roman" w:hAnsi="Times New Roman" w:cs="Times New Roman"/>
        </w:rPr>
        <w:t xml:space="preserve">generation of the </w:t>
      </w:r>
      <w:r>
        <w:rPr>
          <w:rFonts w:ascii="Times New Roman" w:hAnsi="Times New Roman" w:cs="Times New Roman"/>
        </w:rPr>
        <w:t>Troubles, although this is not to say that they opposed it while the older generation of leaders were in the ascendancy. The components of this frame were not seen as principles, but mainly served to strengthen the identity of Republicans, and it was this diffusion of a Republican identity within society that provided a political route. As the conflict became shaped more by identity, this prompted a realisation that the ‘other’</w:t>
      </w:r>
      <w:r w:rsidR="00C4155F">
        <w:rPr>
          <w:rFonts w:ascii="Times New Roman" w:hAnsi="Times New Roman" w:cs="Times New Roman"/>
        </w:rPr>
        <w:t xml:space="preserve"> that needed to be addressed</w:t>
      </w:r>
      <w:r>
        <w:rPr>
          <w:rFonts w:ascii="Times New Roman" w:hAnsi="Times New Roman" w:cs="Times New Roman"/>
        </w:rPr>
        <w:t xml:space="preserve"> was not Britain, but the P</w:t>
      </w:r>
      <w:r w:rsidR="0010280C">
        <w:rPr>
          <w:rFonts w:ascii="Times New Roman" w:hAnsi="Times New Roman" w:cs="Times New Roman"/>
        </w:rPr>
        <w:t>rotestan</w:t>
      </w:r>
      <w:r w:rsidR="00FE244D">
        <w:rPr>
          <w:rFonts w:ascii="Times New Roman" w:hAnsi="Times New Roman" w:cs="Times New Roman"/>
        </w:rPr>
        <w:t>t</w:t>
      </w:r>
      <w:r w:rsidR="0010280C">
        <w:rPr>
          <w:rFonts w:ascii="Times New Roman" w:hAnsi="Times New Roman" w:cs="Times New Roman"/>
        </w:rPr>
        <w:t xml:space="preserve">, </w:t>
      </w:r>
      <w:r>
        <w:rPr>
          <w:rFonts w:ascii="Times New Roman" w:hAnsi="Times New Roman" w:cs="Times New Roman"/>
        </w:rPr>
        <w:t>U</w:t>
      </w:r>
      <w:r w:rsidR="0010280C">
        <w:rPr>
          <w:rFonts w:ascii="Times New Roman" w:hAnsi="Times New Roman" w:cs="Times New Roman"/>
        </w:rPr>
        <w:t xml:space="preserve">nionist, </w:t>
      </w:r>
      <w:r>
        <w:rPr>
          <w:rFonts w:ascii="Times New Roman" w:hAnsi="Times New Roman" w:cs="Times New Roman"/>
        </w:rPr>
        <w:t>L</w:t>
      </w:r>
      <w:r w:rsidR="0010280C">
        <w:rPr>
          <w:rFonts w:ascii="Times New Roman" w:hAnsi="Times New Roman" w:cs="Times New Roman"/>
        </w:rPr>
        <w:t>oyalist (PUL)</w:t>
      </w:r>
      <w:r>
        <w:rPr>
          <w:rFonts w:ascii="Times New Roman" w:hAnsi="Times New Roman" w:cs="Times New Roman"/>
        </w:rPr>
        <w:t xml:space="preserve"> community, which is discussed further below.</w:t>
      </w:r>
    </w:p>
    <w:p w14:paraId="4017F69F"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While the thesis is focusing on the evolution of frames and identity, this does not mean it neglects other factors which led to the Provisional IRA’s new strategy. Yet the thesis argues that the following mainstream arguments are also related to and reinforced the points made above. The most important factor was the weakening utility of armed struggle, but this should not be understood as a weakening of capabilities, which remained s</w:t>
      </w:r>
      <w:r w:rsidR="0010280C">
        <w:rPr>
          <w:rFonts w:ascii="Times New Roman" w:hAnsi="Times New Roman" w:cs="Times New Roman"/>
        </w:rPr>
        <w:t xml:space="preserve">ignificant </w:t>
      </w:r>
      <w:r>
        <w:rPr>
          <w:rFonts w:ascii="Times New Roman" w:hAnsi="Times New Roman" w:cs="Times New Roman"/>
        </w:rPr>
        <w:t>throughout the disengagement process</w:t>
      </w:r>
      <w:r w:rsidR="0010280C">
        <w:rPr>
          <w:rFonts w:ascii="Times New Roman" w:hAnsi="Times New Roman" w:cs="Times New Roman"/>
        </w:rPr>
        <w:t xml:space="preserve"> even if it was not enough to force a British withdrawal</w:t>
      </w:r>
      <w:r>
        <w:rPr>
          <w:rFonts w:ascii="Times New Roman" w:hAnsi="Times New Roman" w:cs="Times New Roman"/>
        </w:rPr>
        <w:t>. Firstly, relatively lower control beliefs</w:t>
      </w:r>
      <w:r>
        <w:rPr>
          <w:rStyle w:val="FootnoteReference"/>
          <w:rFonts w:ascii="Times New Roman" w:hAnsi="Times New Roman" w:cs="Times New Roman"/>
        </w:rPr>
        <w:footnoteReference w:id="363"/>
      </w:r>
      <w:r>
        <w:rPr>
          <w:rFonts w:ascii="Times New Roman" w:hAnsi="Times New Roman" w:cs="Times New Roman"/>
        </w:rPr>
        <w:t xml:space="preserve"> with regard to armed struggle increased the perceived benefits of the political route. However, while members recognised they could not win the war, the </w:t>
      </w:r>
      <w:r>
        <w:rPr>
          <w:rFonts w:ascii="Times New Roman" w:hAnsi="Times New Roman" w:cs="Times New Roman"/>
        </w:rPr>
        <w:lastRenderedPageBreak/>
        <w:t>acknowledgement that they also could not be defeated by the British Secretary of State helped a number of key figures to accept disengagement:</w:t>
      </w:r>
    </w:p>
    <w:p w14:paraId="725D187C" w14:textId="77777777" w:rsidR="0091749D" w:rsidRDefault="0091749D" w:rsidP="00B57C7F">
      <w:pPr>
        <w:spacing w:line="360" w:lineRule="auto"/>
        <w:ind w:firstLine="567"/>
        <w:jc w:val="both"/>
        <w:rPr>
          <w:rFonts w:ascii="Times New Roman" w:hAnsi="Times New Roman" w:cs="Times New Roman"/>
        </w:rPr>
      </w:pPr>
    </w:p>
    <w:p w14:paraId="78814E5F" w14:textId="77777777" w:rsidR="00991000" w:rsidRDefault="00991000" w:rsidP="00B57C7F">
      <w:pPr>
        <w:spacing w:line="360" w:lineRule="auto"/>
        <w:ind w:left="567" w:right="567"/>
        <w:jc w:val="both"/>
        <w:rPr>
          <w:rFonts w:ascii="Times New Roman" w:hAnsi="Times New Roman" w:cs="Times New Roman"/>
          <w:i/>
          <w:color w:val="000000"/>
        </w:rPr>
      </w:pPr>
      <w:r>
        <w:rPr>
          <w:rFonts w:ascii="Times New Roman" w:hAnsi="Times New Roman" w:cs="Times New Roman"/>
          <w:i/>
          <w:color w:val="000000"/>
        </w:rPr>
        <w:t>[The Hunger Strikes]</w:t>
      </w:r>
      <w:r w:rsidRPr="009C1B6A">
        <w:rPr>
          <w:rFonts w:ascii="Times New Roman" w:hAnsi="Times New Roman" w:cs="Times New Roman"/>
          <w:i/>
          <w:color w:val="000000"/>
        </w:rPr>
        <w:t xml:space="preserve"> period made it much harder to have the debate</w:t>
      </w:r>
      <w:r>
        <w:rPr>
          <w:rFonts w:ascii="Times New Roman" w:hAnsi="Times New Roman" w:cs="Times New Roman"/>
          <w:i/>
          <w:color w:val="000000"/>
        </w:rPr>
        <w:t xml:space="preserve"> [on disengagement]</w:t>
      </w:r>
      <w:r w:rsidRPr="009C1B6A">
        <w:rPr>
          <w:rFonts w:ascii="Times New Roman" w:hAnsi="Times New Roman" w:cs="Times New Roman"/>
          <w:i/>
          <w:color w:val="000000"/>
        </w:rPr>
        <w:t>.</w:t>
      </w:r>
      <w:r>
        <w:rPr>
          <w:rFonts w:ascii="Times New Roman" w:hAnsi="Times New Roman" w:cs="Times New Roman"/>
          <w:i/>
          <w:color w:val="000000"/>
        </w:rPr>
        <w:t xml:space="preserve"> But</w:t>
      </w:r>
      <w:r>
        <w:rPr>
          <w:color w:val="000000"/>
          <w:sz w:val="23"/>
          <w:szCs w:val="23"/>
        </w:rPr>
        <w:t xml:space="preserve"> </w:t>
      </w:r>
      <w:r w:rsidRPr="009C1B6A">
        <w:rPr>
          <w:rFonts w:ascii="Times New Roman" w:hAnsi="Times New Roman" w:cs="Times New Roman"/>
          <w:i/>
          <w:color w:val="000000"/>
        </w:rPr>
        <w:t>I do remember the day when [the British S</w:t>
      </w:r>
      <w:r>
        <w:rPr>
          <w:rFonts w:ascii="Times New Roman" w:hAnsi="Times New Roman" w:cs="Times New Roman"/>
          <w:i/>
          <w:color w:val="000000"/>
        </w:rPr>
        <w:t xml:space="preserve">ecretary </w:t>
      </w:r>
      <w:r w:rsidRPr="009C1B6A">
        <w:rPr>
          <w:rFonts w:ascii="Times New Roman" w:hAnsi="Times New Roman" w:cs="Times New Roman"/>
          <w:i/>
          <w:color w:val="000000"/>
        </w:rPr>
        <w:t>o</w:t>
      </w:r>
      <w:r>
        <w:rPr>
          <w:rFonts w:ascii="Times New Roman" w:hAnsi="Times New Roman" w:cs="Times New Roman"/>
          <w:i/>
          <w:color w:val="000000"/>
        </w:rPr>
        <w:t xml:space="preserve">f </w:t>
      </w:r>
      <w:r w:rsidRPr="009C1B6A">
        <w:rPr>
          <w:rFonts w:ascii="Times New Roman" w:hAnsi="Times New Roman" w:cs="Times New Roman"/>
          <w:i/>
          <w:color w:val="000000"/>
        </w:rPr>
        <w:t>S</w:t>
      </w:r>
      <w:r>
        <w:rPr>
          <w:rFonts w:ascii="Times New Roman" w:hAnsi="Times New Roman" w:cs="Times New Roman"/>
          <w:i/>
          <w:color w:val="000000"/>
        </w:rPr>
        <w:t>tate</w:t>
      </w:r>
      <w:r w:rsidRPr="009C1B6A">
        <w:rPr>
          <w:rFonts w:ascii="Times New Roman" w:hAnsi="Times New Roman" w:cs="Times New Roman"/>
          <w:i/>
          <w:color w:val="000000"/>
        </w:rPr>
        <w:t>] made an aside that the British couldn’t defeat the IRA. And that was the one-liner that opened [things] up, and thinking ‘that’s very interesting’. And I remember phoning people up and asking ‘did you hear that statement?’ Some people were going ‘well they have been saying that for ages’, and you were going ‘no, they haven’t, they haven’t ever said that’. So that perhaps was an open, throwing the door open to see if we would come through it or an invitation</w:t>
      </w:r>
      <w:r w:rsidR="00B1546E">
        <w:rPr>
          <w:rFonts w:ascii="Times New Roman" w:hAnsi="Times New Roman" w:cs="Times New Roman"/>
          <w:i/>
          <w:color w:val="000000"/>
        </w:rPr>
        <w:t>.</w:t>
      </w:r>
      <w:r>
        <w:rPr>
          <w:rStyle w:val="FootnoteReference"/>
          <w:rFonts w:ascii="Times New Roman" w:hAnsi="Times New Roman" w:cs="Times New Roman"/>
          <w:i/>
          <w:color w:val="000000"/>
        </w:rPr>
        <w:footnoteReference w:id="364"/>
      </w:r>
    </w:p>
    <w:p w14:paraId="13A88023" w14:textId="77777777" w:rsidR="0091749D" w:rsidRPr="009C1B6A" w:rsidRDefault="0091749D" w:rsidP="00B57C7F">
      <w:pPr>
        <w:spacing w:line="360" w:lineRule="auto"/>
        <w:ind w:left="567" w:right="567" w:firstLine="567"/>
        <w:jc w:val="both"/>
        <w:rPr>
          <w:rFonts w:ascii="Times New Roman" w:hAnsi="Times New Roman" w:cs="Times New Roman"/>
          <w:i/>
        </w:rPr>
      </w:pPr>
    </w:p>
    <w:p w14:paraId="4248684D" w14:textId="034CDA16" w:rsidR="00991000" w:rsidRPr="00C147EA" w:rsidRDefault="00991000" w:rsidP="00B57C7F">
      <w:pPr>
        <w:spacing w:line="360" w:lineRule="auto"/>
        <w:ind w:firstLine="567"/>
        <w:jc w:val="both"/>
        <w:rPr>
          <w:rFonts w:ascii="Times New Roman" w:hAnsi="Times New Roman" w:cs="Times New Roman"/>
          <w:i/>
        </w:rPr>
      </w:pPr>
      <w:r>
        <w:rPr>
          <w:rFonts w:ascii="Times New Roman" w:hAnsi="Times New Roman" w:cs="Times New Roman"/>
        </w:rPr>
        <w:t xml:space="preserve"> Secondly, the counter-terrorism strategy</w:t>
      </w:r>
      <w:r>
        <w:rPr>
          <w:rStyle w:val="FootnoteReference"/>
          <w:rFonts w:ascii="Times New Roman" w:hAnsi="Times New Roman" w:cs="Times New Roman"/>
        </w:rPr>
        <w:footnoteReference w:id="365"/>
      </w:r>
      <w:r>
        <w:rPr>
          <w:rFonts w:ascii="Times New Roman" w:hAnsi="Times New Roman" w:cs="Times New Roman"/>
        </w:rPr>
        <w:t xml:space="preserve"> that the Provisional IRA faced in </w:t>
      </w:r>
      <w:r w:rsidR="00FE244D">
        <w:rPr>
          <w:rFonts w:ascii="Times New Roman" w:hAnsi="Times New Roman" w:cs="Times New Roman"/>
        </w:rPr>
        <w:t>the mid-1970s</w:t>
      </w:r>
      <w:r>
        <w:rPr>
          <w:rFonts w:ascii="Times New Roman" w:hAnsi="Times New Roman" w:cs="Times New Roman"/>
        </w:rPr>
        <w:t xml:space="preserve"> prompted them to restructure their organisation to a tight cellular structure. This limited the scope of operations but improved their efficiency</w:t>
      </w:r>
      <w:r w:rsidR="0010280C">
        <w:rPr>
          <w:rFonts w:ascii="Times New Roman" w:hAnsi="Times New Roman" w:cs="Times New Roman"/>
        </w:rPr>
        <w:t>, yet in the 1980s improved British surveillance and, according to Moloney, a high-ranking informer, undermined this capacity</w:t>
      </w:r>
      <w:r>
        <w:rPr>
          <w:rFonts w:ascii="Times New Roman" w:hAnsi="Times New Roman" w:cs="Times New Roman"/>
        </w:rPr>
        <w:t>.</w:t>
      </w:r>
      <w:r w:rsidR="0010280C">
        <w:rPr>
          <w:rStyle w:val="FootnoteReference"/>
          <w:rFonts w:ascii="Times New Roman" w:hAnsi="Times New Roman" w:cs="Times New Roman"/>
        </w:rPr>
        <w:footnoteReference w:id="366"/>
      </w:r>
      <w:r>
        <w:rPr>
          <w:rFonts w:ascii="Times New Roman" w:hAnsi="Times New Roman" w:cs="Times New Roman"/>
        </w:rPr>
        <w:t xml:space="preserve"> Crucially, </w:t>
      </w:r>
      <w:r w:rsidR="0010280C">
        <w:rPr>
          <w:rFonts w:ascii="Times New Roman" w:hAnsi="Times New Roman" w:cs="Times New Roman"/>
        </w:rPr>
        <w:t>the new organisational structure</w:t>
      </w:r>
      <w:r>
        <w:rPr>
          <w:rFonts w:ascii="Times New Roman" w:hAnsi="Times New Roman" w:cs="Times New Roman"/>
        </w:rPr>
        <w:t xml:space="preserve"> decreased the extent of recruitment which gave the Troubles generation a hegemonic role within the movement. Eventually a substantial number of this generation became imprisoned</w:t>
      </w:r>
      <w:r w:rsidR="00B1546E">
        <w:rPr>
          <w:rFonts w:ascii="Times New Roman" w:hAnsi="Times New Roman" w:cs="Times New Roman"/>
        </w:rPr>
        <w:t>,</w:t>
      </w:r>
      <w:r>
        <w:rPr>
          <w:rStyle w:val="FootnoteReference"/>
          <w:rFonts w:ascii="Times New Roman" w:hAnsi="Times New Roman" w:cs="Times New Roman"/>
        </w:rPr>
        <w:footnoteReference w:id="367"/>
      </w:r>
      <w:r>
        <w:rPr>
          <w:rFonts w:ascii="Times New Roman" w:hAnsi="Times New Roman" w:cs="Times New Roman"/>
        </w:rPr>
        <w:t xml:space="preserve"> and the new activists became less experienced and made more mistakes</w:t>
      </w:r>
      <w:r w:rsidR="00B1546E">
        <w:rPr>
          <w:rFonts w:ascii="Times New Roman" w:hAnsi="Times New Roman" w:cs="Times New Roman"/>
        </w:rPr>
        <w:t>.</w:t>
      </w:r>
      <w:r>
        <w:rPr>
          <w:rStyle w:val="FootnoteReference"/>
          <w:rFonts w:ascii="Times New Roman" w:hAnsi="Times New Roman" w:cs="Times New Roman"/>
        </w:rPr>
        <w:footnoteReference w:id="368"/>
      </w:r>
      <w:r>
        <w:rPr>
          <w:rFonts w:ascii="Times New Roman" w:hAnsi="Times New Roman" w:cs="Times New Roman"/>
        </w:rPr>
        <w:t xml:space="preserve"> Thus, while most research emphasises the effect of counter-terrorism strategy on limiting the efficacy of armed struggle, which it did to an extent, th</w:t>
      </w:r>
      <w:r w:rsidR="0010280C">
        <w:rPr>
          <w:rFonts w:ascii="Times New Roman" w:hAnsi="Times New Roman" w:cs="Times New Roman"/>
        </w:rPr>
        <w:t>e</w:t>
      </w:r>
      <w:r>
        <w:rPr>
          <w:rFonts w:ascii="Times New Roman" w:hAnsi="Times New Roman" w:cs="Times New Roman"/>
        </w:rPr>
        <w:t xml:space="preserve"> thesis argues that </w:t>
      </w:r>
      <w:r w:rsidR="0010280C">
        <w:rPr>
          <w:rFonts w:ascii="Times New Roman" w:hAnsi="Times New Roman" w:cs="Times New Roman"/>
        </w:rPr>
        <w:t>another</w:t>
      </w:r>
      <w:r>
        <w:rPr>
          <w:rFonts w:ascii="Times New Roman" w:hAnsi="Times New Roman" w:cs="Times New Roman"/>
        </w:rPr>
        <w:t xml:space="preserve"> significant outcome was that it (unintentionally) secured the hegemonic role of the Troubles generation within the movement, by undermining </w:t>
      </w:r>
      <w:r>
        <w:rPr>
          <w:rFonts w:ascii="Times New Roman" w:hAnsi="Times New Roman" w:cs="Times New Roman"/>
        </w:rPr>
        <w:lastRenderedPageBreak/>
        <w:t>the old generation and subordinating the new recruits. Thirdly, while Ulsterisation</w:t>
      </w:r>
      <w:r>
        <w:rPr>
          <w:rStyle w:val="FootnoteReference"/>
          <w:rFonts w:ascii="Times New Roman" w:hAnsi="Times New Roman" w:cs="Times New Roman"/>
        </w:rPr>
        <w:footnoteReference w:id="369"/>
      </w:r>
      <w:r>
        <w:rPr>
          <w:rFonts w:ascii="Times New Roman" w:hAnsi="Times New Roman" w:cs="Times New Roman"/>
        </w:rPr>
        <w:t xml:space="preserve"> was seen to reduce the number of British soldiers being killed, for the Provisional IRA this was not a game-changer because ‘the RUC was not seen as part of our community’</w:t>
      </w:r>
      <w:r w:rsidR="00B1546E">
        <w:rPr>
          <w:rFonts w:ascii="Times New Roman" w:hAnsi="Times New Roman" w:cs="Times New Roman"/>
        </w:rPr>
        <w:t>.</w:t>
      </w:r>
      <w:r>
        <w:rPr>
          <w:rStyle w:val="FootnoteReference"/>
          <w:rFonts w:ascii="Times New Roman" w:hAnsi="Times New Roman" w:cs="Times New Roman"/>
        </w:rPr>
        <w:footnoteReference w:id="370"/>
      </w:r>
      <w:r>
        <w:rPr>
          <w:rFonts w:ascii="Times New Roman" w:hAnsi="Times New Roman" w:cs="Times New Roman"/>
        </w:rPr>
        <w:t xml:space="preserve"> The RUC had been seen as an entirely illegitimate police force</w:t>
      </w:r>
      <w:r w:rsidR="001325FD">
        <w:rPr>
          <w:rFonts w:ascii="Times New Roman" w:hAnsi="Times New Roman" w:cs="Times New Roman"/>
        </w:rPr>
        <w:t xml:space="preserve"> which was a colonial force, </w:t>
      </w:r>
      <w:r>
        <w:rPr>
          <w:rFonts w:ascii="Times New Roman" w:hAnsi="Times New Roman" w:cs="Times New Roman"/>
        </w:rPr>
        <w:t>an appendage of the British army</w:t>
      </w:r>
      <w:r w:rsidR="00B1546E">
        <w:rPr>
          <w:rFonts w:ascii="Times New Roman" w:hAnsi="Times New Roman" w:cs="Times New Roman"/>
        </w:rPr>
        <w:t>,</w:t>
      </w:r>
      <w:r>
        <w:rPr>
          <w:rStyle w:val="FootnoteReference"/>
          <w:rFonts w:ascii="Times New Roman" w:hAnsi="Times New Roman" w:cs="Times New Roman"/>
        </w:rPr>
        <w:footnoteReference w:id="371"/>
      </w:r>
      <w:r>
        <w:rPr>
          <w:rFonts w:ascii="Times New Roman" w:hAnsi="Times New Roman" w:cs="Times New Roman"/>
        </w:rPr>
        <w:t xml:space="preserve"> and importantly, it was staffed mostly </w:t>
      </w:r>
      <w:r w:rsidR="006D7CAE">
        <w:rPr>
          <w:rFonts w:ascii="Times New Roman" w:hAnsi="Times New Roman" w:cs="Times New Roman"/>
        </w:rPr>
        <w:t xml:space="preserve">by the </w:t>
      </w:r>
      <w:r w:rsidR="0010280C">
        <w:rPr>
          <w:rFonts w:ascii="Times New Roman" w:hAnsi="Times New Roman" w:cs="Times New Roman"/>
        </w:rPr>
        <w:t>PUL</w:t>
      </w:r>
      <w:r w:rsidR="006D7CAE">
        <w:rPr>
          <w:rFonts w:ascii="Times New Roman" w:hAnsi="Times New Roman" w:cs="Times New Roman"/>
        </w:rPr>
        <w:t xml:space="preserve"> community</w:t>
      </w:r>
      <w:r>
        <w:rPr>
          <w:rFonts w:ascii="Times New Roman" w:hAnsi="Times New Roman" w:cs="Times New Roman"/>
        </w:rPr>
        <w:t xml:space="preserve">. </w:t>
      </w:r>
      <w:r w:rsidR="006D7CAE">
        <w:rPr>
          <w:rFonts w:ascii="Times New Roman" w:hAnsi="Times New Roman" w:cs="Times New Roman"/>
        </w:rPr>
        <w:t>Th</w:t>
      </w:r>
      <w:r>
        <w:rPr>
          <w:rFonts w:ascii="Times New Roman" w:hAnsi="Times New Roman" w:cs="Times New Roman"/>
        </w:rPr>
        <w:t>us, while Ulsterisation increased the sectarian dimension of the conflict, it also worked to increase the trend toward changing the Provisional IRA’s frame of analysing the causes of the conflict. Whereas the traditional Republican frame located the problem in British colonialism and imperialism, members of the Provisional IRA began to recognise that it was the PUL community that were the ‘problem’</w:t>
      </w:r>
      <w:r w:rsidR="00DE2664">
        <w:rPr>
          <w:rFonts w:ascii="Times New Roman" w:hAnsi="Times New Roman" w:cs="Times New Roman"/>
        </w:rPr>
        <w:t>, and this was a view that gradually grew as dialogue increased</w:t>
      </w:r>
      <w:r w:rsidR="00B1546E">
        <w:rPr>
          <w:rFonts w:ascii="Times New Roman" w:hAnsi="Times New Roman" w:cs="Times New Roman"/>
        </w:rPr>
        <w:t>.</w:t>
      </w:r>
      <w:r>
        <w:rPr>
          <w:rStyle w:val="FootnoteReference"/>
          <w:rFonts w:ascii="Times New Roman" w:hAnsi="Times New Roman" w:cs="Times New Roman"/>
        </w:rPr>
        <w:footnoteReference w:id="372"/>
      </w:r>
      <w:r>
        <w:rPr>
          <w:rFonts w:ascii="Times New Roman" w:hAnsi="Times New Roman" w:cs="Times New Roman"/>
        </w:rPr>
        <w:t xml:space="preserve"> Given how the traditional Republican frame portrayed the PUL community as confused Irishmen living in false consciousness</w:t>
      </w:r>
      <w:r w:rsidR="00B1546E">
        <w:rPr>
          <w:rFonts w:ascii="Times New Roman" w:hAnsi="Times New Roman" w:cs="Times New Roman"/>
        </w:rPr>
        <w:t>,</w:t>
      </w:r>
      <w:r>
        <w:rPr>
          <w:rStyle w:val="FootnoteReference"/>
          <w:rFonts w:ascii="Times New Roman" w:hAnsi="Times New Roman" w:cs="Times New Roman"/>
        </w:rPr>
        <w:footnoteReference w:id="373"/>
      </w:r>
      <w:r>
        <w:rPr>
          <w:rFonts w:ascii="Times New Roman" w:hAnsi="Times New Roman" w:cs="Times New Roman"/>
        </w:rPr>
        <w:t xml:space="preserve"> the transformation of the frame to include their grievances had an impact on how Republican goals could stil</w:t>
      </w:r>
      <w:r w:rsidR="001325FD">
        <w:rPr>
          <w:rFonts w:ascii="Times New Roman" w:hAnsi="Times New Roman" w:cs="Times New Roman"/>
        </w:rPr>
        <w:t xml:space="preserve">l be achieved. As one interviewee noted, </w:t>
      </w:r>
      <w:r w:rsidR="001325FD" w:rsidRPr="001325FD">
        <w:rPr>
          <w:rFonts w:ascii="Times New Roman" w:hAnsi="Times New Roman" w:cs="Times New Roman"/>
        </w:rPr>
        <w:t>‘</w:t>
      </w:r>
      <w:r w:rsidRPr="001325FD">
        <w:rPr>
          <w:rFonts w:ascii="Times New Roman" w:hAnsi="Times New Roman" w:cs="Times New Roman"/>
        </w:rPr>
        <w:t>I remember speaking to a priest and said that we cannot bomb the loyalists out [of Ireland]</w:t>
      </w:r>
      <w:r w:rsidR="0010280C">
        <w:rPr>
          <w:rFonts w:ascii="Times New Roman" w:hAnsi="Times New Roman" w:cs="Times New Roman"/>
        </w:rPr>
        <w:t>’</w:t>
      </w:r>
      <w:r w:rsidR="001325FD">
        <w:rPr>
          <w:rFonts w:ascii="Times New Roman" w:hAnsi="Times New Roman" w:cs="Times New Roman"/>
        </w:rPr>
        <w:t>.</w:t>
      </w:r>
      <w:r w:rsidRPr="001325FD">
        <w:rPr>
          <w:rStyle w:val="FootnoteReference"/>
          <w:rFonts w:ascii="Times New Roman" w:hAnsi="Times New Roman" w:cs="Times New Roman"/>
        </w:rPr>
        <w:footnoteReference w:id="374"/>
      </w:r>
    </w:p>
    <w:p w14:paraId="6ED6248B"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Finally, another explanation for the evolution of the Provisional IRA that is commonly cited is with regard to interaction with the community. The 1975 ceasefire unintentionally increased the role of Sinn Fein and the Provisional IRA in the community.</w:t>
      </w:r>
      <w:r w:rsidR="0010280C">
        <w:rPr>
          <w:rStyle w:val="FootnoteReference"/>
          <w:rFonts w:ascii="Times New Roman" w:hAnsi="Times New Roman" w:cs="Times New Roman"/>
        </w:rPr>
        <w:footnoteReference w:id="375"/>
      </w:r>
      <w:r>
        <w:rPr>
          <w:rFonts w:ascii="Times New Roman" w:hAnsi="Times New Roman" w:cs="Times New Roman"/>
        </w:rPr>
        <w:t xml:space="preserve"> While scholars would emphasise how this provided the groundwork for a political dimension years later, the thesis argues that it also played a significant role in diffusing the Republican frame, which had become more identity-based, around the communities the Provisional IRA were based. Of course, there were already pre-existent relations but this had increased. While Malthaner demonstrates how interaction with supporters can moderate a militant group, the thesis argues that it was not the Republican communities that </w:t>
      </w:r>
      <w:r w:rsidR="006B3670">
        <w:rPr>
          <w:rFonts w:ascii="Times New Roman" w:hAnsi="Times New Roman" w:cs="Times New Roman"/>
        </w:rPr>
        <w:t xml:space="preserve">were the driving force </w:t>
      </w:r>
      <w:r w:rsidR="006B3670">
        <w:rPr>
          <w:rFonts w:ascii="Times New Roman" w:hAnsi="Times New Roman" w:cs="Times New Roman"/>
        </w:rPr>
        <w:lastRenderedPageBreak/>
        <w:t xml:space="preserve">for moderation. Instead, the initial </w:t>
      </w:r>
      <w:r w:rsidR="0010280C">
        <w:rPr>
          <w:rFonts w:ascii="Times New Roman" w:hAnsi="Times New Roman" w:cs="Times New Roman"/>
        </w:rPr>
        <w:t>steps toward moderation were le</w:t>
      </w:r>
      <w:r w:rsidR="006B3670">
        <w:rPr>
          <w:rFonts w:ascii="Times New Roman" w:hAnsi="Times New Roman" w:cs="Times New Roman"/>
        </w:rPr>
        <w:t>d</w:t>
      </w:r>
      <w:r>
        <w:rPr>
          <w:rFonts w:ascii="Times New Roman" w:hAnsi="Times New Roman" w:cs="Times New Roman"/>
        </w:rPr>
        <w:t xml:space="preserve"> </w:t>
      </w:r>
      <w:r w:rsidR="0010280C">
        <w:rPr>
          <w:rFonts w:ascii="Times New Roman" w:hAnsi="Times New Roman" w:cs="Times New Roman"/>
        </w:rPr>
        <w:t xml:space="preserve">by a </w:t>
      </w:r>
      <w:r>
        <w:rPr>
          <w:rFonts w:ascii="Times New Roman" w:hAnsi="Times New Roman" w:cs="Times New Roman"/>
        </w:rPr>
        <w:t xml:space="preserve">small but dedicated base </w:t>
      </w:r>
      <w:r w:rsidR="006B3670">
        <w:rPr>
          <w:rFonts w:ascii="Times New Roman" w:hAnsi="Times New Roman" w:cs="Times New Roman"/>
        </w:rPr>
        <w:t xml:space="preserve">of activists within the Provisional IRA which </w:t>
      </w:r>
      <w:r w:rsidR="006B3670" w:rsidRPr="006B3670">
        <w:rPr>
          <w:rFonts w:ascii="Times New Roman" w:hAnsi="Times New Roman" w:cs="Times New Roman"/>
          <w:i/>
          <w:iCs/>
        </w:rPr>
        <w:t>then</w:t>
      </w:r>
      <w:r w:rsidR="006B3670">
        <w:rPr>
          <w:rFonts w:ascii="Times New Roman" w:hAnsi="Times New Roman" w:cs="Times New Roman"/>
        </w:rPr>
        <w:t xml:space="preserve"> began to diffuse throughout Republican communities. </w:t>
      </w:r>
      <w:r>
        <w:rPr>
          <w:rFonts w:ascii="Times New Roman" w:hAnsi="Times New Roman" w:cs="Times New Roman"/>
        </w:rPr>
        <w:t xml:space="preserve">Of course, there were voices </w:t>
      </w:r>
      <w:r w:rsidR="006B3670">
        <w:rPr>
          <w:rFonts w:ascii="Times New Roman" w:hAnsi="Times New Roman" w:cs="Times New Roman"/>
        </w:rPr>
        <w:t xml:space="preserve">from the community </w:t>
      </w:r>
      <w:r>
        <w:rPr>
          <w:rFonts w:ascii="Times New Roman" w:hAnsi="Times New Roman" w:cs="Times New Roman"/>
        </w:rPr>
        <w:t>who did oppose violence, yet this did not have the impact that Malthaner suggests, at least according to one interviewee</w:t>
      </w:r>
      <w:r w:rsidR="006B3670">
        <w:rPr>
          <w:rFonts w:ascii="Times New Roman" w:hAnsi="Times New Roman" w:cs="Times New Roman"/>
        </w:rPr>
        <w:t xml:space="preserve"> who played a crucial role in winning support for disengagement among Provisional IRA hardliners</w:t>
      </w:r>
      <w:r>
        <w:rPr>
          <w:rFonts w:ascii="Times New Roman" w:hAnsi="Times New Roman" w:cs="Times New Roman"/>
        </w:rPr>
        <w:t>. He stated that:</w:t>
      </w:r>
    </w:p>
    <w:p w14:paraId="2844C8C8" w14:textId="77777777" w:rsidR="00991000" w:rsidRDefault="00991000" w:rsidP="00B57C7F">
      <w:pPr>
        <w:spacing w:line="360" w:lineRule="auto"/>
        <w:ind w:firstLine="567"/>
        <w:jc w:val="both"/>
        <w:rPr>
          <w:rFonts w:ascii="Times New Roman" w:hAnsi="Times New Roman" w:cs="Times New Roman"/>
        </w:rPr>
      </w:pPr>
    </w:p>
    <w:p w14:paraId="71D763DD" w14:textId="4213CE24" w:rsidR="00991000" w:rsidRDefault="00991000" w:rsidP="00B57C7F">
      <w:pPr>
        <w:spacing w:line="360" w:lineRule="auto"/>
        <w:ind w:left="567" w:right="567"/>
        <w:jc w:val="both"/>
        <w:rPr>
          <w:rFonts w:ascii="Times New Roman" w:hAnsi="Times New Roman" w:cs="Times New Roman"/>
          <w:i/>
        </w:rPr>
      </w:pPr>
      <w:r w:rsidRPr="004C1677">
        <w:rPr>
          <w:rFonts w:ascii="Times New Roman" w:hAnsi="Times New Roman" w:cs="Times New Roman"/>
          <w:i/>
        </w:rPr>
        <w:t xml:space="preserve">Community revulsion to the armed struggle had been present throughout the conflict and it did not have an impact, although if there were problems with </w:t>
      </w:r>
      <w:r>
        <w:rPr>
          <w:rFonts w:ascii="Times New Roman" w:hAnsi="Times New Roman" w:cs="Times New Roman"/>
          <w:i/>
        </w:rPr>
        <w:t xml:space="preserve">tactics, then </w:t>
      </w:r>
      <w:r w:rsidR="0071475B">
        <w:rPr>
          <w:rFonts w:ascii="Times New Roman" w:hAnsi="Times New Roman" w:cs="Times New Roman"/>
          <w:i/>
        </w:rPr>
        <w:t>you would just change it…</w:t>
      </w:r>
      <w:r w:rsidRPr="004C1677">
        <w:rPr>
          <w:rFonts w:ascii="Times New Roman" w:hAnsi="Times New Roman" w:cs="Times New Roman"/>
          <w:i/>
        </w:rPr>
        <w:t>There was no straw that would have broken the camel’s back. There was always latent support which could not be affected. The Brits could curtail armed action but it would have no effect on community support.</w:t>
      </w:r>
      <w:r>
        <w:rPr>
          <w:rStyle w:val="FootnoteReference"/>
          <w:rFonts w:ascii="Times New Roman" w:hAnsi="Times New Roman" w:cs="Times New Roman"/>
          <w:i/>
        </w:rPr>
        <w:footnoteReference w:id="376"/>
      </w:r>
    </w:p>
    <w:p w14:paraId="6F1F12DD" w14:textId="77777777" w:rsidR="00991000" w:rsidRPr="004C1677" w:rsidRDefault="00991000" w:rsidP="00B57C7F">
      <w:pPr>
        <w:spacing w:line="360" w:lineRule="auto"/>
        <w:ind w:left="567" w:right="567"/>
        <w:jc w:val="both"/>
        <w:rPr>
          <w:rFonts w:ascii="Times New Roman" w:hAnsi="Times New Roman" w:cs="Times New Roman"/>
          <w:i/>
        </w:rPr>
      </w:pPr>
      <w:r w:rsidRPr="004C1677">
        <w:rPr>
          <w:rFonts w:ascii="Times New Roman" w:hAnsi="Times New Roman" w:cs="Times New Roman"/>
          <w:i/>
        </w:rPr>
        <w:t xml:space="preserve"> </w:t>
      </w:r>
    </w:p>
    <w:p w14:paraId="1623929C"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However, the newly accentuated difference between the Republican and nationalist community meant that by the 1980s when Sinn Fein were engaged in a political approach, it had to bridge the frame it had cultivated in Republican communities with the nationalist community, and even to an extent the Unionist community (firstly through Eira Nua, secondly, and much later, power-s</w:t>
      </w:r>
      <w:r w:rsidR="001325FD">
        <w:rPr>
          <w:rFonts w:ascii="Times New Roman" w:hAnsi="Times New Roman" w:cs="Times New Roman"/>
        </w:rPr>
        <w:t>haring). The double-edged sword here</w:t>
      </w:r>
      <w:r>
        <w:rPr>
          <w:rFonts w:ascii="Times New Roman" w:hAnsi="Times New Roman" w:cs="Times New Roman"/>
        </w:rPr>
        <w:t xml:space="preserve"> was interaction in the early 1990s only occurred between elites</w:t>
      </w:r>
      <w:r w:rsidR="001325FD">
        <w:rPr>
          <w:rFonts w:ascii="Times New Roman" w:hAnsi="Times New Roman" w:cs="Times New Roman"/>
        </w:rPr>
        <w:t>.</w:t>
      </w:r>
      <w:r>
        <w:rPr>
          <w:rFonts w:ascii="Times New Roman" w:hAnsi="Times New Roman" w:cs="Times New Roman"/>
        </w:rPr>
        <w:t xml:space="preserve"> </w:t>
      </w:r>
      <w:r w:rsidR="001325FD">
        <w:rPr>
          <w:rFonts w:ascii="Times New Roman" w:hAnsi="Times New Roman" w:cs="Times New Roman"/>
        </w:rPr>
        <w:t>T</w:t>
      </w:r>
      <w:r>
        <w:rPr>
          <w:rFonts w:ascii="Times New Roman" w:hAnsi="Times New Roman" w:cs="Times New Roman"/>
        </w:rPr>
        <w:t>herefore, having diffused the Republican frame throughout pockets of communities, any disengagement process would have to convince not only Provisional IRA members, but also sympathisers:</w:t>
      </w:r>
    </w:p>
    <w:p w14:paraId="6DBC3AEB" w14:textId="77777777" w:rsidR="00991000" w:rsidRDefault="00991000" w:rsidP="00B57C7F">
      <w:pPr>
        <w:spacing w:line="360" w:lineRule="auto"/>
        <w:rPr>
          <w:rFonts w:eastAsia="Times New Roman"/>
          <w:color w:val="000000"/>
          <w:sz w:val="23"/>
          <w:szCs w:val="23"/>
        </w:rPr>
      </w:pPr>
    </w:p>
    <w:p w14:paraId="692D37D0" w14:textId="77777777" w:rsidR="00991000" w:rsidRPr="00E06B1D" w:rsidRDefault="00991000" w:rsidP="00B57C7F">
      <w:pPr>
        <w:spacing w:line="360" w:lineRule="auto"/>
        <w:ind w:left="567" w:right="567"/>
        <w:jc w:val="both"/>
        <w:rPr>
          <w:rFonts w:ascii="Times New Roman" w:eastAsia="Times New Roman" w:hAnsi="Times New Roman" w:cs="Times New Roman"/>
          <w:i/>
        </w:rPr>
      </w:pPr>
      <w:r w:rsidRPr="00E06B1D">
        <w:rPr>
          <w:rFonts w:ascii="Times New Roman" w:eastAsia="Times New Roman" w:hAnsi="Times New Roman" w:cs="Times New Roman"/>
          <w:i/>
          <w:color w:val="000000"/>
        </w:rPr>
        <w:t>It’s something that became called ‘rubber-band diplomacy’. We were always aware that the minute you went too far</w:t>
      </w:r>
      <w:r>
        <w:rPr>
          <w:rFonts w:ascii="Times New Roman" w:eastAsia="Times New Roman" w:hAnsi="Times New Roman" w:cs="Times New Roman"/>
          <w:i/>
          <w:color w:val="000000"/>
        </w:rPr>
        <w:t xml:space="preserve"> beyond your community</w:t>
      </w:r>
      <w:r w:rsidRPr="00E06B1D">
        <w:rPr>
          <w:rFonts w:ascii="Times New Roman" w:eastAsia="Times New Roman" w:hAnsi="Times New Roman" w:cs="Times New Roman"/>
          <w:i/>
          <w:color w:val="000000"/>
        </w:rPr>
        <w:t>, you were lost to them. So if you turned around and said to them fifteen years ago ‘now</w:t>
      </w:r>
      <w:r>
        <w:rPr>
          <w:rFonts w:ascii="Times New Roman" w:eastAsia="Times New Roman" w:hAnsi="Times New Roman" w:cs="Times New Roman"/>
          <w:i/>
          <w:color w:val="000000"/>
        </w:rPr>
        <w:t>’</w:t>
      </w:r>
      <w:r w:rsidRPr="00E06B1D">
        <w:rPr>
          <w:rFonts w:ascii="Times New Roman" w:eastAsia="Times New Roman" w:hAnsi="Times New Roman" w:cs="Times New Roman"/>
          <w:i/>
          <w:color w:val="000000"/>
        </w:rPr>
        <w:t>s the time to support the PSNI’, everybody would have went</w:t>
      </w:r>
      <w:r>
        <w:rPr>
          <w:rFonts w:ascii="Times New Roman" w:eastAsia="Times New Roman" w:hAnsi="Times New Roman" w:cs="Times New Roman"/>
          <w:i/>
          <w:color w:val="000000"/>
        </w:rPr>
        <w:t>: ‘edjit</w:t>
      </w:r>
      <w:r w:rsidRPr="00E06B1D">
        <w:rPr>
          <w:rFonts w:ascii="Times New Roman" w:eastAsia="Times New Roman" w:hAnsi="Times New Roman" w:cs="Times New Roman"/>
          <w:i/>
          <w:color w:val="000000"/>
        </w:rPr>
        <w:t>, he’s a cuckoo</w:t>
      </w:r>
      <w:r>
        <w:rPr>
          <w:rFonts w:ascii="Times New Roman" w:eastAsia="Times New Roman" w:hAnsi="Times New Roman" w:cs="Times New Roman"/>
          <w:i/>
          <w:color w:val="000000"/>
        </w:rPr>
        <w:t>’…</w:t>
      </w:r>
      <w:r w:rsidRPr="00E06B1D">
        <w:rPr>
          <w:rFonts w:ascii="Times New Roman" w:eastAsia="Times New Roman" w:hAnsi="Times New Roman" w:cs="Times New Roman"/>
          <w:i/>
          <w:color w:val="000000"/>
        </w:rPr>
        <w:t xml:space="preserve">so you were always trying put one leg out a wee bit and pull the community along or do something, but make sure a </w:t>
      </w:r>
      <w:r w:rsidRPr="00E06B1D">
        <w:rPr>
          <w:rFonts w:ascii="Times New Roman" w:eastAsia="Times New Roman" w:hAnsi="Times New Roman" w:cs="Times New Roman"/>
          <w:i/>
          <w:color w:val="000000"/>
        </w:rPr>
        <w:lastRenderedPageBreak/>
        <w:t>part of them was embedded within the community where you were attuned to what was going on and you understood...how that would impact upon the community.</w:t>
      </w:r>
    </w:p>
    <w:p w14:paraId="06C31CE1" w14:textId="77777777" w:rsidR="00991000" w:rsidRDefault="00991000" w:rsidP="00B57C7F">
      <w:pPr>
        <w:spacing w:line="360" w:lineRule="auto"/>
        <w:ind w:firstLine="567"/>
        <w:jc w:val="both"/>
        <w:rPr>
          <w:rFonts w:ascii="Times New Roman" w:hAnsi="Times New Roman" w:cs="Times New Roman"/>
        </w:rPr>
      </w:pPr>
    </w:p>
    <w:p w14:paraId="06378FF3"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 However, as the Provisional IRA were now very much an identity-based movement, with shared grievances stemming from the Troubles which led to their mobilisation and community support, they had a latent frame already existing to justify disengagement. Therefore, there were clear bridges that linked the mobilising frame to the disengagement frame, which</w:t>
      </w:r>
      <w:r w:rsidR="00D77A61">
        <w:rPr>
          <w:rFonts w:ascii="Times New Roman" w:hAnsi="Times New Roman" w:cs="Times New Roman"/>
        </w:rPr>
        <w:t>, as discussed above,</w:t>
      </w:r>
      <w:r>
        <w:rPr>
          <w:rFonts w:ascii="Times New Roman" w:hAnsi="Times New Roman" w:cs="Times New Roman"/>
        </w:rPr>
        <w:t xml:space="preserve"> consists of two </w:t>
      </w:r>
      <w:r w:rsidR="00D77A61">
        <w:rPr>
          <w:rFonts w:ascii="Times New Roman" w:hAnsi="Times New Roman" w:cs="Times New Roman"/>
        </w:rPr>
        <w:t xml:space="preserve">main </w:t>
      </w:r>
      <w:r>
        <w:rPr>
          <w:rFonts w:ascii="Times New Roman" w:hAnsi="Times New Roman" w:cs="Times New Roman"/>
        </w:rPr>
        <w:t>components. Firstly, past violence was legitimate and just, and it was a result of the unique conditions of the time which was the cause of violence. Secondly, the conditions now do not exist that would justify vio</w:t>
      </w:r>
      <w:r w:rsidR="00D77A61">
        <w:rPr>
          <w:rFonts w:ascii="Times New Roman" w:hAnsi="Times New Roman" w:cs="Times New Roman"/>
        </w:rPr>
        <w:t>lence as there are other means</w:t>
      </w:r>
      <w:r w:rsidR="00891745">
        <w:rPr>
          <w:rFonts w:ascii="Times New Roman" w:hAnsi="Times New Roman" w:cs="Times New Roman"/>
        </w:rPr>
        <w:t>:</w:t>
      </w:r>
    </w:p>
    <w:p w14:paraId="1C9A1733" w14:textId="77777777" w:rsidR="00891745" w:rsidRDefault="00891745" w:rsidP="00B57C7F">
      <w:pPr>
        <w:spacing w:line="360" w:lineRule="auto"/>
        <w:ind w:firstLine="567"/>
        <w:jc w:val="both"/>
        <w:rPr>
          <w:rFonts w:ascii="Times New Roman" w:hAnsi="Times New Roman" w:cs="Times New Roman"/>
        </w:rPr>
      </w:pPr>
    </w:p>
    <w:p w14:paraId="5E78C2A9" w14:textId="77777777" w:rsidR="00891745" w:rsidRDefault="00891745" w:rsidP="00B57C7F">
      <w:pPr>
        <w:spacing w:after="20" w:line="360" w:lineRule="auto"/>
        <w:ind w:left="567" w:right="567"/>
        <w:jc w:val="both"/>
        <w:rPr>
          <w:rFonts w:ascii="Times New Roman" w:hAnsi="Times New Roman" w:cs="Times New Roman"/>
          <w:i/>
          <w:color w:val="000000"/>
        </w:rPr>
      </w:pPr>
      <w:r w:rsidRPr="009E212F">
        <w:rPr>
          <w:rFonts w:ascii="Times New Roman" w:eastAsia="Times New Roman" w:hAnsi="Times New Roman" w:cs="Times New Roman"/>
          <w:i/>
          <w:color w:val="000000"/>
        </w:rPr>
        <w:t>Our struggle was a just war. Our struggle was the only way we could survive was by making them frightened of us. We had to go strong or we would have been eradicated...the war was right, and when the time was right, we ended it…</w:t>
      </w:r>
      <w:r w:rsidRPr="009E212F">
        <w:rPr>
          <w:rFonts w:ascii="Times New Roman" w:hAnsi="Times New Roman" w:cs="Times New Roman"/>
          <w:i/>
          <w:color w:val="000000"/>
        </w:rPr>
        <w:t xml:space="preserve"> the conditions existed which made armed struggle inevitable, there was no other way forward.</w:t>
      </w:r>
      <w:r>
        <w:rPr>
          <w:rStyle w:val="FootnoteReference"/>
          <w:rFonts w:ascii="Times New Roman" w:hAnsi="Times New Roman" w:cs="Times New Roman"/>
          <w:i/>
          <w:color w:val="000000"/>
        </w:rPr>
        <w:footnoteReference w:id="377"/>
      </w:r>
    </w:p>
    <w:p w14:paraId="59D0C401" w14:textId="77777777" w:rsidR="00891745" w:rsidRDefault="00891745" w:rsidP="00B57C7F">
      <w:pPr>
        <w:spacing w:after="20" w:line="360" w:lineRule="auto"/>
        <w:ind w:left="567" w:right="567"/>
        <w:jc w:val="both"/>
        <w:rPr>
          <w:rFonts w:ascii="Times New Roman" w:hAnsi="Times New Roman" w:cs="Times New Roman"/>
          <w:i/>
          <w:color w:val="000000"/>
        </w:rPr>
      </w:pPr>
    </w:p>
    <w:p w14:paraId="38FC48CF" w14:textId="77777777" w:rsidR="00991000" w:rsidRDefault="00991000" w:rsidP="00B57C7F">
      <w:pPr>
        <w:spacing w:after="120" w:line="360" w:lineRule="auto"/>
        <w:ind w:firstLine="567"/>
        <w:jc w:val="both"/>
        <w:rPr>
          <w:rFonts w:ascii="Times New Roman" w:eastAsia="Times New Roman" w:hAnsi="Times New Roman" w:cs="Times New Roman"/>
        </w:rPr>
      </w:pPr>
      <w:r w:rsidRPr="009E212F">
        <w:rPr>
          <w:rFonts w:ascii="Times New Roman" w:eastAsia="Times New Roman" w:hAnsi="Times New Roman" w:cs="Times New Roman"/>
        </w:rPr>
        <w:t>T</w:t>
      </w:r>
      <w:r>
        <w:rPr>
          <w:rFonts w:ascii="Times New Roman" w:eastAsia="Times New Roman" w:hAnsi="Times New Roman" w:cs="Times New Roman"/>
        </w:rPr>
        <w:t>hese findings suggest that Horgan is correct in saying that de-radicalisation did n</w:t>
      </w:r>
      <w:r w:rsidR="001325FD">
        <w:rPr>
          <w:rFonts w:ascii="Times New Roman" w:eastAsia="Times New Roman" w:hAnsi="Times New Roman" w:cs="Times New Roman"/>
        </w:rPr>
        <w:t>ot occur in the Provisional IRA.</w:t>
      </w:r>
      <w:r>
        <w:rPr>
          <w:rFonts w:ascii="Times New Roman" w:eastAsia="Times New Roman" w:hAnsi="Times New Roman" w:cs="Times New Roman"/>
        </w:rPr>
        <w:t xml:space="preserve"> </w:t>
      </w:r>
      <w:r w:rsidR="001325FD">
        <w:rPr>
          <w:rFonts w:ascii="Times New Roman" w:eastAsia="Times New Roman" w:hAnsi="Times New Roman" w:cs="Times New Roman"/>
        </w:rPr>
        <w:t>H</w:t>
      </w:r>
      <w:r>
        <w:rPr>
          <w:rFonts w:ascii="Times New Roman" w:eastAsia="Times New Roman" w:hAnsi="Times New Roman" w:cs="Times New Roman"/>
        </w:rPr>
        <w:t>owever the problem here is the concept of de-radicalisation and the assumption that it would have been a desirable goal. Firstly, given the nature of Republicanism, it was not possible to denounce past violence without causing great splits and disrupting the movement. Secondly, the disengagement frame has maintained narrative fidelity by maintaining Republican aspirations but it has re-emphasised the 1960s political system as the cause of conflict, thus functioning as a strong argument</w:t>
      </w:r>
      <w:r w:rsidR="006D7CAE">
        <w:rPr>
          <w:rFonts w:ascii="Times New Roman" w:eastAsia="Times New Roman" w:hAnsi="Times New Roman" w:cs="Times New Roman"/>
        </w:rPr>
        <w:t xml:space="preserve"> against using violence now. T</w:t>
      </w:r>
      <w:r>
        <w:rPr>
          <w:rFonts w:ascii="Times New Roman" w:eastAsia="Times New Roman" w:hAnsi="Times New Roman" w:cs="Times New Roman"/>
        </w:rPr>
        <w:t xml:space="preserve">he disengagement frame would later develop in the 2000s onwards to emphasise further the unique circumstances that justified violence, but this is used to de-legitimise current violence, which is in effect what de-radicalisation refers to. However, </w:t>
      </w:r>
      <w:r>
        <w:rPr>
          <w:rFonts w:ascii="Times New Roman" w:eastAsia="Times New Roman" w:hAnsi="Times New Roman" w:cs="Times New Roman"/>
        </w:rPr>
        <w:lastRenderedPageBreak/>
        <w:t>without maintaining narrative fidelity, the frame would not have resonated from the beginning. The next factor that ensured frame resonance was the intense level of interaction between members and the central role of credible messengers in these debates.</w:t>
      </w:r>
    </w:p>
    <w:p w14:paraId="4181FD00" w14:textId="77777777" w:rsidR="00991000" w:rsidRPr="008F0691" w:rsidRDefault="00991000" w:rsidP="00B57C7F">
      <w:pPr>
        <w:spacing w:after="120" w:line="360" w:lineRule="auto"/>
        <w:jc w:val="both"/>
        <w:rPr>
          <w:rFonts w:ascii="Times New Roman" w:eastAsia="Times New Roman" w:hAnsi="Times New Roman" w:cs="Times New Roman"/>
          <w:b/>
        </w:rPr>
      </w:pPr>
    </w:p>
    <w:p w14:paraId="32D3ADA3" w14:textId="77777777" w:rsidR="00991000" w:rsidRPr="009E212F" w:rsidRDefault="00991000" w:rsidP="00B57C7F">
      <w:pPr>
        <w:pStyle w:val="Heading3"/>
        <w:spacing w:before="120" w:line="360" w:lineRule="auto"/>
      </w:pPr>
      <w:bookmarkStart w:id="45" w:name="_Toc389208827"/>
      <w:r w:rsidRPr="008F0691">
        <w:t>Credibility and Internal Interaction</w:t>
      </w:r>
      <w:bookmarkEnd w:id="45"/>
      <w:r w:rsidRPr="008F0691">
        <w:t xml:space="preserve"> </w:t>
      </w:r>
    </w:p>
    <w:p w14:paraId="7DB90860" w14:textId="0BFFAF85"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For disengagement to be successful, Ashour argues that internal interaction and charismatic leadership are essential. Leaders of Islamist groups who were seeking to disengage engaged in meeti</w:t>
      </w:r>
      <w:r w:rsidR="000010AD">
        <w:rPr>
          <w:rFonts w:ascii="Times New Roman" w:hAnsi="Times New Roman" w:cs="Times New Roman"/>
        </w:rPr>
        <w:t xml:space="preserve">ngs with their supporters </w:t>
      </w:r>
      <w:r>
        <w:rPr>
          <w:rFonts w:ascii="Times New Roman" w:hAnsi="Times New Roman" w:cs="Times New Roman"/>
        </w:rPr>
        <w:t>intensely debat</w:t>
      </w:r>
      <w:r w:rsidR="000010AD">
        <w:rPr>
          <w:rFonts w:ascii="Times New Roman" w:hAnsi="Times New Roman" w:cs="Times New Roman"/>
        </w:rPr>
        <w:t>ing the theological legitimacy</w:t>
      </w:r>
      <w:r>
        <w:rPr>
          <w:rFonts w:ascii="Times New Roman" w:hAnsi="Times New Roman" w:cs="Times New Roman"/>
        </w:rPr>
        <w:t xml:space="preserve"> as</w:t>
      </w:r>
      <w:r w:rsidR="000010AD">
        <w:rPr>
          <w:rFonts w:ascii="Times New Roman" w:hAnsi="Times New Roman" w:cs="Times New Roman"/>
        </w:rPr>
        <w:t xml:space="preserve"> well as the costs and benefits</w:t>
      </w:r>
      <w:r>
        <w:rPr>
          <w:rFonts w:ascii="Times New Roman" w:hAnsi="Times New Roman" w:cs="Times New Roman"/>
        </w:rPr>
        <w:t xml:space="preserve"> of disengagement, and through month-long tours around prisons communicating with their followers. Following on from this point, the extent disengagement can be successful is dependent on the extent that there is ‘a charismatic leadership that controls or strongly influences its followers’</w:t>
      </w:r>
      <w:r w:rsidR="00B1546E">
        <w:rPr>
          <w:rFonts w:ascii="Times New Roman" w:hAnsi="Times New Roman" w:cs="Times New Roman"/>
        </w:rPr>
        <w:t>.</w:t>
      </w:r>
      <w:r>
        <w:rPr>
          <w:rStyle w:val="FootnoteReference"/>
          <w:rFonts w:ascii="Times New Roman" w:hAnsi="Times New Roman" w:cs="Times New Roman"/>
        </w:rPr>
        <w:footnoteReference w:id="378"/>
      </w:r>
      <w:r>
        <w:rPr>
          <w:rFonts w:ascii="Times New Roman" w:hAnsi="Times New Roman" w:cs="Times New Roman"/>
        </w:rPr>
        <w:t xml:space="preserve"> As discussed in Chapter Two, the use of frames theory improves upon the vagueness of charisma</w:t>
      </w:r>
      <w:r>
        <w:rPr>
          <w:rStyle w:val="FootnoteReference"/>
          <w:rFonts w:ascii="Times New Roman" w:hAnsi="Times New Roman" w:cs="Times New Roman"/>
        </w:rPr>
        <w:footnoteReference w:id="379"/>
      </w:r>
      <w:r>
        <w:rPr>
          <w:rFonts w:ascii="Times New Roman" w:hAnsi="Times New Roman" w:cs="Times New Roman"/>
        </w:rPr>
        <w:t xml:space="preserve"> and emphasises the perception of credibility and the structures and networks which form and channel this credibility. The thesis finds that, with a few qualifications, the same two factors were present in the Provisio</w:t>
      </w:r>
      <w:r w:rsidR="001325FD">
        <w:rPr>
          <w:rFonts w:ascii="Times New Roman" w:hAnsi="Times New Roman" w:cs="Times New Roman"/>
        </w:rPr>
        <w:t>nal IRA’s disengagement. C</w:t>
      </w:r>
      <w:r>
        <w:rPr>
          <w:rFonts w:ascii="Times New Roman" w:hAnsi="Times New Roman" w:cs="Times New Roman"/>
        </w:rPr>
        <w:t>ontrary to scholars who emphasise elite negotiations as the key to success</w:t>
      </w:r>
      <w:r w:rsidR="00B1546E">
        <w:rPr>
          <w:rFonts w:ascii="Times New Roman" w:hAnsi="Times New Roman" w:cs="Times New Roman"/>
        </w:rPr>
        <w:t>,</w:t>
      </w:r>
      <w:r>
        <w:rPr>
          <w:rStyle w:val="FootnoteReference"/>
          <w:rFonts w:ascii="Times New Roman" w:hAnsi="Times New Roman" w:cs="Times New Roman"/>
        </w:rPr>
        <w:footnoteReference w:id="380"/>
      </w:r>
      <w:r>
        <w:rPr>
          <w:rFonts w:ascii="Times New Roman" w:hAnsi="Times New Roman" w:cs="Times New Roman"/>
        </w:rPr>
        <w:t xml:space="preserve"> if there had been no internal interaction and the credible figures were not there, then the disengagement process would have ended before </w:t>
      </w:r>
      <w:r w:rsidR="002E4C08">
        <w:rPr>
          <w:rFonts w:ascii="Times New Roman" w:hAnsi="Times New Roman" w:cs="Times New Roman"/>
        </w:rPr>
        <w:t>the negotiations had</w:t>
      </w:r>
      <w:r w:rsidR="00EE6CB5">
        <w:rPr>
          <w:rFonts w:ascii="Times New Roman" w:hAnsi="Times New Roman" w:cs="Times New Roman"/>
        </w:rPr>
        <w:t xml:space="preserve"> even truly</w:t>
      </w:r>
      <w:r>
        <w:rPr>
          <w:rFonts w:ascii="Times New Roman" w:hAnsi="Times New Roman" w:cs="Times New Roman"/>
        </w:rPr>
        <w:t xml:space="preserve"> started. </w:t>
      </w:r>
      <w:r w:rsidR="00DE33A4">
        <w:rPr>
          <w:rFonts w:ascii="Times New Roman" w:hAnsi="Times New Roman" w:cs="Times New Roman"/>
        </w:rPr>
        <w:t>Of course, it was the process of tactical learning – realising that armed struggle could not gain Republican objectives – which allowed these negotiations to take place. However this process of tactical learning did not occur in the Provisional IRA in a uniform manner – an internal process similar to the de-radicalisation process undertaken by Egyptian Islamists was necessary – and neither did this process end with the signing of the Good Friday Agreement</w:t>
      </w:r>
      <w:r w:rsidR="007F63F1">
        <w:rPr>
          <w:rFonts w:ascii="Times New Roman" w:hAnsi="Times New Roman" w:cs="Times New Roman"/>
        </w:rPr>
        <w:t xml:space="preserve"> in 1998</w:t>
      </w:r>
      <w:r w:rsidR="00DE33A4">
        <w:rPr>
          <w:rFonts w:ascii="Times New Roman" w:hAnsi="Times New Roman" w:cs="Times New Roman"/>
        </w:rPr>
        <w:t>.</w:t>
      </w:r>
    </w:p>
    <w:p w14:paraId="3E8333A0" w14:textId="1D3CF5F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The presence of the aforementioned factors should not be taken as a given; there is an impression in some studies that internal dissent was merely a ploy by the leadership in elite negotiations or that the leadership could drag the members along, but this underplays how important the process of frame diffusion was. The 1975 ceasefire provides an indication of weak frame diffusion and the second generation of leaders, such as Gerry Adams, clearly learned this lesson. A substantial flaw in the failed 1975 disengagement was a lack of internal dialogue and a lack of credible figures in the few cases there was discussion. For example, in the cases where Daithi O’Conail</w:t>
      </w:r>
      <w:r w:rsidR="001308D4">
        <w:rPr>
          <w:rFonts w:ascii="Times New Roman" w:hAnsi="Times New Roman" w:cs="Times New Roman"/>
        </w:rPr>
        <w:t xml:space="preserve"> – member of the IRA army council and </w:t>
      </w:r>
      <w:r w:rsidR="00A82F97">
        <w:rPr>
          <w:rFonts w:ascii="Times New Roman" w:hAnsi="Times New Roman" w:cs="Times New Roman"/>
        </w:rPr>
        <w:t>main advocate of the ceasefire -</w:t>
      </w:r>
      <w:r>
        <w:rPr>
          <w:rFonts w:ascii="Times New Roman" w:hAnsi="Times New Roman" w:cs="Times New Roman"/>
        </w:rPr>
        <w:t xml:space="preserve"> met with members, there was suspicion that he had immunity from British forces while other activists were being arrested. Therefore, there was substantial internal pressure from activists that hampered attempts to move the process any further. Members had only recently been mobilised to fight and the lack of any substantial explanation of why they were now on ceasefire and why they should continue is a prime example of a disengagement frame failing to be diffused and failing to resonate</w:t>
      </w:r>
      <w:r w:rsidR="00B1546E">
        <w:rPr>
          <w:rFonts w:ascii="Times New Roman" w:hAnsi="Times New Roman" w:cs="Times New Roman"/>
        </w:rPr>
        <w:t>.</w:t>
      </w:r>
      <w:r>
        <w:rPr>
          <w:rStyle w:val="FootnoteReference"/>
          <w:rFonts w:ascii="Times New Roman" w:hAnsi="Times New Roman" w:cs="Times New Roman"/>
        </w:rPr>
        <w:footnoteReference w:id="381"/>
      </w:r>
      <w:r>
        <w:rPr>
          <w:rFonts w:ascii="Times New Roman" w:hAnsi="Times New Roman" w:cs="Times New Roman"/>
        </w:rPr>
        <w:t xml:space="preserve"> One could even argue that there was no real disengagement frame </w:t>
      </w:r>
      <w:r w:rsidR="00430559">
        <w:rPr>
          <w:rFonts w:ascii="Times New Roman" w:hAnsi="Times New Roman" w:cs="Times New Roman"/>
        </w:rPr>
        <w:t xml:space="preserve">put forward </w:t>
      </w:r>
      <w:r>
        <w:rPr>
          <w:rFonts w:ascii="Times New Roman" w:hAnsi="Times New Roman" w:cs="Times New Roman"/>
        </w:rPr>
        <w:t xml:space="preserve">at all by the leadership who were driving the process. Thus, as the transition in leadership gradually developed after the abortive </w:t>
      </w:r>
      <w:r w:rsidR="00EE6CB5">
        <w:rPr>
          <w:rFonts w:ascii="Times New Roman" w:hAnsi="Times New Roman" w:cs="Times New Roman"/>
        </w:rPr>
        <w:t xml:space="preserve">1975 </w:t>
      </w:r>
      <w:r>
        <w:rPr>
          <w:rFonts w:ascii="Times New Roman" w:hAnsi="Times New Roman" w:cs="Times New Roman"/>
        </w:rPr>
        <w:t>ceasefire, Adams began to encourage internal dialogue, debate and discussion among members</w:t>
      </w:r>
      <w:r w:rsidR="00EE6CB5">
        <w:rPr>
          <w:rFonts w:ascii="Times New Roman" w:hAnsi="Times New Roman" w:cs="Times New Roman"/>
        </w:rPr>
        <w:t>, although the topic was not disengagement at this time but on matters of strategy more generally</w:t>
      </w:r>
      <w:r w:rsidR="00B1546E">
        <w:rPr>
          <w:rFonts w:ascii="Times New Roman" w:hAnsi="Times New Roman" w:cs="Times New Roman"/>
        </w:rPr>
        <w:t>.</w:t>
      </w:r>
      <w:r>
        <w:rPr>
          <w:rStyle w:val="FootnoteReference"/>
          <w:rFonts w:ascii="Times New Roman" w:hAnsi="Times New Roman" w:cs="Times New Roman"/>
        </w:rPr>
        <w:footnoteReference w:id="382"/>
      </w:r>
      <w:r>
        <w:rPr>
          <w:rFonts w:ascii="Times New Roman" w:hAnsi="Times New Roman" w:cs="Times New Roman"/>
        </w:rPr>
        <w:t xml:space="preserve"> One possible benefit of having an established culture of internal debate is that it meant there was a more natural progression in members gradually talking about disengagement, rather than being </w:t>
      </w:r>
      <w:r w:rsidR="000010AD">
        <w:rPr>
          <w:rFonts w:ascii="Times New Roman" w:hAnsi="Times New Roman" w:cs="Times New Roman"/>
        </w:rPr>
        <w:t xml:space="preserve">too great </w:t>
      </w:r>
      <w:r>
        <w:rPr>
          <w:rFonts w:ascii="Times New Roman" w:hAnsi="Times New Roman" w:cs="Times New Roman"/>
        </w:rPr>
        <w:t>a surprise.</w:t>
      </w:r>
      <w:r w:rsidR="00DE2664">
        <w:rPr>
          <w:rStyle w:val="FootnoteReference"/>
          <w:rFonts w:ascii="Times New Roman" w:hAnsi="Times New Roman" w:cs="Times New Roman"/>
        </w:rPr>
        <w:footnoteReference w:id="383"/>
      </w:r>
      <w:r>
        <w:rPr>
          <w:rFonts w:ascii="Times New Roman" w:hAnsi="Times New Roman" w:cs="Times New Roman"/>
        </w:rPr>
        <w:t xml:space="preserve"> However, prior to the early 1990s, it would have been quite difficult for Provisional IRA members, specifically for those not in prisons, to openly question the use of armed violence, even if they had come to that conclusion themselves</w:t>
      </w:r>
      <w:r w:rsidR="00B1546E">
        <w:rPr>
          <w:rFonts w:ascii="Times New Roman" w:hAnsi="Times New Roman" w:cs="Times New Roman"/>
        </w:rPr>
        <w:t>.</w:t>
      </w:r>
      <w:r>
        <w:rPr>
          <w:rStyle w:val="FootnoteReference"/>
          <w:rFonts w:ascii="Times New Roman" w:hAnsi="Times New Roman" w:cs="Times New Roman"/>
        </w:rPr>
        <w:footnoteReference w:id="384"/>
      </w:r>
    </w:p>
    <w:p w14:paraId="4A605891"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There were three aspects to the successful diffusion of the disengagement frame. Firstly, the culture of discussion cultivated by Adams in the organisation, and </w:t>
      </w:r>
      <w:r>
        <w:rPr>
          <w:rFonts w:ascii="Times New Roman" w:hAnsi="Times New Roman" w:cs="Times New Roman"/>
        </w:rPr>
        <w:lastRenderedPageBreak/>
        <w:t xml:space="preserve">the surprising ease in which </w:t>
      </w:r>
      <w:r w:rsidR="007F63F1">
        <w:rPr>
          <w:rFonts w:ascii="Times New Roman" w:hAnsi="Times New Roman" w:cs="Times New Roman"/>
        </w:rPr>
        <w:t xml:space="preserve">local </w:t>
      </w:r>
      <w:r>
        <w:rPr>
          <w:rFonts w:ascii="Times New Roman" w:hAnsi="Times New Roman" w:cs="Times New Roman"/>
        </w:rPr>
        <w:t>activists had the space and time to meet considering the illicit nature of the Provisional IRA, led to intense discussions which brought members along with the process. Secondly, while the confidence members had in the high-ranking leadership was important</w:t>
      </w:r>
      <w:r w:rsidR="00B1546E">
        <w:rPr>
          <w:rFonts w:ascii="Times New Roman" w:hAnsi="Times New Roman" w:cs="Times New Roman"/>
        </w:rPr>
        <w:t>,</w:t>
      </w:r>
      <w:r>
        <w:rPr>
          <w:rStyle w:val="FootnoteReference"/>
          <w:rFonts w:ascii="Times New Roman" w:hAnsi="Times New Roman" w:cs="Times New Roman"/>
        </w:rPr>
        <w:footnoteReference w:id="385"/>
      </w:r>
      <w:r>
        <w:rPr>
          <w:rFonts w:ascii="Times New Roman" w:hAnsi="Times New Roman" w:cs="Times New Roman"/>
        </w:rPr>
        <w:t xml:space="preserve"> it was actually mid-ranking members who were essential at building up the trust in the new direction. Thirdly, prisons played a crucial role in diffusion, firstly as structures to facilitate discussion, but secondly as institutions which made prisoner</w:t>
      </w:r>
      <w:r w:rsidR="007F63F1">
        <w:rPr>
          <w:rFonts w:ascii="Times New Roman" w:hAnsi="Times New Roman" w:cs="Times New Roman"/>
        </w:rPr>
        <w:t>s</w:t>
      </w:r>
      <w:r>
        <w:rPr>
          <w:rFonts w:ascii="Times New Roman" w:hAnsi="Times New Roman" w:cs="Times New Roman"/>
        </w:rPr>
        <w:t xml:space="preserve"> credible voices that activists and the community listened to.</w:t>
      </w:r>
      <w:r w:rsidR="00A82F97">
        <w:rPr>
          <w:rStyle w:val="FootnoteReference"/>
          <w:rFonts w:ascii="Times New Roman" w:hAnsi="Times New Roman" w:cs="Times New Roman"/>
        </w:rPr>
        <w:footnoteReference w:id="386"/>
      </w:r>
      <w:r>
        <w:rPr>
          <w:rFonts w:ascii="Times New Roman" w:hAnsi="Times New Roman" w:cs="Times New Roman"/>
        </w:rPr>
        <w:t xml:space="preserve"> </w:t>
      </w:r>
      <w:r w:rsidR="007F63F1">
        <w:rPr>
          <w:rFonts w:ascii="Times New Roman" w:hAnsi="Times New Roman" w:cs="Times New Roman"/>
        </w:rPr>
        <w:t>Moloney acknowledges that prisoners were important for solidifying support for Adams’ strategy but he fails to explain how the prisoners came to share a similar view. That the prisoners were supportive suggests that there was greater internal support for disengagement which derived through the discussions that Moloney dismisses, rather than the behind-the-scenes machinations of Adams’ allies as he argues.</w:t>
      </w:r>
      <w:r w:rsidR="007F63F1">
        <w:rPr>
          <w:rStyle w:val="FootnoteReference"/>
          <w:rFonts w:ascii="Times New Roman" w:hAnsi="Times New Roman" w:cs="Times New Roman"/>
        </w:rPr>
        <w:footnoteReference w:id="387"/>
      </w:r>
      <w:r>
        <w:rPr>
          <w:rFonts w:ascii="Times New Roman" w:hAnsi="Times New Roman" w:cs="Times New Roman"/>
        </w:rPr>
        <w:t xml:space="preserve"> </w:t>
      </w:r>
    </w:p>
    <w:p w14:paraId="6D328B8A" w14:textId="77777777" w:rsidR="00991000" w:rsidRDefault="00991000" w:rsidP="00B57C7F">
      <w:pPr>
        <w:spacing w:line="360" w:lineRule="auto"/>
        <w:jc w:val="both"/>
        <w:rPr>
          <w:rFonts w:ascii="Times New Roman" w:hAnsi="Times New Roman" w:cs="Times New Roman"/>
        </w:rPr>
      </w:pPr>
    </w:p>
    <w:p w14:paraId="4720174E" w14:textId="77777777" w:rsidR="00991000" w:rsidRPr="001F0A0E" w:rsidRDefault="00991000" w:rsidP="00B57C7F">
      <w:pPr>
        <w:pStyle w:val="Heading4"/>
        <w:spacing w:before="120" w:line="360" w:lineRule="auto"/>
      </w:pPr>
      <w:bookmarkStart w:id="46" w:name="_Toc389208828"/>
      <w:r w:rsidRPr="001F0A0E">
        <w:t>Internal Dialogue Outside of Prison</w:t>
      </w:r>
      <w:bookmarkEnd w:id="46"/>
    </w:p>
    <w:p w14:paraId="352AF403"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As discussed above, </w:t>
      </w:r>
      <w:r w:rsidR="007F63F1">
        <w:rPr>
          <w:rFonts w:ascii="Times New Roman" w:hAnsi="Times New Roman" w:cs="Times New Roman"/>
        </w:rPr>
        <w:t xml:space="preserve">a few </w:t>
      </w:r>
      <w:r>
        <w:rPr>
          <w:rFonts w:ascii="Times New Roman" w:hAnsi="Times New Roman" w:cs="Times New Roman"/>
        </w:rPr>
        <w:t>members of the Provisional IRA</w:t>
      </w:r>
      <w:r w:rsidR="007F63F1">
        <w:rPr>
          <w:rFonts w:ascii="Times New Roman" w:hAnsi="Times New Roman" w:cs="Times New Roman"/>
        </w:rPr>
        <w:t xml:space="preserve"> and most of Sinn Fein</w:t>
      </w:r>
      <w:r>
        <w:rPr>
          <w:rFonts w:ascii="Times New Roman" w:hAnsi="Times New Roman" w:cs="Times New Roman"/>
        </w:rPr>
        <w:t xml:space="preserve"> began to consider a political route on the back of electoral success in the 1980s and the realisation that the armed struggle </w:t>
      </w:r>
      <w:r w:rsidR="001325FD">
        <w:rPr>
          <w:rFonts w:ascii="Times New Roman" w:hAnsi="Times New Roman" w:cs="Times New Roman"/>
        </w:rPr>
        <w:t>had reached</w:t>
      </w:r>
      <w:r>
        <w:rPr>
          <w:rFonts w:ascii="Times New Roman" w:hAnsi="Times New Roman" w:cs="Times New Roman"/>
        </w:rPr>
        <w:t xml:space="preserve"> a stalemate. Thus followed a number of meetings in the early 1990s within the movement: </w:t>
      </w:r>
    </w:p>
    <w:p w14:paraId="4BDFE76A" w14:textId="77777777" w:rsidR="0091749D" w:rsidRDefault="0091749D" w:rsidP="00B57C7F">
      <w:pPr>
        <w:spacing w:line="360" w:lineRule="auto"/>
        <w:ind w:left="567" w:right="567"/>
        <w:jc w:val="both"/>
        <w:rPr>
          <w:rFonts w:ascii="Times New Roman" w:hAnsi="Times New Roman" w:cs="Times New Roman"/>
        </w:rPr>
      </w:pPr>
    </w:p>
    <w:p w14:paraId="67BD9C8E" w14:textId="77777777" w:rsidR="00991000" w:rsidRPr="008918F2" w:rsidRDefault="00991000" w:rsidP="00B57C7F">
      <w:pPr>
        <w:spacing w:line="360" w:lineRule="auto"/>
        <w:ind w:left="567" w:right="567"/>
        <w:jc w:val="both"/>
        <w:rPr>
          <w:rFonts w:ascii="Times New Roman" w:hAnsi="Times New Roman" w:cs="Times New Roman"/>
          <w:i/>
        </w:rPr>
      </w:pPr>
      <w:r w:rsidRPr="008918F2">
        <w:rPr>
          <w:rFonts w:ascii="Times New Roman" w:hAnsi="Times New Roman" w:cs="Times New Roman"/>
          <w:i/>
          <w:color w:val="000000"/>
        </w:rPr>
        <w:t xml:space="preserve">They were held - ongoing - they were in secret </w:t>
      </w:r>
      <w:r w:rsidR="007F63F1">
        <w:rPr>
          <w:rFonts w:ascii="Times New Roman" w:hAnsi="Times New Roman" w:cs="Times New Roman"/>
          <w:i/>
          <w:color w:val="000000"/>
        </w:rPr>
        <w:t>locations and barns and garage.</w:t>
      </w:r>
      <w:r w:rsidRPr="008918F2">
        <w:rPr>
          <w:rFonts w:ascii="Times New Roman" w:hAnsi="Times New Roman" w:cs="Times New Roman"/>
          <w:i/>
          <w:color w:val="000000"/>
        </w:rPr>
        <w:t xml:space="preserve"> </w:t>
      </w:r>
      <w:r w:rsidR="007F63F1">
        <w:rPr>
          <w:rFonts w:ascii="Times New Roman" w:hAnsi="Times New Roman" w:cs="Times New Roman"/>
          <w:i/>
          <w:color w:val="000000"/>
        </w:rPr>
        <w:t>T</w:t>
      </w:r>
      <w:r w:rsidRPr="008918F2">
        <w:rPr>
          <w:rFonts w:ascii="Times New Roman" w:hAnsi="Times New Roman" w:cs="Times New Roman"/>
          <w:i/>
          <w:color w:val="000000"/>
        </w:rPr>
        <w:t>hey would have went on for a year or a year and a half. They were ongoing through 1994 and obviously a long time after that right up to when Seanna Walsh s</w:t>
      </w:r>
      <w:r>
        <w:rPr>
          <w:rFonts w:ascii="Times New Roman" w:hAnsi="Times New Roman" w:cs="Times New Roman"/>
          <w:i/>
          <w:color w:val="000000"/>
        </w:rPr>
        <w:t>old everybody out [laughs] [2005</w:t>
      </w:r>
      <w:r w:rsidRPr="008918F2">
        <w:rPr>
          <w:rFonts w:ascii="Times New Roman" w:hAnsi="Times New Roman" w:cs="Times New Roman"/>
          <w:i/>
          <w:color w:val="000000"/>
        </w:rPr>
        <w:t xml:space="preserve">]. From then [1994] onwards, there was always a history within Republicanism of getting as many people together for briefings and to hear what they were saying…Hundreds and hundreds of meetings taking place for such a </w:t>
      </w:r>
      <w:r w:rsidRPr="008918F2">
        <w:rPr>
          <w:rFonts w:ascii="Times New Roman" w:hAnsi="Times New Roman" w:cs="Times New Roman"/>
          <w:i/>
          <w:color w:val="000000"/>
        </w:rPr>
        <w:lastRenderedPageBreak/>
        <w:t>long time, to make sure that every single person involved in the armed struggle had their opportunity to listen or to respond and to give their opinion. And it was basically taking the temperature of the IRA to see if there was an appetite, and was there the confidence to move into a total</w:t>
      </w:r>
      <w:r>
        <w:rPr>
          <w:rFonts w:ascii="Times New Roman" w:hAnsi="Times New Roman" w:cs="Times New Roman"/>
          <w:i/>
          <w:color w:val="000000"/>
        </w:rPr>
        <w:t>ly exclusively political arena.</w:t>
      </w:r>
      <w:r>
        <w:rPr>
          <w:rStyle w:val="FootnoteReference"/>
          <w:rFonts w:ascii="Times New Roman" w:hAnsi="Times New Roman" w:cs="Times New Roman"/>
          <w:i/>
          <w:color w:val="000000"/>
        </w:rPr>
        <w:footnoteReference w:id="388"/>
      </w:r>
    </w:p>
    <w:p w14:paraId="702BE5A0" w14:textId="77777777" w:rsidR="00991000" w:rsidRDefault="00991000" w:rsidP="00B57C7F">
      <w:pPr>
        <w:spacing w:line="360" w:lineRule="auto"/>
        <w:ind w:firstLine="720"/>
        <w:jc w:val="both"/>
        <w:rPr>
          <w:rFonts w:ascii="Times New Roman" w:hAnsi="Times New Roman" w:cs="Times New Roman"/>
        </w:rPr>
      </w:pPr>
    </w:p>
    <w:p w14:paraId="5F15167F" w14:textId="5632D9B5" w:rsidR="00991000" w:rsidRPr="001325FD" w:rsidRDefault="00991000" w:rsidP="00B57C7F">
      <w:pPr>
        <w:spacing w:line="360" w:lineRule="auto"/>
        <w:ind w:firstLine="720"/>
        <w:jc w:val="both"/>
        <w:rPr>
          <w:rFonts w:ascii="Times New Roman" w:hAnsi="Times New Roman" w:cs="Times New Roman"/>
          <w:iCs/>
        </w:rPr>
      </w:pPr>
      <w:r>
        <w:rPr>
          <w:rFonts w:ascii="Times New Roman" w:hAnsi="Times New Roman" w:cs="Times New Roman"/>
        </w:rPr>
        <w:t xml:space="preserve">Although the Provisional IRA sought to maintain unity as much as possible through dialogue, there have been some claims that there was also an element of coercion or </w:t>
      </w:r>
      <w:r w:rsidR="00BF4EDA">
        <w:rPr>
          <w:rFonts w:ascii="Times New Roman" w:hAnsi="Times New Roman" w:cs="Times New Roman"/>
        </w:rPr>
        <w:t xml:space="preserve">the leadership was </w:t>
      </w:r>
      <w:r>
        <w:rPr>
          <w:rFonts w:ascii="Times New Roman" w:hAnsi="Times New Roman" w:cs="Times New Roman"/>
        </w:rPr>
        <w:t xml:space="preserve">asserting its authority. One member of the Real IRA who was interviewed discussed his time in the Provisional IRA prior to the split of 1997. He stated how there </w:t>
      </w:r>
      <w:r w:rsidRPr="00872A7F">
        <w:rPr>
          <w:rFonts w:ascii="Times New Roman" w:hAnsi="Times New Roman" w:cs="Times New Roman"/>
          <w:i/>
        </w:rPr>
        <w:t>were</w:t>
      </w:r>
      <w:r>
        <w:rPr>
          <w:rFonts w:ascii="Times New Roman" w:hAnsi="Times New Roman" w:cs="Times New Roman"/>
        </w:rPr>
        <w:t xml:space="preserve"> a lot of meetings during this period, but there were also a lot of </w:t>
      </w:r>
      <w:r w:rsidRPr="00BF4EDA">
        <w:rPr>
          <w:rFonts w:ascii="Times New Roman" w:hAnsi="Times New Roman" w:cs="Times New Roman"/>
          <w:i/>
          <w:iCs/>
        </w:rPr>
        <w:t>other</w:t>
      </w:r>
      <w:r>
        <w:rPr>
          <w:rFonts w:ascii="Times New Roman" w:hAnsi="Times New Roman" w:cs="Times New Roman"/>
        </w:rPr>
        <w:t xml:space="preserve"> meetings that they did not know about. For him, the ‘dialogue period’ was more of a case of identifying the people who disagreed with the main approach, who would then face death threats and beatings. Others would be offered piecemeal promises for the Provisional IRA to not compromise on issues such as decommissioning and recognition of policing, but when these would be overturned, they would gradually leave</w:t>
      </w:r>
      <w:r w:rsidR="00B1546E">
        <w:rPr>
          <w:rFonts w:ascii="Times New Roman" w:hAnsi="Times New Roman" w:cs="Times New Roman"/>
        </w:rPr>
        <w:t>.</w:t>
      </w:r>
      <w:r>
        <w:rPr>
          <w:rStyle w:val="FootnoteReference"/>
          <w:rFonts w:ascii="Times New Roman" w:hAnsi="Times New Roman" w:cs="Times New Roman"/>
        </w:rPr>
        <w:footnoteReference w:id="389"/>
      </w:r>
      <w:r>
        <w:rPr>
          <w:rFonts w:ascii="Times New Roman" w:hAnsi="Times New Roman" w:cs="Times New Roman"/>
        </w:rPr>
        <w:t xml:space="preserve"> The use of secret meetings was refuted, however, by one member who remained in the mainstream Republican movement:</w:t>
      </w:r>
      <w:r w:rsidR="001325FD">
        <w:rPr>
          <w:rFonts w:ascii="Times New Roman" w:hAnsi="Times New Roman" w:cs="Times New Roman"/>
        </w:rPr>
        <w:t xml:space="preserve"> ‘</w:t>
      </w:r>
      <w:r w:rsidRPr="001325FD">
        <w:rPr>
          <w:rFonts w:ascii="Times New Roman" w:hAnsi="Times New Roman" w:cs="Times New Roman"/>
          <w:iCs/>
          <w:color w:val="000000"/>
        </w:rPr>
        <w:t>There was no way there were secret meetings. What would have been the purpose of only having secret meetings among people who were going to agree - you didn’t want that. We wanted the debate to take place in the room so it wasn’t going to take place in the street</w:t>
      </w:r>
      <w:r w:rsidR="001325FD">
        <w:rPr>
          <w:rFonts w:ascii="Times New Roman" w:hAnsi="Times New Roman" w:cs="Times New Roman"/>
          <w:iCs/>
          <w:color w:val="000000"/>
        </w:rPr>
        <w:t>’</w:t>
      </w:r>
      <w:r w:rsidRPr="001325FD">
        <w:rPr>
          <w:rFonts w:ascii="Times New Roman" w:hAnsi="Times New Roman" w:cs="Times New Roman"/>
          <w:iCs/>
          <w:color w:val="000000"/>
        </w:rPr>
        <w:t>.</w:t>
      </w:r>
      <w:r w:rsidR="00EE6CB5" w:rsidRPr="001325FD">
        <w:rPr>
          <w:rStyle w:val="FootnoteReference"/>
          <w:rFonts w:ascii="Times New Roman" w:hAnsi="Times New Roman" w:cs="Times New Roman"/>
          <w:iCs/>
          <w:color w:val="000000"/>
        </w:rPr>
        <w:footnoteReference w:id="390"/>
      </w:r>
    </w:p>
    <w:p w14:paraId="470CEB37"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When asked why the process was successful, one interviewee emphasised the bonds between members, once again emphasising the role of generational hegemony, whereby the group grew through the conflict together over decades, maintaining their dominance within the movement. Strong networked relationships allowed the space for dialogue and the freedom to challenge each other’s position without breaking the movement before dialogue could start:</w:t>
      </w:r>
    </w:p>
    <w:p w14:paraId="55A87818" w14:textId="77777777" w:rsidR="00991000" w:rsidRDefault="00991000" w:rsidP="00B57C7F">
      <w:pPr>
        <w:spacing w:line="360" w:lineRule="auto"/>
        <w:ind w:firstLine="567"/>
        <w:jc w:val="both"/>
        <w:rPr>
          <w:rFonts w:ascii="Times New Roman" w:hAnsi="Times New Roman" w:cs="Times New Roman"/>
        </w:rPr>
      </w:pPr>
    </w:p>
    <w:p w14:paraId="3B1405C3" w14:textId="77777777" w:rsidR="00991000" w:rsidRPr="00A94F50" w:rsidRDefault="00991000" w:rsidP="00B57C7F">
      <w:pPr>
        <w:spacing w:line="360" w:lineRule="auto"/>
        <w:ind w:left="567" w:right="567" w:firstLine="567"/>
        <w:jc w:val="both"/>
        <w:rPr>
          <w:rFonts w:ascii="Times New Roman" w:hAnsi="Times New Roman" w:cs="Times New Roman"/>
          <w:i/>
        </w:rPr>
      </w:pPr>
      <w:r w:rsidRPr="00A94F50">
        <w:rPr>
          <w:rFonts w:ascii="Times New Roman" w:hAnsi="Times New Roman" w:cs="Times New Roman"/>
          <w:i/>
          <w:color w:val="000000"/>
        </w:rPr>
        <w:lastRenderedPageBreak/>
        <w:t>You might not always like them, but you love them...so there is that respect for each other, there is that understanding for each other. That’s why you, that’s why the engagements were so vital. And also because people had the confidence to get up and say ‘I’m totally opposed to this - this is a sell-out’…</w:t>
      </w:r>
      <w:r>
        <w:rPr>
          <w:rFonts w:ascii="Times New Roman" w:hAnsi="Times New Roman" w:cs="Times New Roman"/>
          <w:i/>
          <w:color w:val="000000"/>
        </w:rPr>
        <w:t>A</w:t>
      </w:r>
      <w:r w:rsidRPr="00A94F50">
        <w:rPr>
          <w:rFonts w:ascii="Times New Roman" w:hAnsi="Times New Roman" w:cs="Times New Roman"/>
          <w:i/>
          <w:color w:val="000000"/>
        </w:rPr>
        <w:t xml:space="preserve"> friend of mine, a woman...I was doing a lot of travelling with her and her husband, and she said: ‘see since from you two started travelling together, my marriage has improved 100%, because when he comes in he is exhausted arguing with you’, and he was like ‘I can’t do it anymore’, because he was very opposed to the cessation of the armed struggle. We’d be [in the car] from Cork to Belfast, and we would have talked about nothing else, and there would have been screaming matches. It was not always comradely and ‘let me hear your opinion’, it was screaming: ‘are you stupid! Think it through, think it through, it’s not about the armed struggle, it’s about the objective and how best to get there.’ And once you have that in your head, it opens the possibilities: this is the best way forward, and nobody is going to die.</w:t>
      </w:r>
    </w:p>
    <w:p w14:paraId="77D6E12C" w14:textId="77777777" w:rsidR="00BF4EDA" w:rsidRDefault="00BF4EDA" w:rsidP="00B57C7F">
      <w:pPr>
        <w:spacing w:line="360" w:lineRule="auto"/>
        <w:ind w:firstLine="567"/>
        <w:jc w:val="both"/>
        <w:rPr>
          <w:rFonts w:ascii="Times New Roman" w:hAnsi="Times New Roman" w:cs="Times New Roman"/>
        </w:rPr>
      </w:pPr>
    </w:p>
    <w:p w14:paraId="1E72F127" w14:textId="77777777" w:rsidR="00FD1653" w:rsidRDefault="00991000" w:rsidP="00B57C7F">
      <w:pPr>
        <w:spacing w:line="360" w:lineRule="auto"/>
        <w:ind w:firstLine="567"/>
        <w:jc w:val="both"/>
        <w:rPr>
          <w:rFonts w:ascii="Times New Roman" w:hAnsi="Times New Roman" w:cs="Times New Roman"/>
        </w:rPr>
      </w:pPr>
      <w:r>
        <w:rPr>
          <w:rFonts w:ascii="Times New Roman" w:hAnsi="Times New Roman" w:cs="Times New Roman"/>
        </w:rPr>
        <w:t>Therefore, a culture of dialogue opened up space for discussing the possibility of disengagement and its consequences. While talking may seem a simplistic explanation for changes in attitudes, illicit organisations are often denied the opportunities for large-scale dialogue and a culture of silence can be prevalent in military organisations. Personal relationships were also important as members would later be able to discuss in public spaces and the respect built up over years enabled people to debate freely – although this seemed to occur later in the process than it did in the prisons, as discussed below. However, while personal relationships may have allowed the opportunity to debate, they did not necessarily mean they were enough to ensure successful frame resonance</w:t>
      </w:r>
      <w:r w:rsidR="007F63F1">
        <w:rPr>
          <w:rFonts w:ascii="Times New Roman" w:hAnsi="Times New Roman" w:cs="Times New Roman"/>
        </w:rPr>
        <w:t>,</w:t>
      </w:r>
      <w:r>
        <w:rPr>
          <w:rStyle w:val="FootnoteReference"/>
          <w:rFonts w:ascii="Times New Roman" w:hAnsi="Times New Roman" w:cs="Times New Roman"/>
        </w:rPr>
        <w:footnoteReference w:id="391"/>
      </w:r>
      <w:r w:rsidR="007F63F1">
        <w:rPr>
          <w:rFonts w:ascii="Times New Roman" w:hAnsi="Times New Roman" w:cs="Times New Roman"/>
        </w:rPr>
        <w:t xml:space="preserve"> but members may acquiesce for other reasons, whether this was personal loyalty to others or personal reasons.</w:t>
      </w:r>
      <w:r w:rsidR="007F63F1">
        <w:rPr>
          <w:rStyle w:val="FootnoteReference"/>
          <w:rFonts w:ascii="Times New Roman" w:hAnsi="Times New Roman" w:cs="Times New Roman"/>
        </w:rPr>
        <w:footnoteReference w:id="392"/>
      </w:r>
      <w:r>
        <w:rPr>
          <w:rFonts w:ascii="Times New Roman" w:hAnsi="Times New Roman" w:cs="Times New Roman"/>
        </w:rPr>
        <w:t xml:space="preserve"> Another aspect of the dialogue was it allowed members to hone their debating skills, </w:t>
      </w:r>
      <w:r>
        <w:rPr>
          <w:rFonts w:ascii="Times New Roman" w:hAnsi="Times New Roman" w:cs="Times New Roman"/>
        </w:rPr>
        <w:lastRenderedPageBreak/>
        <w:t>something which had been occurring in prison much earlier. Subsequently, there would be members who were opposed to disengagement but they were unable to articulate the reasons why, in contrast to the members arguing in favour of disengagement who had become more articulate and experienced</w:t>
      </w:r>
      <w:r w:rsidR="00B1546E">
        <w:rPr>
          <w:rFonts w:ascii="Times New Roman" w:hAnsi="Times New Roman" w:cs="Times New Roman"/>
        </w:rPr>
        <w:t>.</w:t>
      </w:r>
      <w:r>
        <w:rPr>
          <w:rStyle w:val="FootnoteReference"/>
          <w:rFonts w:ascii="Times New Roman" w:hAnsi="Times New Roman" w:cs="Times New Roman"/>
        </w:rPr>
        <w:footnoteReference w:id="393"/>
      </w:r>
      <w:r>
        <w:rPr>
          <w:rFonts w:ascii="Times New Roman" w:hAnsi="Times New Roman" w:cs="Times New Roman"/>
        </w:rPr>
        <w:t xml:space="preserve"> Aiding these discussions on the outside was the influence of credible figures who could instil trust in members who were unsure of the approach, whether through their own social networks or through institutional networks. </w:t>
      </w:r>
      <w:r w:rsidR="00FD1653">
        <w:rPr>
          <w:rFonts w:ascii="Times New Roman" w:hAnsi="Times New Roman" w:cs="Times New Roman"/>
        </w:rPr>
        <w:t>One Loyalist stated what role charismatic figures had in the process’ success:</w:t>
      </w:r>
    </w:p>
    <w:p w14:paraId="3A9A1B6B" w14:textId="77777777" w:rsidR="00FD1653" w:rsidRDefault="00FD1653" w:rsidP="00B57C7F">
      <w:pPr>
        <w:spacing w:line="360" w:lineRule="auto"/>
        <w:jc w:val="both"/>
        <w:rPr>
          <w:rFonts w:ascii="Times New Roman" w:hAnsi="Times New Roman" w:cs="Times New Roman"/>
        </w:rPr>
      </w:pPr>
    </w:p>
    <w:p w14:paraId="451A9ED4" w14:textId="77777777" w:rsidR="00FD1653" w:rsidRPr="004E47AC" w:rsidRDefault="00FD1653" w:rsidP="00B57C7F">
      <w:pPr>
        <w:spacing w:line="360" w:lineRule="auto"/>
        <w:ind w:left="567" w:right="567"/>
        <w:jc w:val="both"/>
        <w:rPr>
          <w:rFonts w:ascii="Times New Roman" w:eastAsia="Times New Roman" w:hAnsi="Times New Roman" w:cs="Times New Roman"/>
          <w:i/>
        </w:rPr>
      </w:pPr>
      <w:r w:rsidRPr="004E47AC">
        <w:rPr>
          <w:rFonts w:ascii="Times New Roman" w:eastAsia="Times New Roman" w:hAnsi="Times New Roman" w:cs="Times New Roman"/>
          <w:i/>
          <w:color w:val="000000"/>
        </w:rPr>
        <w:t xml:space="preserve">I think [figures like Gerry Kelly] were incredibly important [in bringing the IRA along]. </w:t>
      </w:r>
      <w:r w:rsidR="007F63F1" w:rsidRPr="004E47AC">
        <w:rPr>
          <w:rFonts w:ascii="Times New Roman" w:eastAsia="Times New Roman" w:hAnsi="Times New Roman" w:cs="Times New Roman"/>
          <w:i/>
          <w:color w:val="000000"/>
        </w:rPr>
        <w:t>Incredibly</w:t>
      </w:r>
      <w:r w:rsidRPr="004E47AC">
        <w:rPr>
          <w:rFonts w:ascii="Times New Roman" w:eastAsia="Times New Roman" w:hAnsi="Times New Roman" w:cs="Times New Roman"/>
          <w:i/>
          <w:color w:val="000000"/>
        </w:rPr>
        <w:t xml:space="preserve"> important. And that can’t ever be underestimated. Their change in strategy and</w:t>
      </w:r>
      <w:r w:rsidR="007F63F1">
        <w:rPr>
          <w:rFonts w:ascii="Times New Roman" w:eastAsia="Times New Roman" w:hAnsi="Times New Roman" w:cs="Times New Roman"/>
          <w:i/>
          <w:color w:val="000000"/>
        </w:rPr>
        <w:t xml:space="preserve"> tactics, the</w:t>
      </w:r>
      <w:r w:rsidRPr="004E47AC">
        <w:rPr>
          <w:rFonts w:ascii="Times New Roman" w:eastAsia="Times New Roman" w:hAnsi="Times New Roman" w:cs="Times New Roman"/>
          <w:i/>
          <w:color w:val="000000"/>
        </w:rPr>
        <w:t xml:space="preserve"> need to have their key people on board with that, to bring the foot soldiers along with them...That’s why someone like Gerry would be pushed to the front in terms of policing and criminal justice issues, because of his involvement in the conflict, he has a lot of kudos. He has a lot of legitimacy and credibility.</w:t>
      </w:r>
      <w:r>
        <w:rPr>
          <w:rStyle w:val="FootnoteReference"/>
          <w:rFonts w:ascii="Times New Roman" w:eastAsia="Times New Roman" w:hAnsi="Times New Roman" w:cs="Times New Roman"/>
          <w:i/>
          <w:color w:val="000000"/>
        </w:rPr>
        <w:footnoteReference w:id="394"/>
      </w:r>
      <w:r w:rsidRPr="004E47AC">
        <w:rPr>
          <w:rFonts w:ascii="Times New Roman" w:eastAsia="Times New Roman" w:hAnsi="Times New Roman" w:cs="Times New Roman"/>
          <w:i/>
          <w:color w:val="000000"/>
        </w:rPr>
        <w:t xml:space="preserve">          </w:t>
      </w:r>
    </w:p>
    <w:p w14:paraId="294C0561" w14:textId="77777777" w:rsidR="00FD1653" w:rsidRDefault="00FD1653" w:rsidP="00B57C7F">
      <w:pPr>
        <w:spacing w:line="360" w:lineRule="auto"/>
        <w:ind w:firstLine="720"/>
        <w:jc w:val="both"/>
        <w:rPr>
          <w:rFonts w:ascii="Times New Roman" w:hAnsi="Times New Roman" w:cs="Times New Roman"/>
        </w:rPr>
      </w:pPr>
    </w:p>
    <w:p w14:paraId="64773653"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Whereas Ashour emphasises the role of the official leadership in Islamist disengagement, for the Provisional IRA, mid-ranking leadership was essential for convincing members:</w:t>
      </w:r>
      <w:r w:rsidRPr="00E37463">
        <w:rPr>
          <w:rFonts w:ascii="Times New Roman" w:hAnsi="Times New Roman" w:cs="Times New Roman"/>
        </w:rPr>
        <w:t xml:space="preserve"> </w:t>
      </w:r>
    </w:p>
    <w:p w14:paraId="4C6BF10F" w14:textId="77777777" w:rsidR="00991000" w:rsidRDefault="00991000" w:rsidP="00B57C7F">
      <w:pPr>
        <w:spacing w:line="360" w:lineRule="auto"/>
        <w:ind w:left="567" w:right="567"/>
        <w:jc w:val="both"/>
        <w:rPr>
          <w:rFonts w:ascii="Times New Roman" w:hAnsi="Times New Roman" w:cs="Times New Roman"/>
          <w:i/>
          <w:color w:val="000000"/>
        </w:rPr>
      </w:pPr>
    </w:p>
    <w:p w14:paraId="640B9D4C" w14:textId="77777777" w:rsidR="00991000" w:rsidRPr="001E3CDD" w:rsidRDefault="00991000" w:rsidP="00B57C7F">
      <w:pPr>
        <w:spacing w:line="360" w:lineRule="auto"/>
        <w:ind w:left="567" w:right="567"/>
        <w:jc w:val="both"/>
        <w:rPr>
          <w:rFonts w:ascii="Times New Roman" w:hAnsi="Times New Roman" w:cs="Times New Roman"/>
          <w:i/>
        </w:rPr>
      </w:pPr>
      <w:r w:rsidRPr="001E3CDD">
        <w:rPr>
          <w:rFonts w:ascii="Times New Roman" w:hAnsi="Times New Roman" w:cs="Times New Roman"/>
          <w:i/>
          <w:color w:val="000000"/>
        </w:rPr>
        <w:t xml:space="preserve">There was people in the middle tier there, people like Paddy McGeown, who could walk into a room full of IRA volunteers and had that respect, former hunger striker, former-prisoner, IRA volunteer himself, who was so well-respected and...people like Brian Keenan, prominent Republicans, so they had so much respect from the IRA volunteers on the ground that they were able to go into a room full of those people and say ‘look, we need to change’. And people would challenge that and question </w:t>
      </w:r>
      <w:r w:rsidRPr="001E3CDD">
        <w:rPr>
          <w:rFonts w:ascii="Times New Roman" w:hAnsi="Times New Roman" w:cs="Times New Roman"/>
          <w:i/>
          <w:color w:val="000000"/>
        </w:rPr>
        <w:lastRenderedPageBreak/>
        <w:t>that, and they would get a logical reason used for doing that, then people could buy into that. In the main, the IRA volunteers on the ground did buy into that and trusted them. It was about trust as well because there is the context of whenever Republicans move out of armed conflict immediately all the words of sell-out, traitors, it all flies.</w:t>
      </w:r>
      <w:r>
        <w:rPr>
          <w:rStyle w:val="FootnoteReference"/>
          <w:rFonts w:ascii="Times New Roman" w:hAnsi="Times New Roman" w:cs="Times New Roman"/>
          <w:i/>
          <w:color w:val="000000"/>
        </w:rPr>
        <w:footnoteReference w:id="395"/>
      </w:r>
    </w:p>
    <w:p w14:paraId="2C9E4613" w14:textId="77777777" w:rsidR="00991000" w:rsidRDefault="00991000" w:rsidP="00B57C7F">
      <w:pPr>
        <w:spacing w:line="360" w:lineRule="auto"/>
        <w:ind w:left="567" w:right="567"/>
        <w:jc w:val="both"/>
        <w:rPr>
          <w:rFonts w:ascii="Times New Roman" w:hAnsi="Times New Roman" w:cs="Times New Roman"/>
          <w:i/>
          <w:color w:val="000000"/>
        </w:rPr>
      </w:pPr>
    </w:p>
    <w:p w14:paraId="4EF31C18" w14:textId="09894ED2"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These mid-ranking leaders had authority and respect among members for their time in prisons and in the armed struggle in general. </w:t>
      </w:r>
      <w:r w:rsidR="0037643E">
        <w:rPr>
          <w:rFonts w:ascii="Times New Roman" w:hAnsi="Times New Roman" w:cs="Times New Roman"/>
        </w:rPr>
        <w:t>As will be discussed below, t</w:t>
      </w:r>
      <w:r>
        <w:rPr>
          <w:rFonts w:ascii="Times New Roman" w:hAnsi="Times New Roman" w:cs="Times New Roman"/>
        </w:rPr>
        <w:t>he conclusions here would suggest that a decapitation strategy of state repression would remove this dynamic from ever developing, which would be especially important in contrast to Islamist groups where religion may provide an alternative source of credibility than from activism. Another aspect to the internal dialogue was its geographical nature, which helped to demonstrate to grassroot</w:t>
      </w:r>
      <w:r w:rsidR="00BF4EDA">
        <w:rPr>
          <w:rFonts w:ascii="Times New Roman" w:hAnsi="Times New Roman" w:cs="Times New Roman"/>
        </w:rPr>
        <w:t>s</w:t>
      </w:r>
      <w:r>
        <w:rPr>
          <w:rFonts w:ascii="Times New Roman" w:hAnsi="Times New Roman" w:cs="Times New Roman"/>
        </w:rPr>
        <w:t xml:space="preserve"> activists that support for disengagement was broad:</w:t>
      </w:r>
    </w:p>
    <w:p w14:paraId="5F89B2B6" w14:textId="77777777" w:rsidR="00991000" w:rsidRDefault="00991000" w:rsidP="00B57C7F">
      <w:pPr>
        <w:spacing w:line="360" w:lineRule="auto"/>
        <w:ind w:firstLine="720"/>
        <w:jc w:val="both"/>
        <w:rPr>
          <w:rFonts w:ascii="Times New Roman" w:hAnsi="Times New Roman" w:cs="Times New Roman"/>
        </w:rPr>
      </w:pPr>
    </w:p>
    <w:p w14:paraId="4099E2D5" w14:textId="77777777" w:rsidR="00991000" w:rsidRPr="00E37463" w:rsidRDefault="00991000" w:rsidP="00B57C7F">
      <w:pPr>
        <w:pStyle w:val="NormalWeb"/>
        <w:spacing w:line="360" w:lineRule="auto"/>
        <w:ind w:left="567" w:right="567"/>
        <w:jc w:val="both"/>
        <w:rPr>
          <w:rFonts w:ascii="Times New Roman" w:hAnsi="Times New Roman"/>
          <w:i/>
        </w:rPr>
      </w:pPr>
      <w:r w:rsidRPr="00E37463">
        <w:rPr>
          <w:rFonts w:ascii="Times New Roman" w:hAnsi="Times New Roman"/>
          <w:i/>
          <w:color w:val="000000"/>
        </w:rPr>
        <w:t>I would suggest that two people were delegated to go into an area and neither of them would have been top command. They would have been seen as maybe a leader from another area, who was well respected, and he or she would be sent in to a different area</w:t>
      </w:r>
      <w:r>
        <w:rPr>
          <w:rFonts w:ascii="Times New Roman" w:hAnsi="Times New Roman"/>
          <w:i/>
          <w:color w:val="000000"/>
        </w:rPr>
        <w:t>…</w:t>
      </w:r>
      <w:r w:rsidRPr="00382EF6">
        <w:rPr>
          <w:rFonts w:ascii="Times New Roman" w:eastAsia="Times New Roman" w:hAnsi="Times New Roman"/>
          <w:i/>
          <w:color w:val="000000"/>
        </w:rPr>
        <w:t xml:space="preserve">There were areas where if they had a strong leader - a lot of it was about personality - but if they had a strong leader who was opposed to the strategy you could bet you weren’t going to get an easy ride going in there. But what we had to remind people of was ‘this is your leadership, we elect a leadership and you elected this leadership. So don’t turn around and say you want to change it because they don’t agree with you’. Leadership leads, and it does so because we put them there to lead, and a good leadership will always want to bring its people along with it and this is what I think, by and large, the IRA did very, very successfully. But they didn’t do it just </w:t>
      </w:r>
      <w:r w:rsidRPr="00382EF6">
        <w:rPr>
          <w:rFonts w:ascii="Times New Roman" w:eastAsia="Times New Roman" w:hAnsi="Times New Roman"/>
          <w:i/>
          <w:color w:val="000000"/>
        </w:rPr>
        <w:lastRenderedPageBreak/>
        <w:t>by sending out a general order saying ‘alright, this is what we are doing’, the debates, the meetings and the consultations were unending</w:t>
      </w:r>
      <w:r w:rsidRPr="00E37463">
        <w:rPr>
          <w:rFonts w:ascii="Times New Roman" w:hAnsi="Times New Roman"/>
          <w:i/>
          <w:color w:val="000000"/>
        </w:rPr>
        <w:t>.</w:t>
      </w:r>
      <w:r>
        <w:rPr>
          <w:rStyle w:val="FootnoteReference"/>
          <w:rFonts w:ascii="Times New Roman" w:hAnsi="Times New Roman"/>
          <w:i/>
          <w:color w:val="000000"/>
        </w:rPr>
        <w:footnoteReference w:id="396"/>
      </w:r>
      <w:r w:rsidRPr="00E37463">
        <w:rPr>
          <w:rFonts w:ascii="Times New Roman" w:hAnsi="Times New Roman"/>
          <w:i/>
        </w:rPr>
        <w:t xml:space="preserve">  </w:t>
      </w:r>
    </w:p>
    <w:p w14:paraId="6A9FE2BD"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p>
    <w:p w14:paraId="12CA52F1"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The quote above suggests that while open discussion was encouraged, there were key elements who were pulling the discussion in a certain direction. The combination of a leadership approach and a consultative approach, coupled with the use of credible voices applied across organisational boundaries, managed to pull off the feat of bringing along the vast majority of the Provisional IRA membership despite some significant opposition, particularly in 1994. The long-drawn nature of the discussion provided the time for arguments and debating-skills to be honed, which seemed to have favoured the advocates of the disengagement frame at the expense of its antagonists. Personal ties facilitated discussion and built trust, and while these ties were not unbreakable, they prevented a large-scale split in the Republican movement. Importantly, in contrast to much discussion on disengagement</w:t>
      </w:r>
      <w:r w:rsidR="008164E6">
        <w:rPr>
          <w:rFonts w:ascii="Times New Roman" w:hAnsi="Times New Roman" w:cs="Times New Roman"/>
        </w:rPr>
        <w:t xml:space="preserve"> which emphasises the merits of creating an organisational split</w:t>
      </w:r>
      <w:r w:rsidR="00B1546E">
        <w:rPr>
          <w:rFonts w:ascii="Times New Roman" w:hAnsi="Times New Roman" w:cs="Times New Roman"/>
        </w:rPr>
        <w:t>,</w:t>
      </w:r>
      <w:r>
        <w:rPr>
          <w:rStyle w:val="FootnoteReference"/>
          <w:rFonts w:ascii="Times New Roman" w:hAnsi="Times New Roman" w:cs="Times New Roman"/>
        </w:rPr>
        <w:footnoteReference w:id="397"/>
      </w:r>
      <w:r>
        <w:rPr>
          <w:rFonts w:ascii="Times New Roman" w:hAnsi="Times New Roman" w:cs="Times New Roman"/>
        </w:rPr>
        <w:t xml:space="preserve"> the leadership of the Provisional IRA were qu</w:t>
      </w:r>
      <w:r w:rsidR="001056DA">
        <w:rPr>
          <w:rFonts w:ascii="Times New Roman" w:hAnsi="Times New Roman" w:cs="Times New Roman"/>
        </w:rPr>
        <w:t>ite determined to avoid a split</w:t>
      </w:r>
      <w:r w:rsidR="008164E6">
        <w:rPr>
          <w:rFonts w:ascii="Times New Roman" w:hAnsi="Times New Roman" w:cs="Times New Roman"/>
        </w:rPr>
        <w:t xml:space="preserve"> </w:t>
      </w:r>
      <w:r w:rsidR="007F63F1">
        <w:rPr>
          <w:rFonts w:ascii="Times New Roman" w:hAnsi="Times New Roman" w:cs="Times New Roman"/>
        </w:rPr>
        <w:t>as they</w:t>
      </w:r>
      <w:r w:rsidR="008164E6">
        <w:rPr>
          <w:rFonts w:ascii="Times New Roman" w:hAnsi="Times New Roman" w:cs="Times New Roman"/>
        </w:rPr>
        <w:t xml:space="preserve"> recognised the importance in bringing along the movement and the community together</w:t>
      </w:r>
      <w:r w:rsidR="001056DA">
        <w:rPr>
          <w:rFonts w:ascii="Times New Roman" w:hAnsi="Times New Roman" w:cs="Times New Roman"/>
        </w:rPr>
        <w:t>.</w:t>
      </w:r>
      <w:r w:rsidR="008164E6">
        <w:rPr>
          <w:rStyle w:val="FootnoteReference"/>
          <w:rFonts w:ascii="Times New Roman" w:hAnsi="Times New Roman" w:cs="Times New Roman"/>
        </w:rPr>
        <w:footnoteReference w:id="398"/>
      </w:r>
      <w:r>
        <w:rPr>
          <w:rFonts w:ascii="Times New Roman" w:hAnsi="Times New Roman" w:cs="Times New Roman"/>
        </w:rPr>
        <w:t xml:space="preserve"> </w:t>
      </w:r>
      <w:r w:rsidR="001056DA">
        <w:rPr>
          <w:rFonts w:ascii="Times New Roman" w:hAnsi="Times New Roman" w:cs="Times New Roman"/>
        </w:rPr>
        <w:t>T</w:t>
      </w:r>
      <w:r>
        <w:rPr>
          <w:rFonts w:ascii="Times New Roman" w:hAnsi="Times New Roman" w:cs="Times New Roman"/>
        </w:rPr>
        <w:t>herefore there is a much stronger possibility that they would have simply put an end to disengagement if frame resonance was unsuccessful</w:t>
      </w:r>
      <w:r w:rsidR="007F63F1">
        <w:rPr>
          <w:rFonts w:ascii="Times New Roman" w:hAnsi="Times New Roman" w:cs="Times New Roman"/>
        </w:rPr>
        <w:t xml:space="preserve"> throughout the movement</w:t>
      </w:r>
      <w:r>
        <w:rPr>
          <w:rFonts w:ascii="Times New Roman" w:hAnsi="Times New Roman" w:cs="Times New Roman"/>
        </w:rPr>
        <w:t>. While there was a culture of internal discussion cultivated early on, it was in fact the prisons which were the fore-runners of this form of debate where the disengagement frame was constructed, tested and then diffused. The next section outlines firstly the structural reasons why prisons allowed the disengagement frame to develop, why it increased the credibility of prisoners as messengers, and why, upon release in 1998, former prisoners were central to convincing members to make the further concessions that would be required in the next phase of disengagement.</w:t>
      </w:r>
    </w:p>
    <w:p w14:paraId="76DC98B3" w14:textId="77777777" w:rsidR="00991000" w:rsidRDefault="00991000" w:rsidP="00B57C7F">
      <w:pPr>
        <w:spacing w:line="360" w:lineRule="auto"/>
        <w:jc w:val="both"/>
        <w:rPr>
          <w:rFonts w:ascii="Times New Roman" w:hAnsi="Times New Roman" w:cs="Times New Roman"/>
        </w:rPr>
      </w:pPr>
    </w:p>
    <w:p w14:paraId="07DB113A" w14:textId="77777777" w:rsidR="00991000" w:rsidRPr="00CA2A38" w:rsidRDefault="00991000" w:rsidP="00B57C7F">
      <w:pPr>
        <w:pStyle w:val="Heading4"/>
        <w:spacing w:before="120" w:line="360" w:lineRule="auto"/>
      </w:pPr>
      <w:bookmarkStart w:id="47" w:name="_Toc389208829"/>
      <w:r w:rsidRPr="00CA2A38">
        <w:lastRenderedPageBreak/>
        <w:t>The Role of Prisons</w:t>
      </w:r>
      <w:bookmarkEnd w:id="47"/>
    </w:p>
    <w:p w14:paraId="0C0A509B" w14:textId="77777777" w:rsidR="00E31224" w:rsidRDefault="00E31224" w:rsidP="00E31224">
      <w:pPr>
        <w:spacing w:line="360" w:lineRule="auto"/>
        <w:ind w:firstLine="567"/>
        <w:jc w:val="both"/>
        <w:rPr>
          <w:rFonts w:ascii="Times New Roman" w:hAnsi="Times New Roman" w:cs="Times New Roman"/>
        </w:rPr>
      </w:pPr>
      <w:r>
        <w:rPr>
          <w:rFonts w:ascii="Times New Roman" w:hAnsi="Times New Roman" w:cs="Times New Roman"/>
        </w:rPr>
        <w:t>Prisons have played a central role in the Irish Republican movement’s campaign from the 1960s onwards and this centrality continued from the 1990s onwards with former prisoners being visible in the peace process that followed from the 1994 ceasefire. Prisoners and prison-experience has traditionally held a significant formative role in Republican narratives over the century. The prison experience, both directly and indirectly, has had a significant impact upon the Catholic Nationalist community in Northern Ireland specifically. Over the course of the conflict, there have been 15,000 Republican prisoners and between 5,000 and 10,000 Loyalists prisoners.</w:t>
      </w:r>
      <w:r>
        <w:rPr>
          <w:rStyle w:val="FootnoteReference"/>
          <w:rFonts w:ascii="Times New Roman" w:hAnsi="Times New Roman" w:cs="Times New Roman"/>
        </w:rPr>
        <w:footnoteReference w:id="399"/>
      </w:r>
      <w:r>
        <w:rPr>
          <w:rFonts w:ascii="Times New Roman" w:hAnsi="Times New Roman" w:cs="Times New Roman"/>
        </w:rPr>
        <w:t xml:space="preserve"> P</w:t>
      </w:r>
      <w:r w:rsidRPr="00B7335B">
        <w:rPr>
          <w:rFonts w:ascii="Times New Roman" w:hAnsi="Times New Roman" w:cs="Times New Roman"/>
        </w:rPr>
        <w:t>olitically motivated former pris</w:t>
      </w:r>
      <w:r>
        <w:rPr>
          <w:rFonts w:ascii="Times New Roman" w:hAnsi="Times New Roman" w:cs="Times New Roman"/>
        </w:rPr>
        <w:t>oners made up between 14 and 31 per cent</w:t>
      </w:r>
      <w:r w:rsidRPr="00B7335B">
        <w:rPr>
          <w:rFonts w:ascii="Times New Roman" w:hAnsi="Times New Roman" w:cs="Times New Roman"/>
        </w:rPr>
        <w:t xml:space="preserve"> of the population of Northern Ireland males a</w:t>
      </w:r>
      <w:r>
        <w:rPr>
          <w:rFonts w:ascii="Times New Roman" w:hAnsi="Times New Roman" w:cs="Times New Roman"/>
        </w:rPr>
        <w:t>ged 50-59, and between 4 and 12 per cent</w:t>
      </w:r>
      <w:r w:rsidRPr="00B7335B">
        <w:rPr>
          <w:rFonts w:ascii="Times New Roman" w:hAnsi="Times New Roman" w:cs="Times New Roman"/>
        </w:rPr>
        <w:t xml:space="preserve"> of those 60-64.</w:t>
      </w:r>
      <w:r>
        <w:rPr>
          <w:rStyle w:val="FootnoteReference"/>
          <w:rFonts w:ascii="Times New Roman" w:hAnsi="Times New Roman" w:cs="Times New Roman"/>
        </w:rPr>
        <w:footnoteReference w:id="400"/>
      </w:r>
      <w:r>
        <w:rPr>
          <w:rFonts w:ascii="Times New Roman" w:hAnsi="Times New Roman" w:cs="Times New Roman"/>
        </w:rPr>
        <w:t xml:space="preserve"> The impact of the prison experience was much broader in Republican areas that were Provisional IRA strongholds during the conflict, with one in three of residents in the Falls Road having direct experiences of imprisonment on their immediate family.</w:t>
      </w:r>
      <w:r>
        <w:rPr>
          <w:rStyle w:val="FootnoteReference"/>
          <w:rFonts w:ascii="Times New Roman" w:hAnsi="Times New Roman" w:cs="Times New Roman"/>
        </w:rPr>
        <w:footnoteReference w:id="401"/>
      </w:r>
      <w:r>
        <w:rPr>
          <w:rFonts w:ascii="Times New Roman" w:hAnsi="Times New Roman" w:cs="Times New Roman"/>
        </w:rPr>
        <w:t xml:space="preserve"> The prison experience would also have a broad cultural and political impact in films, songs, and murals, as symbolised by the death of Bobby Sands – a Provisional IRA hunger striker who was elected to be a Member of Parliament at Westminster.</w:t>
      </w:r>
    </w:p>
    <w:p w14:paraId="02C313E4" w14:textId="77777777" w:rsidR="00E31224" w:rsidRDefault="00E31224" w:rsidP="00E31224">
      <w:pPr>
        <w:spacing w:line="360" w:lineRule="auto"/>
        <w:ind w:firstLine="567"/>
        <w:jc w:val="both"/>
        <w:rPr>
          <w:rFonts w:ascii="Times New Roman" w:hAnsi="Times New Roman" w:cs="Times New Roman"/>
        </w:rPr>
      </w:pPr>
      <w:r>
        <w:rPr>
          <w:rFonts w:ascii="Times New Roman" w:hAnsi="Times New Roman" w:cs="Times New Roman"/>
        </w:rPr>
        <w:t xml:space="preserve"> In the early phase of the conflict, the Northern Irish security forces implemented a policy of internment without trial. In 1971 a series of dawn raids led to the arrest of 342 people suspected of involvement in Republican militant groups, however, due to faulty intelligence the vast majority of internees had nothing to do with any of the militant groups. From February to March 1971, over 650 people had been interned, and between 1970 and 1975 this figure was just under 2,000 internees. The indiscriminate nature of the arrests acted as the best recruiting sergeant for the Provisional IRA and coincided with an increase in the number of armed attacks at </w:t>
      </w:r>
      <w:r>
        <w:rPr>
          <w:rFonts w:ascii="Times New Roman" w:hAnsi="Times New Roman" w:cs="Times New Roman"/>
        </w:rPr>
        <w:lastRenderedPageBreak/>
        <w:t>the height of internment.</w:t>
      </w:r>
      <w:r>
        <w:rPr>
          <w:rStyle w:val="FootnoteReference"/>
          <w:rFonts w:ascii="Times New Roman" w:hAnsi="Times New Roman" w:cs="Times New Roman"/>
        </w:rPr>
        <w:footnoteReference w:id="402"/>
      </w:r>
      <w:r>
        <w:rPr>
          <w:rFonts w:ascii="Times New Roman" w:hAnsi="Times New Roman" w:cs="Times New Roman"/>
        </w:rPr>
        <w:t xml:space="preserve"> Internees were held in a disused military airfield called Long Kesh, with the rebuilt prison later known as the H-Blocks/Maze Prison. In the early 1970s during internment, prisoners were recognised as political inmates: they were allowed to wear their own clothes, had free association and made their own rules for order and cooperation.</w:t>
      </w:r>
      <w:r>
        <w:rPr>
          <w:rStyle w:val="FootnoteReference"/>
          <w:rFonts w:ascii="Times New Roman" w:hAnsi="Times New Roman" w:cs="Times New Roman"/>
        </w:rPr>
        <w:footnoteReference w:id="403"/>
      </w:r>
      <w:r>
        <w:rPr>
          <w:rFonts w:ascii="Times New Roman" w:hAnsi="Times New Roman" w:cs="Times New Roman"/>
        </w:rPr>
        <w:t xml:space="preserve"> Prisoners continued to assert their position as political prisoners rather than ‘ordinary criminals’ with some success during the early stages of the conflict. </w:t>
      </w:r>
    </w:p>
    <w:p w14:paraId="3A32E536" w14:textId="77777777" w:rsidR="002A1763" w:rsidRDefault="00E31224" w:rsidP="00E31224">
      <w:pPr>
        <w:spacing w:line="360" w:lineRule="auto"/>
        <w:ind w:firstLine="567"/>
        <w:jc w:val="both"/>
        <w:rPr>
          <w:rFonts w:ascii="Times New Roman" w:hAnsi="Times New Roman" w:cs="Times New Roman"/>
        </w:rPr>
      </w:pPr>
      <w:r>
        <w:rPr>
          <w:rFonts w:ascii="Times New Roman" w:hAnsi="Times New Roman" w:cs="Times New Roman"/>
        </w:rPr>
        <w:t>The removal of political rights for prisoners in 1975 marked the beginning of a series of protests and actions within the prison, culminating in the Hunger Strikes, which led to increased support for Sinn Fein and political status was eventually returned in all but name. Prison wings were divided along the lines of the militant groups, a command structure was maintained and Officers Commanding (OCs) were appointed to deal with the prison authorities and other militant groups.</w:t>
      </w:r>
      <w:r>
        <w:rPr>
          <w:rStyle w:val="FootnoteReference"/>
          <w:rFonts w:ascii="Times New Roman" w:hAnsi="Times New Roman" w:cs="Times New Roman"/>
        </w:rPr>
        <w:footnoteReference w:id="404"/>
      </w:r>
      <w:r>
        <w:rPr>
          <w:rFonts w:ascii="Times New Roman" w:hAnsi="Times New Roman" w:cs="Times New Roman"/>
        </w:rPr>
        <w:t xml:space="preserve"> For many Republicans, time in prison was not only a way to continue the struggle against the British establishment; it also provided the space to discuss and refine the Provisional IRA’s strategy and to develop training and counter-interrogation manuals. Furthermore, in the prisons there was a culture that encouraged learning and reading political texts, writing plays, poetry and learning the Irish language and about Irish culture.</w:t>
      </w:r>
      <w:r>
        <w:rPr>
          <w:rStyle w:val="FootnoteReference"/>
          <w:rFonts w:ascii="Times New Roman" w:hAnsi="Times New Roman" w:cs="Times New Roman"/>
        </w:rPr>
        <w:footnoteReference w:id="405"/>
      </w:r>
      <w:r>
        <w:rPr>
          <w:rFonts w:ascii="Times New Roman" w:hAnsi="Times New Roman" w:cs="Times New Roman"/>
        </w:rPr>
        <w:t xml:space="preserve"> After the 1994 ceasefire, the Good Friday Agreement made provisions for the conditional release of prisoners, with 447 prisoners being released upon its acceptance. </w:t>
      </w:r>
    </w:p>
    <w:p w14:paraId="3D4151DB" w14:textId="2827EAE2" w:rsidR="00E31224" w:rsidRDefault="00E31224" w:rsidP="00E31224">
      <w:pPr>
        <w:spacing w:line="360" w:lineRule="auto"/>
        <w:ind w:firstLine="567"/>
        <w:jc w:val="both"/>
        <w:rPr>
          <w:rFonts w:ascii="Times New Roman" w:hAnsi="Times New Roman" w:cs="Times New Roman"/>
        </w:rPr>
      </w:pPr>
      <w:r>
        <w:rPr>
          <w:rFonts w:ascii="Times New Roman" w:hAnsi="Times New Roman" w:cs="Times New Roman"/>
        </w:rPr>
        <w:t>From 1995 onwards, a series of ex-prisoner groups emerged to provide welfare and support for ex-prisoners and their families: the umbrella group for those linked to the Provisional IRA is Coiste na n-larchimi.</w:t>
      </w:r>
      <w:r>
        <w:rPr>
          <w:rStyle w:val="FootnoteReference"/>
          <w:rFonts w:ascii="Times New Roman" w:hAnsi="Times New Roman" w:cs="Times New Roman"/>
        </w:rPr>
        <w:footnoteReference w:id="406"/>
      </w:r>
      <w:r>
        <w:rPr>
          <w:rFonts w:ascii="Times New Roman" w:hAnsi="Times New Roman" w:cs="Times New Roman"/>
        </w:rPr>
        <w:t xml:space="preserve"> </w:t>
      </w:r>
      <w:r w:rsidR="002A1763">
        <w:rPr>
          <w:rFonts w:ascii="Times New Roman" w:hAnsi="Times New Roman" w:cs="Times New Roman"/>
        </w:rPr>
        <w:t xml:space="preserve">The numerous prisoner groups operating in Northern Ireland are involved in a number of activities, from running youth events, campaigning for a bill of rights, or offering free welfare advice </w:t>
      </w:r>
      <w:r w:rsidR="002A1763">
        <w:rPr>
          <w:rFonts w:ascii="Times New Roman" w:hAnsi="Times New Roman" w:cs="Times New Roman"/>
        </w:rPr>
        <w:lastRenderedPageBreak/>
        <w:t>services to the local community.</w:t>
      </w:r>
      <w:r w:rsidR="002A1763">
        <w:rPr>
          <w:rStyle w:val="FootnoteReference"/>
          <w:rFonts w:ascii="Times New Roman" w:hAnsi="Times New Roman" w:cs="Times New Roman"/>
        </w:rPr>
        <w:footnoteReference w:id="407"/>
      </w:r>
      <w:r w:rsidR="002A1763">
        <w:rPr>
          <w:rFonts w:ascii="Times New Roman" w:hAnsi="Times New Roman" w:cs="Times New Roman"/>
        </w:rPr>
        <w:t xml:space="preserve"> One former Provisional IRA prisoner discussed how Coiste would provide training, support, advice and advocacy for former Prisoners.</w:t>
      </w:r>
      <w:r w:rsidR="002A1763">
        <w:rPr>
          <w:rStyle w:val="FootnoteReference"/>
          <w:rFonts w:ascii="Times New Roman" w:hAnsi="Times New Roman" w:cs="Times New Roman"/>
        </w:rPr>
        <w:footnoteReference w:id="408"/>
      </w:r>
      <w:r w:rsidR="002A1763">
        <w:rPr>
          <w:rFonts w:ascii="Times New Roman" w:hAnsi="Times New Roman" w:cs="Times New Roman"/>
        </w:rPr>
        <w:t xml:space="preserve"> These networks would complement and/or replace the Provisional IRA structure which prisoners would find themselves in. </w:t>
      </w:r>
      <w:r>
        <w:rPr>
          <w:rFonts w:ascii="Times New Roman" w:hAnsi="Times New Roman" w:cs="Times New Roman"/>
        </w:rPr>
        <w:t xml:space="preserve">On the whole, the unique prison system – with Provisional IRA-ran wings specifically – and the relatively broad exposure of the prison experience at the community level, meant that prisoners would play a key role in the disengagement process.   </w:t>
      </w:r>
    </w:p>
    <w:p w14:paraId="7A309DD5" w14:textId="0DEE1ED8" w:rsidR="00991000" w:rsidRPr="006D2A6F" w:rsidRDefault="00991000" w:rsidP="00E31224">
      <w:pPr>
        <w:spacing w:line="360" w:lineRule="auto"/>
        <w:ind w:firstLine="567"/>
        <w:jc w:val="both"/>
        <w:rPr>
          <w:rFonts w:ascii="Times New Roman" w:hAnsi="Times New Roman" w:cs="Times New Roman"/>
        </w:rPr>
      </w:pPr>
      <w:r>
        <w:rPr>
          <w:rFonts w:ascii="Times New Roman" w:hAnsi="Times New Roman" w:cs="Times New Roman"/>
        </w:rPr>
        <w:t>Prisons were important to the successful resonance of the disengagement frame, firstly as a potential site for its construction in the 1980s, and secondly, in terms of how prisoners released in 1998 helped to strengthen the credibility of the frame.</w:t>
      </w:r>
      <w:r w:rsidR="006C2B15">
        <w:rPr>
          <w:rFonts w:ascii="Times New Roman" w:hAnsi="Times New Roman" w:cs="Times New Roman"/>
        </w:rPr>
        <w:t xml:space="preserve"> Crucially, prisoners released on parole prior to 1998 also had a significant role in calming nerves in the Republican community.</w:t>
      </w:r>
      <w:r>
        <w:rPr>
          <w:rFonts w:ascii="Times New Roman" w:hAnsi="Times New Roman" w:cs="Times New Roman"/>
        </w:rPr>
        <w:t xml:space="preserve"> While after 1998 there may have been some inevitability in terms of the future concessions that would need to be made, former prisoners were crucial in helping maintain and conclude disengagement in 2005. Time in prison most crucially allowed time for the Provisional IRA members to discuss politics, the conflict and strategy</w:t>
      </w:r>
      <w:r w:rsidRPr="006D2A6F">
        <w:rPr>
          <w:rFonts w:ascii="Times New Roman" w:hAnsi="Times New Roman" w:cs="Times New Roman"/>
        </w:rPr>
        <w:t xml:space="preserve">. Militants on the outside would have less time to reflect because of involvement in operational activities, evading the British army and the RUC, and greater normative pressure to not be critical of the armed struggle. Furthermore, the prisoners were not as affected as much by what was going </w:t>
      </w:r>
      <w:r w:rsidR="0037643E">
        <w:rPr>
          <w:rFonts w:ascii="Times New Roman" w:hAnsi="Times New Roman" w:cs="Times New Roman"/>
        </w:rPr>
        <w:t xml:space="preserve">on </w:t>
      </w:r>
      <w:r w:rsidRPr="006D2A6F">
        <w:rPr>
          <w:rFonts w:ascii="Times New Roman" w:hAnsi="Times New Roman" w:cs="Times New Roman"/>
        </w:rPr>
        <w:t>outside in terms of the day to day pressures of involvement in the armed struggle.</w:t>
      </w:r>
      <w:r w:rsidR="0037643E" w:rsidRPr="0037643E">
        <w:rPr>
          <w:rFonts w:ascii="Times New Roman" w:hAnsi="Times New Roman" w:cs="Times New Roman"/>
        </w:rPr>
        <w:t xml:space="preserve"> </w:t>
      </w:r>
      <w:r w:rsidRPr="009D3E49">
        <w:rPr>
          <w:rFonts w:ascii="Times New Roman" w:hAnsi="Times New Roman" w:cs="Times New Roman"/>
        </w:rPr>
        <w:t>Prisons provided greater freedom which meant that they were more open to disengagement when the time had come.</w:t>
      </w:r>
      <w:r>
        <w:rPr>
          <w:rFonts w:ascii="Times New Roman" w:hAnsi="Times New Roman" w:cs="Times New Roman"/>
        </w:rPr>
        <w:t xml:space="preserve"> One senior Provisional IRA prisoner stated that ‘anyone could say what they wanted. In the main, there w</w:t>
      </w:r>
      <w:r w:rsidR="007F63F1">
        <w:rPr>
          <w:rFonts w:ascii="Times New Roman" w:hAnsi="Times New Roman" w:cs="Times New Roman"/>
        </w:rPr>
        <w:t>as</w:t>
      </w:r>
      <w:r>
        <w:rPr>
          <w:rFonts w:ascii="Times New Roman" w:hAnsi="Times New Roman" w:cs="Times New Roman"/>
        </w:rPr>
        <w:t xml:space="preserve"> one or two in every wing who were opposed [to disengagement]. A lot of them found it difficult to articulate why’</w:t>
      </w:r>
      <w:r w:rsidR="00B1546E">
        <w:rPr>
          <w:rFonts w:ascii="Times New Roman" w:hAnsi="Times New Roman" w:cs="Times New Roman"/>
        </w:rPr>
        <w:t>.</w:t>
      </w:r>
      <w:r w:rsidRPr="006D2A6F">
        <w:rPr>
          <w:rStyle w:val="FootnoteReference"/>
          <w:rFonts w:ascii="Times New Roman" w:hAnsi="Times New Roman" w:cs="Times New Roman"/>
        </w:rPr>
        <w:footnoteReference w:id="409"/>
      </w:r>
      <w:r w:rsidRPr="006D2A6F">
        <w:rPr>
          <w:rFonts w:ascii="Times New Roman" w:hAnsi="Times New Roman" w:cs="Times New Roman"/>
        </w:rPr>
        <w:t xml:space="preserve"> Another Provisional IRA prisoner also stated how the prison environment provided a space to rethink the direction the movement was going in:</w:t>
      </w:r>
    </w:p>
    <w:p w14:paraId="3623E453" w14:textId="77777777" w:rsidR="00991000" w:rsidRPr="006D2A6F" w:rsidRDefault="00991000" w:rsidP="00B57C7F">
      <w:pPr>
        <w:spacing w:line="360" w:lineRule="auto"/>
        <w:jc w:val="both"/>
        <w:rPr>
          <w:rFonts w:ascii="Times New Roman" w:hAnsi="Times New Roman" w:cs="Times New Roman"/>
        </w:rPr>
      </w:pPr>
    </w:p>
    <w:p w14:paraId="19FB0604" w14:textId="77777777" w:rsidR="00991000" w:rsidRPr="006D2A6F" w:rsidRDefault="00991000" w:rsidP="00B57C7F">
      <w:pPr>
        <w:spacing w:line="360" w:lineRule="auto"/>
        <w:ind w:left="567" w:right="567"/>
        <w:jc w:val="both"/>
        <w:rPr>
          <w:rFonts w:ascii="Times New Roman" w:hAnsi="Times New Roman" w:cs="Times New Roman"/>
          <w:i/>
        </w:rPr>
      </w:pPr>
      <w:r w:rsidRPr="006D2A6F">
        <w:rPr>
          <w:rFonts w:ascii="Times New Roman" w:hAnsi="Times New Roman" w:cs="Times New Roman"/>
          <w:i/>
          <w:color w:val="000000"/>
        </w:rPr>
        <w:t xml:space="preserve">I think there was a whole thing within prison where people had the ability to…..that final stage of conflict would always have to be political </w:t>
      </w:r>
      <w:r w:rsidRPr="006D2A6F">
        <w:rPr>
          <w:rFonts w:ascii="Times New Roman" w:hAnsi="Times New Roman" w:cs="Times New Roman"/>
          <w:i/>
          <w:color w:val="000000"/>
        </w:rPr>
        <w:lastRenderedPageBreak/>
        <w:t>engagement, and for me the end game was always going to be discussion and negotiation. Those kind</w:t>
      </w:r>
      <w:r w:rsidR="007F63F1">
        <w:rPr>
          <w:rFonts w:ascii="Times New Roman" w:hAnsi="Times New Roman" w:cs="Times New Roman"/>
          <w:i/>
          <w:color w:val="000000"/>
        </w:rPr>
        <w:t>s</w:t>
      </w:r>
      <w:r w:rsidRPr="006D2A6F">
        <w:rPr>
          <w:rFonts w:ascii="Times New Roman" w:hAnsi="Times New Roman" w:cs="Times New Roman"/>
          <w:i/>
          <w:color w:val="000000"/>
        </w:rPr>
        <w:t xml:space="preserve"> of discussions developed in prison where people would say ‘well I do agree with you’; outside it would have been heresy but inside you were allowed to have that thing going on.</w:t>
      </w:r>
      <w:r w:rsidRPr="006D2A6F">
        <w:rPr>
          <w:rStyle w:val="FootnoteReference"/>
          <w:rFonts w:ascii="Times New Roman" w:hAnsi="Times New Roman" w:cs="Times New Roman"/>
          <w:i/>
          <w:color w:val="000000"/>
        </w:rPr>
        <w:footnoteReference w:id="410"/>
      </w:r>
      <w:r w:rsidRPr="006D2A6F">
        <w:rPr>
          <w:rFonts w:ascii="Times New Roman" w:hAnsi="Times New Roman" w:cs="Times New Roman"/>
          <w:i/>
          <w:color w:val="000000"/>
        </w:rPr>
        <w:t xml:space="preserve">   </w:t>
      </w:r>
      <w:r w:rsidRPr="006D2A6F">
        <w:rPr>
          <w:rFonts w:ascii="Times New Roman" w:hAnsi="Times New Roman" w:cs="Times New Roman"/>
          <w:i/>
        </w:rPr>
        <w:t xml:space="preserve"> </w:t>
      </w:r>
    </w:p>
    <w:p w14:paraId="4E229454" w14:textId="77777777" w:rsidR="00991000" w:rsidRPr="0090426C" w:rsidRDefault="00991000" w:rsidP="00B57C7F">
      <w:pPr>
        <w:spacing w:line="360" w:lineRule="auto"/>
        <w:ind w:left="567" w:right="567"/>
        <w:jc w:val="both"/>
        <w:rPr>
          <w:rFonts w:ascii="Times New Roman" w:hAnsi="Times New Roman" w:cs="Times New Roman"/>
          <w:i/>
        </w:rPr>
      </w:pPr>
    </w:p>
    <w:p w14:paraId="1FA1424B"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In addition to providing time and space for thinking, discussing and learning, a command structure was maintained in prison. In the prisons there were leaders for each of the groups who would still maintain authority and organisational discipline within the cells, therefore the external leadership were still able to exercise influence over members. While one interviewee stated how a number of prisoners came to the same conclusion themselves</w:t>
      </w:r>
      <w:r w:rsidR="00B1546E">
        <w:rPr>
          <w:rFonts w:ascii="Times New Roman" w:hAnsi="Times New Roman" w:cs="Times New Roman"/>
        </w:rPr>
        <w:t>,</w:t>
      </w:r>
      <w:r>
        <w:rPr>
          <w:rStyle w:val="FootnoteReference"/>
          <w:rFonts w:ascii="Times New Roman" w:hAnsi="Times New Roman" w:cs="Times New Roman"/>
        </w:rPr>
        <w:footnoteReference w:id="411"/>
      </w:r>
      <w:r>
        <w:rPr>
          <w:rFonts w:ascii="Times New Roman" w:hAnsi="Times New Roman" w:cs="Times New Roman"/>
        </w:rPr>
        <w:t xml:space="preserve"> the organisational structure within the prisons also allowed a more coherent diffusion of the newly emerging disengagement frame. Furthermore, prisons helped to reinforce the second gener</w:t>
      </w:r>
      <w:r w:rsidR="0037643E">
        <w:rPr>
          <w:rFonts w:ascii="Times New Roman" w:hAnsi="Times New Roman" w:cs="Times New Roman"/>
        </w:rPr>
        <w:t>ation’s control of the movement:</w:t>
      </w:r>
      <w:r>
        <w:rPr>
          <w:rFonts w:ascii="Times New Roman" w:hAnsi="Times New Roman" w:cs="Times New Roman"/>
        </w:rPr>
        <w:t xml:space="preserve"> while in prison they could still continue the armed struggle</w:t>
      </w:r>
      <w:r w:rsidR="0037643E">
        <w:rPr>
          <w:rFonts w:ascii="Times New Roman" w:hAnsi="Times New Roman" w:cs="Times New Roman"/>
        </w:rPr>
        <w:t xml:space="preserve"> through other means;</w:t>
      </w:r>
      <w:r>
        <w:rPr>
          <w:rFonts w:ascii="Times New Roman" w:hAnsi="Times New Roman" w:cs="Times New Roman"/>
        </w:rPr>
        <w:t xml:space="preserve"> the</w:t>
      </w:r>
      <w:r w:rsidR="0037643E">
        <w:rPr>
          <w:rFonts w:ascii="Times New Roman" w:hAnsi="Times New Roman" w:cs="Times New Roman"/>
        </w:rPr>
        <w:t>y could still distribute orders;</w:t>
      </w:r>
      <w:r>
        <w:rPr>
          <w:rFonts w:ascii="Times New Roman" w:hAnsi="Times New Roman" w:cs="Times New Roman"/>
        </w:rPr>
        <w:t xml:space="preserve"> and they still had authority</w:t>
      </w:r>
      <w:r w:rsidR="00B1546E">
        <w:rPr>
          <w:rFonts w:ascii="Times New Roman" w:hAnsi="Times New Roman" w:cs="Times New Roman"/>
        </w:rPr>
        <w:t>.</w:t>
      </w:r>
      <w:r w:rsidR="007F63F1">
        <w:rPr>
          <w:rFonts w:ascii="Times New Roman" w:hAnsi="Times New Roman" w:cs="Times New Roman"/>
        </w:rPr>
        <w:t xml:space="preserve"> However, Adams managed to assert more control in prisons by changing rules so that the Provisional IRA leadership had a say in who would be Officer Commanding, rather than the prisoners (or the Active Service Units on the outside).</w:t>
      </w:r>
      <w:r w:rsidR="007F63F1">
        <w:rPr>
          <w:rStyle w:val="FootnoteReference"/>
          <w:rFonts w:ascii="Times New Roman" w:hAnsi="Times New Roman" w:cs="Times New Roman"/>
        </w:rPr>
        <w:footnoteReference w:id="412"/>
      </w:r>
      <w:r>
        <w:rPr>
          <w:rFonts w:ascii="Times New Roman" w:hAnsi="Times New Roman" w:cs="Times New Roman"/>
        </w:rPr>
        <w:t xml:space="preserve"> Therefore, in other contexts where a new, more militant generation of members on the outside could come to dominance, younger activists still remained subordinate to the second generation inside and outside. This can also be attributed to a decline in recruitment of the younger generation</w:t>
      </w:r>
      <w:r>
        <w:rPr>
          <w:rStyle w:val="FootnoteReference"/>
          <w:rFonts w:ascii="Times New Roman" w:hAnsi="Times New Roman" w:cs="Times New Roman"/>
        </w:rPr>
        <w:footnoteReference w:id="413"/>
      </w:r>
      <w:r>
        <w:rPr>
          <w:rFonts w:ascii="Times New Roman" w:hAnsi="Times New Roman" w:cs="Times New Roman"/>
        </w:rPr>
        <w:t xml:space="preserve"> and that new activists became le</w:t>
      </w:r>
      <w:r w:rsidR="001056DA">
        <w:rPr>
          <w:rFonts w:ascii="Times New Roman" w:hAnsi="Times New Roman" w:cs="Times New Roman"/>
        </w:rPr>
        <w:t>ss and less experienced and making</w:t>
      </w:r>
      <w:r>
        <w:rPr>
          <w:rFonts w:ascii="Times New Roman" w:hAnsi="Times New Roman" w:cs="Times New Roman"/>
        </w:rPr>
        <w:t xml:space="preserve"> more mistakes</w:t>
      </w:r>
      <w:r w:rsidR="00B1546E">
        <w:rPr>
          <w:rFonts w:ascii="Times New Roman" w:hAnsi="Times New Roman" w:cs="Times New Roman"/>
        </w:rPr>
        <w:t>.</w:t>
      </w:r>
      <w:r>
        <w:rPr>
          <w:rStyle w:val="FootnoteReference"/>
          <w:rFonts w:ascii="Times New Roman" w:hAnsi="Times New Roman" w:cs="Times New Roman"/>
        </w:rPr>
        <w:footnoteReference w:id="414"/>
      </w:r>
      <w:r>
        <w:rPr>
          <w:rFonts w:ascii="Times New Roman" w:hAnsi="Times New Roman" w:cs="Times New Roman"/>
        </w:rPr>
        <w:t xml:space="preserve"> Therefore, prisons helped to solidify this generation’s dominance of the movement, meaning there were still strong enough personal connections with the outside leadership. As stated in Shirlow et al’s extensive study on former prisoners, ‘imprisonment built up trust within groups and their respective </w:t>
      </w:r>
      <w:r>
        <w:rPr>
          <w:rFonts w:ascii="Times New Roman" w:hAnsi="Times New Roman" w:cs="Times New Roman"/>
        </w:rPr>
        <w:lastRenderedPageBreak/>
        <w:t>leaderships due to the latter having themselves being imprisoned’</w:t>
      </w:r>
      <w:r w:rsidR="00B1546E">
        <w:rPr>
          <w:rFonts w:ascii="Times New Roman" w:hAnsi="Times New Roman" w:cs="Times New Roman"/>
        </w:rPr>
        <w:t>.</w:t>
      </w:r>
      <w:r>
        <w:rPr>
          <w:rStyle w:val="FootnoteReference"/>
          <w:rFonts w:ascii="Times New Roman" w:hAnsi="Times New Roman" w:cs="Times New Roman"/>
        </w:rPr>
        <w:footnoteReference w:id="415"/>
      </w:r>
      <w:r>
        <w:rPr>
          <w:rFonts w:ascii="Times New Roman" w:hAnsi="Times New Roman" w:cs="Times New Roman"/>
        </w:rPr>
        <w:t xml:space="preserve"> The prison system also gave the leadership a captive audience to engage with, meaning internal discussions could be done </w:t>
      </w:r>
      <w:r w:rsidRPr="001128DE">
        <w:rPr>
          <w:rFonts w:ascii="Times New Roman" w:hAnsi="Times New Roman" w:cs="Times New Roman"/>
          <w:i/>
        </w:rPr>
        <w:t>en masse</w:t>
      </w:r>
      <w:r>
        <w:rPr>
          <w:rFonts w:ascii="Times New Roman" w:hAnsi="Times New Roman" w:cs="Times New Roman"/>
        </w:rPr>
        <w:t xml:space="preserve"> and there would be more time for debate and discussion. </w:t>
      </w:r>
      <w:r w:rsidRPr="006D2A6F">
        <w:rPr>
          <w:rFonts w:ascii="Times New Roman" w:hAnsi="Times New Roman" w:cs="Times New Roman"/>
        </w:rPr>
        <w:t>While one interviewee stated how a number of prisoners came to the same conclusion themselves</w:t>
      </w:r>
      <w:r w:rsidR="00B1546E">
        <w:rPr>
          <w:rFonts w:ascii="Times New Roman" w:hAnsi="Times New Roman" w:cs="Times New Roman"/>
        </w:rPr>
        <w:t>,</w:t>
      </w:r>
      <w:r w:rsidRPr="006D2A6F">
        <w:rPr>
          <w:rStyle w:val="FootnoteReference"/>
          <w:rFonts w:ascii="Times New Roman" w:hAnsi="Times New Roman" w:cs="Times New Roman"/>
        </w:rPr>
        <w:footnoteReference w:id="416"/>
      </w:r>
      <w:r w:rsidRPr="006D2A6F">
        <w:rPr>
          <w:rFonts w:ascii="Times New Roman" w:hAnsi="Times New Roman" w:cs="Times New Roman"/>
        </w:rPr>
        <w:t xml:space="preserve"> the organisational structure within the prisons also allowed a more coherent diffusion of the newly emerging disengagement frame. </w:t>
      </w:r>
    </w:p>
    <w:p w14:paraId="087900AE"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As well as prison providing space for dialogue, the credibility of the messenger diffusing the frame was important. As Guelke observed, ‘one of the most extraordinary aspects of the Sinn Fein leadership’s efforts to convince rank and file members of the value of the Agreement was its enlistment of aid from leading figures in the </w:t>
      </w:r>
      <w:r w:rsidR="0091749D">
        <w:rPr>
          <w:rFonts w:ascii="Times New Roman" w:hAnsi="Times New Roman" w:cs="Times New Roman"/>
        </w:rPr>
        <w:t>ANC [African National Congress]</w:t>
      </w:r>
      <w:r>
        <w:rPr>
          <w:rFonts w:ascii="Times New Roman" w:hAnsi="Times New Roman" w:cs="Times New Roman"/>
        </w:rPr>
        <w:t>’</w:t>
      </w:r>
      <w:r w:rsidR="00B1546E">
        <w:rPr>
          <w:rFonts w:ascii="Times New Roman" w:hAnsi="Times New Roman" w:cs="Times New Roman"/>
        </w:rPr>
        <w:t>.</w:t>
      </w:r>
      <w:r>
        <w:rPr>
          <w:rStyle w:val="FootnoteReference"/>
          <w:rFonts w:ascii="Times New Roman" w:hAnsi="Times New Roman" w:cs="Times New Roman"/>
        </w:rPr>
        <w:footnoteReference w:id="417"/>
      </w:r>
      <w:r>
        <w:rPr>
          <w:rFonts w:ascii="Times New Roman" w:hAnsi="Times New Roman" w:cs="Times New Roman"/>
        </w:rPr>
        <w:t xml:space="preserve"> The thesis can corroborate the significance of this intervention in convincing members of the need of disengagement. Two Provisional IRA prisoners in the H-Blocks identified the invitation of the </w:t>
      </w:r>
      <w:r w:rsidR="0091749D">
        <w:rPr>
          <w:rFonts w:ascii="Times New Roman" w:hAnsi="Times New Roman" w:cs="Times New Roman"/>
        </w:rPr>
        <w:t>ANC</w:t>
      </w:r>
      <w:r>
        <w:rPr>
          <w:rFonts w:ascii="Times New Roman" w:hAnsi="Times New Roman" w:cs="Times New Roman"/>
        </w:rPr>
        <w:t xml:space="preserve"> to speak as being important for increasing support for disengagement. A senior Provisional IRA prisoner said:</w:t>
      </w:r>
    </w:p>
    <w:p w14:paraId="251BC6FD" w14:textId="77777777" w:rsidR="00991000" w:rsidRDefault="00991000" w:rsidP="00B57C7F">
      <w:pPr>
        <w:spacing w:line="360" w:lineRule="auto"/>
        <w:jc w:val="both"/>
        <w:rPr>
          <w:rFonts w:ascii="Times New Roman" w:hAnsi="Times New Roman" w:cs="Times New Roman"/>
        </w:rPr>
      </w:pPr>
    </w:p>
    <w:p w14:paraId="35AD9F18" w14:textId="77777777" w:rsidR="00991000" w:rsidRDefault="00991000" w:rsidP="00B57C7F">
      <w:pPr>
        <w:spacing w:line="360" w:lineRule="auto"/>
        <w:ind w:left="567" w:right="567"/>
        <w:jc w:val="both"/>
        <w:rPr>
          <w:rFonts w:ascii="Times New Roman" w:hAnsi="Times New Roman" w:cs="Times New Roman"/>
          <w:i/>
        </w:rPr>
      </w:pPr>
      <w:r w:rsidRPr="00E15511">
        <w:rPr>
          <w:rFonts w:ascii="Times New Roman" w:hAnsi="Times New Roman" w:cs="Times New Roman"/>
          <w:i/>
        </w:rPr>
        <w:t>The ANC negotiators were brought into the jail and everyone came into the gymnasium, all the leaders li</w:t>
      </w:r>
      <w:r>
        <w:rPr>
          <w:rFonts w:ascii="Times New Roman" w:hAnsi="Times New Roman" w:cs="Times New Roman"/>
          <w:i/>
        </w:rPr>
        <w:t>ke: M</w:t>
      </w:r>
      <w:r w:rsidR="00D91560">
        <w:rPr>
          <w:rFonts w:ascii="Times New Roman" w:hAnsi="Times New Roman" w:cs="Times New Roman"/>
          <w:i/>
        </w:rPr>
        <w:t>artin McGuinness and Gerry Adams</w:t>
      </w:r>
      <w:r w:rsidRPr="00E15511">
        <w:rPr>
          <w:rFonts w:ascii="Times New Roman" w:hAnsi="Times New Roman" w:cs="Times New Roman"/>
          <w:i/>
        </w:rPr>
        <w:t>…The leadership had brought them over to talk to IRA members in the field. Probably you didn’t have the same time constraints and restraints on questions [in the prison]. And because of the numbers in the prison you could bounce more ideas around…The ANC had walked the walk – they were seen as an example of success…For people who were in any doubt it helped them get around to the idea the armed struggle was over.</w:t>
      </w:r>
      <w:r>
        <w:rPr>
          <w:rStyle w:val="FootnoteReference"/>
          <w:rFonts w:ascii="Times New Roman" w:hAnsi="Times New Roman" w:cs="Times New Roman"/>
          <w:i/>
        </w:rPr>
        <w:footnoteReference w:id="418"/>
      </w:r>
    </w:p>
    <w:p w14:paraId="60BD249F" w14:textId="77777777" w:rsidR="00991000" w:rsidRDefault="00991000" w:rsidP="00B57C7F">
      <w:pPr>
        <w:spacing w:line="360" w:lineRule="auto"/>
        <w:ind w:right="567"/>
        <w:jc w:val="both"/>
        <w:rPr>
          <w:rFonts w:ascii="Times New Roman" w:hAnsi="Times New Roman" w:cs="Times New Roman"/>
        </w:rPr>
      </w:pPr>
    </w:p>
    <w:p w14:paraId="5332DDD9" w14:textId="77777777" w:rsidR="00991000" w:rsidRDefault="00991000" w:rsidP="00B57C7F">
      <w:pPr>
        <w:spacing w:line="360" w:lineRule="auto"/>
        <w:ind w:right="567"/>
        <w:jc w:val="both"/>
        <w:rPr>
          <w:rFonts w:ascii="Times New Roman" w:hAnsi="Times New Roman" w:cs="Times New Roman"/>
        </w:rPr>
      </w:pPr>
      <w:r>
        <w:rPr>
          <w:rFonts w:ascii="Times New Roman" w:hAnsi="Times New Roman" w:cs="Times New Roman"/>
        </w:rPr>
        <w:t>Another prisoner at the time mentioned the meeting with the ANC:</w:t>
      </w:r>
    </w:p>
    <w:p w14:paraId="6175B1DC" w14:textId="77777777" w:rsidR="00991000" w:rsidRDefault="00991000" w:rsidP="00B57C7F">
      <w:pPr>
        <w:spacing w:line="360" w:lineRule="auto"/>
        <w:ind w:left="567" w:right="567"/>
        <w:jc w:val="both"/>
        <w:rPr>
          <w:rFonts w:ascii="Times New Roman" w:hAnsi="Times New Roman" w:cs="Times New Roman"/>
        </w:rPr>
      </w:pPr>
    </w:p>
    <w:p w14:paraId="7B353191" w14:textId="77777777" w:rsidR="00991000" w:rsidRPr="00E15511" w:rsidRDefault="00991000" w:rsidP="00B57C7F">
      <w:pPr>
        <w:spacing w:line="360" w:lineRule="auto"/>
        <w:ind w:left="567" w:right="567"/>
        <w:jc w:val="both"/>
        <w:rPr>
          <w:rFonts w:ascii="Times New Roman" w:hAnsi="Times New Roman" w:cs="Times New Roman"/>
          <w:i/>
        </w:rPr>
      </w:pPr>
      <w:r w:rsidRPr="00E15511">
        <w:rPr>
          <w:rFonts w:ascii="Times New Roman" w:hAnsi="Times New Roman" w:cs="Times New Roman"/>
          <w:i/>
          <w:color w:val="000000"/>
        </w:rPr>
        <w:t>That was one of the great occasions down in the H-Blocks, when the ANC were brought in. And that was at a stage where, prior to the G</w:t>
      </w:r>
      <w:r w:rsidR="001056DA">
        <w:rPr>
          <w:rFonts w:ascii="Times New Roman" w:hAnsi="Times New Roman" w:cs="Times New Roman"/>
          <w:i/>
          <w:color w:val="000000"/>
        </w:rPr>
        <w:t xml:space="preserve">ood </w:t>
      </w:r>
      <w:r w:rsidRPr="00E15511">
        <w:rPr>
          <w:rFonts w:ascii="Times New Roman" w:hAnsi="Times New Roman" w:cs="Times New Roman"/>
          <w:i/>
          <w:color w:val="000000"/>
        </w:rPr>
        <w:t>F</w:t>
      </w:r>
      <w:r w:rsidR="001056DA">
        <w:rPr>
          <w:rFonts w:ascii="Times New Roman" w:hAnsi="Times New Roman" w:cs="Times New Roman"/>
          <w:i/>
          <w:color w:val="000000"/>
        </w:rPr>
        <w:t xml:space="preserve">riday </w:t>
      </w:r>
      <w:r w:rsidRPr="00E15511">
        <w:rPr>
          <w:rFonts w:ascii="Times New Roman" w:hAnsi="Times New Roman" w:cs="Times New Roman"/>
          <w:i/>
          <w:color w:val="000000"/>
        </w:rPr>
        <w:t>A</w:t>
      </w:r>
      <w:r w:rsidR="001056DA">
        <w:rPr>
          <w:rFonts w:ascii="Times New Roman" w:hAnsi="Times New Roman" w:cs="Times New Roman"/>
          <w:i/>
          <w:color w:val="000000"/>
        </w:rPr>
        <w:t>greement</w:t>
      </w:r>
      <w:r w:rsidRPr="00E15511">
        <w:rPr>
          <w:rFonts w:ascii="Times New Roman" w:hAnsi="Times New Roman" w:cs="Times New Roman"/>
          <w:i/>
          <w:color w:val="000000"/>
        </w:rPr>
        <w:t>, that early period...and that was their advice to us, that your political struggle is going to be very important here. I think having people like that as allies, I think that was a great source of strength for people certainly. That was one of the great occasions for me, without a doubt, was that - as they were people who have been in a struggle for many decades, and they had come through it, and they said there are mistakes you can make, you don’t mean to do this, but you have to stand firm on it, you have to be united. But yeah, they were very important.</w:t>
      </w:r>
      <w:r>
        <w:rPr>
          <w:rStyle w:val="FootnoteReference"/>
          <w:rFonts w:ascii="Times New Roman" w:hAnsi="Times New Roman" w:cs="Times New Roman"/>
          <w:i/>
          <w:color w:val="000000"/>
        </w:rPr>
        <w:footnoteReference w:id="419"/>
      </w:r>
    </w:p>
    <w:p w14:paraId="42BB700D" w14:textId="77777777" w:rsidR="00991000" w:rsidRDefault="00991000" w:rsidP="00B57C7F">
      <w:pPr>
        <w:spacing w:line="360" w:lineRule="auto"/>
        <w:ind w:firstLine="720"/>
        <w:jc w:val="both"/>
        <w:rPr>
          <w:rFonts w:ascii="Times New Roman" w:hAnsi="Times New Roman" w:cs="Times New Roman"/>
        </w:rPr>
      </w:pPr>
    </w:p>
    <w:p w14:paraId="2BC67D9D"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These findings corroborate the argument made by </w:t>
      </w:r>
      <w:r w:rsidR="00D91560">
        <w:rPr>
          <w:rFonts w:ascii="Times New Roman" w:hAnsi="Times New Roman" w:cs="Times New Roman"/>
        </w:rPr>
        <w:t>Guelke</w:t>
      </w:r>
      <w:r>
        <w:rPr>
          <w:rFonts w:ascii="Times New Roman" w:hAnsi="Times New Roman" w:cs="Times New Roman"/>
        </w:rPr>
        <w:t xml:space="preserve"> on the role of the ANC</w:t>
      </w:r>
      <w:r w:rsidR="007F63F1">
        <w:rPr>
          <w:rFonts w:ascii="Times New Roman" w:hAnsi="Times New Roman" w:cs="Times New Roman"/>
        </w:rPr>
        <w:t xml:space="preserve"> and shows that internal dialogue was important to the disengagement process’ success</w:t>
      </w:r>
      <w:r w:rsidR="00B1546E">
        <w:rPr>
          <w:rFonts w:ascii="Times New Roman" w:hAnsi="Times New Roman" w:cs="Times New Roman"/>
        </w:rPr>
        <w:t>.</w:t>
      </w:r>
      <w:r>
        <w:rPr>
          <w:rStyle w:val="FootnoteReference"/>
          <w:rFonts w:ascii="Times New Roman" w:hAnsi="Times New Roman" w:cs="Times New Roman"/>
        </w:rPr>
        <w:footnoteReference w:id="420"/>
      </w:r>
      <w:r>
        <w:rPr>
          <w:rFonts w:ascii="Times New Roman" w:hAnsi="Times New Roman" w:cs="Times New Roman"/>
        </w:rPr>
        <w:t xml:space="preserve"> </w:t>
      </w:r>
      <w:r w:rsidR="007F63F1">
        <w:rPr>
          <w:rFonts w:ascii="Times New Roman" w:hAnsi="Times New Roman" w:cs="Times New Roman"/>
        </w:rPr>
        <w:t xml:space="preserve">Furthermore, it helps to explain the gap in Moloney’s account of the period insofar as the majority of the Provisional IRA membership supported disengagement despite leadership disputes a few years earlier in the process. </w:t>
      </w:r>
      <w:r>
        <w:rPr>
          <w:rFonts w:ascii="Times New Roman" w:hAnsi="Times New Roman" w:cs="Times New Roman"/>
        </w:rPr>
        <w:t>The ANC, as an international success-story, w</w:t>
      </w:r>
      <w:r w:rsidR="001056DA">
        <w:rPr>
          <w:rFonts w:ascii="Times New Roman" w:hAnsi="Times New Roman" w:cs="Times New Roman"/>
        </w:rPr>
        <w:t>as</w:t>
      </w:r>
      <w:r>
        <w:rPr>
          <w:rFonts w:ascii="Times New Roman" w:hAnsi="Times New Roman" w:cs="Times New Roman"/>
        </w:rPr>
        <w:t xml:space="preserve"> utilised by the Provisional IRA leadership to provide credibility and legitimacy to the group’s disengagement frame</w:t>
      </w:r>
      <w:r w:rsidR="00B1546E">
        <w:rPr>
          <w:rFonts w:ascii="Times New Roman" w:hAnsi="Times New Roman" w:cs="Times New Roman"/>
        </w:rPr>
        <w:t>.</w:t>
      </w:r>
      <w:r>
        <w:rPr>
          <w:rStyle w:val="FootnoteReference"/>
          <w:rFonts w:ascii="Times New Roman" w:hAnsi="Times New Roman" w:cs="Times New Roman"/>
        </w:rPr>
        <w:footnoteReference w:id="421"/>
      </w:r>
      <w:r>
        <w:rPr>
          <w:rFonts w:ascii="Times New Roman" w:hAnsi="Times New Roman" w:cs="Times New Roman"/>
        </w:rPr>
        <w:t xml:space="preserve"> While from 1994 there had been internal debate both inside and outside prison, the prisoners arguing for disengagement had the advantage that their experience provided them with greater skills to articulate the frame, and their time in prison also meant they were seen as credible voices on the outside</w:t>
      </w:r>
      <w:r w:rsidR="00B1546E">
        <w:rPr>
          <w:rFonts w:ascii="Times New Roman" w:hAnsi="Times New Roman" w:cs="Times New Roman"/>
        </w:rPr>
        <w:t>.</w:t>
      </w:r>
      <w:r>
        <w:rPr>
          <w:rStyle w:val="FootnoteReference"/>
          <w:rFonts w:ascii="Times New Roman" w:hAnsi="Times New Roman" w:cs="Times New Roman"/>
        </w:rPr>
        <w:footnoteReference w:id="422"/>
      </w:r>
      <w:r>
        <w:rPr>
          <w:rFonts w:ascii="Times New Roman" w:hAnsi="Times New Roman" w:cs="Times New Roman"/>
        </w:rPr>
        <w:t xml:space="preserve">   </w:t>
      </w:r>
    </w:p>
    <w:p w14:paraId="78CDB02C"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Throughout the disengagement process, prisoners had been released firstly on short-term releases and then (conditional</w:t>
      </w:r>
      <w:r>
        <w:rPr>
          <w:rStyle w:val="FootnoteReference"/>
          <w:rFonts w:ascii="Times New Roman" w:hAnsi="Times New Roman" w:cs="Times New Roman"/>
        </w:rPr>
        <w:footnoteReference w:id="423"/>
      </w:r>
      <w:r>
        <w:rPr>
          <w:rFonts w:ascii="Times New Roman" w:hAnsi="Times New Roman" w:cs="Times New Roman"/>
        </w:rPr>
        <w:t>) release as part of the Good Friday Agreement. The ex-prisoners were crucial in helping to diffuse the disengagement frame and to provide it with credibility, which is important for resonance to be successful. For many in the Republican community, ex-prisoners are respected for being in prison, especially in the H-Blocks which has become a central part of Republican identity following the Hunger Strikes. One interviewee stated how, when young people were asked what they want to be when they are adults, they would say they want to be an ex-prisoner</w:t>
      </w:r>
      <w:r w:rsidR="00B1546E">
        <w:rPr>
          <w:rFonts w:ascii="Times New Roman" w:hAnsi="Times New Roman" w:cs="Times New Roman"/>
        </w:rPr>
        <w:t>.</w:t>
      </w:r>
      <w:r>
        <w:rPr>
          <w:rStyle w:val="FootnoteReference"/>
          <w:rFonts w:ascii="Times New Roman" w:hAnsi="Times New Roman" w:cs="Times New Roman"/>
        </w:rPr>
        <w:footnoteReference w:id="424"/>
      </w:r>
      <w:r>
        <w:rPr>
          <w:rFonts w:ascii="Times New Roman" w:hAnsi="Times New Roman" w:cs="Times New Roman"/>
        </w:rPr>
        <w:t xml:space="preserve"> </w:t>
      </w:r>
      <w:r w:rsidR="00D91560">
        <w:rPr>
          <w:rFonts w:ascii="Times New Roman" w:hAnsi="Times New Roman" w:cs="Times New Roman"/>
        </w:rPr>
        <w:t>O</w:t>
      </w:r>
      <w:r>
        <w:rPr>
          <w:rFonts w:ascii="Times New Roman" w:hAnsi="Times New Roman" w:cs="Times New Roman"/>
        </w:rPr>
        <w:t>ne interviewee felt that it was not by virtue of being a prisoner that they were respected, but through their actions and becoming more educated and articulate through their time in prison</w:t>
      </w:r>
      <w:r w:rsidR="00B1546E">
        <w:rPr>
          <w:rFonts w:ascii="Times New Roman" w:hAnsi="Times New Roman" w:cs="Times New Roman"/>
        </w:rPr>
        <w:t>.</w:t>
      </w:r>
      <w:r w:rsidR="00D91560">
        <w:rPr>
          <w:rStyle w:val="FootnoteReference"/>
          <w:rFonts w:ascii="Times New Roman" w:hAnsi="Times New Roman" w:cs="Times New Roman"/>
        </w:rPr>
        <w:footnoteReference w:id="425"/>
      </w:r>
      <w:r>
        <w:rPr>
          <w:rFonts w:ascii="Times New Roman" w:hAnsi="Times New Roman" w:cs="Times New Roman"/>
        </w:rPr>
        <w:t xml:space="preserve"> With this credibility and respect, the prisoners were to have a significant effect on Republican communities upon release:</w:t>
      </w:r>
      <w:r w:rsidR="001056DA">
        <w:rPr>
          <w:rFonts w:ascii="Times New Roman" w:hAnsi="Times New Roman" w:cs="Times New Roman"/>
        </w:rPr>
        <w:t xml:space="preserve"> </w:t>
      </w:r>
      <w:r w:rsidR="001056DA">
        <w:rPr>
          <w:rFonts w:ascii="Times New Roman" w:eastAsia="Times New Roman" w:hAnsi="Times New Roman" w:cs="Times New Roman"/>
          <w:iCs/>
          <w:color w:val="000000"/>
        </w:rPr>
        <w:t>‘</w:t>
      </w:r>
      <w:r w:rsidRPr="001056DA">
        <w:rPr>
          <w:rFonts w:ascii="Times New Roman" w:eastAsia="Times New Roman" w:hAnsi="Times New Roman" w:cs="Times New Roman"/>
          <w:iCs/>
          <w:color w:val="000000"/>
        </w:rPr>
        <w:t xml:space="preserve">There was just much more reflection that was taking place inside than there was outside. I think what created the change outside was people getting out who had been inside…And I think people just got </w:t>
      </w:r>
      <w:r w:rsidR="00B1546E">
        <w:rPr>
          <w:rFonts w:ascii="Times New Roman" w:eastAsia="Times New Roman" w:hAnsi="Times New Roman" w:cs="Times New Roman"/>
          <w:iCs/>
          <w:color w:val="000000"/>
        </w:rPr>
        <w:t>out and had those conversations</w:t>
      </w:r>
      <w:r w:rsidR="001056DA">
        <w:rPr>
          <w:rFonts w:ascii="Times New Roman" w:eastAsia="Times New Roman" w:hAnsi="Times New Roman" w:cs="Times New Roman"/>
          <w:iCs/>
          <w:color w:val="000000"/>
        </w:rPr>
        <w:t>’</w:t>
      </w:r>
      <w:r w:rsidR="00B1546E">
        <w:rPr>
          <w:rFonts w:ascii="Times New Roman" w:eastAsia="Times New Roman" w:hAnsi="Times New Roman" w:cs="Times New Roman"/>
          <w:iCs/>
          <w:color w:val="000000"/>
        </w:rPr>
        <w:t>.</w:t>
      </w:r>
      <w:r w:rsidRPr="001056DA">
        <w:rPr>
          <w:rStyle w:val="FootnoteReference"/>
          <w:rFonts w:ascii="Times New Roman" w:eastAsia="Times New Roman" w:hAnsi="Times New Roman" w:cs="Times New Roman"/>
          <w:iCs/>
          <w:color w:val="000000"/>
        </w:rPr>
        <w:footnoteReference w:id="426"/>
      </w:r>
      <w:r>
        <w:rPr>
          <w:rFonts w:ascii="Times New Roman" w:hAnsi="Times New Roman" w:cs="Times New Roman"/>
        </w:rPr>
        <w:t xml:space="preserve"> Another Provisional IRA ex-prisoner explained the nature of dialogue when he was released </w:t>
      </w:r>
      <w:r w:rsidR="001056DA">
        <w:rPr>
          <w:rFonts w:ascii="Times New Roman" w:hAnsi="Times New Roman" w:cs="Times New Roman"/>
        </w:rPr>
        <w:t>on parole after the 1994 ceasefire</w:t>
      </w:r>
      <w:r>
        <w:rPr>
          <w:rFonts w:ascii="Times New Roman" w:hAnsi="Times New Roman" w:cs="Times New Roman"/>
        </w:rPr>
        <w:t xml:space="preserve"> and </w:t>
      </w:r>
      <w:r w:rsidR="001056DA">
        <w:rPr>
          <w:rFonts w:ascii="Times New Roman" w:hAnsi="Times New Roman" w:cs="Times New Roman"/>
        </w:rPr>
        <w:t>as part of</w:t>
      </w:r>
      <w:r>
        <w:rPr>
          <w:rFonts w:ascii="Times New Roman" w:hAnsi="Times New Roman" w:cs="Times New Roman"/>
        </w:rPr>
        <w:t xml:space="preserve"> the Good Friday Agreement, where he was able to relate to his experience in prison to justify disengagement:</w:t>
      </w:r>
    </w:p>
    <w:p w14:paraId="05EC7469" w14:textId="77777777" w:rsidR="00991000" w:rsidRDefault="00991000" w:rsidP="00B57C7F">
      <w:pPr>
        <w:spacing w:line="360" w:lineRule="auto"/>
        <w:ind w:firstLine="720"/>
        <w:jc w:val="both"/>
        <w:rPr>
          <w:rFonts w:ascii="Times New Roman" w:hAnsi="Times New Roman" w:cs="Times New Roman"/>
        </w:rPr>
      </w:pPr>
    </w:p>
    <w:p w14:paraId="5B3A8D53" w14:textId="77777777" w:rsidR="00991000" w:rsidRDefault="00991000" w:rsidP="00B57C7F">
      <w:pPr>
        <w:spacing w:line="360" w:lineRule="auto"/>
        <w:ind w:left="567" w:right="567"/>
        <w:jc w:val="both"/>
        <w:rPr>
          <w:rFonts w:ascii="Times New Roman" w:hAnsi="Times New Roman" w:cs="Times New Roman"/>
          <w:i/>
          <w:color w:val="000000"/>
        </w:rPr>
      </w:pPr>
      <w:r w:rsidRPr="00985DAF">
        <w:rPr>
          <w:rFonts w:ascii="Times New Roman" w:hAnsi="Times New Roman" w:cs="Times New Roman"/>
          <w:i/>
          <w:color w:val="000000"/>
        </w:rPr>
        <w:t>When you got out people will talk to you and ask ‘so where is this going’ and stuff like that. Even prior to my release I was allowed out during the ceasefire, and at that period people were a bit more uneasy, with people asking ‘what</w:t>
      </w:r>
      <w:r w:rsidR="00D91560">
        <w:rPr>
          <w:rFonts w:ascii="Times New Roman" w:hAnsi="Times New Roman" w:cs="Times New Roman"/>
          <w:i/>
          <w:color w:val="000000"/>
        </w:rPr>
        <w:t xml:space="preserve"> [do]</w:t>
      </w:r>
      <w:r w:rsidRPr="00985DAF">
        <w:rPr>
          <w:rFonts w:ascii="Times New Roman" w:hAnsi="Times New Roman" w:cs="Times New Roman"/>
          <w:i/>
          <w:color w:val="000000"/>
        </w:rPr>
        <w:t xml:space="preserve"> you think is going to happen here, the ceasefire has been on for months and they haven’t even agreed on prisoner releases’….Negotiating with the prison administration, learning to negotiat</w:t>
      </w:r>
      <w:r w:rsidR="00D91560">
        <w:rPr>
          <w:rFonts w:ascii="Times New Roman" w:hAnsi="Times New Roman" w:cs="Times New Roman"/>
          <w:i/>
          <w:color w:val="000000"/>
        </w:rPr>
        <w:t>e a little bit:</w:t>
      </w:r>
      <w:r w:rsidRPr="00985DAF">
        <w:rPr>
          <w:rFonts w:ascii="Times New Roman" w:hAnsi="Times New Roman" w:cs="Times New Roman"/>
          <w:i/>
          <w:color w:val="000000"/>
        </w:rPr>
        <w:t xml:space="preserve"> </w:t>
      </w:r>
      <w:r w:rsidR="00D91560">
        <w:rPr>
          <w:rFonts w:ascii="Times New Roman" w:hAnsi="Times New Roman" w:cs="Times New Roman"/>
          <w:i/>
          <w:color w:val="000000"/>
        </w:rPr>
        <w:t>w</w:t>
      </w:r>
      <w:r w:rsidRPr="00985DAF">
        <w:rPr>
          <w:rFonts w:ascii="Times New Roman" w:hAnsi="Times New Roman" w:cs="Times New Roman"/>
          <w:i/>
          <w:color w:val="000000"/>
        </w:rPr>
        <w:t xml:space="preserve">e had come through that and having that sort of </w:t>
      </w:r>
      <w:r w:rsidRPr="00985DAF">
        <w:rPr>
          <w:rFonts w:ascii="Times New Roman" w:hAnsi="Times New Roman" w:cs="Times New Roman"/>
          <w:i/>
          <w:color w:val="000000"/>
        </w:rPr>
        <w:lastRenderedPageBreak/>
        <w:t>experience and that, so when we were involved in the political process, that’s how I would relate it to people. Coming out of the hunger strikes...we got some concession because we took a different tactical approach. So when I spoke to people as an ex-prisoner, I spoke about how inside the H-Blocks we went about the war…</w:t>
      </w:r>
      <w:r>
        <w:rPr>
          <w:rFonts w:ascii="Times New Roman" w:hAnsi="Times New Roman" w:cs="Times New Roman"/>
          <w:i/>
          <w:color w:val="000000"/>
        </w:rPr>
        <w:t xml:space="preserve">I </w:t>
      </w:r>
      <w:r w:rsidRPr="00985DAF">
        <w:rPr>
          <w:rFonts w:ascii="Times New Roman" w:hAnsi="Times New Roman" w:cs="Times New Roman"/>
          <w:i/>
          <w:color w:val="000000"/>
        </w:rPr>
        <w:t>think most of the time people just wanted to ask, just for that wee bit of assurance that people were on board with this because it was something different.</w:t>
      </w:r>
      <w:r>
        <w:rPr>
          <w:rStyle w:val="FootnoteReference"/>
          <w:rFonts w:ascii="Times New Roman" w:hAnsi="Times New Roman" w:cs="Times New Roman"/>
          <w:i/>
          <w:color w:val="000000"/>
        </w:rPr>
        <w:footnoteReference w:id="427"/>
      </w:r>
      <w:r>
        <w:rPr>
          <w:rFonts w:ascii="Times New Roman" w:hAnsi="Times New Roman" w:cs="Times New Roman"/>
          <w:i/>
          <w:color w:val="000000"/>
        </w:rPr>
        <w:t xml:space="preserve"> </w:t>
      </w:r>
    </w:p>
    <w:p w14:paraId="704C974B" w14:textId="77777777" w:rsidR="00040986" w:rsidRPr="00985DAF" w:rsidRDefault="00040986" w:rsidP="00B57C7F">
      <w:pPr>
        <w:spacing w:line="360" w:lineRule="auto"/>
        <w:ind w:left="567" w:right="567"/>
        <w:jc w:val="both"/>
        <w:rPr>
          <w:rFonts w:ascii="Times New Roman" w:hAnsi="Times New Roman" w:cs="Times New Roman"/>
          <w:i/>
        </w:rPr>
      </w:pPr>
    </w:p>
    <w:p w14:paraId="455518E6"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r w:rsidR="00040986">
        <w:rPr>
          <w:rFonts w:ascii="Times New Roman" w:hAnsi="Times New Roman" w:cs="Times New Roman"/>
        </w:rPr>
        <w:t>To conclude, prisons provided space for Provisional IRA members to reflect on the armed struggle and to interact with each other in debates, which was much more difficult on the outside. In many senses, they were a captive audience for the outside leadership and participation of the ANC is indicative of how interaction with credible voices ‘who have walked the walk’ can be powerful in creating attitudinal change. Furthermore, the continued organisation of members within prison and their political education helped in two ways: firstly, while discussions were free, they could be managed, which provided support for the outside leadership’s push toward disengagement; secondly, prisoners developed the skills to be credible articulators of the disengagement frame upon release. When the prisoners returned to their communities, they were influential in convincing other members or sympathisers to support the disengagement process, especially in the controversial part of disengagement, the giving up of arms and formal dismantlement of the organisation.</w:t>
      </w:r>
    </w:p>
    <w:p w14:paraId="6CA904BF" w14:textId="77777777" w:rsidR="00040986" w:rsidRDefault="00040986" w:rsidP="00B57C7F">
      <w:pPr>
        <w:spacing w:line="360" w:lineRule="auto"/>
        <w:jc w:val="both"/>
        <w:rPr>
          <w:rFonts w:ascii="Times New Roman" w:hAnsi="Times New Roman" w:cs="Times New Roman"/>
        </w:rPr>
      </w:pPr>
    </w:p>
    <w:p w14:paraId="2B280162" w14:textId="77777777" w:rsidR="00FD1653" w:rsidRDefault="00FD1653" w:rsidP="00B57C7F">
      <w:pPr>
        <w:pStyle w:val="Heading3"/>
        <w:spacing w:before="120" w:line="360" w:lineRule="auto"/>
      </w:pPr>
      <w:bookmarkStart w:id="48" w:name="_Toc389208830"/>
      <w:r>
        <w:t>Selling Disengagement after the Good Friday Agreement</w:t>
      </w:r>
      <w:bookmarkEnd w:id="48"/>
    </w:p>
    <w:p w14:paraId="38C9D8F4" w14:textId="77777777" w:rsidR="003A783E"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The Provisional IRA leadership recognised the importance of prisoners in legitimising the disengagement process. </w:t>
      </w:r>
      <w:r w:rsidR="00C16A92">
        <w:rPr>
          <w:rFonts w:ascii="Times New Roman" w:hAnsi="Times New Roman" w:cs="Times New Roman"/>
        </w:rPr>
        <w:t>In th</w:t>
      </w:r>
      <w:r>
        <w:rPr>
          <w:rFonts w:ascii="Times New Roman" w:hAnsi="Times New Roman" w:cs="Times New Roman"/>
        </w:rPr>
        <w:t>e crucial 1</w:t>
      </w:r>
      <w:r w:rsidR="00C16A92">
        <w:rPr>
          <w:rFonts w:ascii="Times New Roman" w:hAnsi="Times New Roman" w:cs="Times New Roman"/>
        </w:rPr>
        <w:t>998 Sinn Fein Ard Fheis that was</w:t>
      </w:r>
      <w:r>
        <w:rPr>
          <w:rFonts w:ascii="Times New Roman" w:hAnsi="Times New Roman" w:cs="Times New Roman"/>
        </w:rPr>
        <w:t xml:space="preserve"> called specially to confirm support for the Good Friday Agreement, the leadership paraded two recently released former prisoners, Hugh Doherty and Liam Quinn. Upon presenting them to the conference, Gerry Adams referred to the ex-prisoners as ‘our Nelson Mandela’s’</w:t>
      </w:r>
      <w:r w:rsidR="007F63F1">
        <w:rPr>
          <w:rFonts w:ascii="Times New Roman" w:hAnsi="Times New Roman" w:cs="Times New Roman"/>
        </w:rPr>
        <w:t xml:space="preserve">. This reference served two functions: for the public it sought to equate the Provisional IRA with the ANC’s and Mandela’s </w:t>
      </w:r>
      <w:r w:rsidR="007F63F1">
        <w:rPr>
          <w:rFonts w:ascii="Times New Roman" w:hAnsi="Times New Roman" w:cs="Times New Roman"/>
        </w:rPr>
        <w:lastRenderedPageBreak/>
        <w:t>struggle, which had international legitimacy; for its own members it sought to use this legitimacy to justify the Provisional IRA’s disengagement</w:t>
      </w:r>
      <w:r>
        <w:rPr>
          <w:rFonts w:ascii="Times New Roman" w:hAnsi="Times New Roman" w:cs="Times New Roman"/>
        </w:rPr>
        <w:t>. The crucial point that further strengthens the thesis’ argument that it was internal factors that were important is that the 1998 GFA was not necessarily the end of the disengagement process</w:t>
      </w:r>
      <w:r w:rsidR="003A783E">
        <w:rPr>
          <w:rFonts w:ascii="Times New Roman" w:hAnsi="Times New Roman" w:cs="Times New Roman"/>
        </w:rPr>
        <w:t xml:space="preserve">. </w:t>
      </w:r>
      <w:r>
        <w:rPr>
          <w:rFonts w:ascii="Times New Roman" w:hAnsi="Times New Roman" w:cs="Times New Roman"/>
        </w:rPr>
        <w:t>The Provisional IRA had to still decommission its weapons, it had to disband its organisational structures</w:t>
      </w:r>
      <w:r w:rsidR="007F63F1">
        <w:rPr>
          <w:rFonts w:ascii="Times New Roman" w:hAnsi="Times New Roman" w:cs="Times New Roman"/>
        </w:rPr>
        <w:t xml:space="preserve"> (officially)</w:t>
      </w:r>
      <w:r>
        <w:rPr>
          <w:rFonts w:ascii="Times New Roman" w:hAnsi="Times New Roman" w:cs="Times New Roman"/>
        </w:rPr>
        <w:t xml:space="preserve">, and then recognise the authority of the PSNI. </w:t>
      </w:r>
      <w:r w:rsidR="003A783E">
        <w:rPr>
          <w:rFonts w:ascii="Times New Roman" w:hAnsi="Times New Roman" w:cs="Times New Roman"/>
        </w:rPr>
        <w:t>O</w:t>
      </w:r>
      <w:r>
        <w:rPr>
          <w:rFonts w:ascii="Times New Roman" w:hAnsi="Times New Roman" w:cs="Times New Roman"/>
        </w:rPr>
        <w:t xml:space="preserve">vercoming </w:t>
      </w:r>
      <w:r w:rsidR="00CB321A">
        <w:rPr>
          <w:rFonts w:ascii="Times New Roman" w:hAnsi="Times New Roman" w:cs="Times New Roman"/>
        </w:rPr>
        <w:t>hurdles such as decommissioning</w:t>
      </w:r>
      <w:r>
        <w:rPr>
          <w:rFonts w:ascii="Times New Roman" w:hAnsi="Times New Roman" w:cs="Times New Roman"/>
        </w:rPr>
        <w:t xml:space="preserve"> w</w:t>
      </w:r>
      <w:r w:rsidR="003A783E">
        <w:rPr>
          <w:rFonts w:ascii="Times New Roman" w:hAnsi="Times New Roman" w:cs="Times New Roman"/>
        </w:rPr>
        <w:t>as</w:t>
      </w:r>
      <w:r>
        <w:rPr>
          <w:rFonts w:ascii="Times New Roman" w:hAnsi="Times New Roman" w:cs="Times New Roman"/>
        </w:rPr>
        <w:t xml:space="preserve"> seen as the logical conclusion of the decisions made in 1994 and 1998</w:t>
      </w:r>
      <w:r w:rsidR="00B1546E">
        <w:rPr>
          <w:rFonts w:ascii="Times New Roman" w:hAnsi="Times New Roman" w:cs="Times New Roman"/>
        </w:rPr>
        <w:t>,</w:t>
      </w:r>
      <w:r>
        <w:rPr>
          <w:rStyle w:val="FootnoteReference"/>
          <w:rFonts w:ascii="Times New Roman" w:hAnsi="Times New Roman" w:cs="Times New Roman"/>
        </w:rPr>
        <w:footnoteReference w:id="428"/>
      </w:r>
      <w:r w:rsidR="003A783E">
        <w:rPr>
          <w:rFonts w:ascii="Times New Roman" w:hAnsi="Times New Roman" w:cs="Times New Roman"/>
        </w:rPr>
        <w:t xml:space="preserve"> and many of the same arguments were used:</w:t>
      </w:r>
    </w:p>
    <w:p w14:paraId="3294E601" w14:textId="77777777" w:rsidR="003A783E" w:rsidRDefault="003A783E" w:rsidP="00B57C7F">
      <w:pPr>
        <w:spacing w:line="360" w:lineRule="auto"/>
        <w:jc w:val="both"/>
        <w:rPr>
          <w:rFonts w:ascii="Times New Roman" w:hAnsi="Times New Roman" w:cs="Times New Roman"/>
        </w:rPr>
      </w:pPr>
    </w:p>
    <w:p w14:paraId="15487448" w14:textId="77777777" w:rsidR="003A783E" w:rsidRDefault="003A783E" w:rsidP="00B57C7F">
      <w:pPr>
        <w:spacing w:line="360" w:lineRule="auto"/>
        <w:ind w:left="567" w:right="567"/>
        <w:jc w:val="both"/>
        <w:rPr>
          <w:rFonts w:ascii="Times New Roman" w:hAnsi="Times New Roman" w:cs="Times New Roman"/>
          <w:i/>
          <w:iCs/>
          <w:color w:val="000000"/>
        </w:rPr>
      </w:pPr>
      <w:r w:rsidRPr="003A783E">
        <w:rPr>
          <w:rFonts w:ascii="Times New Roman" w:hAnsi="Times New Roman" w:cs="Times New Roman"/>
          <w:i/>
          <w:iCs/>
          <w:color w:val="000000"/>
        </w:rPr>
        <w:t>I suppose it was the same as with armed struggle. You would use your weapons in armed struggle for political gain, and I suppose the further you moved away from the ceasefire and that stuff, you</w:t>
      </w:r>
      <w:r w:rsidR="00C16A92">
        <w:rPr>
          <w:rFonts w:ascii="Times New Roman" w:hAnsi="Times New Roman" w:cs="Times New Roman"/>
          <w:i/>
          <w:iCs/>
          <w:color w:val="000000"/>
        </w:rPr>
        <w:t xml:space="preserve"> are</w:t>
      </w:r>
      <w:r w:rsidRPr="003A783E">
        <w:rPr>
          <w:rFonts w:ascii="Times New Roman" w:hAnsi="Times New Roman" w:cs="Times New Roman"/>
          <w:i/>
          <w:iCs/>
          <w:color w:val="000000"/>
        </w:rPr>
        <w:t xml:space="preserve"> engaged in negotiations and the institutions are up and down and stuff. But I think over time people began to internalis</w:t>
      </w:r>
      <w:r>
        <w:rPr>
          <w:rFonts w:ascii="Times New Roman" w:hAnsi="Times New Roman" w:cs="Times New Roman"/>
          <w:i/>
          <w:iCs/>
          <w:color w:val="000000"/>
        </w:rPr>
        <w:t>e that argument. Armed struggle:</w:t>
      </w:r>
      <w:r w:rsidRPr="003A783E">
        <w:rPr>
          <w:rFonts w:ascii="Times New Roman" w:hAnsi="Times New Roman" w:cs="Times New Roman"/>
          <w:i/>
          <w:iCs/>
          <w:color w:val="000000"/>
        </w:rPr>
        <w:t xml:space="preserve"> It’s a tactic. Weaponry, it</w:t>
      </w:r>
      <w:r>
        <w:rPr>
          <w:rFonts w:ascii="Times New Roman" w:hAnsi="Times New Roman" w:cs="Times New Roman"/>
          <w:i/>
          <w:iCs/>
          <w:color w:val="000000"/>
        </w:rPr>
        <w:t>’</w:t>
      </w:r>
      <w:r w:rsidRPr="003A783E">
        <w:rPr>
          <w:rFonts w:ascii="Times New Roman" w:hAnsi="Times New Roman" w:cs="Times New Roman"/>
          <w:i/>
          <w:iCs/>
          <w:color w:val="000000"/>
        </w:rPr>
        <w:t>s a part of the armed struggle, it</w:t>
      </w:r>
      <w:r>
        <w:rPr>
          <w:rFonts w:ascii="Times New Roman" w:hAnsi="Times New Roman" w:cs="Times New Roman"/>
          <w:i/>
          <w:iCs/>
          <w:color w:val="000000"/>
        </w:rPr>
        <w:t>’</w:t>
      </w:r>
      <w:r w:rsidRPr="003A783E">
        <w:rPr>
          <w:rFonts w:ascii="Times New Roman" w:hAnsi="Times New Roman" w:cs="Times New Roman"/>
          <w:i/>
          <w:iCs/>
          <w:color w:val="000000"/>
        </w:rPr>
        <w:t>s a tactic, and you make more advances using your weapons this way, and I think that’s what it was about. I mean would it do you more good lying in the ground rusting, or would it do you more good putting them beyond use.</w:t>
      </w:r>
      <w:r>
        <w:rPr>
          <w:rStyle w:val="FootnoteReference"/>
          <w:rFonts w:ascii="Times New Roman" w:hAnsi="Times New Roman" w:cs="Times New Roman"/>
          <w:i/>
          <w:iCs/>
          <w:color w:val="000000"/>
        </w:rPr>
        <w:footnoteReference w:id="429"/>
      </w:r>
      <w:r w:rsidRPr="003A783E">
        <w:rPr>
          <w:rFonts w:ascii="Times New Roman" w:hAnsi="Times New Roman" w:cs="Times New Roman"/>
          <w:i/>
          <w:iCs/>
          <w:color w:val="000000"/>
        </w:rPr>
        <w:t xml:space="preserve">     </w:t>
      </w:r>
    </w:p>
    <w:p w14:paraId="17A19F50" w14:textId="77777777" w:rsidR="003A783E" w:rsidRPr="003A783E" w:rsidRDefault="003A783E" w:rsidP="00B57C7F">
      <w:pPr>
        <w:spacing w:line="360" w:lineRule="auto"/>
        <w:ind w:left="567" w:right="567"/>
        <w:jc w:val="both"/>
        <w:rPr>
          <w:rFonts w:ascii="Times New Roman" w:hAnsi="Times New Roman" w:cs="Times New Roman"/>
          <w:i/>
          <w:iCs/>
        </w:rPr>
      </w:pPr>
    </w:p>
    <w:p w14:paraId="2E697989" w14:textId="77777777" w:rsidR="006A3B99" w:rsidRDefault="003A783E" w:rsidP="00B57C7F">
      <w:pPr>
        <w:spacing w:line="360" w:lineRule="auto"/>
        <w:ind w:firstLine="567"/>
        <w:jc w:val="both"/>
        <w:rPr>
          <w:rFonts w:ascii="Times New Roman" w:hAnsi="Times New Roman" w:cs="Times New Roman"/>
        </w:rPr>
      </w:pPr>
      <w:r>
        <w:rPr>
          <w:rFonts w:ascii="Times New Roman" w:hAnsi="Times New Roman" w:cs="Times New Roman"/>
        </w:rPr>
        <w:t>F</w:t>
      </w:r>
      <w:r w:rsidR="00991000">
        <w:rPr>
          <w:rFonts w:ascii="Times New Roman" w:hAnsi="Times New Roman" w:cs="Times New Roman"/>
        </w:rPr>
        <w:t>or some members these issues prompted them to consider leaving and required further convincing</w:t>
      </w:r>
      <w:r w:rsidR="00B1546E">
        <w:rPr>
          <w:rFonts w:ascii="Times New Roman" w:hAnsi="Times New Roman" w:cs="Times New Roman"/>
        </w:rPr>
        <w:t>.</w:t>
      </w:r>
      <w:r w:rsidR="00991000">
        <w:rPr>
          <w:rStyle w:val="FootnoteReference"/>
          <w:rFonts w:ascii="Times New Roman" w:hAnsi="Times New Roman" w:cs="Times New Roman"/>
        </w:rPr>
        <w:footnoteReference w:id="430"/>
      </w:r>
      <w:r w:rsidR="006A3B99">
        <w:rPr>
          <w:rFonts w:ascii="Times New Roman" w:hAnsi="Times New Roman" w:cs="Times New Roman"/>
        </w:rPr>
        <w:t xml:space="preserve"> One interviewee</w:t>
      </w:r>
      <w:r w:rsidR="00C16A92">
        <w:rPr>
          <w:rFonts w:ascii="Times New Roman" w:hAnsi="Times New Roman" w:cs="Times New Roman"/>
        </w:rPr>
        <w:t>,</w:t>
      </w:r>
      <w:r w:rsidR="006A3B99">
        <w:rPr>
          <w:rFonts w:ascii="Times New Roman" w:hAnsi="Times New Roman" w:cs="Times New Roman"/>
        </w:rPr>
        <w:t xml:space="preserve"> who now engages with the PSNI in community work</w:t>
      </w:r>
      <w:r w:rsidR="00C16A92">
        <w:rPr>
          <w:rFonts w:ascii="Times New Roman" w:hAnsi="Times New Roman" w:cs="Times New Roman"/>
        </w:rPr>
        <w:t>,</w:t>
      </w:r>
      <w:r w:rsidR="006A3B99">
        <w:rPr>
          <w:rFonts w:ascii="Times New Roman" w:hAnsi="Times New Roman" w:cs="Times New Roman"/>
        </w:rPr>
        <w:t xml:space="preserve"> outlined the narrative that led him to accept the 2006 decision to recognise the PSNI:</w:t>
      </w:r>
    </w:p>
    <w:p w14:paraId="1F683C76" w14:textId="77777777" w:rsidR="006A3B99" w:rsidRDefault="006A3B99" w:rsidP="00B57C7F">
      <w:pPr>
        <w:spacing w:line="360" w:lineRule="auto"/>
        <w:ind w:firstLine="567"/>
        <w:jc w:val="both"/>
        <w:rPr>
          <w:rFonts w:ascii="Times New Roman" w:hAnsi="Times New Roman" w:cs="Times New Roman"/>
        </w:rPr>
      </w:pPr>
    </w:p>
    <w:p w14:paraId="7CE43D7A" w14:textId="77777777" w:rsidR="006A3B99" w:rsidRPr="006A3B99" w:rsidRDefault="006A3B99" w:rsidP="00B57C7F">
      <w:pPr>
        <w:spacing w:line="360" w:lineRule="auto"/>
        <w:ind w:left="567" w:right="567"/>
        <w:jc w:val="both"/>
        <w:rPr>
          <w:rFonts w:ascii="Times New Roman" w:eastAsia="Times New Roman" w:hAnsi="Times New Roman" w:cs="Times New Roman"/>
          <w:i/>
          <w:iCs/>
          <w:lang w:bidi="hi-IN"/>
        </w:rPr>
      </w:pPr>
      <w:r w:rsidRPr="006A3B99">
        <w:rPr>
          <w:rFonts w:ascii="Times New Roman" w:eastAsia="Times New Roman" w:hAnsi="Times New Roman" w:cs="Times New Roman"/>
          <w:i/>
          <w:iCs/>
          <w:color w:val="000000"/>
          <w:lang w:bidi="hi-IN"/>
        </w:rPr>
        <w:t xml:space="preserve">On the issue of policing, it was probably the most difficult thing for me to buy into. I’ve suffered greatly at the hands of the RUC and it was the last barrier for me to get over. And I had discussions, debates and arguments </w:t>
      </w:r>
      <w:r w:rsidRPr="006A3B99">
        <w:rPr>
          <w:rFonts w:ascii="Times New Roman" w:eastAsia="Times New Roman" w:hAnsi="Times New Roman" w:cs="Times New Roman"/>
          <w:i/>
          <w:iCs/>
          <w:color w:val="000000"/>
          <w:lang w:bidi="hi-IN"/>
        </w:rPr>
        <w:lastRenderedPageBreak/>
        <w:t>with people, I was on the verge of walking, and I was convinced that we needed policing. The thing about it is our community needs policing. The IRA was never a police service. The IRA knee-capped people, shot them, executed them, and policed the areas to a certain degree but that is not policing. And any community needs proper policing, but it has to be accountable, it cannot be poli</w:t>
      </w:r>
      <w:r w:rsidR="00C16A92">
        <w:rPr>
          <w:rFonts w:ascii="Times New Roman" w:eastAsia="Times New Roman" w:hAnsi="Times New Roman" w:cs="Times New Roman"/>
          <w:i/>
          <w:iCs/>
          <w:color w:val="000000"/>
          <w:lang w:bidi="hi-IN"/>
        </w:rPr>
        <w:t xml:space="preserve">tical policing… </w:t>
      </w:r>
      <w:r w:rsidR="00C16A92" w:rsidRPr="006A3B99">
        <w:rPr>
          <w:rFonts w:ascii="Times New Roman" w:eastAsia="Times New Roman" w:hAnsi="Times New Roman" w:cs="Times New Roman"/>
          <w:i/>
          <w:iCs/>
          <w:color w:val="000000"/>
          <w:lang w:bidi="hi-IN"/>
        </w:rPr>
        <w:t>[</w:t>
      </w:r>
      <w:r w:rsidR="00C16A92">
        <w:rPr>
          <w:rFonts w:ascii="Times New Roman" w:eastAsia="Times New Roman" w:hAnsi="Times New Roman" w:cs="Times New Roman"/>
          <w:i/>
          <w:iCs/>
          <w:color w:val="000000"/>
          <w:lang w:bidi="hi-IN"/>
        </w:rPr>
        <w:t>T</w:t>
      </w:r>
      <w:r w:rsidRPr="006A3B99">
        <w:rPr>
          <w:rFonts w:ascii="Times New Roman" w:eastAsia="Times New Roman" w:hAnsi="Times New Roman" w:cs="Times New Roman"/>
          <w:i/>
          <w:iCs/>
          <w:color w:val="000000"/>
          <w:lang w:bidi="hi-IN"/>
        </w:rPr>
        <w:t>here needs to be] more accountability, bringing Catholics in and more community policing. That brought</w:t>
      </w:r>
      <w:r w:rsidR="00C16A92">
        <w:rPr>
          <w:rFonts w:ascii="Times New Roman" w:eastAsia="Times New Roman" w:hAnsi="Times New Roman" w:cs="Times New Roman"/>
          <w:i/>
          <w:iCs/>
          <w:color w:val="000000"/>
          <w:lang w:bidi="hi-IN"/>
        </w:rPr>
        <w:t xml:space="preserve"> me over, that they are right.</w:t>
      </w:r>
      <w:r w:rsidR="00C16A92">
        <w:rPr>
          <w:rStyle w:val="FootnoteReference"/>
          <w:rFonts w:ascii="Times New Roman" w:eastAsia="Times New Roman" w:hAnsi="Times New Roman" w:cs="Times New Roman"/>
          <w:i/>
          <w:iCs/>
          <w:color w:val="000000"/>
          <w:lang w:bidi="hi-IN"/>
        </w:rPr>
        <w:footnoteReference w:id="431"/>
      </w:r>
      <w:r w:rsidRPr="006A3B99">
        <w:rPr>
          <w:rFonts w:ascii="Times New Roman" w:eastAsia="Times New Roman" w:hAnsi="Times New Roman" w:cs="Times New Roman"/>
          <w:i/>
          <w:iCs/>
          <w:color w:val="000000"/>
          <w:lang w:bidi="hi-IN"/>
        </w:rPr>
        <w:t xml:space="preserve"> </w:t>
      </w:r>
    </w:p>
    <w:p w14:paraId="5B175D84" w14:textId="77777777" w:rsidR="006A3B99"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 </w:t>
      </w:r>
    </w:p>
    <w:p w14:paraId="2A6B75E2" w14:textId="77777777" w:rsidR="003A783E" w:rsidRDefault="006A3B99" w:rsidP="00B57C7F">
      <w:pPr>
        <w:spacing w:line="360" w:lineRule="auto"/>
        <w:ind w:firstLine="567"/>
        <w:jc w:val="both"/>
        <w:rPr>
          <w:rFonts w:ascii="Times New Roman" w:hAnsi="Times New Roman" w:cs="Times New Roman"/>
        </w:rPr>
      </w:pPr>
      <w:r>
        <w:rPr>
          <w:rFonts w:ascii="Times New Roman" w:hAnsi="Times New Roman" w:cs="Times New Roman"/>
        </w:rPr>
        <w:t xml:space="preserve">For </w:t>
      </w:r>
      <w:r w:rsidR="00991000">
        <w:rPr>
          <w:rFonts w:ascii="Times New Roman" w:hAnsi="Times New Roman" w:cs="Times New Roman"/>
        </w:rPr>
        <w:t>those who were not convinced</w:t>
      </w:r>
      <w:r>
        <w:rPr>
          <w:rFonts w:ascii="Times New Roman" w:hAnsi="Times New Roman" w:cs="Times New Roman"/>
        </w:rPr>
        <w:t>, they</w:t>
      </w:r>
      <w:r w:rsidR="00991000">
        <w:rPr>
          <w:rFonts w:ascii="Times New Roman" w:hAnsi="Times New Roman" w:cs="Times New Roman"/>
        </w:rPr>
        <w:t xml:space="preserve"> </w:t>
      </w:r>
      <w:r>
        <w:rPr>
          <w:rFonts w:ascii="Times New Roman" w:hAnsi="Times New Roman" w:cs="Times New Roman"/>
        </w:rPr>
        <w:t xml:space="preserve">left and </w:t>
      </w:r>
      <w:r w:rsidR="00991000">
        <w:rPr>
          <w:rFonts w:ascii="Times New Roman" w:hAnsi="Times New Roman" w:cs="Times New Roman"/>
        </w:rPr>
        <w:t>have strengthened groups like the Real IRA</w:t>
      </w:r>
      <w:r w:rsidR="00B1546E">
        <w:rPr>
          <w:rFonts w:ascii="Times New Roman" w:hAnsi="Times New Roman" w:cs="Times New Roman"/>
        </w:rPr>
        <w:t>.</w:t>
      </w:r>
      <w:r w:rsidR="00991000">
        <w:rPr>
          <w:rStyle w:val="FootnoteReference"/>
          <w:rFonts w:ascii="Times New Roman" w:hAnsi="Times New Roman" w:cs="Times New Roman"/>
        </w:rPr>
        <w:footnoteReference w:id="432"/>
      </w:r>
      <w:r w:rsidR="00CB321A">
        <w:rPr>
          <w:rFonts w:ascii="Times New Roman" w:hAnsi="Times New Roman" w:cs="Times New Roman"/>
        </w:rPr>
        <w:t xml:space="preserve"> </w:t>
      </w:r>
      <w:r>
        <w:rPr>
          <w:rFonts w:ascii="Times New Roman" w:hAnsi="Times New Roman" w:cs="Times New Roman"/>
        </w:rPr>
        <w:t>However, t</w:t>
      </w:r>
      <w:r w:rsidR="00CB321A">
        <w:rPr>
          <w:rFonts w:ascii="Times New Roman" w:hAnsi="Times New Roman" w:cs="Times New Roman"/>
        </w:rPr>
        <w:t>he staggered nature of splintering – in 1986, 1997 and 2006 – helped to minimise potential opposition and it divided dissident Republican groups as there was animosity between each faction</w:t>
      </w:r>
      <w:r w:rsidR="00C16A92">
        <w:rPr>
          <w:rFonts w:ascii="Times New Roman" w:hAnsi="Times New Roman" w:cs="Times New Roman"/>
        </w:rPr>
        <w:t>,</w:t>
      </w:r>
      <w:r w:rsidR="00CB321A">
        <w:rPr>
          <w:rFonts w:ascii="Times New Roman" w:hAnsi="Times New Roman" w:cs="Times New Roman"/>
        </w:rPr>
        <w:t xml:space="preserve"> which may not have been there if all had left at the same time. </w:t>
      </w:r>
      <w:r w:rsidR="003F6758">
        <w:rPr>
          <w:rFonts w:ascii="Times New Roman" w:hAnsi="Times New Roman" w:cs="Times New Roman"/>
        </w:rPr>
        <w:t>Despite the benefits this may have had on the success of the Provisional IRA’s disengagement, interviewees still emphasised a preference for unity</w:t>
      </w:r>
      <w:r w:rsidR="003F6758">
        <w:rPr>
          <w:rStyle w:val="FootnoteReference"/>
          <w:rFonts w:ascii="Times New Roman" w:hAnsi="Times New Roman" w:cs="Times New Roman"/>
        </w:rPr>
        <w:footnoteReference w:id="433"/>
      </w:r>
      <w:r w:rsidR="003F6758">
        <w:rPr>
          <w:rFonts w:ascii="Times New Roman" w:hAnsi="Times New Roman" w:cs="Times New Roman"/>
        </w:rPr>
        <w:t xml:space="preserve"> and one refused to accept that, apart from the 1986 split, that splits even took place</w:t>
      </w:r>
      <w:r w:rsidR="00B1546E">
        <w:rPr>
          <w:rFonts w:ascii="Times New Roman" w:hAnsi="Times New Roman" w:cs="Times New Roman"/>
        </w:rPr>
        <w:t>.</w:t>
      </w:r>
      <w:r w:rsidR="003F6758">
        <w:rPr>
          <w:rStyle w:val="FootnoteReference"/>
          <w:rFonts w:ascii="Times New Roman" w:hAnsi="Times New Roman" w:cs="Times New Roman"/>
        </w:rPr>
        <w:footnoteReference w:id="434"/>
      </w:r>
      <w:r>
        <w:rPr>
          <w:rFonts w:ascii="Times New Roman" w:hAnsi="Times New Roman" w:cs="Times New Roman"/>
        </w:rPr>
        <w:t xml:space="preserve"> While a number of Provisional IRA members were disillusioned with the decisions that emerged from disengagement, they recognise that the dissident Republican groups are not an alternative and have </w:t>
      </w:r>
      <w:r w:rsidR="00FD1653">
        <w:rPr>
          <w:rFonts w:ascii="Times New Roman" w:hAnsi="Times New Roman" w:cs="Times New Roman"/>
        </w:rPr>
        <w:t>individually disengaged</w:t>
      </w:r>
      <w:r w:rsidR="00FD1653">
        <w:rPr>
          <w:rStyle w:val="FootnoteReference"/>
          <w:rFonts w:ascii="Times New Roman" w:hAnsi="Times New Roman" w:cs="Times New Roman"/>
        </w:rPr>
        <w:footnoteReference w:id="435"/>
      </w:r>
      <w:r w:rsidR="00FD1653">
        <w:rPr>
          <w:rFonts w:ascii="Times New Roman" w:hAnsi="Times New Roman" w:cs="Times New Roman"/>
        </w:rPr>
        <w:t xml:space="preserve"> – similar to the experience in the 1960s disengagement process, but without the opportunities to re-engage later</w:t>
      </w:r>
      <w:r w:rsidR="00D24024">
        <w:rPr>
          <w:rFonts w:ascii="Times New Roman" w:hAnsi="Times New Roman" w:cs="Times New Roman"/>
        </w:rPr>
        <w:t xml:space="preserve"> as had happened when violence increased at the end of the decade</w:t>
      </w:r>
      <w:r w:rsidR="00FD1653">
        <w:rPr>
          <w:rFonts w:ascii="Times New Roman" w:hAnsi="Times New Roman" w:cs="Times New Roman"/>
        </w:rPr>
        <w:t xml:space="preserve">. </w:t>
      </w:r>
    </w:p>
    <w:p w14:paraId="77962C46" w14:textId="77777777" w:rsidR="00991000" w:rsidRDefault="00D24024" w:rsidP="00B57C7F">
      <w:pPr>
        <w:spacing w:line="360" w:lineRule="auto"/>
        <w:ind w:firstLine="567"/>
        <w:jc w:val="both"/>
        <w:rPr>
          <w:rFonts w:ascii="Times New Roman" w:hAnsi="Times New Roman" w:cs="Times New Roman"/>
        </w:rPr>
      </w:pPr>
      <w:r>
        <w:rPr>
          <w:rFonts w:ascii="Times New Roman" w:hAnsi="Times New Roman" w:cs="Times New Roman"/>
        </w:rPr>
        <w:t xml:space="preserve">The final part of the disengagement process was the formal disbandment of the Provisional IRA. </w:t>
      </w:r>
      <w:r w:rsidR="00991000">
        <w:rPr>
          <w:rFonts w:ascii="Times New Roman" w:hAnsi="Times New Roman" w:cs="Times New Roman"/>
        </w:rPr>
        <w:t>Thus, the Provisional IRA Army Council’s 2005 statement of its formal disengagement was read out by Seanna Walsh, the Officer Commanding in the H-Blocks, who had spent twenty-one years in prison. The reasoning behind having Walsh read out the statement was not only his credibility as a prisoner</w:t>
      </w:r>
      <w:r>
        <w:rPr>
          <w:rFonts w:ascii="Times New Roman" w:hAnsi="Times New Roman" w:cs="Times New Roman"/>
        </w:rPr>
        <w:t xml:space="preserve"> and </w:t>
      </w:r>
      <w:r>
        <w:rPr>
          <w:rFonts w:ascii="Times New Roman" w:hAnsi="Times New Roman" w:cs="Times New Roman"/>
        </w:rPr>
        <w:lastRenderedPageBreak/>
        <w:t>former cell-mate of Bobby Sands</w:t>
      </w:r>
      <w:r w:rsidR="00991000">
        <w:rPr>
          <w:rFonts w:ascii="Times New Roman" w:hAnsi="Times New Roman" w:cs="Times New Roman"/>
        </w:rPr>
        <w:t xml:space="preserve">, </w:t>
      </w:r>
      <w:r>
        <w:rPr>
          <w:rFonts w:ascii="Times New Roman" w:hAnsi="Times New Roman" w:cs="Times New Roman"/>
        </w:rPr>
        <w:t>but as ‘an IRA hard-man’ who has</w:t>
      </w:r>
      <w:r w:rsidR="00991000">
        <w:rPr>
          <w:rFonts w:ascii="Times New Roman" w:hAnsi="Times New Roman" w:cs="Times New Roman"/>
        </w:rPr>
        <w:t xml:space="preserve"> respect </w:t>
      </w:r>
      <w:r>
        <w:rPr>
          <w:rFonts w:ascii="Times New Roman" w:hAnsi="Times New Roman" w:cs="Times New Roman"/>
        </w:rPr>
        <w:t xml:space="preserve">as a reassuring face </w:t>
      </w:r>
      <w:r w:rsidR="00991000">
        <w:rPr>
          <w:rFonts w:ascii="Times New Roman" w:hAnsi="Times New Roman" w:cs="Times New Roman"/>
        </w:rPr>
        <w:t>in the Provisional IRA</w:t>
      </w:r>
      <w:r>
        <w:rPr>
          <w:rStyle w:val="FootnoteReference"/>
          <w:rFonts w:ascii="Times New Roman" w:hAnsi="Times New Roman" w:cs="Times New Roman"/>
        </w:rPr>
        <w:footnoteReference w:id="436"/>
      </w:r>
      <w:r>
        <w:rPr>
          <w:rFonts w:ascii="Times New Roman" w:hAnsi="Times New Roman" w:cs="Times New Roman"/>
        </w:rPr>
        <w:t xml:space="preserve"> and to send a message to potential dissident Republicans</w:t>
      </w:r>
      <w:r w:rsidR="00991000">
        <w:rPr>
          <w:rFonts w:ascii="Times New Roman" w:hAnsi="Times New Roman" w:cs="Times New Roman"/>
        </w:rPr>
        <w:t>.</w:t>
      </w:r>
      <w:r w:rsidR="00040986">
        <w:rPr>
          <w:rFonts w:ascii="Times New Roman" w:hAnsi="Times New Roman" w:cs="Times New Roman"/>
        </w:rPr>
        <w:t xml:space="preserve"> In a leaked diplomatic cable, it was explained that the rationale for using Walsh was to ‘convey to people in the field</w:t>
      </w:r>
      <w:r w:rsidR="00991000">
        <w:rPr>
          <w:rFonts w:ascii="Times New Roman" w:hAnsi="Times New Roman" w:cs="Times New Roman"/>
        </w:rPr>
        <w:t xml:space="preserve"> </w:t>
      </w:r>
      <w:r w:rsidR="00040986">
        <w:rPr>
          <w:rFonts w:ascii="Times New Roman" w:hAnsi="Times New Roman" w:cs="Times New Roman"/>
        </w:rPr>
        <w:t>that the army, including the most dedicated volunteers, and not just the politicians, was behind the statement’</w:t>
      </w:r>
      <w:r w:rsidR="00B1546E">
        <w:rPr>
          <w:rFonts w:ascii="Times New Roman" w:hAnsi="Times New Roman" w:cs="Times New Roman"/>
        </w:rPr>
        <w:t>.</w:t>
      </w:r>
      <w:r w:rsidR="00040986">
        <w:rPr>
          <w:rStyle w:val="FootnoteReference"/>
          <w:rFonts w:ascii="Times New Roman" w:hAnsi="Times New Roman" w:cs="Times New Roman"/>
        </w:rPr>
        <w:footnoteReference w:id="437"/>
      </w:r>
      <w:r w:rsidR="00040986">
        <w:rPr>
          <w:rFonts w:ascii="Times New Roman" w:hAnsi="Times New Roman" w:cs="Times New Roman"/>
        </w:rPr>
        <w:t xml:space="preserve"> The next chapter raises the issue of to what extent the Provisional IRA’s command structure has actually been disbanded, but the 2005 statement marked the official end of the Provisional IRA and it once again demonstrates how the leadership utilised credible voices to convince and cajole the membership to follow.</w:t>
      </w:r>
      <w:r w:rsidR="00991000">
        <w:rPr>
          <w:rFonts w:ascii="Times New Roman" w:hAnsi="Times New Roman" w:cs="Times New Roman"/>
        </w:rPr>
        <w:t xml:space="preserve"> </w:t>
      </w:r>
    </w:p>
    <w:p w14:paraId="572D7D14"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 xml:space="preserve"> </w:t>
      </w:r>
      <w:r w:rsidR="00786663">
        <w:rPr>
          <w:rFonts w:ascii="Times New Roman" w:hAnsi="Times New Roman" w:cs="Times New Roman"/>
        </w:rPr>
        <w:t>The manner in which the disengagement frame was diffused suggests that its acceptance was not necessary, but compliance was. Although the process had convinced the majority of the movement, the use of personal loyalties and friendship ties could be used to incentivise acceptance even when members were not fully behind the process in its final stages. Other members had already made the shift in 1994 which made it easier to accept the other elements of disengagement.</w:t>
      </w:r>
      <w:r w:rsidR="0016079B">
        <w:rPr>
          <w:rFonts w:ascii="Times New Roman" w:hAnsi="Times New Roman" w:cs="Times New Roman"/>
        </w:rPr>
        <w:t xml:space="preserve"> Crucially, the flexibility of the Provisional IRA’s frame meant that members could also make arguments based on tactical disengagement, that the opportunities for violence no longer existed. Consequently, members who would not de-legitimise violence could also disengage without adopting the frame.</w:t>
      </w:r>
      <w:r w:rsidR="00786663">
        <w:rPr>
          <w:rFonts w:ascii="Times New Roman" w:hAnsi="Times New Roman" w:cs="Times New Roman"/>
        </w:rPr>
        <w:t xml:space="preserve"> Having outlined how the Provisional IRA’s disengagement process was implemented through a frames analysis app</w:t>
      </w:r>
      <w:r w:rsidR="002A6F3A">
        <w:rPr>
          <w:rFonts w:ascii="Times New Roman" w:hAnsi="Times New Roman" w:cs="Times New Roman"/>
        </w:rPr>
        <w:t>roach, the chapter will relate this analysis to the literature on disengagement.</w:t>
      </w:r>
      <w:r w:rsidR="00786663">
        <w:rPr>
          <w:rFonts w:ascii="Times New Roman" w:hAnsi="Times New Roman" w:cs="Times New Roman"/>
        </w:rPr>
        <w:t xml:space="preserve">  </w:t>
      </w:r>
    </w:p>
    <w:p w14:paraId="072447A7" w14:textId="77777777" w:rsidR="003A783E" w:rsidRDefault="003A783E" w:rsidP="00B57C7F">
      <w:pPr>
        <w:spacing w:line="360" w:lineRule="auto"/>
        <w:jc w:val="both"/>
        <w:rPr>
          <w:rFonts w:ascii="Times New Roman" w:hAnsi="Times New Roman" w:cs="Times New Roman"/>
        </w:rPr>
      </w:pPr>
    </w:p>
    <w:p w14:paraId="15DD8DEA" w14:textId="77777777" w:rsidR="00991000" w:rsidRPr="004E47AC" w:rsidRDefault="00991000" w:rsidP="00B57C7F">
      <w:pPr>
        <w:pStyle w:val="Heading3"/>
        <w:spacing w:before="120" w:line="360" w:lineRule="auto"/>
      </w:pPr>
      <w:bookmarkStart w:id="49" w:name="_Toc389208831"/>
      <w:r w:rsidRPr="004E47AC">
        <w:t>Re-Evaluating the Disengagement Process</w:t>
      </w:r>
      <w:bookmarkEnd w:id="49"/>
    </w:p>
    <w:p w14:paraId="6F99FEFB" w14:textId="77777777" w:rsidR="00991000" w:rsidRDefault="001056DA" w:rsidP="00B57C7F">
      <w:pPr>
        <w:spacing w:line="360" w:lineRule="auto"/>
        <w:ind w:firstLine="720"/>
        <w:jc w:val="both"/>
        <w:rPr>
          <w:rFonts w:ascii="Times New Roman" w:hAnsi="Times New Roman" w:cs="Times New Roman"/>
        </w:rPr>
      </w:pPr>
      <w:r>
        <w:rPr>
          <w:rFonts w:ascii="Times New Roman" w:hAnsi="Times New Roman" w:cs="Times New Roman"/>
        </w:rPr>
        <w:t>T</w:t>
      </w:r>
      <w:r w:rsidR="00991000">
        <w:rPr>
          <w:rFonts w:ascii="Times New Roman" w:hAnsi="Times New Roman" w:cs="Times New Roman"/>
        </w:rPr>
        <w:t xml:space="preserve">he chapter has argued that two factors were important to the success of the Provisional IRA’s disengagement, with that success being judged by how much unity and discipline it could retain. The first factor was the ability to construct a frame that maintained narrative fidelity to the hegemonic generation’s shared experience in the 1960s; the second factor was the existence of a structure of </w:t>
      </w:r>
      <w:r w:rsidR="00991000">
        <w:rPr>
          <w:rFonts w:ascii="Times New Roman" w:hAnsi="Times New Roman" w:cs="Times New Roman"/>
        </w:rPr>
        <w:lastRenderedPageBreak/>
        <w:t>networks that gave actors credibility and gave them linkages to diffuse the disengagement frame.</w:t>
      </w:r>
      <w:r w:rsidR="0016079B">
        <w:rPr>
          <w:rFonts w:ascii="Times New Roman" w:hAnsi="Times New Roman" w:cs="Times New Roman"/>
        </w:rPr>
        <w:t xml:space="preserve"> These linkages, or social networks, provided added incentives to acquiesce to the disengagement frame. Even when members did not accept the disengagement frame, they did accept a tactical disengagement frame that had been nested within the Provisional IRA’s main frame.</w:t>
      </w:r>
      <w:r w:rsidR="00991000">
        <w:rPr>
          <w:rFonts w:ascii="Times New Roman" w:hAnsi="Times New Roman" w:cs="Times New Roman"/>
        </w:rPr>
        <w:t xml:space="preserve"> </w:t>
      </w:r>
      <w:r w:rsidR="009368D8">
        <w:rPr>
          <w:rFonts w:ascii="Times New Roman" w:hAnsi="Times New Roman" w:cs="Times New Roman"/>
        </w:rPr>
        <w:t>While the main contribution of the chapter is in explaining the significance of frame diffusion, the</w:t>
      </w:r>
      <w:r w:rsidR="00991000">
        <w:rPr>
          <w:rFonts w:ascii="Times New Roman" w:hAnsi="Times New Roman" w:cs="Times New Roman"/>
        </w:rPr>
        <w:t xml:space="preserve"> findings </w:t>
      </w:r>
      <w:r w:rsidR="009368D8">
        <w:rPr>
          <w:rFonts w:ascii="Times New Roman" w:hAnsi="Times New Roman" w:cs="Times New Roman"/>
        </w:rPr>
        <w:t>also inform some of the more relevant debates discussed in Chapter One with regard to how terrorism campaigns end: firstly, negotiations and popular support; and secondly, repression, decapitation and prisons.</w:t>
      </w:r>
    </w:p>
    <w:p w14:paraId="01D7CD23" w14:textId="77777777" w:rsidR="00F762B0" w:rsidRDefault="00F762B0" w:rsidP="00B57C7F">
      <w:pPr>
        <w:spacing w:line="360" w:lineRule="auto"/>
        <w:jc w:val="both"/>
        <w:rPr>
          <w:rFonts w:ascii="Times New Roman" w:hAnsi="Times New Roman" w:cs="Times New Roman"/>
          <w:i/>
          <w:iCs/>
        </w:rPr>
      </w:pPr>
    </w:p>
    <w:p w14:paraId="4EE56532" w14:textId="77777777" w:rsidR="004F6C3A" w:rsidRDefault="004F6C3A" w:rsidP="00B57C7F">
      <w:pPr>
        <w:pStyle w:val="Heading4"/>
        <w:spacing w:before="120" w:line="360" w:lineRule="auto"/>
      </w:pPr>
      <w:bookmarkStart w:id="50" w:name="_Toc389208832"/>
      <w:r>
        <w:t>Negotiations and Popular Support</w:t>
      </w:r>
      <w:bookmarkEnd w:id="50"/>
    </w:p>
    <w:p w14:paraId="516812D2" w14:textId="77777777" w:rsidR="004F6C3A" w:rsidRDefault="004F6C3A" w:rsidP="00B57C7F">
      <w:pPr>
        <w:spacing w:line="360" w:lineRule="auto"/>
        <w:jc w:val="both"/>
        <w:rPr>
          <w:rFonts w:ascii="Times New Roman" w:hAnsi="Times New Roman" w:cs="Times New Roman"/>
        </w:rPr>
      </w:pPr>
      <w:r>
        <w:tab/>
      </w:r>
      <w:r w:rsidR="003C555B">
        <w:t>W</w:t>
      </w:r>
      <w:r>
        <w:rPr>
          <w:rFonts w:ascii="Times New Roman" w:hAnsi="Times New Roman" w:cs="Times New Roman"/>
        </w:rPr>
        <w:t>hile negotiations through a peace process are important</w:t>
      </w:r>
      <w:r w:rsidR="003C555B">
        <w:rPr>
          <w:rFonts w:ascii="Times New Roman" w:hAnsi="Times New Roman" w:cs="Times New Roman"/>
        </w:rPr>
        <w:t xml:space="preserve"> for ending terrorism campaigns</w:t>
      </w:r>
      <w:r>
        <w:rPr>
          <w:rFonts w:ascii="Times New Roman" w:hAnsi="Times New Roman" w:cs="Times New Roman"/>
        </w:rPr>
        <w:t>, the thesis makes the following points. Firstly, Ashour may be correct in his argument that interaction through secret negotiations with the ‘other’ – and the other ‘other’, the Nationalist movement - may have prompted attitudinal change in the leadership. However, another argument that seems convincing is that leaders such as Adams always had an idea of the political direction the group would have to go in, and this would require a parallel disengagement process; he was only waiting until he could convince others of the new approach</w:t>
      </w:r>
      <w:r w:rsidR="00B1546E">
        <w:rPr>
          <w:rFonts w:ascii="Times New Roman" w:hAnsi="Times New Roman" w:cs="Times New Roman"/>
        </w:rPr>
        <w:t>.</w:t>
      </w:r>
      <w:r>
        <w:rPr>
          <w:rStyle w:val="FootnoteReference"/>
          <w:rFonts w:ascii="Times New Roman" w:hAnsi="Times New Roman" w:cs="Times New Roman"/>
        </w:rPr>
        <w:footnoteReference w:id="438"/>
      </w:r>
      <w:r>
        <w:rPr>
          <w:rFonts w:ascii="Times New Roman" w:hAnsi="Times New Roman" w:cs="Times New Roman"/>
        </w:rPr>
        <w:t xml:space="preserve"> Furthermore, the change in attitudes to armed violence that preceded the construction of a disengagement frame that had especially begun to occur in prisons in the 1980s suggests that it was less to do with interaction with the ‘other’ or negotiations, but through observation of the environment and dialogue between members. </w:t>
      </w:r>
      <w:r w:rsidR="00E5348A">
        <w:rPr>
          <w:rFonts w:ascii="Times New Roman" w:hAnsi="Times New Roman" w:cs="Times New Roman"/>
        </w:rPr>
        <w:t>Secondly, the offer of negotiations can act to provide an incentive, but this is firstly contingent on the disengagement frame resonating for negotiations to be constructed as an incentive – they should not be assumed to be as a matter of fact.</w:t>
      </w:r>
      <w:r w:rsidR="00096C5F">
        <w:rPr>
          <w:rFonts w:ascii="Times New Roman" w:hAnsi="Times New Roman" w:cs="Times New Roman"/>
        </w:rPr>
        <w:t xml:space="preserve"> In the late 1980s and throughout the 1990s, the British government provided a number of incentives in the form of secret negotiations and through public declarations such as the recognition of a stalemate.</w:t>
      </w:r>
      <w:r w:rsidR="00E5348A">
        <w:rPr>
          <w:rFonts w:ascii="Times New Roman" w:hAnsi="Times New Roman" w:cs="Times New Roman"/>
        </w:rPr>
        <w:t xml:space="preserve"> Thirdly</w:t>
      </w:r>
      <w:r>
        <w:rPr>
          <w:rFonts w:ascii="Times New Roman" w:hAnsi="Times New Roman" w:cs="Times New Roman"/>
        </w:rPr>
        <w:t>, negotiations are important to help construct a mutually shared understanding of the disengagement process</w:t>
      </w:r>
      <w:r w:rsidR="00096C5F">
        <w:rPr>
          <w:rFonts w:ascii="Times New Roman" w:hAnsi="Times New Roman" w:cs="Times New Roman"/>
        </w:rPr>
        <w:t xml:space="preserve"> but this construction needs to recognise the dual ‘rubber band diplomacy’ that the leadership are involved </w:t>
      </w:r>
      <w:r w:rsidR="00096C5F">
        <w:rPr>
          <w:rFonts w:ascii="Times New Roman" w:hAnsi="Times New Roman" w:cs="Times New Roman"/>
        </w:rPr>
        <w:lastRenderedPageBreak/>
        <w:t>in</w:t>
      </w:r>
      <w:r>
        <w:rPr>
          <w:rFonts w:ascii="Times New Roman" w:hAnsi="Times New Roman" w:cs="Times New Roman"/>
        </w:rPr>
        <w:t xml:space="preserve">. Just as the leadership </w:t>
      </w:r>
      <w:r w:rsidR="00E5348A">
        <w:rPr>
          <w:rFonts w:ascii="Times New Roman" w:hAnsi="Times New Roman" w:cs="Times New Roman"/>
        </w:rPr>
        <w:t>has</w:t>
      </w:r>
      <w:r>
        <w:rPr>
          <w:rFonts w:ascii="Times New Roman" w:hAnsi="Times New Roman" w:cs="Times New Roman"/>
        </w:rPr>
        <w:t xml:space="preserve"> to pursue ‘rubber-band diplomacy’</w:t>
      </w:r>
      <w:r w:rsidR="00E5348A">
        <w:rPr>
          <w:rFonts w:ascii="Times New Roman" w:hAnsi="Times New Roman" w:cs="Times New Roman"/>
        </w:rPr>
        <w:t xml:space="preserve"> with its own members, it has to pursue a similar approach with the state it seeks to negotiate with. </w:t>
      </w:r>
      <w:r w:rsidR="00096C5F">
        <w:rPr>
          <w:rFonts w:ascii="Times New Roman" w:hAnsi="Times New Roman" w:cs="Times New Roman"/>
        </w:rPr>
        <w:t>The demand</w:t>
      </w:r>
      <w:r w:rsidR="00E5348A">
        <w:rPr>
          <w:rFonts w:ascii="Times New Roman" w:hAnsi="Times New Roman" w:cs="Times New Roman"/>
        </w:rPr>
        <w:t xml:space="preserve"> by the Unionists for decommissioning prior to the provision of incentives (through inclusion in peace talks and the release of prisoners) </w:t>
      </w:r>
      <w:r w:rsidR="00096C5F">
        <w:rPr>
          <w:rFonts w:ascii="Times New Roman" w:hAnsi="Times New Roman" w:cs="Times New Roman"/>
        </w:rPr>
        <w:t>was an unrealistic approach that failed to recognise or care about the salience of internal group dynamics. As negotiations progressed from 1998 onwards, frame diffusion extended into negotiations with the state and Unionists, but of course the dynamics here are entirely different to those which took place internally</w:t>
      </w:r>
      <w:r w:rsidR="00406D83">
        <w:rPr>
          <w:rFonts w:ascii="Times New Roman" w:hAnsi="Times New Roman" w:cs="Times New Roman"/>
        </w:rPr>
        <w:t>. Many scholars have noted that the Good Friday Agreement was an ambiguous document which could be ‘sold’ to different audiences: thus, it managed to maintain narrative fidelity through its inclusion of an Irish dimension, the prospects of the border poll, and by laying the groundwork for parity of esteem – the crucial bridging point between the Provisional IRA’s mobilising frame and disengagement frame.</w:t>
      </w:r>
    </w:p>
    <w:p w14:paraId="20A6E319" w14:textId="77777777" w:rsidR="00174963" w:rsidRDefault="00E832A6" w:rsidP="00B57C7F">
      <w:pPr>
        <w:spacing w:line="360" w:lineRule="auto"/>
        <w:jc w:val="both"/>
        <w:rPr>
          <w:rFonts w:ascii="Times New Roman" w:hAnsi="Times New Roman" w:cs="Times New Roman"/>
        </w:rPr>
      </w:pPr>
      <w:r>
        <w:rPr>
          <w:rFonts w:ascii="Times New Roman" w:hAnsi="Times New Roman" w:cs="Times New Roman"/>
        </w:rPr>
        <w:tab/>
        <w:t xml:space="preserve">The thesis’ research did not indicate a substantial role for popular support in the Provisional IRA’s disengagement. Among Provisional IRA members interviewed, they perceived themselves as the community, and while opinion polls may have suggested support was in the minority, this may not accurately represent the networks, communities and streets the interviewees lived in. This perspective would correspond with </w:t>
      </w:r>
      <w:r w:rsidR="003C555B">
        <w:rPr>
          <w:rFonts w:ascii="Times New Roman" w:hAnsi="Times New Roman" w:cs="Times New Roman"/>
        </w:rPr>
        <w:t>Waldmann</w:t>
      </w:r>
      <w:r>
        <w:rPr>
          <w:rFonts w:ascii="Times New Roman" w:hAnsi="Times New Roman" w:cs="Times New Roman"/>
        </w:rPr>
        <w:t>’s notion of the ‘radical milieu’</w:t>
      </w:r>
      <w:r w:rsidR="003C555B">
        <w:rPr>
          <w:rStyle w:val="FootnoteReference"/>
          <w:rFonts w:ascii="Times New Roman" w:hAnsi="Times New Roman" w:cs="Times New Roman"/>
        </w:rPr>
        <w:footnoteReference w:id="439"/>
      </w:r>
      <w:r>
        <w:rPr>
          <w:rFonts w:ascii="Times New Roman" w:hAnsi="Times New Roman" w:cs="Times New Roman"/>
        </w:rPr>
        <w:t xml:space="preserve"> which may have reinforced many of the beliefs of Provisional IRA members prior to disengagement. Scholars have argued that engagement in politics brought Provisional IRA and Sinn Fein members into contact with a new constituency that lived outside this ‘radical milieu’</w:t>
      </w:r>
      <w:r w:rsidR="00B1546E">
        <w:rPr>
          <w:rFonts w:ascii="Times New Roman" w:hAnsi="Times New Roman" w:cs="Times New Roman"/>
        </w:rPr>
        <w:t>,</w:t>
      </w:r>
      <w:r w:rsidR="003C555B">
        <w:rPr>
          <w:rStyle w:val="FootnoteReference"/>
          <w:rFonts w:ascii="Times New Roman" w:hAnsi="Times New Roman" w:cs="Times New Roman"/>
        </w:rPr>
        <w:footnoteReference w:id="440"/>
      </w:r>
      <w:r>
        <w:rPr>
          <w:rFonts w:ascii="Times New Roman" w:hAnsi="Times New Roman" w:cs="Times New Roman"/>
        </w:rPr>
        <w:t xml:space="preserve"> and while </w:t>
      </w:r>
      <w:r w:rsidR="00174963">
        <w:rPr>
          <w:rFonts w:ascii="Times New Roman" w:hAnsi="Times New Roman" w:cs="Times New Roman"/>
        </w:rPr>
        <w:t>such interaction may prompt a shift in attitudes and perspectives, as observed by Malthaner in Islamist movements</w:t>
      </w:r>
      <w:r w:rsidR="00B1546E">
        <w:rPr>
          <w:rFonts w:ascii="Times New Roman" w:hAnsi="Times New Roman" w:cs="Times New Roman"/>
        </w:rPr>
        <w:t>,</w:t>
      </w:r>
      <w:r w:rsidR="00174963">
        <w:rPr>
          <w:rStyle w:val="FootnoteReference"/>
          <w:rFonts w:ascii="Times New Roman" w:hAnsi="Times New Roman" w:cs="Times New Roman"/>
        </w:rPr>
        <w:footnoteReference w:id="441"/>
      </w:r>
      <w:r w:rsidR="00174963">
        <w:rPr>
          <w:rFonts w:ascii="Times New Roman" w:hAnsi="Times New Roman" w:cs="Times New Roman"/>
        </w:rPr>
        <w:t xml:space="preserve"> the effect of this would have been only an indirect change in attitudes to armed violence. Engagement in politics shifted the relative value of armed struggle for members, and the expansion of target constituencies brought it into touch with new norms against violence</w:t>
      </w:r>
      <w:r w:rsidR="003C555B">
        <w:rPr>
          <w:rFonts w:ascii="Times New Roman" w:hAnsi="Times New Roman" w:cs="Times New Roman"/>
        </w:rPr>
        <w:t>,</w:t>
      </w:r>
      <w:r w:rsidR="00174963">
        <w:rPr>
          <w:rFonts w:ascii="Times New Roman" w:hAnsi="Times New Roman" w:cs="Times New Roman"/>
        </w:rPr>
        <w:t xml:space="preserve"> which may have influenced their attitudes to armed violenc</w:t>
      </w:r>
      <w:r w:rsidR="003C555B">
        <w:rPr>
          <w:rFonts w:ascii="Times New Roman" w:hAnsi="Times New Roman" w:cs="Times New Roman"/>
        </w:rPr>
        <w:t xml:space="preserve">e. However, the </w:t>
      </w:r>
      <w:r w:rsidR="003C555B">
        <w:rPr>
          <w:rFonts w:ascii="Times New Roman" w:hAnsi="Times New Roman" w:cs="Times New Roman"/>
        </w:rPr>
        <w:lastRenderedPageBreak/>
        <w:t>interviews show</w:t>
      </w:r>
      <w:r w:rsidR="00174963">
        <w:rPr>
          <w:rFonts w:ascii="Times New Roman" w:hAnsi="Times New Roman" w:cs="Times New Roman"/>
        </w:rPr>
        <w:t xml:space="preserve"> that one figure </w:t>
      </w:r>
      <w:r w:rsidR="003C555B">
        <w:rPr>
          <w:rFonts w:ascii="Times New Roman" w:hAnsi="Times New Roman" w:cs="Times New Roman"/>
        </w:rPr>
        <w:t>that</w:t>
      </w:r>
      <w:r w:rsidR="00174963">
        <w:rPr>
          <w:rFonts w:ascii="Times New Roman" w:hAnsi="Times New Roman" w:cs="Times New Roman"/>
        </w:rPr>
        <w:t xml:space="preserve"> would later be essential to the success of disengagement was not influenced by this, therefore changes in popular support varied in their impact on attitudes, but they did provide an opening for the disengagement frame. Furthermore, the findings of the thesis suggests that popular support from the ‘radical milieu’ may actually prevent disengagement, as the Provisional IRA had to diffuse the disengagement frame in the communities, although this was done far more superficially than internally</w:t>
      </w:r>
      <w:r w:rsidR="00B1546E">
        <w:rPr>
          <w:rFonts w:ascii="Times New Roman" w:hAnsi="Times New Roman" w:cs="Times New Roman"/>
        </w:rPr>
        <w:t>,</w:t>
      </w:r>
      <w:r w:rsidR="00174963">
        <w:rPr>
          <w:rStyle w:val="FootnoteReference"/>
          <w:rFonts w:ascii="Times New Roman" w:hAnsi="Times New Roman" w:cs="Times New Roman"/>
        </w:rPr>
        <w:footnoteReference w:id="442"/>
      </w:r>
      <w:r w:rsidR="00174963">
        <w:rPr>
          <w:rFonts w:ascii="Times New Roman" w:hAnsi="Times New Roman" w:cs="Times New Roman"/>
        </w:rPr>
        <w:t xml:space="preserve"> and given the credibility of Provisional IRA members, the fact th</w:t>
      </w:r>
      <w:r w:rsidR="003C555B">
        <w:rPr>
          <w:rFonts w:ascii="Times New Roman" w:hAnsi="Times New Roman" w:cs="Times New Roman"/>
        </w:rPr>
        <w:t>at Provisional IRA members</w:t>
      </w:r>
      <w:r w:rsidR="00174963">
        <w:rPr>
          <w:rFonts w:ascii="Times New Roman" w:hAnsi="Times New Roman" w:cs="Times New Roman"/>
        </w:rPr>
        <w:t xml:space="preserve"> supported disengagement was often enough for the community to support or accept it. </w:t>
      </w:r>
    </w:p>
    <w:p w14:paraId="3D6303A2" w14:textId="77777777" w:rsidR="00E832A6" w:rsidRPr="004F6C3A" w:rsidRDefault="00174963" w:rsidP="00B57C7F">
      <w:pPr>
        <w:spacing w:line="360" w:lineRule="auto"/>
        <w:jc w:val="both"/>
        <w:rPr>
          <w:rFonts w:ascii="Times New Roman" w:hAnsi="Times New Roman" w:cs="Times New Roman"/>
        </w:rPr>
      </w:pPr>
      <w:r>
        <w:rPr>
          <w:rFonts w:ascii="Times New Roman" w:hAnsi="Times New Roman" w:cs="Times New Roman"/>
        </w:rPr>
        <w:t xml:space="preserve"> </w:t>
      </w:r>
      <w:r w:rsidR="00E832A6">
        <w:rPr>
          <w:rFonts w:ascii="Times New Roman" w:hAnsi="Times New Roman" w:cs="Times New Roman"/>
        </w:rPr>
        <w:t xml:space="preserve"> </w:t>
      </w:r>
    </w:p>
    <w:p w14:paraId="1A8F379E" w14:textId="77777777" w:rsidR="00F762B0" w:rsidRDefault="00F762B0" w:rsidP="00B57C7F">
      <w:pPr>
        <w:pStyle w:val="Heading4"/>
        <w:spacing w:before="120" w:line="360" w:lineRule="auto"/>
      </w:pPr>
      <w:bookmarkStart w:id="51" w:name="_Toc389208833"/>
      <w:r w:rsidRPr="00F762B0">
        <w:t>The Role of Repression</w:t>
      </w:r>
      <w:r w:rsidR="008501C2">
        <w:t>,</w:t>
      </w:r>
      <w:r w:rsidR="002C672B">
        <w:t xml:space="preserve"> De-Capitation</w:t>
      </w:r>
      <w:r w:rsidR="008501C2">
        <w:t xml:space="preserve"> and Prisons</w:t>
      </w:r>
      <w:bookmarkEnd w:id="51"/>
    </w:p>
    <w:p w14:paraId="0355731B" w14:textId="77777777" w:rsidR="002C672B" w:rsidRDefault="00F762B0" w:rsidP="00B57C7F">
      <w:pPr>
        <w:spacing w:line="360" w:lineRule="auto"/>
        <w:jc w:val="both"/>
        <w:rPr>
          <w:rFonts w:ascii="Times New Roman" w:hAnsi="Times New Roman" w:cs="Times New Roman"/>
        </w:rPr>
      </w:pPr>
      <w:r>
        <w:rPr>
          <w:rFonts w:ascii="Times New Roman" w:hAnsi="Times New Roman" w:cs="Times New Roman"/>
        </w:rPr>
        <w:tab/>
        <w:t>As discussed in Chapter One, repression is seen to be a double-edged sword with regard to ending terrorism campaigns. Harsh military responses can lead to greater mobilisation – for example, Bloody Sunday – therefore policing and intelligence approaches are seen to be far more effective. Policing and intelligence can prompt a strategic re-evaluation as has been suggested, but the thesis has shown how this does not necessarily lead to disengagement because the effect of repression may not be universal in the extent it changes attitudes. Identifying when a strategic re-evaluation i</w:t>
      </w:r>
      <w:r w:rsidR="00553400">
        <w:rPr>
          <w:rFonts w:ascii="Times New Roman" w:hAnsi="Times New Roman" w:cs="Times New Roman"/>
        </w:rPr>
        <w:t>s occurring can be difficult:</w:t>
      </w:r>
      <w:r>
        <w:rPr>
          <w:rFonts w:ascii="Times New Roman" w:hAnsi="Times New Roman" w:cs="Times New Roman"/>
        </w:rPr>
        <w:t xml:space="preserve"> it is unclear to what extent the re-think contains the beginnings</w:t>
      </w:r>
      <w:r w:rsidR="00553400">
        <w:rPr>
          <w:rFonts w:ascii="Times New Roman" w:hAnsi="Times New Roman" w:cs="Times New Roman"/>
        </w:rPr>
        <w:t xml:space="preserve"> of a disengagement frame and it</w:t>
      </w:r>
      <w:r>
        <w:rPr>
          <w:rFonts w:ascii="Times New Roman" w:hAnsi="Times New Roman" w:cs="Times New Roman"/>
        </w:rPr>
        <w:t xml:space="preserve"> may only be </w:t>
      </w:r>
      <w:r w:rsidR="00553400">
        <w:rPr>
          <w:rFonts w:ascii="Times New Roman" w:hAnsi="Times New Roman" w:cs="Times New Roman"/>
        </w:rPr>
        <w:t xml:space="preserve">possible to </w:t>
      </w:r>
      <w:r>
        <w:rPr>
          <w:rFonts w:ascii="Times New Roman" w:hAnsi="Times New Roman" w:cs="Times New Roman"/>
        </w:rPr>
        <w:t>do</w:t>
      </w:r>
      <w:r w:rsidR="00553400">
        <w:rPr>
          <w:rFonts w:ascii="Times New Roman" w:hAnsi="Times New Roman" w:cs="Times New Roman"/>
        </w:rPr>
        <w:t xml:space="preserve"> this</w:t>
      </w:r>
      <w:r>
        <w:rPr>
          <w:rFonts w:ascii="Times New Roman" w:hAnsi="Times New Roman" w:cs="Times New Roman"/>
        </w:rPr>
        <w:t xml:space="preserve"> retrospectively.</w:t>
      </w:r>
      <w:r w:rsidR="00553400">
        <w:rPr>
          <w:rFonts w:ascii="Times New Roman" w:hAnsi="Times New Roman" w:cs="Times New Roman"/>
        </w:rPr>
        <w:t xml:space="preserve"> Ceasefires are the clearest sign but the contrast between the 1975 and 1994 ceasefire is telling. While there was less organisational discipline within the Provisional IRA in the 1975 period, continued state repression against some members of the group while others were perceived to have immunity only undermined the credibility of the leaders arguing for disengagement. Once again, while the 1994 ceasefire differed in terms of organisational discipline, a mutual ceasefire </w:t>
      </w:r>
      <w:r w:rsidR="00A82F97">
        <w:rPr>
          <w:rFonts w:ascii="Times New Roman" w:hAnsi="Times New Roman" w:cs="Times New Roman"/>
        </w:rPr>
        <w:t xml:space="preserve">between the militant group and the state </w:t>
      </w:r>
      <w:r w:rsidR="00553400">
        <w:rPr>
          <w:rFonts w:ascii="Times New Roman" w:hAnsi="Times New Roman" w:cs="Times New Roman"/>
        </w:rPr>
        <w:t xml:space="preserve">helps maintain the credibility of leaders. Although, the relaxed security in </w:t>
      </w:r>
      <w:r w:rsidR="00A82F97">
        <w:rPr>
          <w:rFonts w:ascii="Times New Roman" w:hAnsi="Times New Roman" w:cs="Times New Roman"/>
        </w:rPr>
        <w:t xml:space="preserve">the UK in </w:t>
      </w:r>
      <w:r w:rsidR="00553400">
        <w:rPr>
          <w:rFonts w:ascii="Times New Roman" w:hAnsi="Times New Roman" w:cs="Times New Roman"/>
        </w:rPr>
        <w:t>1996 made Provisional IRA attacks easier and perhaps provided incentives for those wishing to return</w:t>
      </w:r>
      <w:r w:rsidR="00A82F97">
        <w:rPr>
          <w:rFonts w:ascii="Times New Roman" w:hAnsi="Times New Roman" w:cs="Times New Roman"/>
        </w:rPr>
        <w:t xml:space="preserve"> to armed struggle</w:t>
      </w:r>
      <w:r w:rsidR="00B1546E">
        <w:rPr>
          <w:rFonts w:ascii="Times New Roman" w:hAnsi="Times New Roman" w:cs="Times New Roman"/>
        </w:rPr>
        <w:t>,</w:t>
      </w:r>
      <w:r w:rsidR="00233335">
        <w:rPr>
          <w:rStyle w:val="FootnoteReference"/>
          <w:rFonts w:ascii="Times New Roman" w:hAnsi="Times New Roman" w:cs="Times New Roman"/>
        </w:rPr>
        <w:footnoteReference w:id="443"/>
      </w:r>
      <w:r w:rsidR="00553400">
        <w:rPr>
          <w:rFonts w:ascii="Times New Roman" w:hAnsi="Times New Roman" w:cs="Times New Roman"/>
        </w:rPr>
        <w:t xml:space="preserve"> </w:t>
      </w:r>
      <w:r w:rsidR="00233335">
        <w:rPr>
          <w:rFonts w:ascii="Times New Roman" w:hAnsi="Times New Roman" w:cs="Times New Roman"/>
        </w:rPr>
        <w:t xml:space="preserve">however </w:t>
      </w:r>
      <w:r w:rsidR="00553400">
        <w:rPr>
          <w:rFonts w:ascii="Times New Roman" w:hAnsi="Times New Roman" w:cs="Times New Roman"/>
        </w:rPr>
        <w:t>the relaxing of security was a short-term opportunity</w:t>
      </w:r>
      <w:r w:rsidR="00A82F97">
        <w:rPr>
          <w:rFonts w:ascii="Times New Roman" w:hAnsi="Times New Roman" w:cs="Times New Roman"/>
        </w:rPr>
        <w:t xml:space="preserve"> – the </w:t>
      </w:r>
      <w:r w:rsidR="00A82F97">
        <w:rPr>
          <w:rFonts w:ascii="Times New Roman" w:hAnsi="Times New Roman" w:cs="Times New Roman"/>
        </w:rPr>
        <w:lastRenderedPageBreak/>
        <w:t>strategic situation that justified the ceasefire in 1994 had not changed.</w:t>
      </w:r>
      <w:r w:rsidR="00553400">
        <w:rPr>
          <w:rFonts w:ascii="Times New Roman" w:hAnsi="Times New Roman" w:cs="Times New Roman"/>
        </w:rPr>
        <w:t xml:space="preserve"> </w:t>
      </w:r>
      <w:r w:rsidR="00A82F97">
        <w:rPr>
          <w:rFonts w:ascii="Times New Roman" w:hAnsi="Times New Roman" w:cs="Times New Roman"/>
        </w:rPr>
        <w:t>Thus, during the period the ceasefire ended in 1996 until 1998, t</w:t>
      </w:r>
      <w:r w:rsidR="00553400">
        <w:rPr>
          <w:rFonts w:ascii="Times New Roman" w:hAnsi="Times New Roman" w:cs="Times New Roman"/>
        </w:rPr>
        <w:t xml:space="preserve">he pro-disengagement leadership were in control </w:t>
      </w:r>
      <w:r w:rsidR="00DE2664">
        <w:rPr>
          <w:rFonts w:ascii="Times New Roman" w:hAnsi="Times New Roman" w:cs="Times New Roman"/>
        </w:rPr>
        <w:t>and the ceasefire worked to their advantage</w:t>
      </w:r>
      <w:r w:rsidR="00A82F97">
        <w:rPr>
          <w:rFonts w:ascii="Times New Roman" w:hAnsi="Times New Roman" w:cs="Times New Roman"/>
        </w:rPr>
        <w:t>, unlike the leaders during the 1960s disengagement or the 1975 ceasefire</w:t>
      </w:r>
      <w:r w:rsidR="00553400">
        <w:rPr>
          <w:rFonts w:ascii="Times New Roman" w:hAnsi="Times New Roman" w:cs="Times New Roman"/>
        </w:rPr>
        <w:t xml:space="preserve">. As shown above, maintaining the option for a return to armed violence provided some members with </w:t>
      </w:r>
      <w:r w:rsidR="002C672B">
        <w:rPr>
          <w:rFonts w:ascii="Times New Roman" w:hAnsi="Times New Roman" w:cs="Times New Roman"/>
        </w:rPr>
        <w:t xml:space="preserve">the </w:t>
      </w:r>
      <w:r w:rsidR="007F63F1">
        <w:rPr>
          <w:rFonts w:ascii="Times New Roman" w:hAnsi="Times New Roman" w:cs="Times New Roman"/>
        </w:rPr>
        <w:t xml:space="preserve">psychological </w:t>
      </w:r>
      <w:r w:rsidR="002C672B">
        <w:rPr>
          <w:rFonts w:ascii="Times New Roman" w:hAnsi="Times New Roman" w:cs="Times New Roman"/>
        </w:rPr>
        <w:t xml:space="preserve">security to explore the options of disengagement, and any hard crack-down by security forces during the ceasefire that threatened this option would have been counter-productive. </w:t>
      </w:r>
      <w:r w:rsidR="00553400">
        <w:rPr>
          <w:rFonts w:ascii="Times New Roman" w:hAnsi="Times New Roman" w:cs="Times New Roman"/>
        </w:rPr>
        <w:t>Repression, whether through military or policing,</w:t>
      </w:r>
      <w:r w:rsidR="002C672B">
        <w:rPr>
          <w:rFonts w:ascii="Times New Roman" w:hAnsi="Times New Roman" w:cs="Times New Roman"/>
        </w:rPr>
        <w:t xml:space="preserve"> loses its edge and function once the disengagement process has reached the point of a ceasefire, although this depends largely on the extent to which the disengagement frame has successfully resonated within the group. </w:t>
      </w:r>
    </w:p>
    <w:p w14:paraId="002D89F6" w14:textId="77777777" w:rsidR="00F762B0" w:rsidRDefault="002C672B" w:rsidP="00B57C7F">
      <w:pPr>
        <w:spacing w:line="360" w:lineRule="auto"/>
        <w:jc w:val="both"/>
        <w:rPr>
          <w:rFonts w:ascii="Times New Roman" w:hAnsi="Times New Roman" w:cs="Times New Roman"/>
          <w:noProof/>
        </w:rPr>
      </w:pPr>
      <w:r>
        <w:rPr>
          <w:rFonts w:ascii="Times New Roman" w:hAnsi="Times New Roman" w:cs="Times New Roman"/>
        </w:rPr>
        <w:tab/>
        <w:t>Another aspect of repression that is discussed in the literature is the de-capitation strategy – i.e. removing the leadership and key figures.</w:t>
      </w:r>
      <w:r w:rsidR="007F63F1">
        <w:rPr>
          <w:rStyle w:val="FootnoteReference"/>
          <w:rFonts w:ascii="Times New Roman" w:hAnsi="Times New Roman" w:cs="Times New Roman"/>
        </w:rPr>
        <w:footnoteReference w:id="444"/>
      </w:r>
      <w:r>
        <w:rPr>
          <w:rFonts w:ascii="Times New Roman" w:hAnsi="Times New Roman" w:cs="Times New Roman"/>
        </w:rPr>
        <w:t xml:space="preserve"> The thesis provides some reasons to be sceptical about the efficacy of this approach in successful</w:t>
      </w:r>
      <w:r w:rsidR="00233335">
        <w:rPr>
          <w:rFonts w:ascii="Times New Roman" w:hAnsi="Times New Roman" w:cs="Times New Roman"/>
        </w:rPr>
        <w:t>ly</w:t>
      </w:r>
      <w:r>
        <w:rPr>
          <w:rFonts w:ascii="Times New Roman" w:hAnsi="Times New Roman" w:cs="Times New Roman"/>
        </w:rPr>
        <w:t xml:space="preserve"> ending terrorism campaigns at the group level. A combination of poor intelligence and a de-capitation strategy almost saw key figures in the 1975 Provisional IRA leadership who were advocating the ceasefire being arrested by the Irish police. </w:t>
      </w:r>
      <w:r w:rsidR="000E6D15">
        <w:rPr>
          <w:rFonts w:ascii="Times New Roman" w:hAnsi="Times New Roman" w:cs="Times New Roman"/>
        </w:rPr>
        <w:t xml:space="preserve">Furthermore, the efficacy of having the leadership in prisons seems to be </w:t>
      </w:r>
      <w:r w:rsidR="007F63F1">
        <w:rPr>
          <w:rFonts w:ascii="Times New Roman" w:hAnsi="Times New Roman" w:cs="Times New Roman"/>
        </w:rPr>
        <w:t xml:space="preserve">double-edged </w:t>
      </w:r>
      <w:r w:rsidR="000E6D15">
        <w:rPr>
          <w:rFonts w:ascii="Times New Roman" w:hAnsi="Times New Roman" w:cs="Times New Roman"/>
        </w:rPr>
        <w:t xml:space="preserve">considering how Gerry Adams used it to refine and improve the organisational structure of the group and how the hunger strikes in the 1980s – albeit not necessarily by the leadership – increased support for the group. The Provisional IRA’s disengagement suggests that </w:t>
      </w:r>
      <w:r w:rsidR="00A82F97">
        <w:rPr>
          <w:rFonts w:ascii="Times New Roman" w:hAnsi="Times New Roman" w:cs="Times New Roman"/>
        </w:rPr>
        <w:t xml:space="preserve">previous </w:t>
      </w:r>
      <w:r w:rsidR="00373E28">
        <w:rPr>
          <w:rFonts w:ascii="Times New Roman" w:hAnsi="Times New Roman" w:cs="Times New Roman"/>
        </w:rPr>
        <w:t xml:space="preserve">research </w:t>
      </w:r>
      <w:r w:rsidR="00A82F97">
        <w:rPr>
          <w:rFonts w:ascii="Times New Roman" w:hAnsi="Times New Roman" w:cs="Times New Roman"/>
        </w:rPr>
        <w:t xml:space="preserve">on </w:t>
      </w:r>
      <w:r w:rsidR="00373E28">
        <w:rPr>
          <w:rFonts w:ascii="Times New Roman" w:hAnsi="Times New Roman" w:cs="Times New Roman"/>
        </w:rPr>
        <w:t xml:space="preserve">disengagement has placed too much weight on removing the leadership </w:t>
      </w:r>
      <w:r w:rsidR="00EC2B67">
        <w:rPr>
          <w:rFonts w:ascii="Times New Roman" w:hAnsi="Times New Roman" w:cs="Times New Roman"/>
        </w:rPr>
        <w:t>to weaken the group</w:t>
      </w:r>
      <w:r w:rsidR="00EC2B67">
        <w:rPr>
          <w:rStyle w:val="FootnoteReference"/>
          <w:rFonts w:ascii="Times New Roman" w:hAnsi="Times New Roman" w:cs="Times New Roman"/>
        </w:rPr>
        <w:footnoteReference w:id="445"/>
      </w:r>
      <w:r w:rsidR="00373E28">
        <w:rPr>
          <w:rFonts w:ascii="Times New Roman" w:hAnsi="Times New Roman" w:cs="Times New Roman"/>
        </w:rPr>
        <w:t xml:space="preserve"> while neglecting </w:t>
      </w:r>
      <w:r w:rsidR="00EC2B67">
        <w:rPr>
          <w:rFonts w:ascii="Times New Roman" w:hAnsi="Times New Roman" w:cs="Times New Roman"/>
        </w:rPr>
        <w:t>how decapitation and prison can strengthen the position of activists who support disengagement</w:t>
      </w:r>
      <w:r w:rsidR="000E6D15">
        <w:rPr>
          <w:rFonts w:ascii="Times New Roman" w:hAnsi="Times New Roman" w:cs="Times New Roman"/>
        </w:rPr>
        <w:t xml:space="preserve">. The inability to decapitate the group – </w:t>
      </w:r>
      <w:r w:rsidR="00EC2B67">
        <w:rPr>
          <w:rFonts w:ascii="Times New Roman" w:hAnsi="Times New Roman" w:cs="Times New Roman"/>
        </w:rPr>
        <w:t xml:space="preserve">despite </w:t>
      </w:r>
      <w:r w:rsidR="000E6D15">
        <w:rPr>
          <w:rFonts w:ascii="Times New Roman" w:hAnsi="Times New Roman" w:cs="Times New Roman"/>
        </w:rPr>
        <w:t xml:space="preserve">high-ranking informers - facilitated the establishment of generational hegemony, but repression and less recruitment of new members may have helped more at limiting a younger generation emerging. Generational hegemony meant that a network of members at the top ranks of the movement experienced a similar interpretation of the strategic environment. Corresponding with the findings of </w:t>
      </w:r>
      <w:r w:rsidR="000E6D15" w:rsidRPr="000E6D15">
        <w:rPr>
          <w:rFonts w:ascii="Times New Roman" w:hAnsi="Times New Roman" w:cs="Times New Roman"/>
          <w:noProof/>
        </w:rPr>
        <w:t>Tsvetovat and Carley,</w:t>
      </w:r>
      <w:r w:rsidR="000E6D15">
        <w:rPr>
          <w:rFonts w:ascii="Times New Roman" w:hAnsi="Times New Roman" w:cs="Times New Roman"/>
          <w:noProof/>
        </w:rPr>
        <w:t xml:space="preserve"> the longer </w:t>
      </w:r>
      <w:r w:rsidR="000E6D15">
        <w:rPr>
          <w:rFonts w:ascii="Times New Roman" w:hAnsi="Times New Roman" w:cs="Times New Roman"/>
          <w:noProof/>
        </w:rPr>
        <w:lastRenderedPageBreak/>
        <w:t>the leadership can stay at the top of a group, the more they are able to institutionalise their control</w:t>
      </w:r>
      <w:r w:rsidR="00B1546E">
        <w:rPr>
          <w:rFonts w:ascii="Times New Roman" w:hAnsi="Times New Roman" w:cs="Times New Roman"/>
          <w:noProof/>
        </w:rPr>
        <w:t>,</w:t>
      </w:r>
      <w:r w:rsidR="000E6D15">
        <w:rPr>
          <w:rStyle w:val="FootnoteReference"/>
          <w:rFonts w:ascii="Times New Roman" w:hAnsi="Times New Roman" w:cs="Times New Roman"/>
          <w:noProof/>
        </w:rPr>
        <w:footnoteReference w:id="446"/>
      </w:r>
      <w:r w:rsidR="000E6D15">
        <w:rPr>
          <w:rFonts w:ascii="Times New Roman" w:hAnsi="Times New Roman" w:cs="Times New Roman"/>
          <w:noProof/>
        </w:rPr>
        <w:t xml:space="preserve"> therefore providing the networks and linkages to diffuse the disengagement frame later on.</w:t>
      </w:r>
      <w:r w:rsidR="008501C2">
        <w:rPr>
          <w:rFonts w:ascii="Times New Roman" w:hAnsi="Times New Roman" w:cs="Times New Roman"/>
          <w:noProof/>
        </w:rPr>
        <w:t xml:space="preserve"> </w:t>
      </w:r>
      <w:r w:rsidR="007F63F1">
        <w:rPr>
          <w:rFonts w:ascii="Times New Roman" w:hAnsi="Times New Roman" w:cs="Times New Roman"/>
          <w:noProof/>
        </w:rPr>
        <w:t xml:space="preserve">Furthermore, even the most committed and ‘extreme’ leader can undergo a change in attitudes – Martin McGuinness being a case in point – and the chapter has already demonstrated the benefits of a credible figure supporting disengagement. </w:t>
      </w:r>
      <w:r w:rsidR="008501C2">
        <w:rPr>
          <w:rFonts w:ascii="Times New Roman" w:hAnsi="Times New Roman" w:cs="Times New Roman"/>
          <w:noProof/>
        </w:rPr>
        <w:t>Prisons that can act as ‘terrorist universities’ can equally be turned into sites for disengagement. The relative openness in prisons allowed for internal dialogue but it also allowed for a degree of</w:t>
      </w:r>
      <w:r w:rsidR="001056DA">
        <w:rPr>
          <w:rFonts w:ascii="Times New Roman" w:hAnsi="Times New Roman" w:cs="Times New Roman"/>
          <w:noProof/>
        </w:rPr>
        <w:t xml:space="preserve"> external control and influence.</w:t>
      </w:r>
      <w:r w:rsidR="008501C2">
        <w:rPr>
          <w:rFonts w:ascii="Times New Roman" w:hAnsi="Times New Roman" w:cs="Times New Roman"/>
          <w:noProof/>
        </w:rPr>
        <w:t xml:space="preserve"> </w:t>
      </w:r>
      <w:r w:rsidR="001056DA">
        <w:rPr>
          <w:rFonts w:ascii="Times New Roman" w:hAnsi="Times New Roman" w:cs="Times New Roman"/>
          <w:noProof/>
        </w:rPr>
        <w:t>T</w:t>
      </w:r>
      <w:r w:rsidR="008501C2">
        <w:rPr>
          <w:rFonts w:ascii="Times New Roman" w:hAnsi="Times New Roman" w:cs="Times New Roman"/>
          <w:noProof/>
        </w:rPr>
        <w:t>herefore the advocates of disengagement could use prisons as a linkage for diffusing the frame to their advantage. In return, as prisons were used as sites of resistance and education, they bestowed credibility to the disengagement frame and the disengagement process in general through their release. However, the fundamental factor was attitudinal change, as without it, there would have been no substantial change in how prisons operated.</w:t>
      </w:r>
      <w:r w:rsidR="00DE732D">
        <w:rPr>
          <w:rFonts w:ascii="Times New Roman" w:hAnsi="Times New Roman" w:cs="Times New Roman"/>
          <w:noProof/>
        </w:rPr>
        <w:t xml:space="preserve"> This attitudinal change was shaped by frames.</w:t>
      </w:r>
    </w:p>
    <w:p w14:paraId="6E1249DA" w14:textId="77777777" w:rsidR="00DE732D" w:rsidRDefault="00DE732D" w:rsidP="00B57C7F">
      <w:pPr>
        <w:spacing w:line="360" w:lineRule="auto"/>
        <w:jc w:val="both"/>
        <w:rPr>
          <w:rFonts w:ascii="Times New Roman" w:hAnsi="Times New Roman" w:cs="Times New Roman"/>
          <w:noProof/>
        </w:rPr>
      </w:pPr>
    </w:p>
    <w:p w14:paraId="4EA825D5" w14:textId="77777777" w:rsidR="00DE732D" w:rsidRDefault="00DE732D" w:rsidP="00B57C7F">
      <w:pPr>
        <w:pStyle w:val="Heading4"/>
        <w:spacing w:before="120" w:line="360" w:lineRule="auto"/>
        <w:rPr>
          <w:noProof/>
        </w:rPr>
      </w:pPr>
      <w:bookmarkStart w:id="52" w:name="_Toc389208834"/>
      <w:r w:rsidRPr="00DE732D">
        <w:rPr>
          <w:noProof/>
        </w:rPr>
        <w:t>De-Radicalisation: Nuanced Frames</w:t>
      </w:r>
      <w:bookmarkEnd w:id="52"/>
    </w:p>
    <w:p w14:paraId="23C04B5A" w14:textId="77777777" w:rsidR="007F63F1" w:rsidRDefault="00DE732D" w:rsidP="00B57C7F">
      <w:pPr>
        <w:spacing w:line="360" w:lineRule="auto"/>
        <w:jc w:val="both"/>
        <w:rPr>
          <w:rFonts w:ascii="Times New Roman" w:hAnsi="Times New Roman" w:cs="Times New Roman"/>
          <w:noProof/>
        </w:rPr>
      </w:pPr>
      <w:r>
        <w:rPr>
          <w:rFonts w:ascii="Times New Roman" w:hAnsi="Times New Roman" w:cs="Times New Roman"/>
          <w:i/>
          <w:iCs/>
          <w:noProof/>
        </w:rPr>
        <w:tab/>
      </w:r>
      <w:r>
        <w:rPr>
          <w:rFonts w:ascii="Times New Roman" w:hAnsi="Times New Roman" w:cs="Times New Roman"/>
          <w:noProof/>
        </w:rPr>
        <w:t xml:space="preserve">The thesis contributes to the disengagement literature insofar as it takes a more nuanced analysis of attitudinal change, or de-radicalisation, by utilising frames analysis. The literature has primarily focused on two types of attitudinal change that drives disengagement: a group may disengage for tactical reasons or it may disengage because it views violence as illegitimate. The Provisional IRA has been portrayed as a case of the former, and this is significant in wider debates because the type of disengagement can </w:t>
      </w:r>
      <w:r w:rsidR="000A33FE">
        <w:rPr>
          <w:rFonts w:ascii="Times New Roman" w:hAnsi="Times New Roman" w:cs="Times New Roman"/>
          <w:noProof/>
        </w:rPr>
        <w:t xml:space="preserve">inform counter-terrorism strategies. Just as the disengagement process is internally constructed within a group, the state also plays a role in constructing it but often with inaccurate knowledge of intentions: thus, if a state makes too high demands or misinterpretes the type of disengagement, the consequences can be high. The thesis would contend that, in part, the Major government’s inability to allign its disengagement frame (how it perceives how the Provisional IRA should end) with that of the Provisional IRA’s frame, was a </w:t>
      </w:r>
      <w:r w:rsidR="000A33FE">
        <w:rPr>
          <w:rFonts w:ascii="Times New Roman" w:hAnsi="Times New Roman" w:cs="Times New Roman"/>
          <w:noProof/>
        </w:rPr>
        <w:lastRenderedPageBreak/>
        <w:t>significant factor in the peace process stalling and collapsing in 1996. Likewise, Israel’s unrealistic demands that Fatah-PLO’s disengagement should take on an unconditional de-radicalisation aspect raised expectations that could not be met.</w:t>
      </w:r>
      <w:r w:rsidR="007F63F1">
        <w:rPr>
          <w:rStyle w:val="FootnoteReference"/>
          <w:rFonts w:ascii="Times New Roman" w:hAnsi="Times New Roman" w:cs="Times New Roman"/>
          <w:noProof/>
        </w:rPr>
        <w:footnoteReference w:id="447"/>
      </w:r>
      <w:r w:rsidR="000A33FE">
        <w:rPr>
          <w:rFonts w:ascii="Times New Roman" w:hAnsi="Times New Roman" w:cs="Times New Roman"/>
          <w:noProof/>
        </w:rPr>
        <w:t xml:space="preserve"> Therefore, defining the type of disengagement has serious consequences as it is through creating a mutually shared understanding of what the process should entail that it can be successful. </w:t>
      </w:r>
    </w:p>
    <w:p w14:paraId="23176F8C" w14:textId="77777777" w:rsidR="00DE732D" w:rsidRPr="00DE732D" w:rsidRDefault="000A33FE" w:rsidP="00B57C7F">
      <w:pPr>
        <w:spacing w:line="360" w:lineRule="auto"/>
        <w:ind w:firstLine="720"/>
        <w:jc w:val="both"/>
        <w:rPr>
          <w:rFonts w:ascii="Times New Roman" w:hAnsi="Times New Roman" w:cs="Times New Roman"/>
          <w:noProof/>
        </w:rPr>
      </w:pPr>
      <w:r>
        <w:rPr>
          <w:rFonts w:ascii="Times New Roman" w:hAnsi="Times New Roman" w:cs="Times New Roman"/>
          <w:noProof/>
        </w:rPr>
        <w:t xml:space="preserve">The implications of the mainstream argument with regard to the Provisional IRA is that attitudinal change was not important for successful disengagement as negotiations, incentives and repression were sufficient in changing behaviour. However, the thesis has argued that, despite appearances, the Provisional IRA’s disengagement in 1994 was significantly different from other </w:t>
      </w:r>
      <w:r w:rsidR="0021710E">
        <w:rPr>
          <w:rFonts w:ascii="Times New Roman" w:hAnsi="Times New Roman" w:cs="Times New Roman"/>
          <w:noProof/>
        </w:rPr>
        <w:t>forms of tactical disengagement. Conditional de-radicalisation can be problematic as it will often lead to mixed signals with regard to the de-legitimisation of violence, but the very logic of it will lead members to de-legitimise it themselves, particularly once the conditions are strengthened. Therefore, state demands for the group to de-legitimise violence or to disarm can be counter-productive, particularly if the conditions have not been achieved. The conditions in this type of disengagement frame will often vary, but for the Provisional IRA these were regarding a new political system that included them through negotiations, and in these (at the time) imagined conditions, armed struggle would be illegitimate.</w:t>
      </w:r>
      <w:r w:rsidR="00E73777">
        <w:rPr>
          <w:rFonts w:ascii="Times New Roman" w:hAnsi="Times New Roman" w:cs="Times New Roman"/>
          <w:noProof/>
        </w:rPr>
        <w:t xml:space="preserve"> Thus, the thesis’ analysis of disengagement being driven by three types of frames challenges the assumptions made in the literature by emphasising the importance of de-radicalisation</w:t>
      </w:r>
      <w:r w:rsidR="00946BFE">
        <w:rPr>
          <w:rFonts w:ascii="Times New Roman" w:hAnsi="Times New Roman" w:cs="Times New Roman"/>
          <w:noProof/>
        </w:rPr>
        <w:t xml:space="preserve"> that exists somewhere in-between tactical considerations for ending violence and ‘genuine’ opposition to violence</w:t>
      </w:r>
      <w:r w:rsidR="00E73777">
        <w:rPr>
          <w:rFonts w:ascii="Times New Roman" w:hAnsi="Times New Roman" w:cs="Times New Roman"/>
          <w:noProof/>
        </w:rPr>
        <w:t>.</w:t>
      </w:r>
    </w:p>
    <w:p w14:paraId="551F1C02" w14:textId="77777777" w:rsidR="00D3546A" w:rsidRDefault="00D3546A" w:rsidP="00B57C7F">
      <w:pPr>
        <w:spacing w:line="360" w:lineRule="auto"/>
        <w:ind w:firstLine="720"/>
        <w:jc w:val="both"/>
        <w:rPr>
          <w:rFonts w:ascii="Times New Roman" w:hAnsi="Times New Roman" w:cs="Times New Roman"/>
          <w:noProof/>
        </w:rPr>
      </w:pPr>
      <w:r>
        <w:rPr>
          <w:rFonts w:ascii="Times New Roman" w:hAnsi="Times New Roman" w:cs="Times New Roman"/>
          <w:noProof/>
        </w:rPr>
        <w:t xml:space="preserve">While the chapter has provided an alternative explanation for how terrorism campaigns end and it has related this back to key arguments in the literature, the overall aim of the thesis is to provide a multi-level analysis. The chapter has alluded </w:t>
      </w:r>
      <w:r w:rsidR="001056DA">
        <w:rPr>
          <w:rFonts w:ascii="Times New Roman" w:hAnsi="Times New Roman" w:cs="Times New Roman"/>
          <w:noProof/>
        </w:rPr>
        <w:t>to</w:t>
      </w:r>
      <w:r>
        <w:rPr>
          <w:rFonts w:ascii="Times New Roman" w:hAnsi="Times New Roman" w:cs="Times New Roman"/>
          <w:noProof/>
        </w:rPr>
        <w:t xml:space="preserve"> the continuation of dissident Republican groups, and there still remains the question of how stable the conditions are which the Provisional IRA’s disengagement is contingent on. It is these very problems which motivate the thesis to move beyond the group level analysis, therefore the next </w:t>
      </w:r>
      <w:r w:rsidR="007F63F1">
        <w:rPr>
          <w:rFonts w:ascii="Times New Roman" w:hAnsi="Times New Roman" w:cs="Times New Roman"/>
          <w:noProof/>
        </w:rPr>
        <w:t xml:space="preserve">two </w:t>
      </w:r>
      <w:r>
        <w:rPr>
          <w:rFonts w:ascii="Times New Roman" w:hAnsi="Times New Roman" w:cs="Times New Roman"/>
          <w:noProof/>
        </w:rPr>
        <w:t>chapter</w:t>
      </w:r>
      <w:r w:rsidR="007F63F1">
        <w:rPr>
          <w:rFonts w:ascii="Times New Roman" w:hAnsi="Times New Roman" w:cs="Times New Roman"/>
          <w:noProof/>
        </w:rPr>
        <w:t>s</w:t>
      </w:r>
      <w:r>
        <w:rPr>
          <w:rFonts w:ascii="Times New Roman" w:hAnsi="Times New Roman" w:cs="Times New Roman"/>
          <w:noProof/>
        </w:rPr>
        <w:t xml:space="preserve"> will explore </w:t>
      </w:r>
      <w:r>
        <w:rPr>
          <w:rFonts w:ascii="Times New Roman" w:hAnsi="Times New Roman" w:cs="Times New Roman"/>
          <w:noProof/>
        </w:rPr>
        <w:lastRenderedPageBreak/>
        <w:t xml:space="preserve">how the Provisional IRA’s disengagement process has impacted upon the </w:t>
      </w:r>
      <w:r w:rsidR="007F63F1">
        <w:rPr>
          <w:rFonts w:ascii="Times New Roman" w:hAnsi="Times New Roman" w:cs="Times New Roman"/>
          <w:noProof/>
        </w:rPr>
        <w:t xml:space="preserve">rest of the </w:t>
      </w:r>
      <w:r>
        <w:rPr>
          <w:rFonts w:ascii="Times New Roman" w:hAnsi="Times New Roman" w:cs="Times New Roman"/>
          <w:noProof/>
        </w:rPr>
        <w:t>Irish Republican movement and society more broadly.</w:t>
      </w:r>
    </w:p>
    <w:p w14:paraId="258263E0" w14:textId="77777777" w:rsidR="00D3546A" w:rsidRDefault="00D3546A" w:rsidP="00B57C7F">
      <w:pPr>
        <w:spacing w:line="360" w:lineRule="auto"/>
        <w:jc w:val="both"/>
        <w:rPr>
          <w:rFonts w:ascii="Times New Roman" w:hAnsi="Times New Roman" w:cs="Times New Roman"/>
          <w:noProof/>
        </w:rPr>
      </w:pPr>
      <w:r>
        <w:rPr>
          <w:rFonts w:ascii="Times New Roman" w:hAnsi="Times New Roman" w:cs="Times New Roman"/>
          <w:noProof/>
        </w:rPr>
        <w:tab/>
      </w:r>
    </w:p>
    <w:p w14:paraId="163E587A" w14:textId="77777777" w:rsidR="00991000" w:rsidRPr="00077866" w:rsidRDefault="00991000" w:rsidP="00B57C7F">
      <w:pPr>
        <w:pStyle w:val="Heading3"/>
        <w:spacing w:before="120" w:line="360" w:lineRule="auto"/>
      </w:pPr>
      <w:bookmarkStart w:id="53" w:name="_Toc389208835"/>
      <w:r w:rsidRPr="00077866">
        <w:t>Conclusion</w:t>
      </w:r>
      <w:bookmarkEnd w:id="53"/>
      <w:r w:rsidRPr="00077866">
        <w:t xml:space="preserve"> </w:t>
      </w:r>
    </w:p>
    <w:p w14:paraId="70D4FA76" w14:textId="3A4D05FC" w:rsidR="00773014" w:rsidRDefault="00773014" w:rsidP="00B57C7F">
      <w:pPr>
        <w:spacing w:line="360" w:lineRule="auto"/>
        <w:ind w:firstLine="720"/>
        <w:jc w:val="both"/>
        <w:rPr>
          <w:rFonts w:ascii="Times New Roman" w:hAnsi="Times New Roman" w:cs="Times New Roman"/>
        </w:rPr>
      </w:pPr>
      <w:r>
        <w:rPr>
          <w:rFonts w:ascii="Times New Roman" w:hAnsi="Times New Roman" w:cs="Times New Roman"/>
        </w:rPr>
        <w:t>Previous research on how terrorism campaigns end and specifically how the Provisional IRA’s campaign end have tended to underplay internal factors and the process by which a leadership convinces its membership to support disengagement. While negotiations through a peace process can provide strong incentives to end violence, these first of all need to be reconstructed to be perceived by the group as an incentive. Furthermore, state repression can only work up to a point, and while it may prompt the leadership to consider a change in strategy, there is still much to be done from this po</w:t>
      </w:r>
      <w:r w:rsidR="001056DA">
        <w:rPr>
          <w:rFonts w:ascii="Times New Roman" w:hAnsi="Times New Roman" w:cs="Times New Roman"/>
        </w:rPr>
        <w:t>sition</w:t>
      </w:r>
      <w:r>
        <w:rPr>
          <w:rFonts w:ascii="Times New Roman" w:hAnsi="Times New Roman" w:cs="Times New Roman"/>
        </w:rPr>
        <w:t xml:space="preserve"> to the point where a group disengages</w:t>
      </w:r>
      <w:r w:rsidR="007C5939">
        <w:rPr>
          <w:rFonts w:ascii="Times New Roman" w:hAnsi="Times New Roman" w:cs="Times New Roman"/>
        </w:rPr>
        <w:t xml:space="preserve"> in a manner which is durable</w:t>
      </w:r>
      <w:r>
        <w:rPr>
          <w:rFonts w:ascii="Times New Roman" w:hAnsi="Times New Roman" w:cs="Times New Roman"/>
        </w:rPr>
        <w:t xml:space="preserve">. Chapter Four has argued that a change in attitudes toward armed violence leads to the formulation and diffusion of a disengagement frame. Three types of disengagement frame can emerge – tactical, conditional, and unconditional </w:t>
      </w:r>
      <w:r w:rsidR="00025562">
        <w:rPr>
          <w:rFonts w:ascii="Times New Roman" w:hAnsi="Times New Roman" w:cs="Times New Roman"/>
        </w:rPr>
        <w:t>–</w:t>
      </w:r>
      <w:r>
        <w:rPr>
          <w:rFonts w:ascii="Times New Roman" w:hAnsi="Times New Roman" w:cs="Times New Roman"/>
        </w:rPr>
        <w:t xml:space="preserve"> </w:t>
      </w:r>
      <w:r w:rsidR="00025562">
        <w:rPr>
          <w:rFonts w:ascii="Times New Roman" w:hAnsi="Times New Roman" w:cs="Times New Roman"/>
        </w:rPr>
        <w:t>each of which effects disengagement and the risk of recidivism differently</w:t>
      </w:r>
      <w:r w:rsidR="002F6572">
        <w:rPr>
          <w:rFonts w:ascii="Times New Roman" w:hAnsi="Times New Roman" w:cs="Times New Roman"/>
        </w:rPr>
        <w:t>, which is determined by the extent to which it resonates</w:t>
      </w:r>
      <w:r w:rsidR="00025562">
        <w:rPr>
          <w:rFonts w:ascii="Times New Roman" w:hAnsi="Times New Roman" w:cs="Times New Roman"/>
        </w:rPr>
        <w:t>.</w:t>
      </w:r>
    </w:p>
    <w:p w14:paraId="35997F46" w14:textId="37EB6E89" w:rsidR="00025562" w:rsidRDefault="00025562" w:rsidP="00B57C7F">
      <w:pPr>
        <w:spacing w:line="360" w:lineRule="auto"/>
        <w:ind w:firstLine="720"/>
        <w:jc w:val="both"/>
        <w:rPr>
          <w:rFonts w:ascii="Times New Roman" w:hAnsi="Times New Roman" w:cs="Times New Roman"/>
        </w:rPr>
      </w:pPr>
      <w:r>
        <w:rPr>
          <w:rFonts w:ascii="Times New Roman" w:hAnsi="Times New Roman" w:cs="Times New Roman"/>
        </w:rPr>
        <w:t xml:space="preserve">The Provisional IRA managed to construct a conditional frame, which allowed it to also co-opt arguments from a tactical frame and, as will be discussed in the next chapter, an unconditional frame. Therefore, the Provisional IRA was able to deploy multiple arguments for disengagement but this was subordinated to the primary frame: while violence in the past was legitimate, the conditions have changed which makes violence illegitimate. The leadership were able to construct this frame by reconstructing armed struggle as a tactic </w:t>
      </w:r>
      <w:r w:rsidR="007C5939">
        <w:rPr>
          <w:rFonts w:ascii="Times New Roman" w:hAnsi="Times New Roman" w:cs="Times New Roman"/>
        </w:rPr>
        <w:t xml:space="preserve">to be traded in </w:t>
      </w:r>
      <w:r>
        <w:rPr>
          <w:rFonts w:ascii="Times New Roman" w:hAnsi="Times New Roman" w:cs="Times New Roman"/>
        </w:rPr>
        <w:t xml:space="preserve">and amplifying the grievances of the 1960s to establish a new set of conditions </w:t>
      </w:r>
      <w:r w:rsidR="001056DA">
        <w:rPr>
          <w:rFonts w:ascii="Times New Roman" w:hAnsi="Times New Roman" w:cs="Times New Roman"/>
        </w:rPr>
        <w:t>against</w:t>
      </w:r>
      <w:r>
        <w:rPr>
          <w:rFonts w:ascii="Times New Roman" w:hAnsi="Times New Roman" w:cs="Times New Roman"/>
        </w:rPr>
        <w:t xml:space="preserve"> which </w:t>
      </w:r>
      <w:r w:rsidR="001056DA">
        <w:rPr>
          <w:rFonts w:ascii="Times New Roman" w:hAnsi="Times New Roman" w:cs="Times New Roman"/>
        </w:rPr>
        <w:t>armed struggle should be judged</w:t>
      </w:r>
      <w:r>
        <w:rPr>
          <w:rFonts w:ascii="Times New Roman" w:hAnsi="Times New Roman" w:cs="Times New Roman"/>
        </w:rPr>
        <w:t xml:space="preserve"> – rather than, say, the need for a united Ireland. The leadership of the Provisional IRA were successful in constructing and diffusing this frame throughout the group and it was the successful resonance of the frame which was essential to the end of their campaign in 2005.</w:t>
      </w:r>
    </w:p>
    <w:p w14:paraId="5CB46463" w14:textId="02355BF2" w:rsidR="00025562" w:rsidRDefault="00025562" w:rsidP="00B57C7F">
      <w:pPr>
        <w:spacing w:line="360" w:lineRule="auto"/>
        <w:ind w:firstLine="720"/>
        <w:jc w:val="both"/>
        <w:rPr>
          <w:rFonts w:ascii="Times New Roman" w:hAnsi="Times New Roman" w:cs="Times New Roman"/>
        </w:rPr>
      </w:pPr>
      <w:r>
        <w:rPr>
          <w:rFonts w:ascii="Times New Roman" w:hAnsi="Times New Roman" w:cs="Times New Roman"/>
        </w:rPr>
        <w:t xml:space="preserve">The successful resonance of the disengagement frame was because of three intertwined reasons: narrative fidelity; credibility; and linkages. </w:t>
      </w:r>
      <w:r w:rsidR="00280DA9">
        <w:rPr>
          <w:rFonts w:ascii="Times New Roman" w:hAnsi="Times New Roman" w:cs="Times New Roman"/>
        </w:rPr>
        <w:t xml:space="preserve">The disengagement frame maintained narrative fidelity because much of the generation who had joined </w:t>
      </w:r>
      <w:r w:rsidR="00280DA9">
        <w:rPr>
          <w:rFonts w:ascii="Times New Roman" w:hAnsi="Times New Roman" w:cs="Times New Roman"/>
        </w:rPr>
        <w:lastRenderedPageBreak/>
        <w:t xml:space="preserve">the Provisional IRA in the late 1960s onwards had been motivated by the conditions that gave rise to the civil rights movement. While the older generation had fused these grievances with a Republican frame – emphasising armed struggle against the British presence – the latent difference provided a bridge to a disengagement frame based on those conditions, thus allowing it to question the utility of the armed struggle. The establishment of a generational hegemony in the group, followed by the older generation and its supporters leaving in 1986, helped to establish a degree of congruence, but it also provided the leadership with linkages to diffuse the disengagement frame. The organisational restructuring had put the leadership in a stronger position of control, in contrast to the 1975 disengagement, and the structure of prisons aided this control, which would also </w:t>
      </w:r>
      <w:r w:rsidR="007C5939">
        <w:rPr>
          <w:rFonts w:ascii="Times New Roman" w:hAnsi="Times New Roman" w:cs="Times New Roman"/>
        </w:rPr>
        <w:t>provide</w:t>
      </w:r>
      <w:r w:rsidR="00280DA9">
        <w:rPr>
          <w:rFonts w:ascii="Times New Roman" w:hAnsi="Times New Roman" w:cs="Times New Roman"/>
        </w:rPr>
        <w:t xml:space="preserve"> credibility to the process.</w:t>
      </w:r>
      <w:r w:rsidR="00C21324">
        <w:rPr>
          <w:rFonts w:ascii="Times New Roman" w:hAnsi="Times New Roman" w:cs="Times New Roman"/>
        </w:rPr>
        <w:t xml:space="preserve"> Intense discussions and debates between members helped to construct a credible frame which could bring along the majority of its members, referred to as ‘rubber-band diplomacy’. Prisoners, mid-ranking leaders, and external figures were utilised to provide credibility to the frame too. The linkages by which the frame was diffused were also utilised by the leadership to guide the direction of discussions. Mid-ranking figures in favour of the disengagement process would be sent in to other areas to challenge commanders opposed to the process, personal ties could be used to help bring along people not entirely convinced of the direction, and there are some claims </w:t>
      </w:r>
      <w:r w:rsidR="006C420A">
        <w:rPr>
          <w:rFonts w:ascii="Times New Roman" w:hAnsi="Times New Roman" w:cs="Times New Roman"/>
        </w:rPr>
        <w:t>that interaction was managed in a way to marginalise dissenting voices. Finally, t</w:t>
      </w:r>
      <w:r w:rsidR="00D9014B">
        <w:rPr>
          <w:rFonts w:ascii="Times New Roman" w:hAnsi="Times New Roman" w:cs="Times New Roman"/>
        </w:rPr>
        <w:t>he manner in which the process developed in stages, and the flexible nature of the frame, also helped to marginalise diss</w:t>
      </w:r>
      <w:r w:rsidR="006C420A">
        <w:rPr>
          <w:rFonts w:ascii="Times New Roman" w:hAnsi="Times New Roman" w:cs="Times New Roman"/>
        </w:rPr>
        <w:t>enting voices or counter-frames: members who could not accept the process at least accepted that the tactical opportunities for an armed struggle no longer existed.</w:t>
      </w:r>
      <w:r w:rsidR="00D9014B">
        <w:rPr>
          <w:rFonts w:ascii="Times New Roman" w:hAnsi="Times New Roman" w:cs="Times New Roman"/>
        </w:rPr>
        <w:t xml:space="preserve"> </w:t>
      </w:r>
      <w:r>
        <w:rPr>
          <w:rFonts w:ascii="Times New Roman" w:hAnsi="Times New Roman" w:cs="Times New Roman"/>
        </w:rPr>
        <w:t xml:space="preserve"> </w:t>
      </w:r>
    </w:p>
    <w:p w14:paraId="0F7C2081" w14:textId="6723F22E" w:rsidR="00605F70" w:rsidRPr="00847360" w:rsidRDefault="00773014" w:rsidP="00B57C7F">
      <w:pPr>
        <w:spacing w:line="360" w:lineRule="auto"/>
        <w:jc w:val="both"/>
        <w:rPr>
          <w:rFonts w:ascii="Times New Roman" w:hAnsi="Times New Roman" w:cs="Times New Roman"/>
          <w:noProof/>
        </w:rPr>
      </w:pPr>
      <w:r>
        <w:rPr>
          <w:rFonts w:ascii="Times New Roman" w:hAnsi="Times New Roman" w:cs="Times New Roman"/>
          <w:noProof/>
        </w:rPr>
        <w:tab/>
      </w:r>
      <w:r w:rsidR="006C420A">
        <w:rPr>
          <w:rFonts w:ascii="Times New Roman" w:hAnsi="Times New Roman" w:cs="Times New Roman"/>
          <w:noProof/>
        </w:rPr>
        <w:t>The Provisional IRA’s attempt to diffuse the disengagement frame was successful in terms of resonance, and this can account for the reduced risk of recidivism – thus, attitudinal change is important, not behavioural constraint as has been suggested</w:t>
      </w:r>
      <w:r w:rsidR="00B1546E">
        <w:rPr>
          <w:rFonts w:ascii="Times New Roman" w:hAnsi="Times New Roman" w:cs="Times New Roman"/>
          <w:noProof/>
        </w:rPr>
        <w:t>,</w:t>
      </w:r>
      <w:r w:rsidR="006C420A">
        <w:rPr>
          <w:rStyle w:val="FootnoteReference"/>
          <w:rFonts w:ascii="Times New Roman" w:hAnsi="Times New Roman" w:cs="Times New Roman"/>
          <w:noProof/>
        </w:rPr>
        <w:footnoteReference w:id="448"/>
      </w:r>
      <w:r w:rsidR="006C420A">
        <w:rPr>
          <w:rFonts w:ascii="Times New Roman" w:hAnsi="Times New Roman" w:cs="Times New Roman"/>
          <w:noProof/>
        </w:rPr>
        <w:t xml:space="preserve"> and this ocurred without the need for ‘genuine de-radicalisation’. </w:t>
      </w:r>
      <w:r>
        <w:rPr>
          <w:rFonts w:ascii="Times New Roman" w:hAnsi="Times New Roman" w:cs="Times New Roman"/>
          <w:noProof/>
        </w:rPr>
        <w:t xml:space="preserve">The thesis argues that, ironically, if the Provisional IRA’s disengagement frame was underpinned by unconditional de-radicalisation, the disengagement process would have failed and the risk of recidivism would have been much greater, as it would </w:t>
      </w:r>
      <w:r>
        <w:rPr>
          <w:rFonts w:ascii="Times New Roman" w:hAnsi="Times New Roman" w:cs="Times New Roman"/>
          <w:noProof/>
        </w:rPr>
        <w:lastRenderedPageBreak/>
        <w:t>have had no credibility among large swathes of the group.</w:t>
      </w:r>
      <w:r w:rsidR="006C420A">
        <w:rPr>
          <w:rFonts w:ascii="Times New Roman" w:hAnsi="Times New Roman" w:cs="Times New Roman"/>
          <w:noProof/>
        </w:rPr>
        <w:t xml:space="preserve"> Furthermore, to describe the process </w:t>
      </w:r>
      <w:r w:rsidR="007C5939">
        <w:rPr>
          <w:rFonts w:ascii="Times New Roman" w:hAnsi="Times New Roman" w:cs="Times New Roman"/>
          <w:noProof/>
        </w:rPr>
        <w:t xml:space="preserve">solely </w:t>
      </w:r>
      <w:r w:rsidR="006C420A">
        <w:rPr>
          <w:rFonts w:ascii="Times New Roman" w:hAnsi="Times New Roman" w:cs="Times New Roman"/>
          <w:noProof/>
        </w:rPr>
        <w:t>as tactical disengagement underplays the substantial attitudinal change that has occurred in the movement and the extent the frame works to de-legitimise violence in the current conditions.</w:t>
      </w:r>
      <w:r w:rsidR="007C5939">
        <w:rPr>
          <w:rFonts w:ascii="Times New Roman" w:hAnsi="Times New Roman" w:cs="Times New Roman"/>
          <w:noProof/>
        </w:rPr>
        <w:t xml:space="preserve"> The difference between this frame and other frames (whether held by dissidents or in previous disengagement processes) was the conditionality that underpinned the frame, which acted as a bridge that would incentivise the Provisional IRA to de-legitimise violence once the conditions had been met.</w:t>
      </w:r>
      <w:r w:rsidR="006C420A">
        <w:rPr>
          <w:rFonts w:ascii="Times New Roman" w:hAnsi="Times New Roman" w:cs="Times New Roman"/>
          <w:noProof/>
        </w:rPr>
        <w:t xml:space="preserve"> The fact that it is based on conditionality does not detract from the genuine attitudinal change that has occurred and as the conditionality is based on structural change in the political system</w:t>
      </w:r>
      <w:r w:rsidR="001056DA">
        <w:rPr>
          <w:rFonts w:ascii="Times New Roman" w:hAnsi="Times New Roman" w:cs="Times New Roman"/>
          <w:noProof/>
        </w:rPr>
        <w:t>,</w:t>
      </w:r>
      <w:r w:rsidR="006C420A">
        <w:rPr>
          <w:rFonts w:ascii="Times New Roman" w:hAnsi="Times New Roman" w:cs="Times New Roman"/>
          <w:noProof/>
        </w:rPr>
        <w:t xml:space="preserve"> there is a degree of durability that is far greater than what may occur </w:t>
      </w:r>
      <w:r w:rsidR="00383B36">
        <w:rPr>
          <w:rFonts w:ascii="Times New Roman" w:hAnsi="Times New Roman" w:cs="Times New Roman"/>
          <w:noProof/>
        </w:rPr>
        <w:t>even in cases of unconditional de-radicalisation.</w:t>
      </w:r>
      <w:r w:rsidR="006C420A">
        <w:rPr>
          <w:rFonts w:ascii="Times New Roman" w:hAnsi="Times New Roman" w:cs="Times New Roman"/>
          <w:noProof/>
        </w:rPr>
        <w:t xml:space="preserve"> </w:t>
      </w:r>
      <w:r>
        <w:rPr>
          <w:rFonts w:ascii="Times New Roman" w:hAnsi="Times New Roman" w:cs="Times New Roman"/>
          <w:noProof/>
        </w:rPr>
        <w:t xml:space="preserve">The Provisional IRA, in effect, </w:t>
      </w:r>
      <w:r w:rsidR="00383B36">
        <w:rPr>
          <w:rFonts w:ascii="Times New Roman" w:hAnsi="Times New Roman" w:cs="Times New Roman"/>
          <w:noProof/>
        </w:rPr>
        <w:t>ha</w:t>
      </w:r>
      <w:r w:rsidR="007F63F1">
        <w:rPr>
          <w:rFonts w:ascii="Times New Roman" w:hAnsi="Times New Roman" w:cs="Times New Roman"/>
          <w:noProof/>
        </w:rPr>
        <w:t>d</w:t>
      </w:r>
      <w:r w:rsidR="00383B36">
        <w:rPr>
          <w:rFonts w:ascii="Times New Roman" w:hAnsi="Times New Roman" w:cs="Times New Roman"/>
          <w:noProof/>
        </w:rPr>
        <w:t xml:space="preserve"> </w:t>
      </w:r>
      <w:r>
        <w:rPr>
          <w:rFonts w:ascii="Times New Roman" w:hAnsi="Times New Roman" w:cs="Times New Roman"/>
          <w:noProof/>
        </w:rPr>
        <w:t xml:space="preserve">transferred the risk of recidivism to the structural conditions, </w:t>
      </w:r>
      <w:r w:rsidR="00383B36">
        <w:rPr>
          <w:rFonts w:ascii="Times New Roman" w:hAnsi="Times New Roman" w:cs="Times New Roman"/>
          <w:noProof/>
        </w:rPr>
        <w:t>and its members are not waiting for opportunities to return to violence as the concept of tactical disengagement would imply. Chapter Four has ex</w:t>
      </w:r>
      <w:r w:rsidR="001056DA">
        <w:rPr>
          <w:rFonts w:ascii="Times New Roman" w:hAnsi="Times New Roman" w:cs="Times New Roman"/>
          <w:noProof/>
        </w:rPr>
        <w:t>amined</w:t>
      </w:r>
      <w:r w:rsidR="00383B36">
        <w:rPr>
          <w:rFonts w:ascii="Times New Roman" w:hAnsi="Times New Roman" w:cs="Times New Roman"/>
          <w:noProof/>
        </w:rPr>
        <w:t xml:space="preserve"> how the P</w:t>
      </w:r>
      <w:r w:rsidR="001056DA">
        <w:rPr>
          <w:rFonts w:ascii="Times New Roman" w:hAnsi="Times New Roman" w:cs="Times New Roman"/>
          <w:noProof/>
        </w:rPr>
        <w:t>rovisional IRA’s campaign ended.</w:t>
      </w:r>
      <w:r w:rsidR="00383B36">
        <w:rPr>
          <w:rFonts w:ascii="Times New Roman" w:hAnsi="Times New Roman" w:cs="Times New Roman"/>
          <w:noProof/>
        </w:rPr>
        <w:t xml:space="preserve"> </w:t>
      </w:r>
      <w:r w:rsidR="001056DA">
        <w:rPr>
          <w:rFonts w:ascii="Times New Roman" w:hAnsi="Times New Roman" w:cs="Times New Roman"/>
          <w:noProof/>
        </w:rPr>
        <w:t>T</w:t>
      </w:r>
      <w:r w:rsidR="00383B36">
        <w:rPr>
          <w:rFonts w:ascii="Times New Roman" w:hAnsi="Times New Roman" w:cs="Times New Roman"/>
          <w:noProof/>
        </w:rPr>
        <w:t xml:space="preserve">he </w:t>
      </w:r>
      <w:r w:rsidR="001056DA">
        <w:rPr>
          <w:rFonts w:ascii="Times New Roman" w:hAnsi="Times New Roman" w:cs="Times New Roman"/>
          <w:noProof/>
        </w:rPr>
        <w:t>next chapters</w:t>
      </w:r>
      <w:r w:rsidR="00383B36">
        <w:rPr>
          <w:rFonts w:ascii="Times New Roman" w:hAnsi="Times New Roman" w:cs="Times New Roman"/>
          <w:noProof/>
        </w:rPr>
        <w:t xml:space="preserve"> will now address its impact on the Irish</w:t>
      </w:r>
      <w:r w:rsidR="007C5939">
        <w:rPr>
          <w:rFonts w:ascii="Times New Roman" w:hAnsi="Times New Roman" w:cs="Times New Roman"/>
          <w:noProof/>
        </w:rPr>
        <w:t xml:space="preserve"> Republican social movement through the organisational disengagement of the Provisional IRA, and how this affected the political system and attitudes within the movement.</w:t>
      </w:r>
    </w:p>
    <w:p w14:paraId="27F7B5FA" w14:textId="77777777" w:rsidR="00605F70" w:rsidRDefault="00605F70" w:rsidP="00B57C7F">
      <w:pPr>
        <w:spacing w:line="360" w:lineRule="auto"/>
        <w:rPr>
          <w:rFonts w:ascii="Times New Roman" w:hAnsi="Times New Roman" w:cs="Times New Roman"/>
          <w:b/>
        </w:rPr>
      </w:pPr>
    </w:p>
    <w:p w14:paraId="650D0BBD" w14:textId="77777777" w:rsidR="00605F70" w:rsidRDefault="00605F70" w:rsidP="00B57C7F">
      <w:pPr>
        <w:spacing w:line="360" w:lineRule="auto"/>
        <w:rPr>
          <w:rFonts w:ascii="Times New Roman" w:hAnsi="Times New Roman" w:cs="Times New Roman"/>
          <w:b/>
        </w:rPr>
      </w:pPr>
    </w:p>
    <w:p w14:paraId="40883C49" w14:textId="77777777" w:rsidR="00605F70" w:rsidRDefault="00605F70" w:rsidP="00B57C7F">
      <w:pPr>
        <w:spacing w:line="360" w:lineRule="auto"/>
        <w:rPr>
          <w:rFonts w:ascii="Times New Roman" w:hAnsi="Times New Roman" w:cs="Times New Roman"/>
          <w:b/>
        </w:rPr>
      </w:pPr>
    </w:p>
    <w:p w14:paraId="30C2493D" w14:textId="77777777" w:rsidR="002E549F" w:rsidRDefault="002E549F" w:rsidP="00B57C7F">
      <w:pPr>
        <w:spacing w:line="360" w:lineRule="auto"/>
        <w:rPr>
          <w:rFonts w:ascii="Times New Roman" w:hAnsi="Times New Roman" w:cs="Times New Roman"/>
          <w:b/>
        </w:rPr>
      </w:pPr>
    </w:p>
    <w:p w14:paraId="28806913" w14:textId="77777777" w:rsidR="002E549F" w:rsidRDefault="002E549F" w:rsidP="00B57C7F">
      <w:pPr>
        <w:spacing w:line="360" w:lineRule="auto"/>
        <w:rPr>
          <w:rFonts w:ascii="Times New Roman" w:hAnsi="Times New Roman" w:cs="Times New Roman"/>
          <w:b/>
        </w:rPr>
      </w:pPr>
    </w:p>
    <w:p w14:paraId="614BD56B" w14:textId="77777777" w:rsidR="002E549F" w:rsidRDefault="002E549F" w:rsidP="00B57C7F">
      <w:pPr>
        <w:spacing w:line="360" w:lineRule="auto"/>
        <w:rPr>
          <w:rFonts w:ascii="Times New Roman" w:hAnsi="Times New Roman" w:cs="Times New Roman"/>
          <w:b/>
        </w:rPr>
      </w:pPr>
    </w:p>
    <w:p w14:paraId="354749B5" w14:textId="77777777" w:rsidR="002E549F" w:rsidRDefault="002E549F" w:rsidP="00B57C7F">
      <w:pPr>
        <w:spacing w:line="360" w:lineRule="auto"/>
        <w:rPr>
          <w:rFonts w:ascii="Times New Roman" w:hAnsi="Times New Roman" w:cs="Times New Roman"/>
          <w:b/>
        </w:rPr>
      </w:pPr>
    </w:p>
    <w:p w14:paraId="0AE36472" w14:textId="77777777" w:rsidR="002E549F" w:rsidRDefault="002E549F" w:rsidP="00B57C7F">
      <w:pPr>
        <w:spacing w:line="360" w:lineRule="auto"/>
        <w:rPr>
          <w:rFonts w:ascii="Times New Roman" w:hAnsi="Times New Roman" w:cs="Times New Roman"/>
          <w:b/>
        </w:rPr>
      </w:pPr>
    </w:p>
    <w:p w14:paraId="50912C06" w14:textId="77777777" w:rsidR="002E549F" w:rsidRDefault="002E549F" w:rsidP="00B57C7F">
      <w:pPr>
        <w:spacing w:line="360" w:lineRule="auto"/>
        <w:rPr>
          <w:rFonts w:ascii="Times New Roman" w:hAnsi="Times New Roman" w:cs="Times New Roman"/>
          <w:b/>
        </w:rPr>
      </w:pPr>
    </w:p>
    <w:p w14:paraId="6A402B34" w14:textId="77777777" w:rsidR="00CD26BF" w:rsidRDefault="00CD26BF" w:rsidP="00B57C7F">
      <w:pPr>
        <w:spacing w:line="360" w:lineRule="auto"/>
        <w:rPr>
          <w:rFonts w:ascii="Times New Roman" w:hAnsi="Times New Roman" w:cs="Times New Roman"/>
          <w:b/>
        </w:rPr>
      </w:pPr>
    </w:p>
    <w:p w14:paraId="3AC665BF" w14:textId="77777777" w:rsidR="00CD26BF" w:rsidRDefault="00CD26BF" w:rsidP="00B57C7F">
      <w:pPr>
        <w:spacing w:line="360" w:lineRule="auto"/>
        <w:rPr>
          <w:rFonts w:ascii="Times New Roman" w:hAnsi="Times New Roman" w:cs="Times New Roman"/>
          <w:b/>
        </w:rPr>
      </w:pPr>
    </w:p>
    <w:p w14:paraId="683A33E4" w14:textId="77777777" w:rsidR="00CD26BF" w:rsidRDefault="00CD26BF" w:rsidP="00B57C7F">
      <w:pPr>
        <w:spacing w:line="360" w:lineRule="auto"/>
        <w:rPr>
          <w:rFonts w:ascii="Times New Roman" w:hAnsi="Times New Roman" w:cs="Times New Roman"/>
          <w:b/>
        </w:rPr>
      </w:pPr>
    </w:p>
    <w:p w14:paraId="3810C8D7" w14:textId="77777777" w:rsidR="00991000" w:rsidRPr="00CA5908" w:rsidRDefault="009E3DF5" w:rsidP="00B57C7F">
      <w:pPr>
        <w:pStyle w:val="Heading2"/>
        <w:spacing w:before="120" w:line="360" w:lineRule="auto"/>
      </w:pPr>
      <w:bookmarkStart w:id="54" w:name="_Toc389208836"/>
      <w:r>
        <w:lastRenderedPageBreak/>
        <w:t>CHAPTER FIVE</w:t>
      </w:r>
      <w:bookmarkEnd w:id="54"/>
    </w:p>
    <w:p w14:paraId="76F5A842" w14:textId="77777777" w:rsidR="00991000" w:rsidRPr="001C3D76" w:rsidRDefault="00DE5832" w:rsidP="00B57C7F">
      <w:pPr>
        <w:spacing w:line="360" w:lineRule="auto"/>
        <w:ind w:right="1701"/>
        <w:rPr>
          <w:b/>
          <w:sz w:val="40"/>
          <w:szCs w:val="40"/>
        </w:rPr>
      </w:pPr>
      <w:r>
        <w:rPr>
          <w:b/>
          <w:sz w:val="40"/>
          <w:szCs w:val="40"/>
        </w:rPr>
        <w:t>Social Movement Disengagement</w:t>
      </w:r>
    </w:p>
    <w:p w14:paraId="4944E91B" w14:textId="77777777" w:rsidR="00D807B4" w:rsidRDefault="00D807B4" w:rsidP="00B57C7F">
      <w:pPr>
        <w:spacing w:line="360" w:lineRule="auto"/>
        <w:rPr>
          <w:rFonts w:ascii="Times New Roman" w:hAnsi="Times New Roman" w:cs="Times New Roman"/>
        </w:rPr>
        <w:sectPr w:rsidR="00D807B4" w:rsidSect="00BE3349">
          <w:footnotePr>
            <w:numRestart w:val="eachSect"/>
          </w:footnotePr>
          <w:type w:val="continuous"/>
          <w:pgSz w:w="11906" w:h="16838"/>
          <w:pgMar w:top="1440" w:right="1440" w:bottom="1440" w:left="2268" w:header="709" w:footer="709" w:gutter="0"/>
          <w:cols w:space="708"/>
          <w:docGrid w:linePitch="360"/>
        </w:sectPr>
      </w:pPr>
    </w:p>
    <w:p w14:paraId="73AF97D5" w14:textId="77777777" w:rsidR="00991000" w:rsidRDefault="00991000" w:rsidP="00B57C7F">
      <w:pPr>
        <w:spacing w:line="360" w:lineRule="auto"/>
        <w:rPr>
          <w:rFonts w:ascii="Times New Roman" w:hAnsi="Times New Roman" w:cs="Times New Roman"/>
        </w:rPr>
      </w:pPr>
    </w:p>
    <w:p w14:paraId="3260BD37" w14:textId="1CF09B61" w:rsidR="00E57D2A" w:rsidRDefault="00991000" w:rsidP="00B57C7F">
      <w:pPr>
        <w:spacing w:line="360" w:lineRule="auto"/>
        <w:jc w:val="both"/>
        <w:rPr>
          <w:rFonts w:ascii="Times New Roman" w:hAnsi="Times New Roman" w:cs="Times New Roman"/>
          <w:color w:val="000000" w:themeColor="text1"/>
        </w:rPr>
      </w:pPr>
      <w:r>
        <w:rPr>
          <w:rFonts w:ascii="Times New Roman" w:hAnsi="Times New Roman" w:cs="Times New Roman"/>
        </w:rPr>
        <w:tab/>
        <w:t xml:space="preserve"> </w:t>
      </w:r>
      <w:r w:rsidR="00946BFE">
        <w:rPr>
          <w:rFonts w:ascii="Times New Roman" w:hAnsi="Times New Roman" w:cs="Times New Roman"/>
        </w:rPr>
        <w:t xml:space="preserve">While the previous chapter outlined the factors that drive group disengagement, the thesis contends that a problem with the group level of analysis is it is insufficient in explaining the potential continuation of violence in </w:t>
      </w:r>
      <w:r w:rsidR="00DE5832">
        <w:rPr>
          <w:rFonts w:ascii="Times New Roman" w:hAnsi="Times New Roman" w:cs="Times New Roman"/>
        </w:rPr>
        <w:t>a social movement</w:t>
      </w:r>
      <w:r w:rsidR="00946BFE">
        <w:rPr>
          <w:rFonts w:ascii="Times New Roman" w:hAnsi="Times New Roman" w:cs="Times New Roman"/>
        </w:rPr>
        <w:t xml:space="preserve">: if terrorism and political violence continues, then claims that the group’s disengagement was successful may seem hollow. </w:t>
      </w:r>
      <w:r>
        <w:rPr>
          <w:rFonts w:ascii="Times New Roman" w:hAnsi="Times New Roman" w:cs="Times New Roman"/>
        </w:rPr>
        <w:t>The Provisional IRA’s disengagement formally concluded in 2005, yet since the 1998 Good Friday Agreement up until now, there has remained a risk of a slip-back into violence, otherwise referred to as recidivism. Whereas recidivism has referred to individual disengagement, its application to a social movement requires a broader definition. Recidivism</w:t>
      </w:r>
      <w:r w:rsidRPr="00811125">
        <w:rPr>
          <w:rFonts w:ascii="Times New Roman" w:hAnsi="Times New Roman" w:cs="Times New Roman"/>
          <w:color w:val="000000" w:themeColor="text1"/>
        </w:rPr>
        <w:t xml:space="preserve"> </w:t>
      </w:r>
      <w:r>
        <w:rPr>
          <w:rFonts w:ascii="Times New Roman" w:hAnsi="Times New Roman" w:cs="Times New Roman"/>
          <w:color w:val="000000" w:themeColor="text1"/>
        </w:rPr>
        <w:t>at a soci</w:t>
      </w:r>
      <w:r w:rsidR="00DE5832">
        <w:rPr>
          <w:rFonts w:ascii="Times New Roman" w:hAnsi="Times New Roman" w:cs="Times New Roman"/>
          <w:color w:val="000000" w:themeColor="text1"/>
        </w:rPr>
        <w:t>al movement</w:t>
      </w:r>
      <w:r>
        <w:rPr>
          <w:rFonts w:ascii="Times New Roman" w:hAnsi="Times New Roman" w:cs="Times New Roman"/>
          <w:color w:val="000000" w:themeColor="text1"/>
        </w:rPr>
        <w:t xml:space="preserve"> level </w:t>
      </w:r>
      <w:r w:rsidRPr="00811125">
        <w:rPr>
          <w:rFonts w:ascii="Times New Roman" w:hAnsi="Times New Roman" w:cs="Times New Roman"/>
          <w:color w:val="000000" w:themeColor="text1"/>
        </w:rPr>
        <w:t xml:space="preserve">can </w:t>
      </w:r>
      <w:r w:rsidR="00DE5832">
        <w:rPr>
          <w:rFonts w:ascii="Times New Roman" w:hAnsi="Times New Roman" w:cs="Times New Roman"/>
          <w:color w:val="000000" w:themeColor="text1"/>
        </w:rPr>
        <w:t>manifest in four dimensions</w:t>
      </w:r>
      <w:r w:rsidRPr="00811125">
        <w:rPr>
          <w:rFonts w:ascii="Times New Roman" w:hAnsi="Times New Roman" w:cs="Times New Roman"/>
          <w:color w:val="000000" w:themeColor="text1"/>
        </w:rPr>
        <w:t>:</w:t>
      </w:r>
      <w:r w:rsidR="00812944">
        <w:rPr>
          <w:rFonts w:ascii="Times New Roman" w:hAnsi="Times New Roman" w:cs="Times New Roman"/>
          <w:color w:val="000000" w:themeColor="text1"/>
        </w:rPr>
        <w:t xml:space="preserve"> 1)</w:t>
      </w:r>
      <w:r w:rsidRPr="00811125">
        <w:rPr>
          <w:rFonts w:ascii="Times New Roman" w:hAnsi="Times New Roman" w:cs="Times New Roman"/>
          <w:color w:val="000000" w:themeColor="text1"/>
        </w:rPr>
        <w:t xml:space="preserve"> the </w:t>
      </w:r>
      <w:r w:rsidR="00DE5832">
        <w:rPr>
          <w:rFonts w:ascii="Times New Roman" w:hAnsi="Times New Roman" w:cs="Times New Roman"/>
          <w:color w:val="000000" w:themeColor="text1"/>
        </w:rPr>
        <w:t xml:space="preserve">risk of the </w:t>
      </w:r>
      <w:r w:rsidRPr="00811125">
        <w:rPr>
          <w:rFonts w:ascii="Times New Roman" w:hAnsi="Times New Roman" w:cs="Times New Roman"/>
          <w:color w:val="000000" w:themeColor="text1"/>
        </w:rPr>
        <w:t xml:space="preserve">Provisional IRA </w:t>
      </w:r>
      <w:r>
        <w:rPr>
          <w:rFonts w:ascii="Times New Roman" w:hAnsi="Times New Roman" w:cs="Times New Roman"/>
          <w:color w:val="000000" w:themeColor="text1"/>
        </w:rPr>
        <w:t xml:space="preserve">and Sinn Fein officially returning to violence; </w:t>
      </w:r>
      <w:r w:rsidR="00812944">
        <w:rPr>
          <w:rFonts w:ascii="Times New Roman" w:hAnsi="Times New Roman" w:cs="Times New Roman"/>
          <w:color w:val="000000" w:themeColor="text1"/>
        </w:rPr>
        <w:t xml:space="preserve">2) </w:t>
      </w:r>
      <w:r w:rsidR="00DE5832">
        <w:rPr>
          <w:rFonts w:ascii="Times New Roman" w:hAnsi="Times New Roman" w:cs="Times New Roman"/>
          <w:color w:val="000000" w:themeColor="text1"/>
        </w:rPr>
        <w:t xml:space="preserve">the risk of </w:t>
      </w:r>
      <w:r w:rsidRPr="00811125">
        <w:rPr>
          <w:rFonts w:ascii="Times New Roman" w:hAnsi="Times New Roman" w:cs="Times New Roman"/>
          <w:color w:val="000000" w:themeColor="text1"/>
        </w:rPr>
        <w:t xml:space="preserve">some of its members returning to violence; </w:t>
      </w:r>
      <w:r w:rsidR="00812944">
        <w:rPr>
          <w:rFonts w:ascii="Times New Roman" w:hAnsi="Times New Roman" w:cs="Times New Roman"/>
          <w:color w:val="000000" w:themeColor="text1"/>
        </w:rPr>
        <w:t xml:space="preserve">3) </w:t>
      </w:r>
      <w:r w:rsidRPr="00811125">
        <w:rPr>
          <w:rFonts w:ascii="Times New Roman" w:hAnsi="Times New Roman" w:cs="Times New Roman"/>
          <w:color w:val="000000" w:themeColor="text1"/>
        </w:rPr>
        <w:t>or emerging opportunities that strengthen dissident Republicans</w:t>
      </w:r>
      <w:r>
        <w:rPr>
          <w:rFonts w:ascii="Times New Roman" w:hAnsi="Times New Roman" w:cs="Times New Roman"/>
          <w:color w:val="000000" w:themeColor="text1"/>
        </w:rPr>
        <w:t xml:space="preserve"> or maintain the existence of Loyalist and Republican militant groups;</w:t>
      </w:r>
      <w:r w:rsidRPr="00811125">
        <w:rPr>
          <w:rFonts w:ascii="Times New Roman" w:hAnsi="Times New Roman" w:cs="Times New Roman"/>
          <w:color w:val="000000" w:themeColor="text1"/>
        </w:rPr>
        <w:t xml:space="preserve"> </w:t>
      </w:r>
      <w:r w:rsidR="00812944">
        <w:rPr>
          <w:rFonts w:ascii="Times New Roman" w:hAnsi="Times New Roman" w:cs="Times New Roman"/>
          <w:color w:val="000000" w:themeColor="text1"/>
        </w:rPr>
        <w:t xml:space="preserve">4) </w:t>
      </w:r>
      <w:r w:rsidRPr="00811125">
        <w:rPr>
          <w:rFonts w:ascii="Times New Roman" w:hAnsi="Times New Roman" w:cs="Times New Roman"/>
          <w:color w:val="000000" w:themeColor="text1"/>
        </w:rPr>
        <w:t>and pass</w:t>
      </w:r>
      <w:r>
        <w:rPr>
          <w:rFonts w:ascii="Times New Roman" w:hAnsi="Times New Roman" w:cs="Times New Roman"/>
          <w:color w:val="000000" w:themeColor="text1"/>
        </w:rPr>
        <w:t>ing</w:t>
      </w:r>
      <w:r w:rsidRPr="00811125">
        <w:rPr>
          <w:rFonts w:ascii="Times New Roman" w:hAnsi="Times New Roman" w:cs="Times New Roman"/>
          <w:color w:val="000000" w:themeColor="text1"/>
        </w:rPr>
        <w:t xml:space="preserve"> on the armed struggle to the next generation</w:t>
      </w:r>
      <w:r w:rsidR="00812944">
        <w:rPr>
          <w:rFonts w:ascii="Times New Roman" w:hAnsi="Times New Roman" w:cs="Times New Roman"/>
          <w:color w:val="000000" w:themeColor="text1"/>
        </w:rPr>
        <w:t>. Therefore, disengageme</w:t>
      </w:r>
      <w:r w:rsidR="001641F4">
        <w:rPr>
          <w:rFonts w:ascii="Times New Roman" w:hAnsi="Times New Roman" w:cs="Times New Roman"/>
          <w:color w:val="000000" w:themeColor="text1"/>
        </w:rPr>
        <w:t xml:space="preserve">nt at the social movement level </w:t>
      </w:r>
      <w:r w:rsidR="00812944">
        <w:rPr>
          <w:rFonts w:ascii="Times New Roman" w:hAnsi="Times New Roman" w:cs="Times New Roman"/>
          <w:color w:val="000000" w:themeColor="text1"/>
        </w:rPr>
        <w:t xml:space="preserve">– or social movement disengagement - will </w:t>
      </w:r>
      <w:r w:rsidR="001641F4">
        <w:rPr>
          <w:rFonts w:ascii="Times New Roman" w:hAnsi="Times New Roman" w:cs="Times New Roman"/>
          <w:color w:val="000000" w:themeColor="text1"/>
        </w:rPr>
        <w:t xml:space="preserve">involve addressing </w:t>
      </w:r>
      <w:r w:rsidR="00812944">
        <w:rPr>
          <w:rFonts w:ascii="Times New Roman" w:hAnsi="Times New Roman" w:cs="Times New Roman"/>
          <w:color w:val="000000" w:themeColor="text1"/>
        </w:rPr>
        <w:t>these four dimensions</w:t>
      </w:r>
      <w:r w:rsidR="003264B0">
        <w:rPr>
          <w:rFonts w:ascii="Times New Roman" w:hAnsi="Times New Roman" w:cs="Times New Roman"/>
          <w:color w:val="000000" w:themeColor="text1"/>
        </w:rPr>
        <w:t xml:space="preserve"> and</w:t>
      </w:r>
      <w:r w:rsidR="001641F4">
        <w:rPr>
          <w:rFonts w:ascii="Times New Roman" w:hAnsi="Times New Roman" w:cs="Times New Roman"/>
          <w:color w:val="000000" w:themeColor="text1"/>
        </w:rPr>
        <w:t xml:space="preserve"> it encompasses the processes of</w:t>
      </w:r>
      <w:r w:rsidR="003264B0">
        <w:rPr>
          <w:rFonts w:ascii="Times New Roman" w:hAnsi="Times New Roman" w:cs="Times New Roman"/>
          <w:color w:val="000000" w:themeColor="text1"/>
        </w:rPr>
        <w:t xml:space="preserve"> group disengagement, recidivism reduction and prevention</w:t>
      </w:r>
      <w:r w:rsidR="00812944">
        <w:rPr>
          <w:rFonts w:ascii="Times New Roman" w:hAnsi="Times New Roman" w:cs="Times New Roman"/>
          <w:color w:val="000000" w:themeColor="text1"/>
        </w:rPr>
        <w:t>.</w:t>
      </w:r>
      <w:r w:rsidR="00512F21">
        <w:rPr>
          <w:rFonts w:ascii="Times New Roman" w:hAnsi="Times New Roman" w:cs="Times New Roman"/>
          <w:color w:val="000000" w:themeColor="text1"/>
        </w:rPr>
        <w:t xml:space="preserve"> </w:t>
      </w:r>
      <w:r w:rsidR="00812944">
        <w:rPr>
          <w:rFonts w:ascii="Times New Roman" w:hAnsi="Times New Roman" w:cs="Times New Roman"/>
          <w:color w:val="000000" w:themeColor="text1"/>
        </w:rPr>
        <w:t xml:space="preserve"> Chapter Four discussed the group process of disengagement yet it did not explore how the Provisional IRA organisationally disbanded in order to reduce the risk of its members returning to violence. Chapter Five will explore how the Provisional IRA organisationally disengaged – otherwise known as Disarmament, Demobilisation and Reintegration</w:t>
      </w:r>
      <w:r w:rsidR="00131ED3">
        <w:rPr>
          <w:rFonts w:ascii="Times New Roman" w:hAnsi="Times New Roman" w:cs="Times New Roman"/>
          <w:color w:val="000000" w:themeColor="text1"/>
        </w:rPr>
        <w:t xml:space="preserve"> (DDR)</w:t>
      </w:r>
      <w:r w:rsidR="00812944">
        <w:rPr>
          <w:rFonts w:ascii="Times New Roman" w:hAnsi="Times New Roman" w:cs="Times New Roman"/>
          <w:color w:val="000000" w:themeColor="text1"/>
        </w:rPr>
        <w:t xml:space="preserve"> - and the extent this prevented it or some of its members returning to violence, and the impact this had on other militant groups in the Irish Republican movement.</w:t>
      </w:r>
      <w:r w:rsidR="001641F4">
        <w:rPr>
          <w:rFonts w:ascii="Times New Roman" w:hAnsi="Times New Roman" w:cs="Times New Roman"/>
          <w:color w:val="000000" w:themeColor="text1"/>
        </w:rPr>
        <w:t xml:space="preserve"> The chapter will also analyse how the diffusion of the disengagement frame</w:t>
      </w:r>
      <w:r w:rsidR="00812944">
        <w:rPr>
          <w:rFonts w:ascii="Times New Roman" w:hAnsi="Times New Roman" w:cs="Times New Roman"/>
          <w:color w:val="000000" w:themeColor="text1"/>
        </w:rPr>
        <w:t xml:space="preserve"> </w:t>
      </w:r>
      <w:r w:rsidR="001641F4">
        <w:rPr>
          <w:rFonts w:ascii="Times New Roman" w:hAnsi="Times New Roman" w:cs="Times New Roman"/>
          <w:color w:val="000000" w:themeColor="text1"/>
        </w:rPr>
        <w:t>and organisational disengagement impacted upon the Loyalist groups because Loyalist violence can act to encourage recidivism and provide opportunities for Republican militants.</w:t>
      </w:r>
    </w:p>
    <w:p w14:paraId="4447C41E" w14:textId="77777777" w:rsidR="00991000" w:rsidRDefault="00E30DE8" w:rsidP="00B57C7F">
      <w:pPr>
        <w:spacing w:line="360" w:lineRule="auto"/>
        <w:ind w:firstLine="720"/>
        <w:jc w:val="both"/>
        <w:rPr>
          <w:rFonts w:ascii="Times New Roman" w:hAnsi="Times New Roman" w:cs="Times New Roman"/>
        </w:rPr>
      </w:pPr>
      <w:r>
        <w:rPr>
          <w:rFonts w:ascii="Times New Roman" w:hAnsi="Times New Roman" w:cs="Times New Roman"/>
          <w:color w:val="000000" w:themeColor="text1"/>
        </w:rPr>
        <w:t>There are three processes which drive</w:t>
      </w:r>
      <w:r w:rsidR="00812944">
        <w:rPr>
          <w:rFonts w:ascii="Times New Roman" w:hAnsi="Times New Roman" w:cs="Times New Roman"/>
        </w:rPr>
        <w:t xml:space="preserve"> social movement disengagement</w:t>
      </w:r>
      <w:r w:rsidR="00991000">
        <w:rPr>
          <w:rFonts w:ascii="Times New Roman" w:hAnsi="Times New Roman" w:cs="Times New Roman"/>
        </w:rPr>
        <w:t xml:space="preserve">: organisational disengagement, attitudinal change and changes at a </w:t>
      </w:r>
      <w:r w:rsidR="00E57D2A">
        <w:rPr>
          <w:rFonts w:ascii="Times New Roman" w:hAnsi="Times New Roman" w:cs="Times New Roman"/>
        </w:rPr>
        <w:t>political</w:t>
      </w:r>
      <w:r w:rsidR="003264B0">
        <w:rPr>
          <w:rFonts w:ascii="Times New Roman" w:hAnsi="Times New Roman" w:cs="Times New Roman"/>
        </w:rPr>
        <w:t xml:space="preserve"> </w:t>
      </w:r>
      <w:r w:rsidR="003264B0">
        <w:rPr>
          <w:rFonts w:ascii="Times New Roman" w:hAnsi="Times New Roman" w:cs="Times New Roman"/>
        </w:rPr>
        <w:lastRenderedPageBreak/>
        <w:t>(structural)</w:t>
      </w:r>
      <w:r w:rsidR="00991000">
        <w:rPr>
          <w:rFonts w:ascii="Times New Roman" w:hAnsi="Times New Roman" w:cs="Times New Roman"/>
        </w:rPr>
        <w:t xml:space="preserve"> level. </w:t>
      </w:r>
      <w:r>
        <w:rPr>
          <w:rFonts w:ascii="Times New Roman" w:hAnsi="Times New Roman" w:cs="Times New Roman"/>
        </w:rPr>
        <w:t xml:space="preserve">The thesis begins by looking at the process of organisational disengagement as it is this process which then prompts changes at a political level and attitudinal change. </w:t>
      </w:r>
      <w:r w:rsidR="00991000">
        <w:rPr>
          <w:rFonts w:ascii="Times New Roman" w:hAnsi="Times New Roman" w:cs="Times New Roman"/>
        </w:rPr>
        <w:t xml:space="preserve">Organisational disengagement includes the demobilisation and reintegration of members into society, which </w:t>
      </w:r>
      <w:r w:rsidR="00DD447E">
        <w:rPr>
          <w:rFonts w:ascii="Times New Roman" w:hAnsi="Times New Roman" w:cs="Times New Roman"/>
        </w:rPr>
        <w:t xml:space="preserve">seeks to </w:t>
      </w:r>
      <w:r w:rsidR="00991000">
        <w:rPr>
          <w:rFonts w:ascii="Times New Roman" w:hAnsi="Times New Roman" w:cs="Times New Roman"/>
        </w:rPr>
        <w:t>reduce the risk of them an</w:t>
      </w:r>
      <w:r w:rsidR="00DC3F24">
        <w:rPr>
          <w:rFonts w:ascii="Times New Roman" w:hAnsi="Times New Roman" w:cs="Times New Roman"/>
        </w:rPr>
        <w:t xml:space="preserve">d others returning to violence. </w:t>
      </w:r>
      <w:r w:rsidR="00E57D2A">
        <w:rPr>
          <w:rFonts w:ascii="Times New Roman" w:hAnsi="Times New Roman" w:cs="Times New Roman"/>
        </w:rPr>
        <w:t>The chapter argues that b</w:t>
      </w:r>
      <w:r w:rsidR="00DC3F24">
        <w:rPr>
          <w:rFonts w:ascii="Times New Roman" w:hAnsi="Times New Roman" w:cs="Times New Roman"/>
        </w:rPr>
        <w:t>y doing so, linkages are formed with society at large through which the disengagement frame can be diffused. Thus, o</w:t>
      </w:r>
      <w:r w:rsidR="00991000">
        <w:rPr>
          <w:rFonts w:ascii="Times New Roman" w:hAnsi="Times New Roman" w:cs="Times New Roman"/>
        </w:rPr>
        <w:t xml:space="preserve">rganisational disengagement can also have a domino-effect, leading other militant groups </w:t>
      </w:r>
      <w:r w:rsidR="00DD447E">
        <w:rPr>
          <w:rFonts w:ascii="Times New Roman" w:hAnsi="Times New Roman" w:cs="Times New Roman"/>
        </w:rPr>
        <w:t xml:space="preserve">in a movement </w:t>
      </w:r>
      <w:r w:rsidR="00991000">
        <w:rPr>
          <w:rFonts w:ascii="Times New Roman" w:hAnsi="Times New Roman" w:cs="Times New Roman"/>
        </w:rPr>
        <w:t xml:space="preserve">to consider disengagement. The structural aspect of </w:t>
      </w:r>
      <w:r w:rsidR="00DD447E">
        <w:rPr>
          <w:rFonts w:ascii="Times New Roman" w:hAnsi="Times New Roman" w:cs="Times New Roman"/>
        </w:rPr>
        <w:t>social movement disengagement</w:t>
      </w:r>
      <w:r w:rsidR="00991000">
        <w:rPr>
          <w:rFonts w:ascii="Times New Roman" w:hAnsi="Times New Roman" w:cs="Times New Roman"/>
        </w:rPr>
        <w:t xml:space="preserve"> refers to the military, political, social and economic conditions that</w:t>
      </w:r>
      <w:r w:rsidR="003264B0">
        <w:rPr>
          <w:rFonts w:ascii="Times New Roman" w:hAnsi="Times New Roman" w:cs="Times New Roman"/>
        </w:rPr>
        <w:t xml:space="preserve"> a)</w:t>
      </w:r>
      <w:r w:rsidR="00991000">
        <w:rPr>
          <w:rFonts w:ascii="Times New Roman" w:hAnsi="Times New Roman" w:cs="Times New Roman"/>
        </w:rPr>
        <w:t xml:space="preserve"> </w:t>
      </w:r>
      <w:r w:rsidR="003264B0">
        <w:rPr>
          <w:rFonts w:ascii="Times New Roman" w:hAnsi="Times New Roman" w:cs="Times New Roman"/>
        </w:rPr>
        <w:t xml:space="preserve">emerge from negotiations stemming from disengagement, and b) </w:t>
      </w:r>
      <w:r w:rsidR="00991000">
        <w:rPr>
          <w:rFonts w:ascii="Times New Roman" w:hAnsi="Times New Roman" w:cs="Times New Roman"/>
        </w:rPr>
        <w:t xml:space="preserve">influence the extent that organisational disengagement can be maintained or the opportunities for violence </w:t>
      </w:r>
      <w:r w:rsidR="00DD447E">
        <w:rPr>
          <w:rFonts w:ascii="Times New Roman" w:hAnsi="Times New Roman" w:cs="Times New Roman"/>
        </w:rPr>
        <w:t xml:space="preserve">being </w:t>
      </w:r>
      <w:r w:rsidR="00991000">
        <w:rPr>
          <w:rFonts w:ascii="Times New Roman" w:hAnsi="Times New Roman" w:cs="Times New Roman"/>
        </w:rPr>
        <w:t xml:space="preserve">contained. For example, frustration at the political level may de-legitimise organisational disengagement and/or it may present opportunities for militant groups to recruit old and new members. The third factor that can </w:t>
      </w:r>
      <w:r w:rsidR="003264B0">
        <w:rPr>
          <w:rFonts w:ascii="Times New Roman" w:hAnsi="Times New Roman" w:cs="Times New Roman"/>
        </w:rPr>
        <w:t>drive social movement disengagement</w:t>
      </w:r>
      <w:r w:rsidR="00991000">
        <w:rPr>
          <w:rFonts w:ascii="Times New Roman" w:hAnsi="Times New Roman" w:cs="Times New Roman"/>
        </w:rPr>
        <w:t xml:space="preserve"> is attitude change, or de-radicalisation, </w:t>
      </w:r>
      <w:r w:rsidR="003264B0">
        <w:rPr>
          <w:rFonts w:ascii="Times New Roman" w:hAnsi="Times New Roman" w:cs="Times New Roman"/>
        </w:rPr>
        <w:t>as discussed in Chapter Four, which analysed the frame that underpinned the Provisional IRA’s disengagement. As the Provisional IRA organisationally disengaged, this frame was diffused throughout the Irish Republican movement, in doing so, transforming to de-legitimise violence and creating opposition to violence in the social movement.</w:t>
      </w:r>
    </w:p>
    <w:p w14:paraId="6DCFC303" w14:textId="4D603795" w:rsidR="006A14B7" w:rsidRDefault="00FC1575" w:rsidP="00B57C7F">
      <w:pPr>
        <w:spacing w:line="360" w:lineRule="auto"/>
        <w:ind w:firstLine="720"/>
        <w:jc w:val="both"/>
        <w:rPr>
          <w:rFonts w:ascii="Times New Roman" w:hAnsi="Times New Roman" w:cs="Times New Roman"/>
        </w:rPr>
      </w:pPr>
      <w:r>
        <w:rPr>
          <w:rFonts w:ascii="Times New Roman" w:hAnsi="Times New Roman" w:cs="Times New Roman"/>
        </w:rPr>
        <w:t xml:space="preserve">Chapter Five engages with these three elements to explain how they work together to reduce the risk of recidivism among the Provisional IRA and within society in general to help foster social movement disengagement. </w:t>
      </w:r>
      <w:r w:rsidR="006A14B7">
        <w:rPr>
          <w:rFonts w:ascii="Times New Roman" w:hAnsi="Times New Roman" w:cs="Times New Roman"/>
        </w:rPr>
        <w:t xml:space="preserve">This analysis is underpinned by a number of social movement theories, as outlined by in Chapter Two. To explain organisational disengagement, otherwise known as Disarmament, Demobilisation, and Reintegration (DDR), the thesis applies a network analysis. The use of a network analysis provides original insight into how organisational disengagement often manifests in social networks which often maintain the features of the organisation, thus challenging the entire conceptualisation of DDR programmes as a means of reducing the risk of recidivism. </w:t>
      </w:r>
      <w:r w:rsidR="00137F85">
        <w:rPr>
          <w:rFonts w:ascii="Times New Roman" w:hAnsi="Times New Roman" w:cs="Times New Roman"/>
        </w:rPr>
        <w:t xml:space="preserve">To explain political/structural change, the chapter builds on the concept of political opportunity structure, which analyses how the political system can create opportunities and constraints for the exercise of violence. Through an analysis of political opportunity </w:t>
      </w:r>
      <w:r w:rsidR="00137F85">
        <w:rPr>
          <w:rFonts w:ascii="Times New Roman" w:hAnsi="Times New Roman" w:cs="Times New Roman"/>
        </w:rPr>
        <w:lastRenderedPageBreak/>
        <w:t xml:space="preserve">structures, the chapter will engage in debates on how the political system in Northern Ireland, underpinned by the principles of consociationalism, impacts upon the Irish Republican movement. Finally, in order to explain attitudinal change, the chapter will once again utilise a frames analysis, as outlined in Chapter Four. </w:t>
      </w:r>
    </w:p>
    <w:p w14:paraId="103B8446" w14:textId="4A0A9F71" w:rsidR="00991000" w:rsidRDefault="00137F85" w:rsidP="00B57C7F">
      <w:pPr>
        <w:spacing w:line="360" w:lineRule="auto"/>
        <w:ind w:firstLine="720"/>
        <w:jc w:val="both"/>
        <w:rPr>
          <w:rFonts w:ascii="Times New Roman" w:hAnsi="Times New Roman" w:cs="Times New Roman"/>
        </w:rPr>
      </w:pPr>
      <w:r>
        <w:rPr>
          <w:rFonts w:ascii="Times New Roman" w:hAnsi="Times New Roman" w:cs="Times New Roman"/>
        </w:rPr>
        <w:t>By utilising these three social movement theories, the chapter analys</w:t>
      </w:r>
      <w:r w:rsidR="00E1003C">
        <w:rPr>
          <w:rFonts w:ascii="Times New Roman" w:hAnsi="Times New Roman" w:cs="Times New Roman"/>
        </w:rPr>
        <w:t>e</w:t>
      </w:r>
      <w:r>
        <w:rPr>
          <w:rFonts w:ascii="Times New Roman" w:hAnsi="Times New Roman" w:cs="Times New Roman"/>
        </w:rPr>
        <w:t xml:space="preserve">s how the Provisional IRA’s organisational disengagement had a domino-effect on the Irish Republican movement. </w:t>
      </w:r>
      <w:r w:rsidR="00DC3F24">
        <w:rPr>
          <w:rFonts w:ascii="Times New Roman" w:hAnsi="Times New Roman" w:cs="Times New Roman"/>
        </w:rPr>
        <w:t>T</w:t>
      </w:r>
      <w:r w:rsidR="00991000">
        <w:rPr>
          <w:rFonts w:ascii="Times New Roman" w:hAnsi="Times New Roman" w:cs="Times New Roman"/>
        </w:rPr>
        <w:t>he successful resonance of the disengagement frame</w:t>
      </w:r>
      <w:r w:rsidR="00DC3F24">
        <w:rPr>
          <w:rFonts w:ascii="Times New Roman" w:hAnsi="Times New Roman" w:cs="Times New Roman"/>
        </w:rPr>
        <w:t>, underpinned by conditionality,</w:t>
      </w:r>
      <w:r w:rsidR="00991000">
        <w:rPr>
          <w:rFonts w:ascii="Times New Roman" w:hAnsi="Times New Roman" w:cs="Times New Roman"/>
        </w:rPr>
        <w:t xml:space="preserve"> was sufficient to bring about organisational disengagement, and a</w:t>
      </w:r>
      <w:r w:rsidR="00DC3F24">
        <w:rPr>
          <w:rFonts w:ascii="Times New Roman" w:hAnsi="Times New Roman" w:cs="Times New Roman"/>
        </w:rPr>
        <w:t>n unconditional</w:t>
      </w:r>
      <w:r w:rsidR="00991000">
        <w:rPr>
          <w:rFonts w:ascii="Times New Roman" w:hAnsi="Times New Roman" w:cs="Times New Roman"/>
        </w:rPr>
        <w:t xml:space="preserve"> de-radicalising frame would have been counter-productive. Organisational disengagement was a slow and mixed process, but it led to political and social changes that legitimised disengagement and limited the opportunities for militants</w:t>
      </w:r>
      <w:r w:rsidR="00E1003C">
        <w:rPr>
          <w:rFonts w:ascii="Times New Roman" w:hAnsi="Times New Roman" w:cs="Times New Roman"/>
        </w:rPr>
        <w:t xml:space="preserve"> wishing to use violence</w:t>
      </w:r>
      <w:r w:rsidR="00991000">
        <w:rPr>
          <w:rFonts w:ascii="Times New Roman" w:hAnsi="Times New Roman" w:cs="Times New Roman"/>
        </w:rPr>
        <w:t>. Crucially, the demobilisation of Provisional IRA members into an informal network at the community level</w:t>
      </w:r>
      <w:r w:rsidR="00E1003C">
        <w:rPr>
          <w:rFonts w:ascii="Times New Roman" w:hAnsi="Times New Roman" w:cs="Times New Roman"/>
        </w:rPr>
        <w:t xml:space="preserve"> – herein referred to as the mobile phones network -</w:t>
      </w:r>
      <w:r w:rsidR="00991000">
        <w:rPr>
          <w:rFonts w:ascii="Times New Roman" w:hAnsi="Times New Roman" w:cs="Times New Roman"/>
        </w:rPr>
        <w:t xml:space="preserve"> buttressed the changes at the political level by containing inter-communal violence and encouraging co-operation between militant groups.</w:t>
      </w:r>
      <w:r w:rsidR="00E1003C">
        <w:rPr>
          <w:rFonts w:ascii="Times New Roman" w:hAnsi="Times New Roman" w:cs="Times New Roman"/>
        </w:rPr>
        <w:t xml:space="preserve"> The chapter gives particular focus on the mobile phones network as it challenges many assumptions in the literature and it played a significant role in preventing violence from re-emerging.</w:t>
      </w:r>
      <w:r w:rsidR="00991000">
        <w:rPr>
          <w:rFonts w:ascii="Times New Roman" w:hAnsi="Times New Roman" w:cs="Times New Roman"/>
        </w:rPr>
        <w:t xml:space="preserve"> While the politi</w:t>
      </w:r>
      <w:r w:rsidR="00E1003C">
        <w:rPr>
          <w:rFonts w:ascii="Times New Roman" w:hAnsi="Times New Roman" w:cs="Times New Roman"/>
        </w:rPr>
        <w:t>cal system can still frustrate</w:t>
      </w:r>
      <w:r w:rsidR="00991000">
        <w:rPr>
          <w:rFonts w:ascii="Times New Roman" w:hAnsi="Times New Roman" w:cs="Times New Roman"/>
        </w:rPr>
        <w:t xml:space="preserve"> </w:t>
      </w:r>
      <w:r w:rsidR="00E1003C">
        <w:rPr>
          <w:rFonts w:ascii="Times New Roman" w:hAnsi="Times New Roman" w:cs="Times New Roman"/>
        </w:rPr>
        <w:t xml:space="preserve">these </w:t>
      </w:r>
      <w:r w:rsidR="00991000">
        <w:rPr>
          <w:rFonts w:ascii="Times New Roman" w:hAnsi="Times New Roman" w:cs="Times New Roman"/>
        </w:rPr>
        <w:t xml:space="preserve">mechanisms of reducing the risk of recidivism, the successful resonance of the disengagement frame among Provisional IRA members means that disengagement is less contingent on structural factors than it was at the start of the process. And while the opportunities for dissident Republicans may have decreased, the chapter concludes that although the disengagement frame may reduce the risk of recidivism among Provisional IRA members, it is feared that it could legitimise violence among the next generation. The next section of the chapter will explain how and why disengagement and de-radicalisation are applied to the social </w:t>
      </w:r>
      <w:r w:rsidR="00E1003C">
        <w:rPr>
          <w:rFonts w:ascii="Times New Roman" w:hAnsi="Times New Roman" w:cs="Times New Roman"/>
        </w:rPr>
        <w:t xml:space="preserve">movement </w:t>
      </w:r>
      <w:r w:rsidR="00991000">
        <w:rPr>
          <w:rFonts w:ascii="Times New Roman" w:hAnsi="Times New Roman" w:cs="Times New Roman"/>
        </w:rPr>
        <w:t>level.</w:t>
      </w:r>
    </w:p>
    <w:p w14:paraId="564E2EF2" w14:textId="77777777" w:rsidR="00991000" w:rsidRDefault="00991000" w:rsidP="00B57C7F">
      <w:pPr>
        <w:spacing w:line="360" w:lineRule="auto"/>
        <w:ind w:firstLine="720"/>
        <w:jc w:val="both"/>
        <w:rPr>
          <w:rFonts w:ascii="Times New Roman" w:hAnsi="Times New Roman" w:cs="Times New Roman"/>
        </w:rPr>
      </w:pPr>
    </w:p>
    <w:p w14:paraId="106BD8A0" w14:textId="77777777" w:rsidR="00991000" w:rsidRDefault="00BD546E" w:rsidP="00B57C7F">
      <w:pPr>
        <w:pStyle w:val="Heading3"/>
        <w:spacing w:before="120" w:line="360" w:lineRule="auto"/>
      </w:pPr>
      <w:bookmarkStart w:id="55" w:name="_Toc389208837"/>
      <w:r>
        <w:t>Social Movement Disengagement</w:t>
      </w:r>
      <w:bookmarkEnd w:id="55"/>
    </w:p>
    <w:p w14:paraId="14623C62" w14:textId="23CA9F45" w:rsidR="00B76118"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The previous chapter has followed a similar path to the majority of studies on disengagement and de-radicalisation by focusing on the group level of analysis, </w:t>
      </w:r>
      <w:r w:rsidR="00FC37E3">
        <w:rPr>
          <w:rFonts w:ascii="Times New Roman" w:hAnsi="Times New Roman" w:cs="Times New Roman"/>
        </w:rPr>
        <w:t xml:space="preserve">but it contributed to this literature by applying a frames analysis to explain internal </w:t>
      </w:r>
      <w:r w:rsidR="00FC37E3">
        <w:rPr>
          <w:rFonts w:ascii="Times New Roman" w:hAnsi="Times New Roman" w:cs="Times New Roman"/>
        </w:rPr>
        <w:lastRenderedPageBreak/>
        <w:t>dynamics which have tended to be underappreciated</w:t>
      </w:r>
      <w:r>
        <w:rPr>
          <w:rFonts w:ascii="Times New Roman" w:hAnsi="Times New Roman" w:cs="Times New Roman"/>
        </w:rPr>
        <w:t xml:space="preserve">. However, there has been a lack of research on the </w:t>
      </w:r>
      <w:r w:rsidR="00131ED3">
        <w:rPr>
          <w:rFonts w:ascii="Times New Roman" w:hAnsi="Times New Roman" w:cs="Times New Roman"/>
        </w:rPr>
        <w:t>multi-level</w:t>
      </w:r>
      <w:r>
        <w:rPr>
          <w:rFonts w:ascii="Times New Roman" w:hAnsi="Times New Roman" w:cs="Times New Roman"/>
        </w:rPr>
        <w:t xml:space="preserve"> analysis</w:t>
      </w:r>
      <w:r w:rsidR="00B1546E">
        <w:rPr>
          <w:rFonts w:ascii="Times New Roman" w:hAnsi="Times New Roman" w:cs="Times New Roman"/>
        </w:rPr>
        <w:t>.</w:t>
      </w:r>
      <w:r>
        <w:rPr>
          <w:rStyle w:val="FootnoteReference"/>
          <w:rFonts w:ascii="Times New Roman" w:hAnsi="Times New Roman" w:cs="Times New Roman"/>
        </w:rPr>
        <w:footnoteReference w:id="449"/>
      </w:r>
      <w:r>
        <w:rPr>
          <w:rFonts w:ascii="Times New Roman" w:hAnsi="Times New Roman" w:cs="Times New Roman"/>
        </w:rPr>
        <w:t xml:space="preserve"> The literature itself highlights the necessity for an approach that is broader than the group for one reason: while the group itself may disengage, most of its members can start a new group or join a rival, or the next generation may take up the struggle when the opportunity presents itself. In such a case, organisational disengagement could hardly be described as successful and, if anything, it suggests that de-radicalisation or social change is important to reduce the level of violence and risk of recidivism. Yet this does not mean that the group level of analysis ought to be applied to a multitude of groups, especially when these groups have a degree of popular support in society - or a radical milieu</w:t>
      </w:r>
      <w:r>
        <w:rPr>
          <w:rStyle w:val="FootnoteReference"/>
          <w:rFonts w:ascii="Times New Roman" w:hAnsi="Times New Roman" w:cs="Times New Roman"/>
        </w:rPr>
        <w:footnoteReference w:id="450"/>
      </w:r>
      <w:r>
        <w:rPr>
          <w:rFonts w:ascii="Times New Roman" w:hAnsi="Times New Roman" w:cs="Times New Roman"/>
        </w:rPr>
        <w:t xml:space="preserve"> - which can help sustain armed campaigns over generations, independently of organisational structures. In effect, many campaigns of terrorism and political violence are associated with social movements, therefore it is the social movement that also undergoes a process of disengagement and de-radicalisation. Thus, the thesis adopts a </w:t>
      </w:r>
      <w:r w:rsidR="00131ED3">
        <w:rPr>
          <w:rFonts w:ascii="Times New Roman" w:hAnsi="Times New Roman" w:cs="Times New Roman"/>
        </w:rPr>
        <w:t>multi-level</w:t>
      </w:r>
      <w:r>
        <w:rPr>
          <w:rFonts w:ascii="Times New Roman" w:hAnsi="Times New Roman" w:cs="Times New Roman"/>
        </w:rPr>
        <w:t xml:space="preserve"> analysis</w:t>
      </w:r>
      <w:r w:rsidR="00131ED3">
        <w:rPr>
          <w:rFonts w:ascii="Times New Roman" w:hAnsi="Times New Roman" w:cs="Times New Roman"/>
        </w:rPr>
        <w:t xml:space="preserve"> – provided through a social movement approach -</w:t>
      </w:r>
      <w:r>
        <w:rPr>
          <w:rFonts w:ascii="Times New Roman" w:hAnsi="Times New Roman" w:cs="Times New Roman"/>
        </w:rPr>
        <w:t xml:space="preserve"> to explain how the social and political changes, enhanced by group disengagement, affect the rest of the social movement and particular those aspects which still engage and support the use of political violence. However, given the vast scope of a </w:t>
      </w:r>
      <w:r w:rsidR="00131ED3">
        <w:rPr>
          <w:rFonts w:ascii="Times New Roman" w:hAnsi="Times New Roman" w:cs="Times New Roman"/>
        </w:rPr>
        <w:t>multi-</w:t>
      </w:r>
      <w:r>
        <w:rPr>
          <w:rFonts w:ascii="Times New Roman" w:hAnsi="Times New Roman" w:cs="Times New Roman"/>
        </w:rPr>
        <w:t xml:space="preserve">level analysis, the thesis focuses on the role of social, political change and the Provisional IRA’s disengagement on diffusing the process throughout </w:t>
      </w:r>
      <w:r w:rsidR="003560D9">
        <w:rPr>
          <w:rFonts w:ascii="Times New Roman" w:hAnsi="Times New Roman" w:cs="Times New Roman"/>
        </w:rPr>
        <w:t>the rest of the Irish Republican movement, of which it is a substantial part</w:t>
      </w:r>
      <w:r>
        <w:rPr>
          <w:rFonts w:ascii="Times New Roman" w:hAnsi="Times New Roman" w:cs="Times New Roman"/>
        </w:rPr>
        <w:t xml:space="preserve">. </w:t>
      </w:r>
    </w:p>
    <w:p w14:paraId="17B32F4E" w14:textId="2F4CF1BC" w:rsidR="00991000" w:rsidRPr="00CA5908" w:rsidRDefault="00B76118" w:rsidP="00B57C7F">
      <w:pPr>
        <w:spacing w:line="360" w:lineRule="auto"/>
        <w:ind w:firstLine="720"/>
        <w:jc w:val="both"/>
        <w:rPr>
          <w:rFonts w:ascii="Times New Roman" w:hAnsi="Times New Roman" w:cs="Times New Roman"/>
        </w:rPr>
      </w:pPr>
      <w:r>
        <w:rPr>
          <w:rFonts w:ascii="Times New Roman" w:hAnsi="Times New Roman" w:cs="Times New Roman"/>
        </w:rPr>
        <w:t>T</w:t>
      </w:r>
      <w:r w:rsidR="00991000">
        <w:rPr>
          <w:rFonts w:ascii="Times New Roman" w:hAnsi="Times New Roman" w:cs="Times New Roman"/>
        </w:rPr>
        <w:t xml:space="preserve">he Provisional IRA is </w:t>
      </w:r>
      <w:r w:rsidR="006B16DA">
        <w:rPr>
          <w:rFonts w:ascii="Times New Roman" w:hAnsi="Times New Roman" w:cs="Times New Roman"/>
        </w:rPr>
        <w:t>significant</w:t>
      </w:r>
      <w:r w:rsidR="00991000">
        <w:rPr>
          <w:rFonts w:ascii="Times New Roman" w:hAnsi="Times New Roman" w:cs="Times New Roman"/>
        </w:rPr>
        <w:t xml:space="preserve"> part of </w:t>
      </w:r>
      <w:r w:rsidR="006B16DA">
        <w:rPr>
          <w:rFonts w:ascii="Times New Roman" w:hAnsi="Times New Roman" w:cs="Times New Roman"/>
        </w:rPr>
        <w:t>the Irish</w:t>
      </w:r>
      <w:r w:rsidR="00991000">
        <w:rPr>
          <w:rFonts w:ascii="Times New Roman" w:hAnsi="Times New Roman" w:cs="Times New Roman"/>
        </w:rPr>
        <w:t xml:space="preserve"> Republican social movement, which includes a number of other militant groups, some of whom who are disengaged, </w:t>
      </w:r>
      <w:r w:rsidR="00131ED3">
        <w:rPr>
          <w:rFonts w:ascii="Times New Roman" w:hAnsi="Times New Roman" w:cs="Times New Roman"/>
        </w:rPr>
        <w:t xml:space="preserve">and </w:t>
      </w:r>
      <w:r w:rsidR="00991000">
        <w:rPr>
          <w:rFonts w:ascii="Times New Roman" w:hAnsi="Times New Roman" w:cs="Times New Roman"/>
        </w:rPr>
        <w:t xml:space="preserve">some of whom who are still engaged in armed violence. There are also sections of the Republican community who may sympathise or support either of these groups. However, the Loyalist paramilitaries introduce another dynamic that exists outside of the Republican social movement, as they can engage in violence which can prevent groups from disengaging, it may encourage former </w:t>
      </w:r>
      <w:r w:rsidR="00FC37E3">
        <w:rPr>
          <w:rFonts w:ascii="Times New Roman" w:hAnsi="Times New Roman" w:cs="Times New Roman"/>
        </w:rPr>
        <w:lastRenderedPageBreak/>
        <w:t xml:space="preserve">Irish Republican </w:t>
      </w:r>
      <w:r w:rsidR="00991000">
        <w:rPr>
          <w:rFonts w:ascii="Times New Roman" w:hAnsi="Times New Roman" w:cs="Times New Roman"/>
        </w:rPr>
        <w:t>combatants to become re-involved in armed violence, and it can provide opportunities for other</w:t>
      </w:r>
      <w:r w:rsidR="00FC37E3">
        <w:rPr>
          <w:rFonts w:ascii="Times New Roman" w:hAnsi="Times New Roman" w:cs="Times New Roman"/>
        </w:rPr>
        <w:t xml:space="preserve"> Republican</w:t>
      </w:r>
      <w:r w:rsidR="00991000">
        <w:rPr>
          <w:rFonts w:ascii="Times New Roman" w:hAnsi="Times New Roman" w:cs="Times New Roman"/>
        </w:rPr>
        <w:t xml:space="preserve"> groups to engage in violence. Consequently, the chapter includes Loyalism in the analysis, but it is primarily on how they impact the </w:t>
      </w:r>
      <w:r w:rsidR="004A0272">
        <w:rPr>
          <w:rFonts w:ascii="Times New Roman" w:hAnsi="Times New Roman" w:cs="Times New Roman"/>
        </w:rPr>
        <w:t xml:space="preserve">Irish </w:t>
      </w:r>
      <w:r w:rsidR="00991000">
        <w:rPr>
          <w:rFonts w:ascii="Times New Roman" w:hAnsi="Times New Roman" w:cs="Times New Roman"/>
        </w:rPr>
        <w:t xml:space="preserve">Republican movement rather than their own process of disengagement. Thus, the chapter analyses how the Provisional IRA’s disengagement – in the context of </w:t>
      </w:r>
      <w:r w:rsidR="004A0272">
        <w:rPr>
          <w:rFonts w:ascii="Times New Roman" w:hAnsi="Times New Roman" w:cs="Times New Roman"/>
        </w:rPr>
        <w:t>attitudinal</w:t>
      </w:r>
      <w:r w:rsidR="00991000">
        <w:rPr>
          <w:rFonts w:ascii="Times New Roman" w:hAnsi="Times New Roman" w:cs="Times New Roman"/>
        </w:rPr>
        <w:t xml:space="preserve"> and political change – help to spread this process throughout </w:t>
      </w:r>
      <w:r w:rsidR="003560D9">
        <w:rPr>
          <w:rFonts w:ascii="Times New Roman" w:hAnsi="Times New Roman" w:cs="Times New Roman"/>
        </w:rPr>
        <w:t>the social movement</w:t>
      </w:r>
      <w:r w:rsidR="004A0272">
        <w:rPr>
          <w:rFonts w:ascii="Times New Roman" w:hAnsi="Times New Roman" w:cs="Times New Roman"/>
        </w:rPr>
        <w:t>, to lead to social movement disengagement</w:t>
      </w:r>
      <w:r w:rsidR="00991000">
        <w:rPr>
          <w:rFonts w:ascii="Times New Roman" w:hAnsi="Times New Roman" w:cs="Times New Roman"/>
        </w:rPr>
        <w:t>.</w:t>
      </w:r>
      <w:r w:rsidR="004A0272">
        <w:rPr>
          <w:rFonts w:ascii="Times New Roman" w:hAnsi="Times New Roman" w:cs="Times New Roman"/>
        </w:rPr>
        <w:t xml:space="preserve"> As it is unlikely that a social movement will ever be entirely disengaged from an armed campaign, it should be seen as a </w:t>
      </w:r>
      <w:r w:rsidR="003560D9">
        <w:rPr>
          <w:rFonts w:ascii="Times New Roman" w:hAnsi="Times New Roman" w:cs="Times New Roman"/>
        </w:rPr>
        <w:t>spectrum</w:t>
      </w:r>
      <w:r w:rsidR="004A0272">
        <w:rPr>
          <w:rFonts w:ascii="Times New Roman" w:hAnsi="Times New Roman" w:cs="Times New Roman"/>
        </w:rPr>
        <w:t xml:space="preserve"> </w:t>
      </w:r>
      <w:r>
        <w:rPr>
          <w:rFonts w:ascii="Times New Roman" w:hAnsi="Times New Roman" w:cs="Times New Roman"/>
        </w:rPr>
        <w:t>akin to</w:t>
      </w:r>
      <w:r w:rsidR="004A0272">
        <w:rPr>
          <w:rFonts w:ascii="Times New Roman" w:hAnsi="Times New Roman" w:cs="Times New Roman"/>
        </w:rPr>
        <w:t xml:space="preserve"> disengagement at the individual and group levels of analysis.</w:t>
      </w:r>
      <w:r w:rsidR="00991000">
        <w:rPr>
          <w:rFonts w:ascii="Times New Roman" w:hAnsi="Times New Roman" w:cs="Times New Roman"/>
        </w:rPr>
        <w:t xml:space="preserve">  </w:t>
      </w:r>
    </w:p>
    <w:p w14:paraId="502A838C" w14:textId="78CF5974" w:rsidR="005D3064" w:rsidRDefault="00991000" w:rsidP="00B57C7F">
      <w:pPr>
        <w:spacing w:line="360" w:lineRule="auto"/>
        <w:ind w:firstLine="720"/>
        <w:jc w:val="both"/>
        <w:rPr>
          <w:rFonts w:ascii="Times New Roman" w:hAnsi="Times New Roman" w:cs="Times New Roman"/>
        </w:rPr>
      </w:pPr>
      <w:r>
        <w:rPr>
          <w:rFonts w:ascii="Times New Roman" w:hAnsi="Times New Roman" w:cs="Times New Roman"/>
        </w:rPr>
        <w:t>Disengagement at the group level is, in theory, rather straightforward, but disengagement at a soc</w:t>
      </w:r>
      <w:r w:rsidR="00FC37E3">
        <w:rPr>
          <w:rFonts w:ascii="Times New Roman" w:hAnsi="Times New Roman" w:cs="Times New Roman"/>
        </w:rPr>
        <w:t>ial movement</w:t>
      </w:r>
      <w:r>
        <w:rPr>
          <w:rFonts w:ascii="Times New Roman" w:hAnsi="Times New Roman" w:cs="Times New Roman"/>
        </w:rPr>
        <w:t xml:space="preserve"> level is not simply an aggregation of group disengagement</w:t>
      </w:r>
      <w:r w:rsidR="009D4C5A">
        <w:rPr>
          <w:rFonts w:ascii="Times New Roman" w:hAnsi="Times New Roman" w:cs="Times New Roman"/>
        </w:rPr>
        <w:t xml:space="preserve"> as it needs to take into account </w:t>
      </w:r>
      <w:r w:rsidR="00C454F6">
        <w:rPr>
          <w:rFonts w:ascii="Times New Roman" w:hAnsi="Times New Roman" w:cs="Times New Roman"/>
        </w:rPr>
        <w:t>(potential) supporters and sympathisers too</w:t>
      </w:r>
      <w:r>
        <w:rPr>
          <w:rFonts w:ascii="Times New Roman" w:hAnsi="Times New Roman" w:cs="Times New Roman"/>
        </w:rPr>
        <w:t>.</w:t>
      </w:r>
      <w:r w:rsidR="00954B0B">
        <w:rPr>
          <w:rFonts w:ascii="Times New Roman" w:hAnsi="Times New Roman" w:cs="Times New Roman"/>
        </w:rPr>
        <w:t xml:space="preserve"> </w:t>
      </w:r>
      <w:r>
        <w:rPr>
          <w:rFonts w:ascii="Times New Roman" w:hAnsi="Times New Roman" w:cs="Times New Roman"/>
        </w:rPr>
        <w:t xml:space="preserve"> Furthermore, the disengagement of one group can have a knock-on effect and just as the leadership seeks to diffuse the disengagement frame within its own group, they can also seek to diffuse this frame externally</w:t>
      </w:r>
      <w:r w:rsidR="00B1546E">
        <w:rPr>
          <w:rFonts w:ascii="Times New Roman" w:hAnsi="Times New Roman" w:cs="Times New Roman"/>
        </w:rPr>
        <w:t>.</w:t>
      </w:r>
      <w:r>
        <w:rPr>
          <w:rStyle w:val="FootnoteReference"/>
          <w:rFonts w:ascii="Times New Roman" w:hAnsi="Times New Roman" w:cs="Times New Roman"/>
        </w:rPr>
        <w:footnoteReference w:id="451"/>
      </w:r>
      <w:r>
        <w:rPr>
          <w:rFonts w:ascii="Times New Roman" w:hAnsi="Times New Roman" w:cs="Times New Roman"/>
        </w:rPr>
        <w:t xml:space="preserve"> The necessity to externalise disengagement can be driven by social and political circumstances as well as their own interests.</w:t>
      </w:r>
      <w:r w:rsidR="00C454F6">
        <w:rPr>
          <w:rFonts w:ascii="Times New Roman" w:hAnsi="Times New Roman" w:cs="Times New Roman"/>
        </w:rPr>
        <w:t xml:space="preserve"> For example, in Fatah-PLO’s disengagement there was an implicit Israeli expectation that Fatah-PLO would be responsible for disengaging other militant groups such as Hamas</w:t>
      </w:r>
      <w:r w:rsidR="00B1546E">
        <w:rPr>
          <w:rFonts w:ascii="Times New Roman" w:hAnsi="Times New Roman" w:cs="Times New Roman"/>
        </w:rPr>
        <w:t>.</w:t>
      </w:r>
      <w:r w:rsidR="00C454F6">
        <w:rPr>
          <w:rStyle w:val="FootnoteReference"/>
          <w:rFonts w:ascii="Times New Roman" w:hAnsi="Times New Roman" w:cs="Times New Roman"/>
        </w:rPr>
        <w:footnoteReference w:id="452"/>
      </w:r>
      <w:r w:rsidR="00C454F6">
        <w:rPr>
          <w:rFonts w:ascii="Times New Roman" w:hAnsi="Times New Roman" w:cs="Times New Roman"/>
        </w:rPr>
        <w:t xml:space="preserve"> The Provisional IRA and Sinn Fein, on the other hand, have sought to maintain their monopoly on the Republican movement by marginalising counter-narratives. </w:t>
      </w:r>
      <w:r>
        <w:rPr>
          <w:rFonts w:ascii="Times New Roman" w:hAnsi="Times New Roman" w:cs="Times New Roman"/>
        </w:rPr>
        <w:t xml:space="preserve">This process </w:t>
      </w:r>
      <w:r w:rsidR="00C454F6">
        <w:rPr>
          <w:rFonts w:ascii="Times New Roman" w:hAnsi="Times New Roman" w:cs="Times New Roman"/>
        </w:rPr>
        <w:t xml:space="preserve">of externalising disengagement </w:t>
      </w:r>
      <w:r>
        <w:rPr>
          <w:rFonts w:ascii="Times New Roman" w:hAnsi="Times New Roman" w:cs="Times New Roman"/>
        </w:rPr>
        <w:t xml:space="preserve">can take the form of: 1) having a ‘domino-effect’, thus prompting other militant groups to voluntarily disengage; 2) reducing the risk of a slip-back into violence by its own members or the organisation; and 3) making it difficult or less desirable for other groups or </w:t>
      </w:r>
      <w:r w:rsidR="00C454F6">
        <w:rPr>
          <w:rFonts w:ascii="Times New Roman" w:hAnsi="Times New Roman" w:cs="Times New Roman"/>
        </w:rPr>
        <w:t>sympathisers</w:t>
      </w:r>
      <w:r>
        <w:rPr>
          <w:rFonts w:ascii="Times New Roman" w:hAnsi="Times New Roman" w:cs="Times New Roman"/>
        </w:rPr>
        <w:t xml:space="preserve"> to engage in and support violence. </w:t>
      </w:r>
      <w:r w:rsidR="005D3064">
        <w:rPr>
          <w:rFonts w:ascii="Times New Roman" w:hAnsi="Times New Roman" w:cs="Times New Roman"/>
        </w:rPr>
        <w:t xml:space="preserve">It is in the last point that the thesis overlaps with the literature on preventing and countering terrorism and political violence, and while these approaches emphasise state approaches, the thesis can contribute to the literature by demonstrating how a successful disengagement process can </w:t>
      </w:r>
      <w:r w:rsidR="001B3C6F">
        <w:rPr>
          <w:rFonts w:ascii="Times New Roman" w:hAnsi="Times New Roman" w:cs="Times New Roman"/>
        </w:rPr>
        <w:t>contain a preventative dynamic.</w:t>
      </w:r>
      <w:r w:rsidR="005D3064">
        <w:rPr>
          <w:rFonts w:ascii="Times New Roman" w:hAnsi="Times New Roman" w:cs="Times New Roman"/>
        </w:rPr>
        <w:t xml:space="preserve"> </w:t>
      </w:r>
      <w:r>
        <w:rPr>
          <w:rFonts w:ascii="Times New Roman" w:hAnsi="Times New Roman" w:cs="Times New Roman"/>
        </w:rPr>
        <w:t xml:space="preserve">The chapter identifies three interlinked </w:t>
      </w:r>
      <w:r>
        <w:rPr>
          <w:rFonts w:ascii="Times New Roman" w:hAnsi="Times New Roman" w:cs="Times New Roman"/>
        </w:rPr>
        <w:lastRenderedPageBreak/>
        <w:t xml:space="preserve">factors that affect attempts at </w:t>
      </w:r>
      <w:r w:rsidR="00C454F6">
        <w:rPr>
          <w:rFonts w:ascii="Times New Roman" w:hAnsi="Times New Roman" w:cs="Times New Roman"/>
        </w:rPr>
        <w:t xml:space="preserve">social movement </w:t>
      </w:r>
      <w:r w:rsidR="005D3064">
        <w:rPr>
          <w:rFonts w:ascii="Times New Roman" w:hAnsi="Times New Roman" w:cs="Times New Roman"/>
        </w:rPr>
        <w:t xml:space="preserve">disengagement. The first regards </w:t>
      </w:r>
      <w:r>
        <w:rPr>
          <w:rFonts w:ascii="Times New Roman" w:hAnsi="Times New Roman" w:cs="Times New Roman"/>
        </w:rPr>
        <w:t xml:space="preserve">the political </w:t>
      </w:r>
      <w:r w:rsidR="005D3064">
        <w:rPr>
          <w:rFonts w:ascii="Times New Roman" w:hAnsi="Times New Roman" w:cs="Times New Roman"/>
        </w:rPr>
        <w:t>system</w:t>
      </w:r>
      <w:r>
        <w:rPr>
          <w:rFonts w:ascii="Times New Roman" w:hAnsi="Times New Roman" w:cs="Times New Roman"/>
        </w:rPr>
        <w:t xml:space="preserve">: often when the largest group in a social movement disengages, it changes the political system, or it can buttress changes that had already taken place, and this can cause further disengagement in society. Secondly, the manner in which the largest group disengages as an organisation can build linkages with </w:t>
      </w:r>
      <w:r w:rsidR="00FC37E3">
        <w:rPr>
          <w:rFonts w:ascii="Times New Roman" w:hAnsi="Times New Roman" w:cs="Times New Roman"/>
        </w:rPr>
        <w:t>the social movement</w:t>
      </w:r>
      <w:r>
        <w:rPr>
          <w:rFonts w:ascii="Times New Roman" w:hAnsi="Times New Roman" w:cs="Times New Roman"/>
        </w:rPr>
        <w:t xml:space="preserve"> that can reduce the risk of recidivism. Thirdly, through the development of these linkages with</w:t>
      </w:r>
      <w:r w:rsidR="00C454F6">
        <w:rPr>
          <w:rFonts w:ascii="Times New Roman" w:hAnsi="Times New Roman" w:cs="Times New Roman"/>
        </w:rPr>
        <w:t>in</w:t>
      </w:r>
      <w:r>
        <w:rPr>
          <w:rFonts w:ascii="Times New Roman" w:hAnsi="Times New Roman" w:cs="Times New Roman"/>
        </w:rPr>
        <w:t xml:space="preserve"> </w:t>
      </w:r>
      <w:r w:rsidR="00FC37E3">
        <w:rPr>
          <w:rFonts w:ascii="Times New Roman" w:hAnsi="Times New Roman" w:cs="Times New Roman"/>
        </w:rPr>
        <w:t>the social movement</w:t>
      </w:r>
      <w:r>
        <w:rPr>
          <w:rFonts w:ascii="Times New Roman" w:hAnsi="Times New Roman" w:cs="Times New Roman"/>
        </w:rPr>
        <w:t xml:space="preserve">, the group may be able to diffuse its frame to convince others, thus changing attitudes toward violence. </w:t>
      </w:r>
    </w:p>
    <w:p w14:paraId="0A058541" w14:textId="61B83516"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Chapter Five explain</w:t>
      </w:r>
      <w:r w:rsidR="006B16DA">
        <w:rPr>
          <w:rFonts w:ascii="Times New Roman" w:hAnsi="Times New Roman" w:cs="Times New Roman"/>
        </w:rPr>
        <w:t>s</w:t>
      </w:r>
      <w:r>
        <w:rPr>
          <w:rFonts w:ascii="Times New Roman" w:hAnsi="Times New Roman" w:cs="Times New Roman"/>
        </w:rPr>
        <w:t xml:space="preserve"> the impact the Provisional IRA’s disengagement had socially </w:t>
      </w:r>
      <w:r w:rsidRPr="004E5492">
        <w:rPr>
          <w:rFonts w:ascii="Times New Roman" w:hAnsi="Times New Roman" w:cs="Times New Roman"/>
        </w:rPr>
        <w:t xml:space="preserve">and the knock-on effects it had in the period from the Good Friday Agreement onwards. Firstly, the chapter examines how the Provisional IRA’s </w:t>
      </w:r>
      <w:r w:rsidR="006B16DA">
        <w:rPr>
          <w:rFonts w:ascii="Times New Roman" w:hAnsi="Times New Roman" w:cs="Times New Roman"/>
        </w:rPr>
        <w:t xml:space="preserve">organisational disengagement </w:t>
      </w:r>
      <w:r w:rsidR="002C783A">
        <w:rPr>
          <w:rFonts w:ascii="Times New Roman" w:hAnsi="Times New Roman" w:cs="Times New Roman"/>
        </w:rPr>
        <w:t>manifests</w:t>
      </w:r>
      <w:r w:rsidR="006B16DA">
        <w:rPr>
          <w:rFonts w:ascii="Times New Roman" w:hAnsi="Times New Roman" w:cs="Times New Roman"/>
        </w:rPr>
        <w:t xml:space="preserve"> to reduce the risk of recidivism within the social movement. Secondly, the chapter outlines how the Provisional IRA’s organisational disengagement shaped the political system in Northern Ireland and how this political system impacts upon the Irish Republican movement.</w:t>
      </w:r>
      <w:r w:rsidRPr="004E5492">
        <w:rPr>
          <w:rFonts w:ascii="Times New Roman" w:hAnsi="Times New Roman" w:cs="Times New Roman"/>
        </w:rPr>
        <w:t xml:space="preserve"> </w:t>
      </w:r>
      <w:r w:rsidR="006B16DA">
        <w:rPr>
          <w:rFonts w:ascii="Times New Roman" w:hAnsi="Times New Roman" w:cs="Times New Roman"/>
        </w:rPr>
        <w:t>T</w:t>
      </w:r>
      <w:r w:rsidRPr="004E5492">
        <w:rPr>
          <w:rFonts w:ascii="Times New Roman" w:hAnsi="Times New Roman" w:cs="Times New Roman"/>
        </w:rPr>
        <w:t>hirdly</w:t>
      </w:r>
      <w:r w:rsidR="004A0272">
        <w:rPr>
          <w:rFonts w:ascii="Times New Roman" w:hAnsi="Times New Roman" w:cs="Times New Roman"/>
        </w:rPr>
        <w:t>,</w:t>
      </w:r>
      <w:r w:rsidR="004A0272" w:rsidRPr="004A0272">
        <w:rPr>
          <w:rFonts w:ascii="Times New Roman" w:hAnsi="Times New Roman" w:cs="Times New Roman"/>
        </w:rPr>
        <w:t xml:space="preserve"> </w:t>
      </w:r>
      <w:r w:rsidR="006B16DA">
        <w:rPr>
          <w:rFonts w:ascii="Times New Roman" w:hAnsi="Times New Roman" w:cs="Times New Roman"/>
        </w:rPr>
        <w:t>the chapter discusses the extent to which these two aforementioned changes prompted attitudinal change in the social movement that is commensurate with de-radicalisation.</w:t>
      </w:r>
      <w:r w:rsidRPr="004E5492">
        <w:rPr>
          <w:rFonts w:ascii="Times New Roman" w:hAnsi="Times New Roman" w:cs="Times New Roman"/>
        </w:rPr>
        <w:t xml:space="preserve"> The manner in which </w:t>
      </w:r>
      <w:r w:rsidR="006B16DA">
        <w:rPr>
          <w:rFonts w:ascii="Times New Roman" w:hAnsi="Times New Roman" w:cs="Times New Roman"/>
        </w:rPr>
        <w:t>the Provisional IRA</w:t>
      </w:r>
      <w:r w:rsidRPr="004E5492">
        <w:rPr>
          <w:rFonts w:ascii="Times New Roman" w:hAnsi="Times New Roman" w:cs="Times New Roman"/>
        </w:rPr>
        <w:t xml:space="preserve"> organisationally disengaged was quite unique in comparison to other cases of disengagement insofar as former combatants were able to take an active role in community activism. Community activism developed the linkages in society that could maintain the Provisional IRA’s presence at the community level but </w:t>
      </w:r>
      <w:r w:rsidR="004A0272">
        <w:rPr>
          <w:rFonts w:ascii="Times New Roman" w:hAnsi="Times New Roman" w:cs="Times New Roman"/>
        </w:rPr>
        <w:t xml:space="preserve">it </w:t>
      </w:r>
      <w:r w:rsidRPr="004E5492">
        <w:rPr>
          <w:rFonts w:ascii="Times New Roman" w:hAnsi="Times New Roman" w:cs="Times New Roman"/>
        </w:rPr>
        <w:t>also develop</w:t>
      </w:r>
      <w:r w:rsidR="004A0272">
        <w:rPr>
          <w:rFonts w:ascii="Times New Roman" w:hAnsi="Times New Roman" w:cs="Times New Roman"/>
        </w:rPr>
        <w:t>ed</w:t>
      </w:r>
      <w:r w:rsidRPr="004E5492">
        <w:rPr>
          <w:rFonts w:ascii="Times New Roman" w:hAnsi="Times New Roman" w:cs="Times New Roman"/>
        </w:rPr>
        <w:t xml:space="preserve"> links with the Loyalist community. The linkages that developed were crucial in three ways: firstly, it provided added incentives for Provisional IRA members to remain disengaged; secondly, a mechanism developed which helped to contain structurally embedded trigger causes of violence which could disrupt attempts at soc</w:t>
      </w:r>
      <w:r w:rsidR="004A0272">
        <w:rPr>
          <w:rFonts w:ascii="Times New Roman" w:hAnsi="Times New Roman" w:cs="Times New Roman"/>
        </w:rPr>
        <w:t>ial movement</w:t>
      </w:r>
      <w:r w:rsidRPr="004E5492">
        <w:rPr>
          <w:rFonts w:ascii="Times New Roman" w:hAnsi="Times New Roman" w:cs="Times New Roman"/>
        </w:rPr>
        <w:t xml:space="preserve"> disengagement; and thirdly, the increased interaction between the paramilitaries led to some of them disengaging voluntarily and it restricted the space in which dissidents could operate. However, pressures in the political </w:t>
      </w:r>
      <w:r w:rsidR="004A0272">
        <w:rPr>
          <w:rFonts w:ascii="Times New Roman" w:hAnsi="Times New Roman" w:cs="Times New Roman"/>
        </w:rPr>
        <w:t>system</w:t>
      </w:r>
      <w:r w:rsidRPr="004E5492">
        <w:rPr>
          <w:rFonts w:ascii="Times New Roman" w:hAnsi="Times New Roman" w:cs="Times New Roman"/>
        </w:rPr>
        <w:t xml:space="preserve"> demonstrated the limitations of this mechanism, but also limitations to the extent the Provisional IRA’s disengagement frame could resonate with Loyalists and dissident Republicans. The chapter explores the debate of de-radicalisation</w:t>
      </w:r>
      <w:r w:rsidR="004A0272">
        <w:rPr>
          <w:rFonts w:ascii="Times New Roman" w:hAnsi="Times New Roman" w:cs="Times New Roman"/>
        </w:rPr>
        <w:t xml:space="preserve"> in a social context</w:t>
      </w:r>
      <w:r w:rsidRPr="004E5492">
        <w:rPr>
          <w:rFonts w:ascii="Times New Roman" w:hAnsi="Times New Roman" w:cs="Times New Roman"/>
        </w:rPr>
        <w:t xml:space="preserve"> which</w:t>
      </w:r>
      <w:r>
        <w:rPr>
          <w:rFonts w:ascii="Times New Roman" w:hAnsi="Times New Roman" w:cs="Times New Roman"/>
        </w:rPr>
        <w:t xml:space="preserve"> has </w:t>
      </w:r>
      <w:r>
        <w:rPr>
          <w:rFonts w:ascii="Times New Roman" w:hAnsi="Times New Roman" w:cs="Times New Roman"/>
        </w:rPr>
        <w:lastRenderedPageBreak/>
        <w:t>emerged, highlighting possible limits to how far the disengagement frame can produce soc</w:t>
      </w:r>
      <w:r w:rsidR="004A0272">
        <w:rPr>
          <w:rFonts w:ascii="Times New Roman" w:hAnsi="Times New Roman" w:cs="Times New Roman"/>
        </w:rPr>
        <w:t>ial movement</w:t>
      </w:r>
      <w:r>
        <w:rPr>
          <w:rFonts w:ascii="Times New Roman" w:hAnsi="Times New Roman" w:cs="Times New Roman"/>
        </w:rPr>
        <w:t xml:space="preserve"> disengagement.</w:t>
      </w:r>
      <w:r w:rsidR="002E549F">
        <w:rPr>
          <w:rFonts w:ascii="Times New Roman" w:hAnsi="Times New Roman" w:cs="Times New Roman"/>
        </w:rPr>
        <w:t xml:space="preserve"> </w:t>
      </w:r>
    </w:p>
    <w:p w14:paraId="10D5B79A" w14:textId="77777777" w:rsidR="00991000" w:rsidRDefault="00991000" w:rsidP="00B57C7F">
      <w:pPr>
        <w:spacing w:line="360" w:lineRule="auto"/>
      </w:pPr>
    </w:p>
    <w:p w14:paraId="71F15021" w14:textId="77777777" w:rsidR="00991000" w:rsidRPr="00E807B8" w:rsidRDefault="00991000" w:rsidP="00B57C7F">
      <w:pPr>
        <w:pStyle w:val="Heading3"/>
        <w:spacing w:before="120" w:line="360" w:lineRule="auto"/>
      </w:pPr>
      <w:bookmarkStart w:id="56" w:name="_Toc389208838"/>
      <w:r>
        <w:t>Organisational Disengagement</w:t>
      </w:r>
      <w:r w:rsidRPr="00E807B8">
        <w:t>: the Mobile Phones Network</w:t>
      </w:r>
      <w:bookmarkEnd w:id="56"/>
    </w:p>
    <w:p w14:paraId="519C033D" w14:textId="7210018A"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Once a militant group cea</w:t>
      </w:r>
      <w:r w:rsidR="00BD546E">
        <w:rPr>
          <w:rFonts w:ascii="Times New Roman" w:hAnsi="Times New Roman" w:cs="Times New Roman"/>
        </w:rPr>
        <w:t>ses to use violence and declares</w:t>
      </w:r>
      <w:r>
        <w:rPr>
          <w:rFonts w:ascii="Times New Roman" w:hAnsi="Times New Roman" w:cs="Times New Roman"/>
        </w:rPr>
        <w:t xml:space="preserve"> an intent to end campaign, the challenge of organisational disengagement emerges. Given the vast amount of research on the topic in peace and conflict studies, the thesis builds on its conceptualisation of organisational disengagement rather than that which is found in the terrorism literature</w:t>
      </w:r>
      <w:r w:rsidR="003560D9">
        <w:rPr>
          <w:rFonts w:ascii="Times New Roman" w:hAnsi="Times New Roman" w:cs="Times New Roman"/>
        </w:rPr>
        <w:t xml:space="preserve"> or in the social movement literature</w:t>
      </w:r>
      <w:r w:rsidR="00B1546E">
        <w:rPr>
          <w:rFonts w:ascii="Times New Roman" w:hAnsi="Times New Roman" w:cs="Times New Roman"/>
        </w:rPr>
        <w:t>.</w:t>
      </w:r>
      <w:r>
        <w:rPr>
          <w:rStyle w:val="FootnoteReference"/>
          <w:rFonts w:ascii="Times New Roman" w:hAnsi="Times New Roman" w:cs="Times New Roman"/>
        </w:rPr>
        <w:footnoteReference w:id="453"/>
      </w:r>
      <w:r>
        <w:rPr>
          <w:rFonts w:ascii="Times New Roman" w:hAnsi="Times New Roman" w:cs="Times New Roman"/>
        </w:rPr>
        <w:t xml:space="preserve"> Thus, there are three aspects of organisational disengagement: disarmament; de-mobilisation; and re-integration (DDR). These components of organisational disengagement aim to ensure that peace is permanent</w:t>
      </w:r>
      <w:r>
        <w:rPr>
          <w:rStyle w:val="FootnoteReference"/>
          <w:rFonts w:ascii="Times New Roman" w:hAnsi="Times New Roman" w:cs="Times New Roman"/>
        </w:rPr>
        <w:footnoteReference w:id="454"/>
      </w:r>
      <w:r>
        <w:rPr>
          <w:rFonts w:ascii="Times New Roman" w:hAnsi="Times New Roman" w:cs="Times New Roman"/>
        </w:rPr>
        <w:t xml:space="preserve"> and </w:t>
      </w:r>
      <w:r w:rsidR="00BD546E">
        <w:rPr>
          <w:rFonts w:ascii="Times New Roman" w:hAnsi="Times New Roman" w:cs="Times New Roman"/>
        </w:rPr>
        <w:t>that militant</w:t>
      </w:r>
      <w:r>
        <w:rPr>
          <w:rFonts w:ascii="Times New Roman" w:hAnsi="Times New Roman" w:cs="Times New Roman"/>
        </w:rPr>
        <w:t xml:space="preserve"> can play a positive role in conflict transformation</w:t>
      </w:r>
      <w:r w:rsidR="00B1546E">
        <w:rPr>
          <w:rFonts w:ascii="Times New Roman" w:hAnsi="Times New Roman" w:cs="Times New Roman"/>
        </w:rPr>
        <w:t>.</w:t>
      </w:r>
      <w:r>
        <w:rPr>
          <w:rStyle w:val="FootnoteReference"/>
          <w:rFonts w:ascii="Times New Roman" w:hAnsi="Times New Roman" w:cs="Times New Roman"/>
        </w:rPr>
        <w:footnoteReference w:id="455"/>
      </w:r>
      <w:r>
        <w:rPr>
          <w:rFonts w:ascii="Times New Roman" w:hAnsi="Times New Roman" w:cs="Times New Roman"/>
        </w:rPr>
        <w:t xml:space="preserve"> Organisational disengagement can provide a number of exit routes</w:t>
      </w:r>
      <w:r w:rsidR="00FB6555">
        <w:rPr>
          <w:rFonts w:ascii="Times New Roman" w:hAnsi="Times New Roman" w:cs="Times New Roman"/>
        </w:rPr>
        <w:t xml:space="preserve"> – destinations, or new roles</w:t>
      </w:r>
      <w:r w:rsidR="00FB6555">
        <w:rPr>
          <w:rStyle w:val="FootnoteReference"/>
          <w:rFonts w:ascii="Times New Roman" w:hAnsi="Times New Roman" w:cs="Times New Roman"/>
        </w:rPr>
        <w:footnoteReference w:id="456"/>
      </w:r>
      <w:r w:rsidR="00FB6555">
        <w:rPr>
          <w:rFonts w:ascii="Times New Roman" w:hAnsi="Times New Roman" w:cs="Times New Roman"/>
        </w:rPr>
        <w:t xml:space="preserve"> -</w:t>
      </w:r>
      <w:r>
        <w:rPr>
          <w:rFonts w:ascii="Times New Roman" w:hAnsi="Times New Roman" w:cs="Times New Roman"/>
        </w:rPr>
        <w:t xml:space="preserve"> for </w:t>
      </w:r>
      <w:r w:rsidR="00FB6555">
        <w:rPr>
          <w:rFonts w:ascii="Times New Roman" w:hAnsi="Times New Roman" w:cs="Times New Roman"/>
        </w:rPr>
        <w:t xml:space="preserve">militant group </w:t>
      </w:r>
      <w:r>
        <w:rPr>
          <w:rFonts w:ascii="Times New Roman" w:hAnsi="Times New Roman" w:cs="Times New Roman"/>
        </w:rPr>
        <w:t>members to b</w:t>
      </w:r>
      <w:r w:rsidR="00FB6555">
        <w:rPr>
          <w:rFonts w:ascii="Times New Roman" w:hAnsi="Times New Roman" w:cs="Times New Roman"/>
        </w:rPr>
        <w:t>e integrated into:</w:t>
      </w:r>
      <w:r>
        <w:rPr>
          <w:rFonts w:ascii="Times New Roman" w:hAnsi="Times New Roman" w:cs="Times New Roman"/>
        </w:rPr>
        <w:t xml:space="preserve"> military</w:t>
      </w:r>
      <w:r w:rsidR="00FB6555">
        <w:rPr>
          <w:rFonts w:ascii="Times New Roman" w:hAnsi="Times New Roman" w:cs="Times New Roman"/>
        </w:rPr>
        <w:t>;</w:t>
      </w:r>
      <w:r>
        <w:rPr>
          <w:rFonts w:ascii="Times New Roman" w:hAnsi="Times New Roman" w:cs="Times New Roman"/>
        </w:rPr>
        <w:t xml:space="preserve"> political</w:t>
      </w:r>
      <w:r w:rsidR="00FB6555">
        <w:rPr>
          <w:rFonts w:ascii="Times New Roman" w:hAnsi="Times New Roman" w:cs="Times New Roman"/>
        </w:rPr>
        <w:t>;</w:t>
      </w:r>
      <w:r>
        <w:rPr>
          <w:rFonts w:ascii="Times New Roman" w:hAnsi="Times New Roman" w:cs="Times New Roman"/>
        </w:rPr>
        <w:t xml:space="preserve"> community</w:t>
      </w:r>
      <w:r w:rsidR="00FB6555">
        <w:rPr>
          <w:rFonts w:ascii="Times New Roman" w:hAnsi="Times New Roman" w:cs="Times New Roman"/>
        </w:rPr>
        <w:t>;</w:t>
      </w:r>
      <w:r>
        <w:rPr>
          <w:rFonts w:ascii="Times New Roman" w:hAnsi="Times New Roman" w:cs="Times New Roman"/>
        </w:rPr>
        <w:t xml:space="preserve"> and civilian routes</w:t>
      </w:r>
      <w:r w:rsidR="00131ED3">
        <w:rPr>
          <w:rFonts w:ascii="Times New Roman" w:hAnsi="Times New Roman" w:cs="Times New Roman"/>
        </w:rPr>
        <w:t xml:space="preserve"> (although the community route tends to be substantially neglected)</w:t>
      </w:r>
      <w:r>
        <w:rPr>
          <w:rFonts w:ascii="Times New Roman" w:hAnsi="Times New Roman" w:cs="Times New Roman"/>
        </w:rPr>
        <w:t>. As Ozerdem argues, the integration of militants into new roles can help leaders sell a peace agreement to members because there are tangible benefits for them</w:t>
      </w:r>
      <w:r w:rsidR="00B1546E">
        <w:rPr>
          <w:rFonts w:ascii="Times New Roman" w:hAnsi="Times New Roman" w:cs="Times New Roman"/>
        </w:rPr>
        <w:t>.</w:t>
      </w:r>
      <w:r>
        <w:rPr>
          <w:rStyle w:val="FootnoteReference"/>
          <w:rFonts w:ascii="Times New Roman" w:hAnsi="Times New Roman" w:cs="Times New Roman"/>
        </w:rPr>
        <w:footnoteReference w:id="457"/>
      </w:r>
      <w:r>
        <w:rPr>
          <w:rFonts w:ascii="Times New Roman" w:hAnsi="Times New Roman" w:cs="Times New Roman"/>
        </w:rPr>
        <w:t xml:space="preserve"> As there has been much discussion of the Provisional IRA’s organisational disengagement, the chapter analyses a specific case-study to demonstrate how one aspect of organisational disengagement – the mobile phones network - has reduced the risk of recidivism at a societal level. </w:t>
      </w:r>
      <w:r w:rsidR="00131ED3">
        <w:rPr>
          <w:rFonts w:ascii="Times New Roman" w:hAnsi="Times New Roman" w:cs="Times New Roman"/>
        </w:rPr>
        <w:t xml:space="preserve">While social movement theory has tended to neglect organisational disengagement, the application of this approach can provide a substantial contribution to DDR. </w:t>
      </w:r>
      <w:r w:rsidR="00131ED3">
        <w:rPr>
          <w:rFonts w:ascii="Times New Roman" w:hAnsi="Times New Roman" w:cs="Times New Roman"/>
        </w:rPr>
        <w:lastRenderedPageBreak/>
        <w:t>Perspectives on DDR tend to be dominated by a liberal state-building perspective whereby the risk of recidivism is reduced by integrating former combatants into political institutions or ‘back’ into civilian life; in many ways, the terrorism literature also makes this assumption.</w:t>
      </w:r>
      <w:r w:rsidR="00131ED3">
        <w:rPr>
          <w:rStyle w:val="FootnoteReference"/>
          <w:rFonts w:ascii="Times New Roman" w:hAnsi="Times New Roman" w:cs="Times New Roman"/>
        </w:rPr>
        <w:footnoteReference w:id="458"/>
      </w:r>
      <w:r w:rsidR="00131ED3">
        <w:rPr>
          <w:rFonts w:ascii="Times New Roman" w:hAnsi="Times New Roman" w:cs="Times New Roman"/>
        </w:rPr>
        <w:t xml:space="preserve"> However, a social movement approach (specifically of the network analysis variety) indicates that even when a group’s members have been ‘integrated’, relationships between them in their new roles may still be maintained, thus constituting a network of former combatants. Thus, given how networks have been important for mobilisation and involvement in terrorism,</w:t>
      </w:r>
      <w:r w:rsidR="00131ED3">
        <w:rPr>
          <w:rStyle w:val="FootnoteReference"/>
          <w:rFonts w:ascii="Times New Roman" w:hAnsi="Times New Roman" w:cs="Times New Roman"/>
        </w:rPr>
        <w:footnoteReference w:id="459"/>
      </w:r>
      <w:r w:rsidR="00131ED3">
        <w:rPr>
          <w:rFonts w:ascii="Times New Roman" w:hAnsi="Times New Roman" w:cs="Times New Roman"/>
        </w:rPr>
        <w:t xml:space="preserve"> the continuation of networks after DDR and the potential for re-engagement that this brings therefore calls into question the assumptions underpinning organisational disengagement. Therefore, the thesis contends that applying a social movement (network) approach to the study of organisational disengagement will provide a far richer analysis of the process which has not been explored. </w:t>
      </w:r>
      <w:r>
        <w:rPr>
          <w:rFonts w:ascii="Times New Roman" w:hAnsi="Times New Roman" w:cs="Times New Roman"/>
        </w:rPr>
        <w:t>Before outlining the case-study</w:t>
      </w:r>
      <w:r w:rsidR="00131ED3">
        <w:rPr>
          <w:rFonts w:ascii="Times New Roman" w:hAnsi="Times New Roman" w:cs="Times New Roman"/>
        </w:rPr>
        <w:t xml:space="preserve"> of the networks that emerged and were maintained following the Provisional IRA’s organisational disengagement</w:t>
      </w:r>
      <w:r>
        <w:rPr>
          <w:rFonts w:ascii="Times New Roman" w:hAnsi="Times New Roman" w:cs="Times New Roman"/>
        </w:rPr>
        <w:t xml:space="preserve">, the chapter will firstly contextualise this within the Provisional IRA’s organisational disengagement.  </w:t>
      </w:r>
    </w:p>
    <w:p w14:paraId="693521BC" w14:textId="77777777" w:rsidR="00991000" w:rsidRDefault="00991000" w:rsidP="00B57C7F">
      <w:pPr>
        <w:spacing w:line="360" w:lineRule="auto"/>
        <w:jc w:val="both"/>
        <w:rPr>
          <w:rFonts w:ascii="Times New Roman" w:hAnsi="Times New Roman" w:cs="Times New Roman"/>
        </w:rPr>
      </w:pPr>
    </w:p>
    <w:p w14:paraId="365C1CB0" w14:textId="77777777" w:rsidR="00991000" w:rsidRPr="00614E0B" w:rsidRDefault="00991000" w:rsidP="00B57C7F">
      <w:pPr>
        <w:pStyle w:val="Heading4"/>
        <w:spacing w:before="120" w:line="360" w:lineRule="auto"/>
      </w:pPr>
      <w:bookmarkStart w:id="57" w:name="_Toc389208839"/>
      <w:r w:rsidRPr="00614E0B">
        <w:t>Disarmament, Demobilisation and Re-Integration</w:t>
      </w:r>
      <w:bookmarkEnd w:id="57"/>
    </w:p>
    <w:p w14:paraId="06C55B4A"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The disarmament of the Provisional IRA, known as decommissioning, was a contentious process, especially because it was against the group’s constitution</w:t>
      </w:r>
      <w:r w:rsidR="00B1546E">
        <w:rPr>
          <w:rFonts w:ascii="Times New Roman" w:hAnsi="Times New Roman" w:cs="Times New Roman"/>
        </w:rPr>
        <w:t>.</w:t>
      </w:r>
      <w:r>
        <w:rPr>
          <w:rStyle w:val="FootnoteReference"/>
          <w:rFonts w:ascii="Times New Roman" w:hAnsi="Times New Roman" w:cs="Times New Roman"/>
        </w:rPr>
        <w:footnoteReference w:id="460"/>
      </w:r>
      <w:r>
        <w:rPr>
          <w:rFonts w:ascii="Times New Roman" w:hAnsi="Times New Roman" w:cs="Times New Roman"/>
        </w:rPr>
        <w:t xml:space="preserve"> But in 2005, a third party confirmed that the Provisional IRA had put their arsenal beyond use, thus paving the way for Sinn Fein to enter government at Stormont. Decommissioning had been raised as an issue after the 1994 ceasefire, with Unionists and the British government making political negotiations contingent on disarmament. However, this failed because it was unsellable to members who had difficulty accepting negotiations and it was perceived to be a call for surrender rather than the beginning of parity of esteem. The decision to defer disarmament provided the space for the 1998 Good Friday Agreement to emerge, thus providing the incentives to consider disarmament. Decommissioning occurred in 2005 for many of </w:t>
      </w:r>
      <w:r>
        <w:rPr>
          <w:rFonts w:ascii="Times New Roman" w:hAnsi="Times New Roman" w:cs="Times New Roman"/>
        </w:rPr>
        <w:lastRenderedPageBreak/>
        <w:t>the same reasons that led to disengagement in 1994. The disengagement frame diffused by the Provisional IRA leadership, which had been internalised by most members, presented decommissioning as a tactic to be traded in for concessions in political negotiations</w:t>
      </w:r>
      <w:r w:rsidR="00B1546E">
        <w:rPr>
          <w:rFonts w:ascii="Times New Roman" w:hAnsi="Times New Roman" w:cs="Times New Roman"/>
        </w:rPr>
        <w:t>.</w:t>
      </w:r>
      <w:r>
        <w:rPr>
          <w:rStyle w:val="FootnoteReference"/>
          <w:rFonts w:ascii="Times New Roman" w:hAnsi="Times New Roman" w:cs="Times New Roman"/>
        </w:rPr>
        <w:footnoteReference w:id="461"/>
      </w:r>
      <w:r>
        <w:rPr>
          <w:rFonts w:ascii="Times New Roman" w:hAnsi="Times New Roman" w:cs="Times New Roman"/>
        </w:rPr>
        <w:t xml:space="preserve"> Disarmament was portrayed in internal dialogue as not necessarily limiting the option of a return to violence if negotiations failed, as the process of re-arming is easy because ‘you can’t decommission what is in people’s heads’</w:t>
      </w:r>
      <w:r w:rsidR="00B1546E">
        <w:rPr>
          <w:rFonts w:ascii="Times New Roman" w:hAnsi="Times New Roman" w:cs="Times New Roman"/>
        </w:rPr>
        <w:t>.</w:t>
      </w:r>
      <w:r>
        <w:rPr>
          <w:rStyle w:val="FootnoteReference"/>
          <w:rFonts w:ascii="Times New Roman" w:hAnsi="Times New Roman" w:cs="Times New Roman"/>
        </w:rPr>
        <w:footnoteReference w:id="462"/>
      </w:r>
      <w:r>
        <w:rPr>
          <w:rFonts w:ascii="Times New Roman" w:hAnsi="Times New Roman" w:cs="Times New Roman"/>
        </w:rPr>
        <w:t xml:space="preserve"> The option of a return to violence, as represented by the TUAS strategy of the period, provided some members with comfort to help them make the progression, but organisational disengagement would diminish the need for that option</w:t>
      </w:r>
      <w:r w:rsidR="00B1546E">
        <w:rPr>
          <w:rFonts w:ascii="Times New Roman" w:hAnsi="Times New Roman" w:cs="Times New Roman"/>
        </w:rPr>
        <w:t>.</w:t>
      </w:r>
      <w:r>
        <w:rPr>
          <w:rStyle w:val="FootnoteReference"/>
          <w:rFonts w:ascii="Times New Roman" w:hAnsi="Times New Roman" w:cs="Times New Roman"/>
        </w:rPr>
        <w:footnoteReference w:id="463"/>
      </w:r>
      <w:r>
        <w:rPr>
          <w:rFonts w:ascii="Times New Roman" w:hAnsi="Times New Roman" w:cs="Times New Roman"/>
        </w:rPr>
        <w:t xml:space="preserve">  Other external factors, mainly the September 11</w:t>
      </w:r>
      <w:r w:rsidRPr="00884AC4">
        <w:rPr>
          <w:rFonts w:ascii="Times New Roman" w:hAnsi="Times New Roman" w:cs="Times New Roman"/>
          <w:vertAlign w:val="superscript"/>
        </w:rPr>
        <w:t>th</w:t>
      </w:r>
      <w:r>
        <w:rPr>
          <w:rFonts w:ascii="Times New Roman" w:hAnsi="Times New Roman" w:cs="Times New Roman"/>
        </w:rPr>
        <w:t xml:space="preserve"> attacks, helped the</w:t>
      </w:r>
      <w:r w:rsidR="00B76118">
        <w:rPr>
          <w:rFonts w:ascii="Times New Roman" w:hAnsi="Times New Roman" w:cs="Times New Roman"/>
        </w:rPr>
        <w:t xml:space="preserve"> leadership to convince members. This </w:t>
      </w:r>
      <w:r>
        <w:rPr>
          <w:rFonts w:ascii="Times New Roman" w:hAnsi="Times New Roman" w:cs="Times New Roman"/>
        </w:rPr>
        <w:t>encouraged the leadership that the time had come to make the trade of disarmament. Disarmament was not entirely successful, with some members opposed to disengagement taking a significant amount of weapons to form the Real IRA. Considering the dismissal of disarmament reducing the ability to return to violence, the most substantial impact of disarmament on reducing the risk of recidivism was in enabling the Provisional IRA to progress to other forms of organisational disengagement. It was when members adopted these new roles that they began to put to rest the option of returning to violence in their mind</w:t>
      </w:r>
      <w:r w:rsidR="00B1546E">
        <w:rPr>
          <w:rFonts w:ascii="Times New Roman" w:hAnsi="Times New Roman" w:cs="Times New Roman"/>
        </w:rPr>
        <w:t>.</w:t>
      </w:r>
      <w:r>
        <w:rPr>
          <w:rStyle w:val="FootnoteReference"/>
          <w:rFonts w:ascii="Times New Roman" w:hAnsi="Times New Roman" w:cs="Times New Roman"/>
        </w:rPr>
        <w:footnoteReference w:id="464"/>
      </w:r>
      <w:r>
        <w:rPr>
          <w:rFonts w:ascii="Times New Roman" w:hAnsi="Times New Roman" w:cs="Times New Roman"/>
        </w:rPr>
        <w:t xml:space="preserve"> Thus, while disarmament may have played a small role in leaving violence behind and limited the potential resources for dissident Republicans, its real impact on recidivism reduction was in moving the b</w:t>
      </w:r>
      <w:r w:rsidR="00B76118">
        <w:rPr>
          <w:rFonts w:ascii="Times New Roman" w:hAnsi="Times New Roman" w:cs="Times New Roman"/>
        </w:rPr>
        <w:t>arrier</w:t>
      </w:r>
      <w:r>
        <w:rPr>
          <w:rFonts w:ascii="Times New Roman" w:hAnsi="Times New Roman" w:cs="Times New Roman"/>
        </w:rPr>
        <w:t xml:space="preserve"> to further disengagement and it paved the way for other militant groups to consider disengagement (discussed below).     </w:t>
      </w:r>
    </w:p>
    <w:p w14:paraId="5C4BE712"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In terms of demobilisation, which refers to the dismantlement of command structures, the Provisional IRA formally completed demobilisation in 2005</w:t>
      </w:r>
      <w:r w:rsidR="00CC4EF2">
        <w:rPr>
          <w:rFonts w:ascii="Times New Roman" w:hAnsi="Times New Roman" w:cs="Times New Roman"/>
        </w:rPr>
        <w:t>.</w:t>
      </w:r>
      <w:r>
        <w:rPr>
          <w:rFonts w:ascii="Times New Roman" w:hAnsi="Times New Roman" w:cs="Times New Roman"/>
        </w:rPr>
        <w:t xml:space="preserve"> However, as noted by Shirlow et al, most research on the Provisional IRA underplays the extent that, organisationally, it still functions in one form or another. One Loyalist perceived that there still exists a command structure and that the army council continue to meet</w:t>
      </w:r>
      <w:r w:rsidR="00B1546E">
        <w:rPr>
          <w:rFonts w:ascii="Times New Roman" w:hAnsi="Times New Roman" w:cs="Times New Roman"/>
        </w:rPr>
        <w:t>,</w:t>
      </w:r>
      <w:r>
        <w:rPr>
          <w:rStyle w:val="FootnoteReference"/>
          <w:rFonts w:ascii="Times New Roman" w:hAnsi="Times New Roman" w:cs="Times New Roman"/>
        </w:rPr>
        <w:footnoteReference w:id="465"/>
      </w:r>
      <w:r>
        <w:rPr>
          <w:rFonts w:ascii="Times New Roman" w:hAnsi="Times New Roman" w:cs="Times New Roman"/>
        </w:rPr>
        <w:t xml:space="preserve"> and while this has been largely merged into Sinn Fein</w:t>
      </w:r>
      <w:r w:rsidR="00B1546E">
        <w:rPr>
          <w:rFonts w:ascii="Times New Roman" w:hAnsi="Times New Roman" w:cs="Times New Roman"/>
        </w:rPr>
        <w:t>,</w:t>
      </w:r>
      <w:r>
        <w:rPr>
          <w:rStyle w:val="FootnoteReference"/>
          <w:rFonts w:ascii="Times New Roman" w:hAnsi="Times New Roman" w:cs="Times New Roman"/>
        </w:rPr>
        <w:footnoteReference w:id="466"/>
      </w:r>
      <w:r>
        <w:rPr>
          <w:rFonts w:ascii="Times New Roman" w:hAnsi="Times New Roman" w:cs="Times New Roman"/>
        </w:rPr>
        <w:t xml:space="preserve"> it also </w:t>
      </w:r>
      <w:r>
        <w:rPr>
          <w:rFonts w:ascii="Times New Roman" w:hAnsi="Times New Roman" w:cs="Times New Roman"/>
        </w:rPr>
        <w:lastRenderedPageBreak/>
        <w:t>manifests itself in ex-prisoner groups and informal social networks, with volunteers engaging in community activism as part of continuing to serve the Republican movement. Informal demobilisation is a common feature, with Loyalist groups still maintaining their organisational structure and even bringing in new recruits</w:t>
      </w:r>
      <w:r w:rsidR="00B1546E">
        <w:rPr>
          <w:rFonts w:ascii="Times New Roman" w:hAnsi="Times New Roman" w:cs="Times New Roman"/>
        </w:rPr>
        <w:t>.</w:t>
      </w:r>
      <w:r w:rsidR="00CC4EF2">
        <w:rPr>
          <w:rStyle w:val="FootnoteReference"/>
          <w:rFonts w:ascii="Times New Roman" w:hAnsi="Times New Roman" w:cs="Times New Roman"/>
        </w:rPr>
        <w:footnoteReference w:id="467"/>
      </w:r>
      <w:r>
        <w:rPr>
          <w:rFonts w:ascii="Times New Roman" w:hAnsi="Times New Roman" w:cs="Times New Roman"/>
        </w:rPr>
        <w:t xml:space="preserve"> However, contrary to many of the assumptions on the need for demobilisation to reduce the risk of recidivism</w:t>
      </w:r>
      <w:r w:rsidR="00CC4EF2">
        <w:rPr>
          <w:rFonts w:ascii="Times New Roman" w:hAnsi="Times New Roman" w:cs="Times New Roman"/>
        </w:rPr>
        <w:t xml:space="preserve"> made in the literature</w:t>
      </w:r>
      <w:r>
        <w:rPr>
          <w:rFonts w:ascii="Times New Roman" w:hAnsi="Times New Roman" w:cs="Times New Roman"/>
        </w:rPr>
        <w:t>, the Provisional IRA’s continuation as an informal social network has in fact helped to reduce vi</w:t>
      </w:r>
      <w:r w:rsidR="00CC4EF2">
        <w:rPr>
          <w:rFonts w:ascii="Times New Roman" w:hAnsi="Times New Roman" w:cs="Times New Roman"/>
        </w:rPr>
        <w:t>olence and the risk of violence.</w:t>
      </w:r>
      <w:r>
        <w:rPr>
          <w:rFonts w:ascii="Times New Roman" w:hAnsi="Times New Roman" w:cs="Times New Roman"/>
        </w:rPr>
        <w:t xml:space="preserve"> </w:t>
      </w:r>
      <w:r w:rsidR="00CC4EF2">
        <w:rPr>
          <w:rFonts w:ascii="Times New Roman" w:hAnsi="Times New Roman" w:cs="Times New Roman"/>
        </w:rPr>
        <w:t>I</w:t>
      </w:r>
      <w:r>
        <w:rPr>
          <w:rFonts w:ascii="Times New Roman" w:hAnsi="Times New Roman" w:cs="Times New Roman"/>
        </w:rPr>
        <w:t>t has provided them with activists that can be mobil</w:t>
      </w:r>
      <w:r w:rsidR="00CC4EF2">
        <w:rPr>
          <w:rFonts w:ascii="Times New Roman" w:hAnsi="Times New Roman" w:cs="Times New Roman"/>
        </w:rPr>
        <w:t>ised in conflict transformation</w:t>
      </w:r>
      <w:r>
        <w:rPr>
          <w:rFonts w:ascii="Times New Roman" w:hAnsi="Times New Roman" w:cs="Times New Roman"/>
        </w:rPr>
        <w:t xml:space="preserve"> and the existence of a hierarchy allows local leaders of the militant groups to meet up and discuss flare ups in violence to then return to their members and pass on the outcomes of the meeting. The reason why demobilisation took an informal nature which actually helped to red</w:t>
      </w:r>
      <w:r w:rsidR="00B76118">
        <w:rPr>
          <w:rFonts w:ascii="Times New Roman" w:hAnsi="Times New Roman" w:cs="Times New Roman"/>
        </w:rPr>
        <w:t xml:space="preserve">uce the risk of recidivism was </w:t>
      </w:r>
      <w:r>
        <w:rPr>
          <w:rFonts w:ascii="Times New Roman" w:hAnsi="Times New Roman" w:cs="Times New Roman"/>
        </w:rPr>
        <w:t>because attempts to build frame r</w:t>
      </w:r>
      <w:r w:rsidR="00B76118">
        <w:rPr>
          <w:rFonts w:ascii="Times New Roman" w:hAnsi="Times New Roman" w:cs="Times New Roman"/>
        </w:rPr>
        <w:t>esonance had been so successful</w:t>
      </w:r>
      <w:r>
        <w:rPr>
          <w:rFonts w:ascii="Times New Roman" w:hAnsi="Times New Roman" w:cs="Times New Roman"/>
        </w:rPr>
        <w:t xml:space="preserve"> a</w:t>
      </w:r>
      <w:r w:rsidR="00B76118">
        <w:rPr>
          <w:rFonts w:ascii="Times New Roman" w:hAnsi="Times New Roman" w:cs="Times New Roman"/>
        </w:rPr>
        <w:t xml:space="preserve">nd </w:t>
      </w:r>
      <w:r>
        <w:rPr>
          <w:rFonts w:ascii="Times New Roman" w:hAnsi="Times New Roman" w:cs="Times New Roman"/>
        </w:rPr>
        <w:t xml:space="preserve">because of the exit routes for members to re-integrate into.  </w:t>
      </w:r>
    </w:p>
    <w:p w14:paraId="04042E92" w14:textId="68CE8B26" w:rsidR="000103E0" w:rsidRDefault="00991000" w:rsidP="000103E0">
      <w:pPr>
        <w:spacing w:line="360" w:lineRule="auto"/>
        <w:ind w:firstLine="567"/>
        <w:jc w:val="both"/>
        <w:rPr>
          <w:rFonts w:ascii="Times New Roman" w:hAnsi="Times New Roman" w:cs="Times New Roman"/>
        </w:rPr>
      </w:pPr>
      <w:r>
        <w:rPr>
          <w:rFonts w:ascii="Times New Roman" w:hAnsi="Times New Roman" w:cs="Times New Roman"/>
        </w:rPr>
        <w:t>The type of conflict and the nature of the group in question can shape which exit routes are available to a group that is disengaging. For the Provisional IRA, the option of disengaging into military structures, as had happened for Fatah-PLO, was closed off because of the perceived illegitimacy of such a move. A political route, however, had been gradually legitimised since 1986 therefore the Provisional IRA had by and large merged into Sinn Fein’s political structures. A community route, cultiv</w:t>
      </w:r>
      <w:r w:rsidR="001A59F0">
        <w:rPr>
          <w:rFonts w:ascii="Times New Roman" w:hAnsi="Times New Roman" w:cs="Times New Roman"/>
        </w:rPr>
        <w:t xml:space="preserve">ated through years of grassroots activism </w:t>
      </w:r>
      <w:r>
        <w:rPr>
          <w:rFonts w:ascii="Times New Roman" w:hAnsi="Times New Roman" w:cs="Times New Roman"/>
        </w:rPr>
        <w:t xml:space="preserve">and European Union funding, presented an alternative option for Provisional IRA members who could not or would not be integrated into the political routes. </w:t>
      </w:r>
      <w:r w:rsidR="000103E0">
        <w:rPr>
          <w:rFonts w:ascii="Times New Roman" w:hAnsi="Times New Roman" w:cs="Times New Roman"/>
        </w:rPr>
        <w:t>Since 1995</w:t>
      </w:r>
      <w:r w:rsidR="00185453">
        <w:rPr>
          <w:rFonts w:ascii="Times New Roman" w:hAnsi="Times New Roman" w:cs="Times New Roman"/>
        </w:rPr>
        <w:t>, alongside funding from other international organisations, the European Union has channelled £2 billion to promote reconciliation</w:t>
      </w:r>
      <w:r w:rsidR="00B1546E">
        <w:rPr>
          <w:rFonts w:ascii="Times New Roman" w:hAnsi="Times New Roman" w:cs="Times New Roman"/>
        </w:rPr>
        <w:t>.</w:t>
      </w:r>
      <w:r w:rsidR="00185453">
        <w:rPr>
          <w:rStyle w:val="FootnoteReference"/>
          <w:rFonts w:ascii="Times New Roman" w:hAnsi="Times New Roman" w:cs="Times New Roman"/>
        </w:rPr>
        <w:footnoteReference w:id="468"/>
      </w:r>
      <w:r w:rsidR="00185453">
        <w:rPr>
          <w:rFonts w:ascii="Times New Roman" w:hAnsi="Times New Roman" w:cs="Times New Roman"/>
        </w:rPr>
        <w:t xml:space="preserve"> </w:t>
      </w:r>
      <w:r w:rsidR="00082C0F">
        <w:rPr>
          <w:rFonts w:ascii="Times New Roman" w:hAnsi="Times New Roman" w:cs="Times New Roman"/>
        </w:rPr>
        <w:t xml:space="preserve">While organisational disengagement is often undertaken under the auspices of the state, the fact that this is the very state which a militant group fought over its legitimacy can act as a barrier to groups wishing to organisationally disengage. Thus, the European Union could provide funding which </w:t>
      </w:r>
      <w:r w:rsidR="00082C0F">
        <w:rPr>
          <w:rFonts w:ascii="Times New Roman" w:hAnsi="Times New Roman" w:cs="Times New Roman"/>
        </w:rPr>
        <w:lastRenderedPageBreak/>
        <w:t>the Provisional IRA could legitimately apply for</w:t>
      </w:r>
      <w:r w:rsidR="00B1546E">
        <w:rPr>
          <w:rFonts w:ascii="Times New Roman" w:hAnsi="Times New Roman" w:cs="Times New Roman"/>
        </w:rPr>
        <w:t>,</w:t>
      </w:r>
      <w:r w:rsidR="00082C0F">
        <w:rPr>
          <w:rStyle w:val="FootnoteReference"/>
          <w:rFonts w:ascii="Times New Roman" w:hAnsi="Times New Roman" w:cs="Times New Roman"/>
        </w:rPr>
        <w:footnoteReference w:id="469"/>
      </w:r>
      <w:r w:rsidR="00082C0F">
        <w:rPr>
          <w:rFonts w:ascii="Times New Roman" w:hAnsi="Times New Roman" w:cs="Times New Roman"/>
        </w:rPr>
        <w:t xml:space="preserve"> under its PEACE I, II and III projects aimed at initiatives working toward conflict transformation.</w:t>
      </w:r>
      <w:r w:rsidR="00185453">
        <w:rPr>
          <w:rFonts w:ascii="Times New Roman" w:hAnsi="Times New Roman" w:cs="Times New Roman"/>
        </w:rPr>
        <w:t xml:space="preserve"> </w:t>
      </w:r>
      <w:r w:rsidR="000103E0">
        <w:rPr>
          <w:rFonts w:ascii="Times New Roman" w:hAnsi="Times New Roman" w:cs="Times New Roman"/>
        </w:rPr>
        <w:t>The PEACE funding initiatives began in 1995 and a PEACE IV stage has been launched from 2014 to 2020, providing 105 million Euros in funding for the purpose of peace and reconciliation.</w:t>
      </w:r>
      <w:r w:rsidR="0080620D">
        <w:rPr>
          <w:rStyle w:val="FootnoteReference"/>
          <w:rFonts w:ascii="Times New Roman" w:hAnsi="Times New Roman" w:cs="Times New Roman"/>
        </w:rPr>
        <w:footnoteReference w:id="470"/>
      </w:r>
      <w:r w:rsidR="000103E0">
        <w:rPr>
          <w:rFonts w:ascii="Times New Roman" w:hAnsi="Times New Roman" w:cs="Times New Roman"/>
        </w:rPr>
        <w:t xml:space="preserve"> </w:t>
      </w:r>
    </w:p>
    <w:p w14:paraId="183BF928" w14:textId="6C1BDD42" w:rsidR="008C18A1" w:rsidRDefault="008C18A1" w:rsidP="00B57C7F">
      <w:pPr>
        <w:spacing w:line="360" w:lineRule="auto"/>
        <w:ind w:firstLine="567"/>
        <w:jc w:val="both"/>
        <w:rPr>
          <w:rFonts w:ascii="Times New Roman" w:hAnsi="Times New Roman" w:cs="Times New Roman"/>
        </w:rPr>
      </w:pPr>
      <w:r>
        <w:rPr>
          <w:rFonts w:ascii="Times New Roman" w:hAnsi="Times New Roman" w:cs="Times New Roman"/>
        </w:rPr>
        <w:t>One such area that the chapter focuses on is initiatives at interface areas – areas where traditionally Republican and Loyalist areas that are separated by barriers meet at intersections. In Belfast there are thirteen interface clusters in four geographical areas: Suffolk-Lenadoon (South West Belfast); Falls-Shankill and Divis (West Belfast); Ardoyne-Glenbryn (North Belfast); and Short Strand-Inner East Belfast.</w:t>
      </w:r>
      <w:r w:rsidR="00F8520A">
        <w:rPr>
          <w:rFonts w:ascii="Times New Roman" w:hAnsi="Times New Roman" w:cs="Times New Roman"/>
        </w:rPr>
        <w:t xml:space="preserve"> As will be discussed below (and as outlined in Chapter Two), a number of organisations have sprung up to work at stopping interface violence, the biggest being Belfast Interface Project, North Belfast Interface Network, and Intercomm, and with a number of government agencies and local government also playing a role. Interface work is also complemented by informal networks and by individuals associated with paramilitary groups. Each of the groups actively involved in working at the interface areas consist of a handful of people but they are able to draw into their personal networks in the paramilitary groups to help out. At each interface area there are usually four people on each side who are active regularly. </w:t>
      </w:r>
      <w:r>
        <w:rPr>
          <w:rFonts w:ascii="Times New Roman" w:hAnsi="Times New Roman" w:cs="Times New Roman"/>
        </w:rPr>
        <w:t xml:space="preserve"> </w:t>
      </w:r>
    </w:p>
    <w:p w14:paraId="66EC786D" w14:textId="5A733F21" w:rsidR="00991000" w:rsidRDefault="00F8520A" w:rsidP="00B57C7F">
      <w:pPr>
        <w:spacing w:line="360" w:lineRule="auto"/>
        <w:ind w:firstLine="567"/>
        <w:jc w:val="both"/>
        <w:rPr>
          <w:rFonts w:ascii="Times New Roman" w:hAnsi="Times New Roman" w:cs="Times New Roman"/>
        </w:rPr>
      </w:pPr>
      <w:r>
        <w:rPr>
          <w:rFonts w:ascii="Times New Roman" w:hAnsi="Times New Roman" w:cs="Times New Roman"/>
        </w:rPr>
        <w:t>Another aspect to the community route has been the presence of ex-prisoner groups, which have also played a significant role in the interface projects outlined above. F</w:t>
      </w:r>
      <w:r w:rsidR="001A59F0">
        <w:rPr>
          <w:rFonts w:ascii="Times New Roman" w:hAnsi="Times New Roman" w:cs="Times New Roman"/>
        </w:rPr>
        <w:t>ormer prisoners re-entered a society where they had limited options to rebuild their careers and faced marginalisation because of their time in prison</w:t>
      </w:r>
      <w:r w:rsidR="00B1546E">
        <w:rPr>
          <w:rFonts w:ascii="Times New Roman" w:hAnsi="Times New Roman" w:cs="Times New Roman"/>
        </w:rPr>
        <w:t>.</w:t>
      </w:r>
      <w:r w:rsidR="001A59F0">
        <w:rPr>
          <w:rStyle w:val="FootnoteReference"/>
          <w:rFonts w:ascii="Times New Roman" w:hAnsi="Times New Roman" w:cs="Times New Roman"/>
        </w:rPr>
        <w:footnoteReference w:id="471"/>
      </w:r>
      <w:r w:rsidR="001A59F0">
        <w:rPr>
          <w:rFonts w:ascii="Times New Roman" w:hAnsi="Times New Roman" w:cs="Times New Roman"/>
        </w:rPr>
        <w:t xml:space="preserve"> T</w:t>
      </w:r>
      <w:r w:rsidR="00991000">
        <w:rPr>
          <w:rFonts w:ascii="Times New Roman" w:hAnsi="Times New Roman" w:cs="Times New Roman"/>
        </w:rPr>
        <w:t xml:space="preserve">he lack of services and job prospects for </w:t>
      </w:r>
      <w:r w:rsidR="002C4940">
        <w:rPr>
          <w:rFonts w:ascii="Times New Roman" w:hAnsi="Times New Roman" w:cs="Times New Roman"/>
        </w:rPr>
        <w:t xml:space="preserve">former Republican and Loyalist prisoners – 25,000 since the 1970s, 15,000 of whom were Republicans </w:t>
      </w:r>
      <w:r w:rsidR="00991000">
        <w:rPr>
          <w:rFonts w:ascii="Times New Roman" w:hAnsi="Times New Roman" w:cs="Times New Roman"/>
        </w:rPr>
        <w:t>- meant there was a need for the group to provide support for its members, and this has the effect of increasing loyalty between members and dependency on the informal social network</w:t>
      </w:r>
      <w:r w:rsidR="00B1546E">
        <w:rPr>
          <w:rFonts w:ascii="Times New Roman" w:hAnsi="Times New Roman" w:cs="Times New Roman"/>
        </w:rPr>
        <w:t>.</w:t>
      </w:r>
      <w:r w:rsidR="001A59F0">
        <w:rPr>
          <w:rStyle w:val="FootnoteReference"/>
          <w:rFonts w:ascii="Times New Roman" w:hAnsi="Times New Roman" w:cs="Times New Roman"/>
        </w:rPr>
        <w:footnoteReference w:id="472"/>
      </w:r>
      <w:r w:rsidR="001A59F0">
        <w:rPr>
          <w:rFonts w:ascii="Times New Roman" w:hAnsi="Times New Roman" w:cs="Times New Roman"/>
        </w:rPr>
        <w:t xml:space="preserve"> </w:t>
      </w:r>
      <w:r w:rsidR="001A59F0">
        <w:rPr>
          <w:rFonts w:ascii="Times New Roman" w:hAnsi="Times New Roman" w:cs="Times New Roman"/>
        </w:rPr>
        <w:lastRenderedPageBreak/>
        <w:t>Furthermore, it incentivises</w:t>
      </w:r>
      <w:r w:rsidR="00991000">
        <w:rPr>
          <w:rFonts w:ascii="Times New Roman" w:hAnsi="Times New Roman" w:cs="Times New Roman"/>
        </w:rPr>
        <w:t xml:space="preserve"> remaining disengaged, and provides legitimacy and credibility within the community which dissident Republicans cannot compete with. Finally, the lack of legitimacy the police force have in Republican communities creates a demand for the Provisional IRA members to meet, and while punishment meetings are not a viable option now, other creative means such as restorative justice need to be used to prevent dissident Republicans exploiting this opportunity. </w:t>
      </w:r>
    </w:p>
    <w:p w14:paraId="18D4D41A"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The chapter will now focus on one particular manifestation of organisational disengagement to demonstrate how it functions to reduce the risk of recidivism. Shirlow et al have highlighted the role of former prisoners in conflict </w:t>
      </w:r>
      <w:r w:rsidR="001A59F0">
        <w:rPr>
          <w:rFonts w:ascii="Times New Roman" w:hAnsi="Times New Roman" w:cs="Times New Roman"/>
        </w:rPr>
        <w:t>transformation but</w:t>
      </w:r>
      <w:r>
        <w:rPr>
          <w:rFonts w:ascii="Times New Roman" w:hAnsi="Times New Roman" w:cs="Times New Roman"/>
        </w:rPr>
        <w:t xml:space="preserve"> </w:t>
      </w:r>
      <w:r w:rsidR="00082C0F">
        <w:rPr>
          <w:rFonts w:ascii="Times New Roman" w:hAnsi="Times New Roman" w:cs="Times New Roman"/>
        </w:rPr>
        <w:t>have</w:t>
      </w:r>
      <w:r>
        <w:rPr>
          <w:rFonts w:ascii="Times New Roman" w:hAnsi="Times New Roman" w:cs="Times New Roman"/>
        </w:rPr>
        <w:t xml:space="preserve"> not explore</w:t>
      </w:r>
      <w:r w:rsidR="00082C0F">
        <w:rPr>
          <w:rFonts w:ascii="Times New Roman" w:hAnsi="Times New Roman" w:cs="Times New Roman"/>
        </w:rPr>
        <w:t>d</w:t>
      </w:r>
      <w:r>
        <w:rPr>
          <w:rFonts w:ascii="Times New Roman" w:hAnsi="Times New Roman" w:cs="Times New Roman"/>
        </w:rPr>
        <w:t xml:space="preserve"> in detail the work that is conducted at interface areas that connect Republican and Loyalist communities. Through the case-study based on interviews conducted in Belfast,</w:t>
      </w:r>
      <w:r w:rsidR="00B76118">
        <w:rPr>
          <w:rFonts w:ascii="Times New Roman" w:hAnsi="Times New Roman" w:cs="Times New Roman"/>
        </w:rPr>
        <w:t xml:space="preserve"> August</w:t>
      </w:r>
      <w:r>
        <w:rPr>
          <w:rFonts w:ascii="Times New Roman" w:hAnsi="Times New Roman" w:cs="Times New Roman"/>
        </w:rPr>
        <w:t xml:space="preserve"> 2013, the thesis demonstrates how the manner in which the Provisional IRA disengaged organisationally reduced the risk of recidivism, limited opportunities for dissident Republicans, and, through interaction, led to a ‘domino-effect’ with other militant groups agreeing to disengage.   </w:t>
      </w:r>
    </w:p>
    <w:p w14:paraId="37D9AF81" w14:textId="77777777" w:rsidR="00991000" w:rsidRDefault="00991000" w:rsidP="00B57C7F">
      <w:pPr>
        <w:spacing w:line="360" w:lineRule="auto"/>
        <w:jc w:val="both"/>
        <w:rPr>
          <w:rFonts w:ascii="Times New Roman" w:hAnsi="Times New Roman" w:cs="Times New Roman"/>
        </w:rPr>
      </w:pPr>
    </w:p>
    <w:p w14:paraId="352EBB56" w14:textId="77777777" w:rsidR="00991000" w:rsidRPr="00F1752C" w:rsidRDefault="00991000" w:rsidP="00B57C7F">
      <w:pPr>
        <w:pStyle w:val="Heading4"/>
        <w:spacing w:before="120" w:line="360" w:lineRule="auto"/>
      </w:pPr>
      <w:bookmarkStart w:id="58" w:name="_Toc389208840"/>
      <w:r w:rsidRPr="00F1752C">
        <w:t>Mobile Phone Networks and Interface Violence</w:t>
      </w:r>
      <w:bookmarkEnd w:id="58"/>
    </w:p>
    <w:p w14:paraId="5CD5930E" w14:textId="5B8B5F38" w:rsidR="005E5746"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For disengagement to be successful at reducing the risk of recidivism at a </w:t>
      </w:r>
      <w:r w:rsidR="00512F21">
        <w:rPr>
          <w:rFonts w:ascii="Times New Roman" w:hAnsi="Times New Roman" w:cs="Times New Roman"/>
        </w:rPr>
        <w:t>social movement</w:t>
      </w:r>
      <w:r>
        <w:rPr>
          <w:rFonts w:ascii="Times New Roman" w:hAnsi="Times New Roman" w:cs="Times New Roman"/>
        </w:rPr>
        <w:t xml:space="preserve"> level, the causes of violence, or at least a substantial number of them, need to be addressed. Most studies on disengagement focus on the group level, meaning there is a tautology that they are the causes of violence, or they are dismissive of the argument that resolving the ‘root causes’ of terrorism ever results in disengagement</w:t>
      </w:r>
      <w:r w:rsidR="00B1546E">
        <w:rPr>
          <w:rFonts w:ascii="Times New Roman" w:hAnsi="Times New Roman" w:cs="Times New Roman"/>
        </w:rPr>
        <w:t>.</w:t>
      </w:r>
      <w:r>
        <w:rPr>
          <w:rStyle w:val="FootnoteReference"/>
          <w:rFonts w:ascii="Times New Roman" w:hAnsi="Times New Roman" w:cs="Times New Roman"/>
        </w:rPr>
        <w:footnoteReference w:id="473"/>
      </w:r>
      <w:r w:rsidR="006478CA">
        <w:rPr>
          <w:rFonts w:ascii="Times New Roman" w:hAnsi="Times New Roman" w:cs="Times New Roman"/>
        </w:rPr>
        <w:t xml:space="preserve"> As discussed in Chapter One, research on preventing and countering radicalisation, in effect, seeks to link the causes of terrorism to its decline. The thesis co-opts the three factors identified in the literature</w:t>
      </w:r>
      <w:r w:rsidR="009131EA">
        <w:rPr>
          <w:rFonts w:ascii="Times New Roman" w:hAnsi="Times New Roman" w:cs="Times New Roman"/>
        </w:rPr>
        <w:t xml:space="preserve"> to explain how social movement disengagement occurs</w:t>
      </w:r>
      <w:r w:rsidR="006478CA">
        <w:rPr>
          <w:rFonts w:ascii="Times New Roman" w:hAnsi="Times New Roman" w:cs="Times New Roman"/>
        </w:rPr>
        <w:t xml:space="preserve">: counter-narratives (attitudinal change); counter-grievances (political change); and counter-mobilisation </w:t>
      </w:r>
      <w:r w:rsidR="009131EA">
        <w:rPr>
          <w:rFonts w:ascii="Times New Roman" w:hAnsi="Times New Roman" w:cs="Times New Roman"/>
        </w:rPr>
        <w:t>(organisational disengagement).</w:t>
      </w:r>
      <w:r>
        <w:rPr>
          <w:rFonts w:ascii="Times New Roman" w:hAnsi="Times New Roman" w:cs="Times New Roman"/>
        </w:rPr>
        <w:t xml:space="preserve"> </w:t>
      </w:r>
      <w:r w:rsidR="009131EA">
        <w:rPr>
          <w:rFonts w:ascii="Times New Roman" w:hAnsi="Times New Roman" w:cs="Times New Roman"/>
        </w:rPr>
        <w:t xml:space="preserve">With regard to the latter, the thesis focuses on how one type of cause </w:t>
      </w:r>
      <w:r>
        <w:rPr>
          <w:rFonts w:ascii="Times New Roman" w:hAnsi="Times New Roman" w:cs="Times New Roman"/>
        </w:rPr>
        <w:t xml:space="preserve">– trigger causes – can pose problems for attempts at disengagement and how these are overcome. Trigger causes are specific events that immediately precede the </w:t>
      </w:r>
      <w:r>
        <w:rPr>
          <w:rFonts w:ascii="Times New Roman" w:hAnsi="Times New Roman" w:cs="Times New Roman"/>
        </w:rPr>
        <w:lastRenderedPageBreak/>
        <w:t>occurrence of terrorism</w:t>
      </w:r>
      <w:r>
        <w:rPr>
          <w:rStyle w:val="FootnoteReference"/>
          <w:rFonts w:ascii="Times New Roman" w:hAnsi="Times New Roman" w:cs="Times New Roman"/>
        </w:rPr>
        <w:footnoteReference w:id="474"/>
      </w:r>
      <w:r w:rsidR="005E5746">
        <w:rPr>
          <w:rFonts w:ascii="Times New Roman" w:hAnsi="Times New Roman" w:cs="Times New Roman"/>
        </w:rPr>
        <w:t xml:space="preserve"> and they can provide opportunities for militant groups wishing to mobilise potential supporters</w:t>
      </w:r>
      <w:r>
        <w:rPr>
          <w:rFonts w:ascii="Times New Roman" w:hAnsi="Times New Roman" w:cs="Times New Roman"/>
        </w:rPr>
        <w:t>.</w:t>
      </w:r>
      <w:r w:rsidR="00512F21">
        <w:rPr>
          <w:rFonts w:ascii="Times New Roman" w:hAnsi="Times New Roman" w:cs="Times New Roman"/>
        </w:rPr>
        <w:t xml:space="preserve"> </w:t>
      </w:r>
      <w:r w:rsidR="001B3C6F">
        <w:rPr>
          <w:rFonts w:ascii="Times New Roman" w:hAnsi="Times New Roman" w:cs="Times New Roman"/>
        </w:rPr>
        <w:t xml:space="preserve">As the thesis will demonstrate, trigger causes can also be structural, and something which is under-appreciated in the terrorism literature is how militant groups can often be pulled in to (re)engaging in violence because of these causes and the expectations of their sympathisers.  </w:t>
      </w:r>
    </w:p>
    <w:p w14:paraId="08775E80" w14:textId="0CD0C289" w:rsidR="00991000" w:rsidRDefault="007C34E2" w:rsidP="00B57C7F">
      <w:pPr>
        <w:spacing w:line="360" w:lineRule="auto"/>
        <w:ind w:firstLine="567"/>
        <w:jc w:val="both"/>
        <w:rPr>
          <w:rFonts w:ascii="Times New Roman" w:hAnsi="Times New Roman" w:cs="Times New Roman"/>
        </w:rPr>
      </w:pPr>
      <w:r>
        <w:rPr>
          <w:rFonts w:ascii="Times New Roman" w:hAnsi="Times New Roman" w:cs="Times New Roman"/>
        </w:rPr>
        <w:t>One such trigger cause is interface areas in Belfast. Republican and Loyalist communities in Belfast are often divided by barriers, known as ‘peace walls’, with both communities meeting at certain intersection areas. In the most volatile of interface areas, the militant groups have a significant presence in their communities</w:t>
      </w:r>
      <w:r w:rsidR="003D6BE9">
        <w:rPr>
          <w:rFonts w:ascii="Times New Roman" w:hAnsi="Times New Roman" w:cs="Times New Roman"/>
        </w:rPr>
        <w:t xml:space="preserve"> and this presence</w:t>
      </w:r>
      <w:r>
        <w:rPr>
          <w:rFonts w:ascii="Times New Roman" w:hAnsi="Times New Roman" w:cs="Times New Roman"/>
        </w:rPr>
        <w:t xml:space="preserve"> has often come at the expense of the police-force who ha</w:t>
      </w:r>
      <w:r w:rsidR="008D4900">
        <w:rPr>
          <w:rFonts w:ascii="Times New Roman" w:hAnsi="Times New Roman" w:cs="Times New Roman"/>
        </w:rPr>
        <w:t>s</w:t>
      </w:r>
      <w:r>
        <w:rPr>
          <w:rFonts w:ascii="Times New Roman" w:hAnsi="Times New Roman" w:cs="Times New Roman"/>
        </w:rPr>
        <w:t xml:space="preserve"> traditionally struggled with legitimacy. During the conflict, groups such as the Provisional IRA would assume a de-facto policing role to fill the gap that they had encouraged</w:t>
      </w:r>
      <w:r w:rsidR="00B1546E">
        <w:rPr>
          <w:rFonts w:ascii="Times New Roman" w:hAnsi="Times New Roman" w:cs="Times New Roman"/>
        </w:rPr>
        <w:t>.</w:t>
      </w:r>
      <w:r w:rsidR="0019003E">
        <w:rPr>
          <w:rStyle w:val="FootnoteReference"/>
          <w:rFonts w:ascii="Times New Roman" w:hAnsi="Times New Roman" w:cs="Times New Roman"/>
        </w:rPr>
        <w:footnoteReference w:id="475"/>
      </w:r>
      <w:r>
        <w:rPr>
          <w:rFonts w:ascii="Times New Roman" w:hAnsi="Times New Roman" w:cs="Times New Roman"/>
        </w:rPr>
        <w:t xml:space="preserve"> However, the culture of antipathy toward the police that the militant groups fostered have limited the extent the police c</w:t>
      </w:r>
      <w:r w:rsidR="003D6BE9">
        <w:rPr>
          <w:rFonts w:ascii="Times New Roman" w:hAnsi="Times New Roman" w:cs="Times New Roman"/>
        </w:rPr>
        <w:t>ould</w:t>
      </w:r>
      <w:r>
        <w:rPr>
          <w:rFonts w:ascii="Times New Roman" w:hAnsi="Times New Roman" w:cs="Times New Roman"/>
        </w:rPr>
        <w:t xml:space="preserve"> assert themselves in these communities once the groups began disengaging</w:t>
      </w:r>
      <w:r w:rsidR="00B1546E">
        <w:rPr>
          <w:rFonts w:ascii="Times New Roman" w:hAnsi="Times New Roman" w:cs="Times New Roman"/>
        </w:rPr>
        <w:t>.</w:t>
      </w:r>
      <w:r w:rsidR="003D6BE9">
        <w:rPr>
          <w:rStyle w:val="FootnoteReference"/>
          <w:rFonts w:ascii="Times New Roman" w:hAnsi="Times New Roman" w:cs="Times New Roman"/>
        </w:rPr>
        <w:footnoteReference w:id="476"/>
      </w:r>
      <w:r>
        <w:rPr>
          <w:rFonts w:ascii="Times New Roman" w:hAnsi="Times New Roman" w:cs="Times New Roman"/>
        </w:rPr>
        <w:t xml:space="preserve"> </w:t>
      </w:r>
      <w:r w:rsidR="00991000">
        <w:rPr>
          <w:rFonts w:ascii="Times New Roman" w:hAnsi="Times New Roman" w:cs="Times New Roman"/>
        </w:rPr>
        <w:t>In the case of Northern Ireland, much of the initial violence at interface violence has little to do with the broader conflict and those involved have no political motivation</w:t>
      </w:r>
      <w:r w:rsidR="00B1546E">
        <w:rPr>
          <w:rFonts w:ascii="Times New Roman" w:hAnsi="Times New Roman" w:cs="Times New Roman"/>
        </w:rPr>
        <w:t>,</w:t>
      </w:r>
      <w:r w:rsidR="00991000">
        <w:rPr>
          <w:rStyle w:val="FootnoteReference"/>
          <w:rFonts w:ascii="Times New Roman" w:hAnsi="Times New Roman" w:cs="Times New Roman"/>
        </w:rPr>
        <w:footnoteReference w:id="477"/>
      </w:r>
      <w:r w:rsidR="00991000">
        <w:rPr>
          <w:rFonts w:ascii="Times New Roman" w:hAnsi="Times New Roman" w:cs="Times New Roman"/>
        </w:rPr>
        <w:t xml:space="preserve"> </w:t>
      </w:r>
      <w:r w:rsidR="00B76118">
        <w:rPr>
          <w:rFonts w:ascii="Times New Roman" w:hAnsi="Times New Roman" w:cs="Times New Roman"/>
        </w:rPr>
        <w:t>which</w:t>
      </w:r>
      <w:r w:rsidR="00991000">
        <w:rPr>
          <w:rFonts w:ascii="Times New Roman" w:hAnsi="Times New Roman" w:cs="Times New Roman"/>
        </w:rPr>
        <w:t xml:space="preserve"> by and large involves stone throwing, which can hardly constitute terrorism. Yet there are two factors that make interface areas unique in terms of trigger causes in Northern Ireland. Firstly, the</w:t>
      </w:r>
      <w:r w:rsidR="003C6007">
        <w:rPr>
          <w:rFonts w:ascii="Times New Roman" w:hAnsi="Times New Roman" w:cs="Times New Roman"/>
        </w:rPr>
        <w:t>y</w:t>
      </w:r>
      <w:r w:rsidR="00991000">
        <w:rPr>
          <w:rFonts w:ascii="Times New Roman" w:hAnsi="Times New Roman" w:cs="Times New Roman"/>
        </w:rPr>
        <w:t xml:space="preserve"> are by and large durable structures, meaning they are regular, difficult to change but at least probably predictable. Interface violence tends to be triggered by events that have particular resonance with unionist and nationalist identity, such as parades, sports, bonfires, and flag issues</w:t>
      </w:r>
      <w:r w:rsidR="00B1546E">
        <w:rPr>
          <w:rFonts w:ascii="Times New Roman" w:hAnsi="Times New Roman" w:cs="Times New Roman"/>
        </w:rPr>
        <w:t>.</w:t>
      </w:r>
      <w:r w:rsidR="00991000">
        <w:rPr>
          <w:rStyle w:val="FootnoteReference"/>
          <w:rFonts w:ascii="Times New Roman" w:hAnsi="Times New Roman" w:cs="Times New Roman"/>
        </w:rPr>
        <w:footnoteReference w:id="478"/>
      </w:r>
      <w:r w:rsidR="00991000">
        <w:rPr>
          <w:rFonts w:ascii="Times New Roman" w:hAnsi="Times New Roman" w:cs="Times New Roman"/>
        </w:rPr>
        <w:t xml:space="preserve"> As these events are mostly regular and closely tied to identity it means that interface violence and the </w:t>
      </w:r>
      <w:r w:rsidR="00991000">
        <w:rPr>
          <w:rFonts w:ascii="Times New Roman" w:hAnsi="Times New Roman" w:cs="Times New Roman"/>
        </w:rPr>
        <w:lastRenderedPageBreak/>
        <w:t>‘peace walls’ are a</w:t>
      </w:r>
      <w:r w:rsidR="003D6BE9">
        <w:rPr>
          <w:rFonts w:ascii="Times New Roman" w:hAnsi="Times New Roman" w:cs="Times New Roman"/>
        </w:rPr>
        <w:t xml:space="preserve"> relatively</w:t>
      </w:r>
      <w:r w:rsidR="00991000">
        <w:rPr>
          <w:rFonts w:ascii="Times New Roman" w:hAnsi="Times New Roman" w:cs="Times New Roman"/>
        </w:rPr>
        <w:t xml:space="preserve"> durable structure, which reinforces the perception of the ‘other’ in negative terms.</w:t>
      </w:r>
      <w:r w:rsidR="00991000" w:rsidRPr="004945D2">
        <w:rPr>
          <w:rFonts w:ascii="Times New Roman" w:hAnsi="Times New Roman" w:cs="Times New Roman"/>
        </w:rPr>
        <w:t xml:space="preserve"> </w:t>
      </w:r>
      <w:r w:rsidR="00991000">
        <w:rPr>
          <w:rFonts w:ascii="Times New Roman" w:hAnsi="Times New Roman" w:cs="Times New Roman"/>
        </w:rPr>
        <w:t>The limited interaction between communities on either side of the interface means that violence is underpinned by rumours, mistrust and suspicion</w:t>
      </w:r>
      <w:r w:rsidR="00991000">
        <w:rPr>
          <w:rStyle w:val="FootnoteReference"/>
          <w:rFonts w:ascii="Times New Roman" w:hAnsi="Times New Roman" w:cs="Times New Roman"/>
        </w:rPr>
        <w:footnoteReference w:id="479"/>
      </w:r>
      <w:r w:rsidR="00991000">
        <w:rPr>
          <w:rFonts w:ascii="Times New Roman" w:hAnsi="Times New Roman" w:cs="Times New Roman"/>
        </w:rPr>
        <w:t xml:space="preserve"> which in turn makes it difficult to remove the ‘peace walls’ to foster trust</w:t>
      </w:r>
      <w:r w:rsidR="00B1546E">
        <w:rPr>
          <w:rFonts w:ascii="Times New Roman" w:hAnsi="Times New Roman" w:cs="Times New Roman"/>
        </w:rPr>
        <w:t>.</w:t>
      </w:r>
      <w:r w:rsidR="00991000">
        <w:rPr>
          <w:rStyle w:val="FootnoteReference"/>
          <w:rFonts w:ascii="Times New Roman" w:hAnsi="Times New Roman" w:cs="Times New Roman"/>
        </w:rPr>
        <w:footnoteReference w:id="480"/>
      </w:r>
      <w:r w:rsidR="00991000">
        <w:rPr>
          <w:rFonts w:ascii="Times New Roman" w:hAnsi="Times New Roman" w:cs="Times New Roman"/>
        </w:rPr>
        <w:t xml:space="preserve"> Secondly, while they may not be trigger causes of terrorism</w:t>
      </w:r>
      <w:r w:rsidR="00512F21">
        <w:rPr>
          <w:rFonts w:ascii="Times New Roman" w:hAnsi="Times New Roman" w:cs="Times New Roman"/>
        </w:rPr>
        <w:t xml:space="preserve"> initially</w:t>
      </w:r>
      <w:r w:rsidR="00991000">
        <w:rPr>
          <w:rFonts w:ascii="Times New Roman" w:hAnsi="Times New Roman" w:cs="Times New Roman"/>
        </w:rPr>
        <w:t>, they can quickly escalate into more serious forms of political violence. One senior security official in Northern Ireland stated that the violence ‘starts off with a low level of violence but it can escalate into terrorism’</w:t>
      </w:r>
      <w:r w:rsidR="00991000">
        <w:rPr>
          <w:rStyle w:val="FootnoteReference"/>
          <w:rFonts w:ascii="Times New Roman" w:hAnsi="Times New Roman" w:cs="Times New Roman"/>
        </w:rPr>
        <w:footnoteReference w:id="481"/>
      </w:r>
      <w:r w:rsidR="00991000">
        <w:rPr>
          <w:rFonts w:ascii="Times New Roman" w:hAnsi="Times New Roman" w:cs="Times New Roman"/>
        </w:rPr>
        <w:t xml:space="preserve"> and a </w:t>
      </w:r>
      <w:r w:rsidR="003C6007">
        <w:rPr>
          <w:rFonts w:ascii="Times New Roman" w:hAnsi="Times New Roman" w:cs="Times New Roman"/>
        </w:rPr>
        <w:t>community</w:t>
      </w:r>
      <w:r w:rsidR="00991000">
        <w:rPr>
          <w:rFonts w:ascii="Times New Roman" w:hAnsi="Times New Roman" w:cs="Times New Roman"/>
        </w:rPr>
        <w:t xml:space="preserve"> worker</w:t>
      </w:r>
      <w:r w:rsidR="003C6007">
        <w:rPr>
          <w:rFonts w:ascii="Times New Roman" w:hAnsi="Times New Roman" w:cs="Times New Roman"/>
        </w:rPr>
        <w:t xml:space="preserve"> with former combatants</w:t>
      </w:r>
      <w:r w:rsidR="00991000">
        <w:rPr>
          <w:rFonts w:ascii="Times New Roman" w:hAnsi="Times New Roman" w:cs="Times New Roman"/>
        </w:rPr>
        <w:t xml:space="preserve"> commented that ‘a</w:t>
      </w:r>
      <w:r w:rsidR="00991000" w:rsidRPr="00D21F04">
        <w:rPr>
          <w:rFonts w:ascii="Times New Roman" w:hAnsi="Times New Roman" w:cs="Times New Roman"/>
        </w:rPr>
        <w:t>ll you need is one person to be killed by accident or design, and it could just set off an inferno in a place like that</w:t>
      </w:r>
      <w:r w:rsidR="00991000">
        <w:rPr>
          <w:rFonts w:ascii="Times New Roman" w:hAnsi="Times New Roman" w:cs="Times New Roman"/>
        </w:rPr>
        <w:t>’</w:t>
      </w:r>
      <w:r w:rsidR="00B1546E">
        <w:rPr>
          <w:rFonts w:ascii="Times New Roman" w:hAnsi="Times New Roman" w:cs="Times New Roman"/>
        </w:rPr>
        <w:t>.</w:t>
      </w:r>
      <w:r w:rsidR="00991000">
        <w:rPr>
          <w:rStyle w:val="FootnoteReference"/>
          <w:rFonts w:ascii="Times New Roman" w:hAnsi="Times New Roman" w:cs="Times New Roman"/>
        </w:rPr>
        <w:footnoteReference w:id="482"/>
      </w:r>
      <w:r w:rsidR="00991000" w:rsidRPr="00D21F04">
        <w:t xml:space="preserve"> </w:t>
      </w:r>
      <w:r w:rsidR="00991000">
        <w:rPr>
          <w:rFonts w:ascii="Times New Roman" w:hAnsi="Times New Roman" w:cs="Times New Roman"/>
        </w:rPr>
        <w:t xml:space="preserve"> One Loyalist mentioned the different stages that interface violence goes through:</w:t>
      </w:r>
    </w:p>
    <w:p w14:paraId="667102E1" w14:textId="77777777" w:rsidR="00991000" w:rsidRDefault="00991000" w:rsidP="00B57C7F">
      <w:pPr>
        <w:spacing w:line="360" w:lineRule="auto"/>
        <w:ind w:firstLine="567"/>
        <w:jc w:val="both"/>
        <w:rPr>
          <w:rFonts w:ascii="Times New Roman" w:hAnsi="Times New Roman" w:cs="Times New Roman"/>
        </w:rPr>
      </w:pPr>
    </w:p>
    <w:p w14:paraId="18885C4A" w14:textId="77777777" w:rsidR="00991000" w:rsidRDefault="00991000" w:rsidP="00B57C7F">
      <w:pPr>
        <w:spacing w:line="360" w:lineRule="auto"/>
        <w:ind w:left="567" w:right="567"/>
        <w:jc w:val="both"/>
        <w:rPr>
          <w:rFonts w:ascii="Times New Roman" w:hAnsi="Times New Roman" w:cs="Times New Roman"/>
          <w:i/>
        </w:rPr>
      </w:pPr>
      <w:r w:rsidRPr="00A4650D">
        <w:rPr>
          <w:rFonts w:ascii="Times New Roman" w:hAnsi="Times New Roman" w:cs="Times New Roman"/>
          <w:i/>
        </w:rPr>
        <w:t>It</w:t>
      </w:r>
      <w:r>
        <w:rPr>
          <w:rFonts w:ascii="Times New Roman" w:hAnsi="Times New Roman" w:cs="Times New Roman"/>
          <w:i/>
        </w:rPr>
        <w:t>’</w:t>
      </w:r>
      <w:r w:rsidRPr="00A4650D">
        <w:rPr>
          <w:rFonts w:ascii="Times New Roman" w:hAnsi="Times New Roman" w:cs="Times New Roman"/>
          <w:i/>
        </w:rPr>
        <w:t>s a part of everyday conflict, first it</w:t>
      </w:r>
      <w:r>
        <w:rPr>
          <w:rFonts w:ascii="Times New Roman" w:hAnsi="Times New Roman" w:cs="Times New Roman"/>
          <w:i/>
        </w:rPr>
        <w:t>’</w:t>
      </w:r>
      <w:r w:rsidRPr="00A4650D">
        <w:rPr>
          <w:rFonts w:ascii="Times New Roman" w:hAnsi="Times New Roman" w:cs="Times New Roman"/>
          <w:i/>
        </w:rPr>
        <w:t>s the bricks and bottles and whatever comes to hand, and if it really develops heavy, you move into the petrol bombs, and if it gets heavy heavy then it</w:t>
      </w:r>
      <w:r>
        <w:rPr>
          <w:rFonts w:ascii="Times New Roman" w:hAnsi="Times New Roman" w:cs="Times New Roman"/>
          <w:i/>
        </w:rPr>
        <w:t>’</w:t>
      </w:r>
      <w:r w:rsidRPr="00A4650D">
        <w:rPr>
          <w:rFonts w:ascii="Times New Roman" w:hAnsi="Times New Roman" w:cs="Times New Roman"/>
          <w:i/>
        </w:rPr>
        <w:t>s the bombs and the guns. So it</w:t>
      </w:r>
      <w:r>
        <w:rPr>
          <w:rFonts w:ascii="Times New Roman" w:hAnsi="Times New Roman" w:cs="Times New Roman"/>
          <w:i/>
        </w:rPr>
        <w:t>’</w:t>
      </w:r>
      <w:r w:rsidRPr="00A4650D">
        <w:rPr>
          <w:rFonts w:ascii="Times New Roman" w:hAnsi="Times New Roman" w:cs="Times New Roman"/>
          <w:i/>
        </w:rPr>
        <w:t>s got its stages, and it depends on what stage it develops into</w:t>
      </w:r>
      <w:r w:rsidR="00B1546E">
        <w:rPr>
          <w:rFonts w:ascii="Times New Roman" w:hAnsi="Times New Roman" w:cs="Times New Roman"/>
          <w:i/>
        </w:rPr>
        <w:t>.</w:t>
      </w:r>
      <w:r>
        <w:rPr>
          <w:rStyle w:val="FootnoteReference"/>
          <w:rFonts w:ascii="Times New Roman" w:hAnsi="Times New Roman" w:cs="Times New Roman"/>
          <w:i/>
        </w:rPr>
        <w:footnoteReference w:id="483"/>
      </w:r>
    </w:p>
    <w:p w14:paraId="42494199" w14:textId="77777777" w:rsidR="00991000" w:rsidRPr="00A4650D" w:rsidRDefault="00991000" w:rsidP="00B57C7F">
      <w:pPr>
        <w:spacing w:line="360" w:lineRule="auto"/>
        <w:ind w:left="567" w:right="567"/>
        <w:jc w:val="both"/>
        <w:rPr>
          <w:rFonts w:ascii="Times New Roman" w:hAnsi="Times New Roman" w:cs="Times New Roman"/>
          <w:i/>
        </w:rPr>
      </w:pPr>
    </w:p>
    <w:p w14:paraId="0F6665B3"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Therefore, interface areas function as potential trigger causes of violence which are structurally durable, meaning they have existed broadly independently of political changes that have emerged as part of the peace process or even the Provisional IRA’s disengagement. Nevertheless, one interface worker – a former member of the Provisional IRA – commented that the growing acceptance of policing has meant that it is the police who would now deal with violence</w:t>
      </w:r>
      <w:r w:rsidR="00B1546E">
        <w:rPr>
          <w:rFonts w:ascii="Times New Roman" w:hAnsi="Times New Roman" w:cs="Times New Roman"/>
        </w:rPr>
        <w:t>,</w:t>
      </w:r>
      <w:r>
        <w:rPr>
          <w:rStyle w:val="FootnoteReference"/>
          <w:rFonts w:ascii="Times New Roman" w:hAnsi="Times New Roman" w:cs="Times New Roman"/>
        </w:rPr>
        <w:footnoteReference w:id="484"/>
      </w:r>
      <w:r>
        <w:rPr>
          <w:rFonts w:ascii="Times New Roman" w:hAnsi="Times New Roman" w:cs="Times New Roman"/>
        </w:rPr>
        <w:t xml:space="preserve"> yet it was clear there are still gaps in the PSNI’s ability to manage violence at the interface </w:t>
      </w:r>
      <w:r>
        <w:rPr>
          <w:rFonts w:ascii="Times New Roman" w:hAnsi="Times New Roman" w:cs="Times New Roman"/>
        </w:rPr>
        <w:lastRenderedPageBreak/>
        <w:t>areas</w:t>
      </w:r>
      <w:r w:rsidR="00B1546E">
        <w:rPr>
          <w:rFonts w:ascii="Times New Roman" w:hAnsi="Times New Roman" w:cs="Times New Roman"/>
        </w:rPr>
        <w:t>.</w:t>
      </w:r>
      <w:r>
        <w:rPr>
          <w:rStyle w:val="FootnoteReference"/>
          <w:rFonts w:ascii="Times New Roman" w:hAnsi="Times New Roman" w:cs="Times New Roman"/>
        </w:rPr>
        <w:footnoteReference w:id="485"/>
      </w:r>
      <w:r>
        <w:rPr>
          <w:rFonts w:ascii="Times New Roman" w:hAnsi="Times New Roman" w:cs="Times New Roman"/>
        </w:rPr>
        <w:t xml:space="preserve"> Historically, the illegitimacy of the police in interface areas – </w:t>
      </w:r>
      <w:r w:rsidR="003D6BE9">
        <w:rPr>
          <w:rFonts w:ascii="Times New Roman" w:hAnsi="Times New Roman" w:cs="Times New Roman"/>
        </w:rPr>
        <w:t xml:space="preserve">both </w:t>
      </w:r>
      <w:r>
        <w:rPr>
          <w:rFonts w:ascii="Times New Roman" w:hAnsi="Times New Roman" w:cs="Times New Roman"/>
        </w:rPr>
        <w:t xml:space="preserve">Republican and Loyalist communities – </w:t>
      </w:r>
      <w:r w:rsidR="003D6BE9">
        <w:rPr>
          <w:rFonts w:ascii="Times New Roman" w:hAnsi="Times New Roman" w:cs="Times New Roman"/>
        </w:rPr>
        <w:t xml:space="preserve">often means </w:t>
      </w:r>
      <w:r>
        <w:rPr>
          <w:rFonts w:ascii="Times New Roman" w:hAnsi="Times New Roman" w:cs="Times New Roman"/>
        </w:rPr>
        <w:t>their intervention would actually exacerbate rather than calm violence</w:t>
      </w:r>
      <w:r w:rsidR="00B1546E">
        <w:rPr>
          <w:rFonts w:ascii="Times New Roman" w:hAnsi="Times New Roman" w:cs="Times New Roman"/>
        </w:rPr>
        <w:t>,</w:t>
      </w:r>
      <w:r>
        <w:rPr>
          <w:rStyle w:val="FootnoteReference"/>
          <w:rFonts w:ascii="Times New Roman" w:hAnsi="Times New Roman" w:cs="Times New Roman"/>
        </w:rPr>
        <w:footnoteReference w:id="486"/>
      </w:r>
      <w:r>
        <w:rPr>
          <w:rFonts w:ascii="Times New Roman" w:hAnsi="Times New Roman" w:cs="Times New Roman"/>
        </w:rPr>
        <w:t xml:space="preserve"> and that these areas were traditionally under the influence of paramilitaries who – prior to disengagement – would encourage violence</w:t>
      </w:r>
      <w:r w:rsidR="003C6007">
        <w:rPr>
          <w:rFonts w:ascii="Times New Roman" w:hAnsi="Times New Roman" w:cs="Times New Roman"/>
        </w:rPr>
        <w:t xml:space="preserve"> by young people when it was in their interest</w:t>
      </w:r>
      <w:r>
        <w:rPr>
          <w:rFonts w:ascii="Times New Roman" w:hAnsi="Times New Roman" w:cs="Times New Roman"/>
        </w:rPr>
        <w:t>. Subsequently, a social space has existed in Northern Ireland which could potentially destabilise disengagement and the peace process, often against the wishes of the Provisional IRA and the militant groups who would later disengage. It could function as an opportunity for grassroots activists opposed to disengagement or the peace process to de-rail negotiations, as a means to assert their authority, to strengthen their position with new recruits, or the violence could take a life of its own and restrict the bargaining power in negotiations. It was this potential to disrupt the disengagement process that prompted the mobile phones network to emerge</w:t>
      </w:r>
      <w:r w:rsidR="003C6007">
        <w:rPr>
          <w:rFonts w:ascii="Times New Roman" w:hAnsi="Times New Roman" w:cs="Times New Roman"/>
        </w:rPr>
        <w:t xml:space="preserve"> in 1997</w:t>
      </w:r>
      <w:r>
        <w:rPr>
          <w:rFonts w:ascii="Times New Roman" w:hAnsi="Times New Roman" w:cs="Times New Roman"/>
        </w:rPr>
        <w:t xml:space="preserve">, which lay the groundwork for co-operation between militant groups in order to prevent violence from erupting.     </w:t>
      </w:r>
    </w:p>
    <w:p w14:paraId="665832B5" w14:textId="01FB140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The mobile phones network has its roots in the interface violence that erupted in North Belfast in 1996, leading to violence and rioting in nationalist areas throughout Northern Ireland. As stated above, the violence was triggered by a combination of controversial parades, rumours and mistrust between communities, and the lack of a police force with the legitimacy to contain the rioting. In response, in 1997, a statutory sector organisation gave mobile phones to key groups and individuals in existing community networks</w:t>
      </w:r>
      <w:r w:rsidR="008C18A1">
        <w:rPr>
          <w:rFonts w:ascii="Times New Roman" w:hAnsi="Times New Roman" w:cs="Times New Roman"/>
        </w:rPr>
        <w:t xml:space="preserve"> around key interface areas</w:t>
      </w:r>
      <w:r>
        <w:rPr>
          <w:rFonts w:ascii="Times New Roman" w:hAnsi="Times New Roman" w:cs="Times New Roman"/>
        </w:rPr>
        <w:t>. They would keep the phones turned on all the time during the parades season with the aim of keeping people away from interfaces, preventing stone-throwing, calming tensions and defusing rumours</w:t>
      </w:r>
      <w:r w:rsidR="00B1546E">
        <w:rPr>
          <w:rFonts w:ascii="Times New Roman" w:hAnsi="Times New Roman" w:cs="Times New Roman"/>
        </w:rPr>
        <w:t>.</w:t>
      </w:r>
      <w:r>
        <w:rPr>
          <w:rStyle w:val="FootnoteReference"/>
          <w:rFonts w:ascii="Times New Roman" w:hAnsi="Times New Roman" w:cs="Times New Roman"/>
        </w:rPr>
        <w:footnoteReference w:id="487"/>
      </w:r>
      <w:r>
        <w:rPr>
          <w:rFonts w:ascii="Times New Roman" w:hAnsi="Times New Roman" w:cs="Times New Roman"/>
        </w:rPr>
        <w:t xml:space="preserve"> The success of the network in 1997 led to the increase and expansion of the mobile phone network, yet over the years the network has transformed. At first, a long list of numbers would be made available to the community for people to phone interface contacts when an issue emerged, but then the contacts began to use their own personal phones: </w:t>
      </w:r>
    </w:p>
    <w:p w14:paraId="609E29CF" w14:textId="77777777" w:rsidR="00991000" w:rsidRDefault="00991000" w:rsidP="00B57C7F">
      <w:pPr>
        <w:spacing w:line="360" w:lineRule="auto"/>
        <w:jc w:val="both"/>
        <w:rPr>
          <w:rFonts w:ascii="Times New Roman" w:hAnsi="Times New Roman" w:cs="Times New Roman"/>
        </w:rPr>
      </w:pPr>
    </w:p>
    <w:p w14:paraId="2EB6E528" w14:textId="77777777" w:rsidR="00991000" w:rsidRDefault="00991000" w:rsidP="00B57C7F">
      <w:pPr>
        <w:spacing w:line="360" w:lineRule="auto"/>
        <w:ind w:left="567" w:right="567"/>
        <w:jc w:val="both"/>
        <w:rPr>
          <w:rFonts w:ascii="Times New Roman" w:hAnsi="Times New Roman" w:cs="Times New Roman"/>
          <w:i/>
        </w:rPr>
      </w:pPr>
      <w:r w:rsidRPr="000A3AE4">
        <w:rPr>
          <w:rFonts w:ascii="Times New Roman" w:hAnsi="Times New Roman" w:cs="Times New Roman"/>
          <w:i/>
        </w:rPr>
        <w:t>So people were getting uncomfortable with their own mobile phone numbers being made public...and then gradually, through pieces of work and projects were going on where people began to form a relationship across interfaces, and they were happy to share mobile phone numbers, but they didn’t want the rest of the city to know their mobile phone numbers. So essentially you have ended up in a situation where now most of the interfaces across the city, there will be clusters of people, relatively small clusters of people, you are probably talking about maybe half a dozen people across an interface, maybe two or three in each community</w:t>
      </w:r>
      <w:r>
        <w:rPr>
          <w:rFonts w:ascii="Times New Roman" w:hAnsi="Times New Roman" w:cs="Times New Roman"/>
          <w:i/>
        </w:rPr>
        <w:t>.</w:t>
      </w:r>
      <w:r>
        <w:rPr>
          <w:rStyle w:val="FootnoteReference"/>
          <w:rFonts w:ascii="Times New Roman" w:hAnsi="Times New Roman" w:cs="Times New Roman"/>
          <w:i/>
        </w:rPr>
        <w:footnoteReference w:id="488"/>
      </w:r>
    </w:p>
    <w:p w14:paraId="39820C25" w14:textId="77777777" w:rsidR="00991000" w:rsidRPr="000A3AE4" w:rsidRDefault="00991000" w:rsidP="00B57C7F">
      <w:pPr>
        <w:spacing w:line="360" w:lineRule="auto"/>
        <w:ind w:left="567" w:right="567"/>
        <w:jc w:val="both"/>
        <w:rPr>
          <w:rFonts w:ascii="Times New Roman" w:hAnsi="Times New Roman" w:cs="Times New Roman"/>
          <w:i/>
        </w:rPr>
      </w:pPr>
    </w:p>
    <w:p w14:paraId="4D18AE66"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Therefore, the network has morphed into three dimensions: a smaller formal network of community safety partnerships; a larger network of former combatants such as a project called the Belfast Conflict Resolution Consortium (BCRC) – which is dominated by the Provisional IRA</w:t>
      </w:r>
      <w:r w:rsidR="00B1546E">
        <w:rPr>
          <w:rFonts w:ascii="Times New Roman" w:hAnsi="Times New Roman" w:cs="Times New Roman"/>
        </w:rPr>
        <w:t>;</w:t>
      </w:r>
      <w:r>
        <w:rPr>
          <w:rStyle w:val="FootnoteReference"/>
          <w:rFonts w:ascii="Times New Roman" w:hAnsi="Times New Roman" w:cs="Times New Roman"/>
        </w:rPr>
        <w:footnoteReference w:id="489"/>
      </w:r>
      <w:r>
        <w:rPr>
          <w:rFonts w:ascii="Times New Roman" w:hAnsi="Times New Roman" w:cs="Times New Roman"/>
        </w:rPr>
        <w:t xml:space="preserve"> and informal networks, including former combatants and</w:t>
      </w:r>
      <w:r w:rsidR="00784527">
        <w:rPr>
          <w:rFonts w:ascii="Times New Roman" w:hAnsi="Times New Roman" w:cs="Times New Roman"/>
        </w:rPr>
        <w:t>, for example,</w:t>
      </w:r>
      <w:r>
        <w:rPr>
          <w:rFonts w:ascii="Times New Roman" w:hAnsi="Times New Roman" w:cs="Times New Roman"/>
        </w:rPr>
        <w:t xml:space="preserve"> one woman’s group in the Short Strand/East Belfast</w:t>
      </w:r>
      <w:r w:rsidR="00B1546E">
        <w:rPr>
          <w:rFonts w:ascii="Times New Roman" w:hAnsi="Times New Roman" w:cs="Times New Roman"/>
        </w:rPr>
        <w:t>.</w:t>
      </w:r>
      <w:r>
        <w:rPr>
          <w:rStyle w:val="FootnoteReference"/>
          <w:rFonts w:ascii="Times New Roman" w:hAnsi="Times New Roman" w:cs="Times New Roman"/>
        </w:rPr>
        <w:footnoteReference w:id="490"/>
      </w:r>
      <w:r>
        <w:rPr>
          <w:rFonts w:ascii="Times New Roman" w:hAnsi="Times New Roman" w:cs="Times New Roman"/>
        </w:rPr>
        <w:t xml:space="preserve"> Former combatants from the Provisional IRA, the Official IRA, the INLA, the UDA, and the UVF are to varying degrees involved in the networks at the interface areas. Paramilitary organisations have been able to adopt a central role in the mobile phone networks because the contacts have more respect in the community and among young people than, say, community workers, and their role in the conflict provides them with legitimacy to engage with the ‘other’, whereas for others it would be far more difficult. </w:t>
      </w:r>
      <w:r w:rsidR="00DA13A3">
        <w:rPr>
          <w:rFonts w:ascii="Times New Roman" w:hAnsi="Times New Roman" w:cs="Times New Roman"/>
        </w:rPr>
        <w:t>However</w:t>
      </w:r>
      <w:r>
        <w:rPr>
          <w:rFonts w:ascii="Times New Roman" w:hAnsi="Times New Roman" w:cs="Times New Roman"/>
        </w:rPr>
        <w:t>, membership of a paramilitary organisation does not necessa</w:t>
      </w:r>
      <w:r w:rsidR="00B76118">
        <w:rPr>
          <w:rFonts w:ascii="Times New Roman" w:hAnsi="Times New Roman" w:cs="Times New Roman"/>
        </w:rPr>
        <w:t>rily give automatic credibility.</w:t>
      </w:r>
      <w:r>
        <w:rPr>
          <w:rFonts w:ascii="Times New Roman" w:hAnsi="Times New Roman" w:cs="Times New Roman"/>
        </w:rPr>
        <w:t xml:space="preserve"> </w:t>
      </w:r>
      <w:r w:rsidR="00B76118">
        <w:rPr>
          <w:rFonts w:ascii="Times New Roman" w:hAnsi="Times New Roman" w:cs="Times New Roman"/>
        </w:rPr>
        <w:t>T</w:t>
      </w:r>
      <w:r>
        <w:rPr>
          <w:rFonts w:ascii="Times New Roman" w:hAnsi="Times New Roman" w:cs="Times New Roman"/>
        </w:rPr>
        <w:t>herefore former combatants who live in the area will be utilised:</w:t>
      </w:r>
    </w:p>
    <w:p w14:paraId="46E7596B" w14:textId="77777777" w:rsidR="00991000" w:rsidRDefault="00991000" w:rsidP="00B57C7F">
      <w:pPr>
        <w:spacing w:line="360" w:lineRule="auto"/>
        <w:ind w:firstLine="567"/>
        <w:jc w:val="both"/>
        <w:rPr>
          <w:rFonts w:ascii="Times New Roman" w:hAnsi="Times New Roman" w:cs="Times New Roman"/>
        </w:rPr>
      </w:pPr>
    </w:p>
    <w:p w14:paraId="345E39F6" w14:textId="77777777" w:rsidR="00991000" w:rsidRDefault="00784527" w:rsidP="00B57C7F">
      <w:pPr>
        <w:spacing w:line="360" w:lineRule="auto"/>
        <w:ind w:left="567" w:right="567"/>
        <w:jc w:val="both"/>
        <w:rPr>
          <w:rFonts w:ascii="Times New Roman" w:hAnsi="Times New Roman" w:cs="Times New Roman"/>
          <w:i/>
        </w:rPr>
      </w:pPr>
      <w:r>
        <w:rPr>
          <w:rFonts w:ascii="Times New Roman" w:hAnsi="Times New Roman" w:cs="Times New Roman"/>
          <w:i/>
        </w:rPr>
        <w:lastRenderedPageBreak/>
        <w:t>The people I would phone</w:t>
      </w:r>
      <w:r w:rsidR="00991000" w:rsidRPr="008E128E">
        <w:rPr>
          <w:rFonts w:ascii="Times New Roman" w:hAnsi="Times New Roman" w:cs="Times New Roman"/>
          <w:i/>
        </w:rPr>
        <w:t xml:space="preserve"> would live in the area or probably be known to be associated with us or former prisoners of ours, but at the same time, because they live in the area, and they understand the frustrations </w:t>
      </w:r>
      <w:r>
        <w:rPr>
          <w:rFonts w:ascii="Times New Roman" w:hAnsi="Times New Roman" w:cs="Times New Roman"/>
          <w:i/>
        </w:rPr>
        <w:t>that</w:t>
      </w:r>
      <w:r w:rsidR="00991000" w:rsidRPr="008E128E">
        <w:rPr>
          <w:rFonts w:ascii="Times New Roman" w:hAnsi="Times New Roman" w:cs="Times New Roman"/>
          <w:i/>
        </w:rPr>
        <w:t xml:space="preserve"> the young people have, the young people are willing to listen to them to an extent…. The reason why I wouldn’t go to Short Strand and Ardoy</w:t>
      </w:r>
      <w:r w:rsidR="00991000">
        <w:rPr>
          <w:rFonts w:ascii="Times New Roman" w:hAnsi="Times New Roman" w:cs="Times New Roman"/>
          <w:i/>
        </w:rPr>
        <w:t>n</w:t>
      </w:r>
      <w:r w:rsidR="00991000" w:rsidRPr="008E128E">
        <w:rPr>
          <w:rFonts w:ascii="Times New Roman" w:hAnsi="Times New Roman" w:cs="Times New Roman"/>
          <w:i/>
        </w:rPr>
        <w:t xml:space="preserve">e and try to tell kids to get off the street </w:t>
      </w:r>
      <w:r w:rsidR="00991000">
        <w:rPr>
          <w:rFonts w:ascii="Times New Roman" w:hAnsi="Times New Roman" w:cs="Times New Roman"/>
          <w:i/>
        </w:rPr>
        <w:t xml:space="preserve">is because they would call me a </w:t>
      </w:r>
      <w:r>
        <w:rPr>
          <w:rFonts w:ascii="Times New Roman" w:hAnsi="Times New Roman" w:cs="Times New Roman"/>
          <w:i/>
        </w:rPr>
        <w:t>‘</w:t>
      </w:r>
      <w:r w:rsidR="00991000" w:rsidRPr="008E128E">
        <w:rPr>
          <w:rFonts w:ascii="Times New Roman" w:hAnsi="Times New Roman" w:cs="Times New Roman"/>
          <w:i/>
        </w:rPr>
        <w:t>Westy</w:t>
      </w:r>
      <w:r>
        <w:rPr>
          <w:rFonts w:ascii="Times New Roman" w:hAnsi="Times New Roman" w:cs="Times New Roman"/>
          <w:i/>
        </w:rPr>
        <w:t>’</w:t>
      </w:r>
      <w:r w:rsidR="00991000" w:rsidRPr="008E128E">
        <w:rPr>
          <w:rFonts w:ascii="Times New Roman" w:hAnsi="Times New Roman" w:cs="Times New Roman"/>
          <w:i/>
        </w:rPr>
        <w:t xml:space="preserve"> because I live in West Belfast. They’d stone me quicker than the police or the </w:t>
      </w:r>
      <w:r>
        <w:rPr>
          <w:rFonts w:ascii="Times New Roman" w:hAnsi="Times New Roman" w:cs="Times New Roman"/>
          <w:i/>
        </w:rPr>
        <w:t>‘</w:t>
      </w:r>
      <w:r w:rsidR="00991000" w:rsidRPr="008E128E">
        <w:rPr>
          <w:rFonts w:ascii="Times New Roman" w:hAnsi="Times New Roman" w:cs="Times New Roman"/>
          <w:i/>
        </w:rPr>
        <w:t>Orang</w:t>
      </w:r>
      <w:r>
        <w:rPr>
          <w:rFonts w:ascii="Times New Roman" w:hAnsi="Times New Roman" w:cs="Times New Roman"/>
          <w:i/>
        </w:rPr>
        <w:t>i</w:t>
      </w:r>
      <w:r w:rsidR="00991000" w:rsidRPr="008E128E">
        <w:rPr>
          <w:rFonts w:ascii="Times New Roman" w:hAnsi="Times New Roman" w:cs="Times New Roman"/>
          <w:i/>
        </w:rPr>
        <w:t>es</w:t>
      </w:r>
      <w:r>
        <w:rPr>
          <w:rFonts w:ascii="Times New Roman" w:hAnsi="Times New Roman" w:cs="Times New Roman"/>
          <w:i/>
        </w:rPr>
        <w:t>’</w:t>
      </w:r>
      <w:r w:rsidR="00B1546E">
        <w:rPr>
          <w:rFonts w:ascii="Times New Roman" w:hAnsi="Times New Roman" w:cs="Times New Roman"/>
          <w:i/>
        </w:rPr>
        <w:t>.</w:t>
      </w:r>
      <w:r w:rsidR="00991000">
        <w:rPr>
          <w:rStyle w:val="FootnoteReference"/>
          <w:rFonts w:ascii="Times New Roman" w:hAnsi="Times New Roman" w:cs="Times New Roman"/>
          <w:i/>
        </w:rPr>
        <w:footnoteReference w:id="491"/>
      </w:r>
      <w:r w:rsidR="00991000" w:rsidRPr="008E128E">
        <w:rPr>
          <w:rFonts w:ascii="Times New Roman" w:hAnsi="Times New Roman" w:cs="Times New Roman"/>
          <w:i/>
        </w:rPr>
        <w:t xml:space="preserve">   </w:t>
      </w:r>
    </w:p>
    <w:p w14:paraId="1DE24EE9" w14:textId="77777777" w:rsidR="00991000" w:rsidRPr="008E128E" w:rsidRDefault="00991000" w:rsidP="00B57C7F">
      <w:pPr>
        <w:spacing w:line="360" w:lineRule="auto"/>
        <w:ind w:left="567" w:right="567" w:firstLine="567"/>
        <w:jc w:val="both"/>
        <w:rPr>
          <w:rFonts w:ascii="Times New Roman" w:hAnsi="Times New Roman" w:cs="Times New Roman"/>
          <w:i/>
        </w:rPr>
      </w:pPr>
    </w:p>
    <w:p w14:paraId="0DFA117F" w14:textId="56485D2B" w:rsidR="00991000" w:rsidRDefault="00512F21" w:rsidP="00B57C7F">
      <w:pPr>
        <w:spacing w:line="360" w:lineRule="auto"/>
        <w:ind w:firstLine="567"/>
        <w:jc w:val="both"/>
        <w:rPr>
          <w:rFonts w:ascii="Times New Roman" w:hAnsi="Times New Roman" w:cs="Times New Roman"/>
        </w:rPr>
      </w:pPr>
      <w:r>
        <w:rPr>
          <w:rFonts w:ascii="Times New Roman" w:hAnsi="Times New Roman" w:cs="Times New Roman"/>
        </w:rPr>
        <w:t>Thus</w:t>
      </w:r>
      <w:r w:rsidR="008253DA">
        <w:rPr>
          <w:rFonts w:ascii="Times New Roman" w:hAnsi="Times New Roman" w:cs="Times New Roman"/>
        </w:rPr>
        <w:t>, the mobile phone network provides some informal organisational continuity, whereby nodes in the network will mobilise former combatants to resolve interface problems.</w:t>
      </w:r>
      <w:r w:rsidR="00991000">
        <w:rPr>
          <w:rFonts w:ascii="Times New Roman" w:hAnsi="Times New Roman" w:cs="Times New Roman"/>
        </w:rPr>
        <w:t xml:space="preserve"> Another key factor in the growth of the networks was, at the beginning of the network, the police force would actively encourage it by utilising former combatants to help calm down interface areas:</w:t>
      </w:r>
    </w:p>
    <w:p w14:paraId="4D7DE83D" w14:textId="77777777" w:rsidR="00991000" w:rsidRDefault="00991000" w:rsidP="00B57C7F">
      <w:pPr>
        <w:spacing w:line="360" w:lineRule="auto"/>
        <w:ind w:firstLine="567"/>
        <w:jc w:val="both"/>
        <w:rPr>
          <w:rFonts w:ascii="Times New Roman" w:hAnsi="Times New Roman" w:cs="Times New Roman"/>
        </w:rPr>
      </w:pPr>
    </w:p>
    <w:p w14:paraId="7243415A" w14:textId="77777777" w:rsidR="00991000" w:rsidRPr="00713AFA" w:rsidRDefault="00991000" w:rsidP="00B57C7F">
      <w:pPr>
        <w:spacing w:line="360" w:lineRule="auto"/>
        <w:ind w:left="567" w:right="567" w:firstLine="567"/>
        <w:jc w:val="both"/>
        <w:rPr>
          <w:rFonts w:ascii="Times New Roman" w:hAnsi="Times New Roman" w:cs="Times New Roman"/>
          <w:i/>
        </w:rPr>
      </w:pPr>
      <w:r w:rsidRPr="00713AFA">
        <w:rPr>
          <w:rFonts w:ascii="Times New Roman" w:hAnsi="Times New Roman" w:cs="Times New Roman"/>
          <w:i/>
        </w:rPr>
        <w:t>Then what would have happened is the police would call and say ‘listen we are a bit stressed can you go up, there’s a riot taking place</w:t>
      </w:r>
      <w:r w:rsidR="00EC7EAC">
        <w:rPr>
          <w:rFonts w:ascii="Times New Roman" w:hAnsi="Times New Roman" w:cs="Times New Roman"/>
          <w:i/>
        </w:rPr>
        <w:t>’</w:t>
      </w:r>
      <w:r w:rsidRPr="00713AFA">
        <w:rPr>
          <w:rFonts w:ascii="Times New Roman" w:hAnsi="Times New Roman" w:cs="Times New Roman"/>
          <w:i/>
        </w:rPr>
        <w:t>. We’d go up and there’s two jeeps sitting there, and the police sitting in the jeeps saying ‘we can’t get out of the jeeps for security reasons, we don’t have the riot gear on’. And we’d say ‘hang on, are you kidding me’. So we’d have to go in and say ‘hang on you are not doing it on these people’s behalf or have a wee discussion why they shouldn’t be doing it. So on both sides you’d have to intervene. Other times you would phone up the other side and say ‘hang on, they are gathering here because they think you have over 300 petrol bombs over there’ ‘hang on, we’re here because we think you have 300 petrol bombs’. Sometimes you’d have to go back to people and tell them what they didn’t want to hear because they had gathered because they thought they were threatened by the other side.</w:t>
      </w:r>
      <w:r>
        <w:rPr>
          <w:rStyle w:val="FootnoteReference"/>
          <w:rFonts w:ascii="Times New Roman" w:hAnsi="Times New Roman" w:cs="Times New Roman"/>
          <w:i/>
        </w:rPr>
        <w:footnoteReference w:id="492"/>
      </w:r>
      <w:r w:rsidRPr="00713AFA">
        <w:rPr>
          <w:rFonts w:ascii="Times New Roman" w:hAnsi="Times New Roman" w:cs="Times New Roman"/>
          <w:i/>
        </w:rPr>
        <w:t xml:space="preserve">  </w:t>
      </w:r>
    </w:p>
    <w:p w14:paraId="192F07B1" w14:textId="77777777" w:rsidR="00991000" w:rsidRDefault="00991000" w:rsidP="00B57C7F">
      <w:pPr>
        <w:spacing w:line="360" w:lineRule="auto"/>
        <w:jc w:val="both"/>
        <w:rPr>
          <w:rFonts w:ascii="Times New Roman" w:hAnsi="Times New Roman" w:cs="Times New Roman"/>
        </w:rPr>
      </w:pPr>
    </w:p>
    <w:p w14:paraId="3C46DDA7" w14:textId="1E9D804A" w:rsidR="008253DA" w:rsidRDefault="00991000" w:rsidP="00B57C7F">
      <w:pPr>
        <w:spacing w:line="360" w:lineRule="auto"/>
        <w:jc w:val="both"/>
        <w:rPr>
          <w:rFonts w:ascii="Times New Roman" w:hAnsi="Times New Roman" w:cs="Times New Roman"/>
        </w:rPr>
      </w:pPr>
      <w:r>
        <w:rPr>
          <w:rFonts w:ascii="Times New Roman" w:hAnsi="Times New Roman" w:cs="Times New Roman"/>
        </w:rPr>
        <w:tab/>
      </w:r>
      <w:r w:rsidR="008253DA">
        <w:rPr>
          <w:rFonts w:ascii="Times New Roman" w:hAnsi="Times New Roman" w:cs="Times New Roman"/>
        </w:rPr>
        <w:t xml:space="preserve">Therefore, pressures at the social level incentivised the maintenance of networks that had previously made up the militant groups instead of breaking them up, which began to function as an early warning system to de-escalate potential conflict. </w:t>
      </w:r>
      <w:r>
        <w:rPr>
          <w:rFonts w:ascii="Times New Roman" w:hAnsi="Times New Roman" w:cs="Times New Roman"/>
        </w:rPr>
        <w:t>While the interviewee above argued that such intervention has been less regular, interviewees from an INLA and Loyalist background talked about the continued role of former combatants in calming interface violence in the last few years. The mobile phone networks, and the role o</w:t>
      </w:r>
      <w:r w:rsidR="00B76118">
        <w:rPr>
          <w:rFonts w:ascii="Times New Roman" w:hAnsi="Times New Roman" w:cs="Times New Roman"/>
        </w:rPr>
        <w:t>f former combatants within them</w:t>
      </w:r>
      <w:r>
        <w:rPr>
          <w:rFonts w:ascii="Times New Roman" w:hAnsi="Times New Roman" w:cs="Times New Roman"/>
        </w:rPr>
        <w:t xml:space="preserve"> has helped to reduce the risk of riots and further escalation by managing the interface areas and dispelling rumours of imminent attacks from opposing sides</w:t>
      </w:r>
      <w:r w:rsidR="00B1546E">
        <w:rPr>
          <w:rFonts w:ascii="Times New Roman" w:hAnsi="Times New Roman" w:cs="Times New Roman"/>
        </w:rPr>
        <w:t>.</w:t>
      </w:r>
      <w:r>
        <w:rPr>
          <w:rStyle w:val="FootnoteReference"/>
          <w:rFonts w:ascii="Times New Roman" w:hAnsi="Times New Roman" w:cs="Times New Roman"/>
        </w:rPr>
        <w:footnoteReference w:id="493"/>
      </w:r>
      <w:r>
        <w:rPr>
          <w:rFonts w:ascii="Times New Roman" w:hAnsi="Times New Roman" w:cs="Times New Roman"/>
        </w:rPr>
        <w:t xml:space="preserve"> In addition to limiting violence, the network has acted as deterrence to paramilitary organisations who wish to use violence</w:t>
      </w:r>
      <w:r w:rsidR="00B1546E">
        <w:rPr>
          <w:rFonts w:ascii="Times New Roman" w:hAnsi="Times New Roman" w:cs="Times New Roman"/>
        </w:rPr>
        <w:t>.</w:t>
      </w:r>
      <w:r>
        <w:rPr>
          <w:rStyle w:val="FootnoteReference"/>
          <w:rFonts w:ascii="Times New Roman" w:hAnsi="Times New Roman" w:cs="Times New Roman"/>
        </w:rPr>
        <w:footnoteReference w:id="494"/>
      </w:r>
      <w:r w:rsidR="008253DA">
        <w:rPr>
          <w:rFonts w:ascii="Times New Roman" w:hAnsi="Times New Roman" w:cs="Times New Roman"/>
        </w:rPr>
        <w:t xml:space="preserve"> </w:t>
      </w:r>
      <w:r w:rsidR="00CA7FF0">
        <w:rPr>
          <w:rFonts w:ascii="Times New Roman" w:hAnsi="Times New Roman" w:cs="Times New Roman"/>
        </w:rPr>
        <w:t>As it was established prior to the Good Friday Agreement, the mobile phone network helped to reduce violence which could have derailed the peace process</w:t>
      </w:r>
      <w:r w:rsidR="003560D9">
        <w:rPr>
          <w:rFonts w:ascii="Times New Roman" w:hAnsi="Times New Roman" w:cs="Times New Roman"/>
        </w:rPr>
        <w:t xml:space="preserve"> in its early days and even more recently in 2009, as will be elaborated on below</w:t>
      </w:r>
      <w:r w:rsidR="00CA7FF0">
        <w:rPr>
          <w:rFonts w:ascii="Times New Roman" w:hAnsi="Times New Roman" w:cs="Times New Roman"/>
        </w:rPr>
        <w:t>.</w:t>
      </w:r>
      <w:r w:rsidR="003560D9">
        <w:rPr>
          <w:rStyle w:val="FootnoteReference"/>
          <w:rFonts w:ascii="Times New Roman" w:hAnsi="Times New Roman" w:cs="Times New Roman"/>
        </w:rPr>
        <w:footnoteReference w:id="495"/>
      </w:r>
      <w:r w:rsidR="00CA7FF0">
        <w:rPr>
          <w:rFonts w:ascii="Times New Roman" w:hAnsi="Times New Roman" w:cs="Times New Roman"/>
        </w:rPr>
        <w:t xml:space="preserve"> The gradual process of organisational disengagement through the mobile phone network not only provided combatants with a new role, it also functioned to reduce the risk of recidivism which could have pulled them and their o</w:t>
      </w:r>
      <w:r w:rsidR="00512F21">
        <w:rPr>
          <w:rFonts w:ascii="Times New Roman" w:hAnsi="Times New Roman" w:cs="Times New Roman"/>
        </w:rPr>
        <w:t>rganisation back into conflict.</w:t>
      </w:r>
    </w:p>
    <w:p w14:paraId="05B22D08" w14:textId="2C5C0A15" w:rsidR="00991000" w:rsidRDefault="00CA7FF0" w:rsidP="00B57C7F">
      <w:pPr>
        <w:spacing w:line="360" w:lineRule="auto"/>
        <w:ind w:firstLine="567"/>
        <w:jc w:val="both"/>
        <w:rPr>
          <w:rFonts w:ascii="Times New Roman" w:hAnsi="Times New Roman" w:cs="Times New Roman"/>
        </w:rPr>
      </w:pPr>
      <w:r>
        <w:rPr>
          <w:rFonts w:ascii="Times New Roman" w:hAnsi="Times New Roman" w:cs="Times New Roman"/>
        </w:rPr>
        <w:t>In addition to reducing violence</w:t>
      </w:r>
      <w:r w:rsidR="00991000">
        <w:rPr>
          <w:rFonts w:ascii="Times New Roman" w:hAnsi="Times New Roman" w:cs="Times New Roman"/>
        </w:rPr>
        <w:t xml:space="preserve">, the network has become a means of group competition for authority and influence in communities, with the informal networks of former combatants utilising gaps in the network to assert their role. </w:t>
      </w:r>
      <w:r w:rsidR="00D575FE">
        <w:rPr>
          <w:rFonts w:ascii="Times New Roman" w:hAnsi="Times New Roman" w:cs="Times New Roman"/>
        </w:rPr>
        <w:t xml:space="preserve">Whilst organisational disengagement would assume an integration of combatants into society, the networks have allowed the organisations to continue in an informal manner, and while this provides them with a potentially powerful role in society, the structure of the networks incentivises co-operation and disengagement. </w:t>
      </w:r>
      <w:r w:rsidR="00512F21">
        <w:rPr>
          <w:rFonts w:ascii="Times New Roman" w:hAnsi="Times New Roman" w:cs="Times New Roman"/>
        </w:rPr>
        <w:t>Inter-community co-operation is possible because it does not create competition, as Republican groups cannot expect to mobilise the Loyalist community, and intra-community competition serves to strengthen the inter-community co-operation.</w:t>
      </w:r>
      <w:r w:rsidR="00512F21">
        <w:rPr>
          <w:rStyle w:val="FootnoteReference"/>
          <w:rFonts w:ascii="Times New Roman" w:hAnsi="Times New Roman" w:cs="Times New Roman"/>
        </w:rPr>
        <w:footnoteReference w:id="496"/>
      </w:r>
      <w:r w:rsidR="00512F21">
        <w:rPr>
          <w:rFonts w:ascii="Times New Roman" w:hAnsi="Times New Roman" w:cs="Times New Roman"/>
        </w:rPr>
        <w:t xml:space="preserve"> </w:t>
      </w:r>
      <w:r w:rsidR="00D575FE">
        <w:rPr>
          <w:rFonts w:ascii="Times New Roman" w:hAnsi="Times New Roman" w:cs="Times New Roman"/>
        </w:rPr>
        <w:lastRenderedPageBreak/>
        <w:t>Since the mobile phones network provides group with a way to maintain and build their influence socially and politically, community activism provides many attractive resources which the groups compete with each other to establish. C</w:t>
      </w:r>
      <w:r w:rsidR="00991000">
        <w:rPr>
          <w:rFonts w:ascii="Times New Roman" w:hAnsi="Times New Roman" w:cs="Times New Roman"/>
        </w:rPr>
        <w:t>ompetition has provided multiple options for collaboration between communities</w:t>
      </w:r>
      <w:r w:rsidR="00D575FE">
        <w:rPr>
          <w:rFonts w:ascii="Times New Roman" w:hAnsi="Times New Roman" w:cs="Times New Roman"/>
        </w:rPr>
        <w:t>, providing them with a choice,</w:t>
      </w:r>
      <w:r w:rsidR="00991000">
        <w:rPr>
          <w:rFonts w:ascii="Times New Roman" w:hAnsi="Times New Roman" w:cs="Times New Roman"/>
        </w:rPr>
        <w:t xml:space="preserve"> and it has helped to fill the space where the Provisional IRA is relatively weak and the dissident Republicans seek to exploit</w:t>
      </w:r>
      <w:r w:rsidR="00B1546E">
        <w:rPr>
          <w:rFonts w:ascii="Times New Roman" w:hAnsi="Times New Roman" w:cs="Times New Roman"/>
        </w:rPr>
        <w:t>:</w:t>
      </w:r>
      <w:r w:rsidR="00991000">
        <w:rPr>
          <w:rStyle w:val="FootnoteReference"/>
          <w:rFonts w:ascii="Times New Roman" w:hAnsi="Times New Roman" w:cs="Times New Roman"/>
        </w:rPr>
        <w:footnoteReference w:id="497"/>
      </w:r>
    </w:p>
    <w:p w14:paraId="1F764BD3" w14:textId="77777777" w:rsidR="00991000" w:rsidRDefault="00991000" w:rsidP="00B57C7F">
      <w:pPr>
        <w:spacing w:line="360" w:lineRule="auto"/>
        <w:jc w:val="both"/>
        <w:rPr>
          <w:rFonts w:ascii="Times New Roman" w:hAnsi="Times New Roman" w:cs="Times New Roman"/>
        </w:rPr>
      </w:pPr>
    </w:p>
    <w:p w14:paraId="18478ECF" w14:textId="77777777" w:rsidR="00991000" w:rsidRPr="008E128E" w:rsidRDefault="00991000" w:rsidP="00B57C7F">
      <w:pPr>
        <w:spacing w:line="360" w:lineRule="auto"/>
        <w:ind w:left="567" w:right="567" w:firstLine="567"/>
        <w:jc w:val="both"/>
        <w:rPr>
          <w:rFonts w:ascii="Times New Roman" w:hAnsi="Times New Roman" w:cs="Times New Roman"/>
          <w:i/>
        </w:rPr>
      </w:pPr>
      <w:r w:rsidRPr="008E128E">
        <w:rPr>
          <w:rFonts w:ascii="Times New Roman" w:hAnsi="Times New Roman" w:cs="Times New Roman"/>
          <w:i/>
        </w:rPr>
        <w:t>We are not part of [the B</w:t>
      </w:r>
      <w:r w:rsidR="00B76118">
        <w:rPr>
          <w:rFonts w:ascii="Times New Roman" w:hAnsi="Times New Roman" w:cs="Times New Roman"/>
          <w:i/>
        </w:rPr>
        <w:t xml:space="preserve">elfast </w:t>
      </w:r>
      <w:r w:rsidRPr="008E128E">
        <w:rPr>
          <w:rFonts w:ascii="Times New Roman" w:hAnsi="Times New Roman" w:cs="Times New Roman"/>
          <w:i/>
        </w:rPr>
        <w:t>C</w:t>
      </w:r>
      <w:r w:rsidR="00B76118">
        <w:rPr>
          <w:rFonts w:ascii="Times New Roman" w:hAnsi="Times New Roman" w:cs="Times New Roman"/>
          <w:i/>
        </w:rPr>
        <w:t xml:space="preserve">onflict </w:t>
      </w:r>
      <w:r w:rsidRPr="008E128E">
        <w:rPr>
          <w:rFonts w:ascii="Times New Roman" w:hAnsi="Times New Roman" w:cs="Times New Roman"/>
          <w:i/>
        </w:rPr>
        <w:t>R</w:t>
      </w:r>
      <w:r w:rsidR="00B76118">
        <w:rPr>
          <w:rFonts w:ascii="Times New Roman" w:hAnsi="Times New Roman" w:cs="Times New Roman"/>
          <w:i/>
        </w:rPr>
        <w:t xml:space="preserve">esolution </w:t>
      </w:r>
      <w:r w:rsidRPr="008E128E">
        <w:rPr>
          <w:rFonts w:ascii="Times New Roman" w:hAnsi="Times New Roman" w:cs="Times New Roman"/>
          <w:i/>
        </w:rPr>
        <w:t>C</w:t>
      </w:r>
      <w:r w:rsidR="00B76118">
        <w:rPr>
          <w:rFonts w:ascii="Times New Roman" w:hAnsi="Times New Roman" w:cs="Times New Roman"/>
          <w:i/>
        </w:rPr>
        <w:t>onsortium</w:t>
      </w:r>
      <w:r w:rsidRPr="008E128E">
        <w:rPr>
          <w:rFonts w:ascii="Times New Roman" w:hAnsi="Times New Roman" w:cs="Times New Roman"/>
          <w:i/>
        </w:rPr>
        <w:t>] and we don’t want to be part of it, right. But still, the Loyalists call us because, as they would turn around and say, ‘the Provies</w:t>
      </w:r>
      <w:r w:rsidR="00EC7EAC">
        <w:rPr>
          <w:rFonts w:ascii="Times New Roman" w:hAnsi="Times New Roman" w:cs="Times New Roman"/>
          <w:i/>
        </w:rPr>
        <w:t xml:space="preserve"> [the Provisional IRA]</w:t>
      </w:r>
      <w:r w:rsidRPr="008E128E">
        <w:rPr>
          <w:rFonts w:ascii="Times New Roman" w:hAnsi="Times New Roman" w:cs="Times New Roman"/>
          <w:i/>
        </w:rPr>
        <w:t xml:space="preserve"> work 9-5, it would be great if that was the only time there was trouble, but the trouble is always at night’ and they don’t come out and won’t be seen. And one of the aspects, one of the reasons why they can’t go out to areas like Ardoyne and tell the kids to get off the streets is because the kids would tell them to fuck off.</w:t>
      </w:r>
      <w:r>
        <w:rPr>
          <w:rStyle w:val="FootnoteReference"/>
          <w:rFonts w:ascii="Times New Roman" w:hAnsi="Times New Roman" w:cs="Times New Roman"/>
          <w:i/>
        </w:rPr>
        <w:footnoteReference w:id="498"/>
      </w:r>
    </w:p>
    <w:p w14:paraId="0C3E54AC" w14:textId="77777777" w:rsidR="00D575FE" w:rsidRDefault="00D575FE" w:rsidP="00B57C7F">
      <w:pPr>
        <w:spacing w:line="360" w:lineRule="auto"/>
        <w:jc w:val="both"/>
        <w:rPr>
          <w:rFonts w:ascii="Times New Roman" w:hAnsi="Times New Roman" w:cs="Times New Roman"/>
        </w:rPr>
      </w:pPr>
    </w:p>
    <w:p w14:paraId="6CD3DAD4" w14:textId="77777777" w:rsidR="002C783A" w:rsidRDefault="00991000" w:rsidP="00B57C7F">
      <w:pPr>
        <w:spacing w:line="360" w:lineRule="auto"/>
        <w:jc w:val="both"/>
        <w:rPr>
          <w:rFonts w:ascii="Times New Roman" w:hAnsi="Times New Roman" w:cs="Times New Roman"/>
        </w:rPr>
      </w:pPr>
      <w:r>
        <w:rPr>
          <w:rFonts w:ascii="Times New Roman" w:hAnsi="Times New Roman" w:cs="Times New Roman"/>
        </w:rPr>
        <w:tab/>
      </w:r>
      <w:r w:rsidR="00D575FE">
        <w:rPr>
          <w:rFonts w:ascii="Times New Roman" w:hAnsi="Times New Roman" w:cs="Times New Roman"/>
        </w:rPr>
        <w:t xml:space="preserve">Therefore, while the Provisional IRA former combatants would have worked to control areas, they would have been limited in their reach, but the network provides incentives to co-operate to reduce the risk of violence </w:t>
      </w:r>
      <w:r w:rsidR="00DA3E05">
        <w:rPr>
          <w:rFonts w:ascii="Times New Roman" w:hAnsi="Times New Roman" w:cs="Times New Roman"/>
        </w:rPr>
        <w:t>more holistically.</w:t>
      </w:r>
      <w:r w:rsidR="00512F21">
        <w:rPr>
          <w:rFonts w:ascii="Times New Roman" w:hAnsi="Times New Roman" w:cs="Times New Roman"/>
        </w:rPr>
        <w:t xml:space="preserve"> Once again, using a social moveme</w:t>
      </w:r>
      <w:r w:rsidR="002C783A">
        <w:rPr>
          <w:rFonts w:ascii="Times New Roman" w:hAnsi="Times New Roman" w:cs="Times New Roman"/>
        </w:rPr>
        <w:t xml:space="preserve">nt approach which can take </w:t>
      </w:r>
      <w:r w:rsidR="00512F21">
        <w:rPr>
          <w:rFonts w:ascii="Times New Roman" w:hAnsi="Times New Roman" w:cs="Times New Roman"/>
        </w:rPr>
        <w:t>networks</w:t>
      </w:r>
      <w:r w:rsidR="002C783A">
        <w:rPr>
          <w:rFonts w:ascii="Times New Roman" w:hAnsi="Times New Roman" w:cs="Times New Roman"/>
        </w:rPr>
        <w:t xml:space="preserve"> into account</w:t>
      </w:r>
      <w:r w:rsidR="00512F21">
        <w:rPr>
          <w:rFonts w:ascii="Times New Roman" w:hAnsi="Times New Roman" w:cs="Times New Roman"/>
        </w:rPr>
        <w:t xml:space="preserve"> demonstrates how former combatants function despite the absence of an official organisational structure.</w:t>
      </w:r>
      <w:r w:rsidR="00D575FE">
        <w:rPr>
          <w:rFonts w:ascii="Times New Roman" w:hAnsi="Times New Roman" w:cs="Times New Roman"/>
        </w:rPr>
        <w:t xml:space="preserve"> </w:t>
      </w:r>
      <w:r>
        <w:rPr>
          <w:rFonts w:ascii="Times New Roman" w:hAnsi="Times New Roman" w:cs="Times New Roman"/>
        </w:rPr>
        <w:t>In addition to reducing trigger causes of violence and limiting the scope of dissident groups, the mobile phones network has provided an alternative route to organisational disengagement. A key part of organisational disengagement is the integration of former combatants into new roles, which can provide them with incentives to remain disengage</w:t>
      </w:r>
      <w:r w:rsidR="003560D9">
        <w:rPr>
          <w:rFonts w:ascii="Times New Roman" w:hAnsi="Times New Roman" w:cs="Times New Roman"/>
        </w:rPr>
        <w:t>d</w:t>
      </w:r>
      <w:r>
        <w:rPr>
          <w:rFonts w:ascii="Times New Roman" w:hAnsi="Times New Roman" w:cs="Times New Roman"/>
        </w:rPr>
        <w:t xml:space="preserve"> and help facilitate the disengagement process. Community activism has provided a role for Provisional IRA former combatants where a role in the political sphere may be restricted or unattractive</w:t>
      </w:r>
      <w:r w:rsidR="00DA3E05">
        <w:rPr>
          <w:rFonts w:ascii="Times New Roman" w:hAnsi="Times New Roman" w:cs="Times New Roman"/>
        </w:rPr>
        <w:t>, or the use of state resources would have been illegitimate</w:t>
      </w:r>
      <w:r>
        <w:rPr>
          <w:rFonts w:ascii="Times New Roman" w:hAnsi="Times New Roman" w:cs="Times New Roman"/>
        </w:rPr>
        <w:t xml:space="preserve">. </w:t>
      </w:r>
    </w:p>
    <w:p w14:paraId="4E430A2C" w14:textId="167EE264" w:rsidR="00991000" w:rsidRDefault="00991000" w:rsidP="002C783A">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It is unclear to what extent </w:t>
      </w:r>
      <w:r w:rsidR="00DA3E05">
        <w:rPr>
          <w:rFonts w:ascii="Times New Roman" w:hAnsi="Times New Roman" w:cs="Times New Roman"/>
        </w:rPr>
        <w:t>community activism</w:t>
      </w:r>
      <w:r>
        <w:rPr>
          <w:rFonts w:ascii="Times New Roman" w:hAnsi="Times New Roman" w:cs="Times New Roman"/>
        </w:rPr>
        <w:t xml:space="preserve"> would reduce the risk of recidivism given how many former combatants in the mobile phones network have accepted the disengagement frame prior to their involvement in the project. Nevertheless, there are incentives for becoming involved in community activism: participants can feel like they are continuing the ‘war’ by different means, aiding narrative fidelity; it can be a form of penance for past actions, particularly among Loyalists; it can provide employment in an area they feel passionate about; and it can boost their standing and authority in the community. Therefore, once former combatants enter an organisational disengagement route they have incentives to remain disengaged, but these incentives should also be weighed up against the strength of attitudes toward disengagement.</w:t>
      </w:r>
      <w:r w:rsidR="00512F21">
        <w:rPr>
          <w:rFonts w:ascii="Times New Roman" w:hAnsi="Times New Roman" w:cs="Times New Roman"/>
        </w:rPr>
        <w:t xml:space="preserve"> The thesis’ application of social movement approach, thus, informs debates in terrorism on the significance of attitudinal change, showing that a nuanced manifestation of de-radicalisation among former combatants can lead them to play a positive role in containing conflict. </w:t>
      </w:r>
      <w:r>
        <w:rPr>
          <w:rFonts w:ascii="Times New Roman" w:hAnsi="Times New Roman" w:cs="Times New Roman"/>
        </w:rPr>
        <w:t xml:space="preserve"> </w:t>
      </w:r>
    </w:p>
    <w:p w14:paraId="7CEA22F5" w14:textId="544AB952"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However, it is questionable the extent that involvement in community activism constitutes organisational disengagement as it is quite apparent that a command structure does exist (although perhaps exercised informally, in the case of the Provisional IRA). As a result, the limited nature of organisational disengagement means that, to ensure that the informal existence of a command structure does not increase the risk of recidivism, it is important that there has been sufficient attitudinal change.</w:t>
      </w:r>
      <w:r w:rsidR="00512F21">
        <w:rPr>
          <w:rFonts w:ascii="Times New Roman" w:hAnsi="Times New Roman" w:cs="Times New Roman"/>
        </w:rPr>
        <w:t xml:space="preserve"> This point challenges the assumption in the literature which emphasises disengagement over attitudinal change in order to reduce the risk of recidivism.</w:t>
      </w:r>
      <w:r w:rsidR="00512F21">
        <w:rPr>
          <w:rStyle w:val="FootnoteReference"/>
          <w:rFonts w:ascii="Times New Roman" w:hAnsi="Times New Roman" w:cs="Times New Roman"/>
        </w:rPr>
        <w:footnoteReference w:id="499"/>
      </w:r>
      <w:r>
        <w:rPr>
          <w:rFonts w:ascii="Times New Roman" w:hAnsi="Times New Roman" w:cs="Times New Roman"/>
        </w:rPr>
        <w:t xml:space="preserve"> In the case of the Provisional IRA, the successful diffusion of the disengagement frame has turned the limited organisational disengagement into an advantage, as its members can work to maintain and promote disengagement and a reduction in violence through projects like the mobile phones network. Where there has not been a successful diffusion of the disengagement frame, for example among Loyalist groups</w:t>
      </w:r>
      <w:r w:rsidR="00B1546E">
        <w:rPr>
          <w:rFonts w:ascii="Times New Roman" w:hAnsi="Times New Roman" w:cs="Times New Roman"/>
        </w:rPr>
        <w:t>,</w:t>
      </w:r>
      <w:r>
        <w:rPr>
          <w:rStyle w:val="FootnoteReference"/>
          <w:rFonts w:ascii="Times New Roman" w:hAnsi="Times New Roman" w:cs="Times New Roman"/>
        </w:rPr>
        <w:footnoteReference w:id="500"/>
      </w:r>
      <w:r>
        <w:rPr>
          <w:rFonts w:ascii="Times New Roman" w:hAnsi="Times New Roman" w:cs="Times New Roman"/>
        </w:rPr>
        <w:t xml:space="preserve"> the maintenance of organisational structures (partly) through the mobile phone network can be utilised to increase violenc</w:t>
      </w:r>
      <w:r w:rsidR="00DA3E05">
        <w:rPr>
          <w:rFonts w:ascii="Times New Roman" w:hAnsi="Times New Roman" w:cs="Times New Roman"/>
        </w:rPr>
        <w:t xml:space="preserve">e when it is in their interest. </w:t>
      </w:r>
      <w:r w:rsidR="00DA3E05">
        <w:rPr>
          <w:rFonts w:ascii="Times New Roman" w:hAnsi="Times New Roman" w:cs="Times New Roman"/>
        </w:rPr>
        <w:lastRenderedPageBreak/>
        <w:t xml:space="preserve">As in East Belfast, pressure by certain (UVF) brigades can limit the efficacy of those in the network, meaning their organisation is no longer called and this can have a spiralling effect which strengthens hard-liners. </w:t>
      </w:r>
      <w:r>
        <w:rPr>
          <w:rFonts w:ascii="Times New Roman" w:hAnsi="Times New Roman" w:cs="Times New Roman"/>
        </w:rPr>
        <w:t xml:space="preserve">Therefore, whereas organisational disengagement would typically place structural constraints on recidivism, the mobile phone network has retained a degree of informal organisational engagement, making attitudinal change on armed violence important. </w:t>
      </w:r>
    </w:p>
    <w:p w14:paraId="3D4BFD33"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As mentioned above, the Provisional IRA dimension of the mobile phone network consists of members who had undergone the extensive dialogue during the 1990s disengagement process. In the 2000s, the mobile phone network acted to create linkages between paramilitary groups, Republican and Loyalist, to help diffuse support for disengagement at a societal level. Therefore, the mobile phone network played a key role in producing the ‘domino-effect’ of disengagement referred to by Ashour. Through interaction with the ‘other’ and the Republican social movement, the disengagement frame began to developed new dimensions that could resonate further in society.</w:t>
      </w:r>
      <w:r w:rsidR="00EC7EAC">
        <w:rPr>
          <w:rFonts w:ascii="Times New Roman" w:hAnsi="Times New Roman" w:cs="Times New Roman"/>
        </w:rPr>
        <w:t xml:space="preserve"> The Provisional IRA disengagement frame outlined in Chapter Four was constructed by Provisional IRA members for Provisional IRA members: it would need to be modified to convince other groups to disengage.</w:t>
      </w:r>
      <w:r>
        <w:rPr>
          <w:rFonts w:ascii="Times New Roman" w:hAnsi="Times New Roman" w:cs="Times New Roman"/>
        </w:rPr>
        <w:t xml:space="preserve"> As interaction between Republicans and Loyalists increased, they were able to reduce the level of violence, culminating in the disengagement of the INLA, the Official IRA, and the UDA.</w:t>
      </w:r>
    </w:p>
    <w:p w14:paraId="273D7275" w14:textId="77777777" w:rsidR="00991000" w:rsidRDefault="00991000" w:rsidP="00B57C7F">
      <w:pPr>
        <w:spacing w:line="360" w:lineRule="auto"/>
        <w:jc w:val="both"/>
        <w:rPr>
          <w:rFonts w:ascii="Times New Roman" w:hAnsi="Times New Roman" w:cs="Times New Roman"/>
        </w:rPr>
      </w:pPr>
    </w:p>
    <w:p w14:paraId="7B5CBFAD" w14:textId="77777777" w:rsidR="00991000" w:rsidRPr="003A0162" w:rsidRDefault="00991000" w:rsidP="00B57C7F">
      <w:pPr>
        <w:pStyle w:val="Heading4"/>
        <w:spacing w:before="120" w:line="360" w:lineRule="auto"/>
      </w:pPr>
      <w:bookmarkStart w:id="59" w:name="_Toc389208841"/>
      <w:r w:rsidRPr="003A0162">
        <w:t>Interaction and the ‘Domino-Effect’</w:t>
      </w:r>
      <w:bookmarkEnd w:id="59"/>
    </w:p>
    <w:p w14:paraId="3032537F"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As argued above, participants in the mobile phone network gain incentives from their involvement, and the only way to ensure their own efficacy in the network is to co-operate, be reliable and trustworthy. If a participant can no longer have influence at interface areas or does not answer the phone regularly, the nodes in the network will utilise other contacts in rival paramilitary groups. Subsequently, the network encourages deeper interaction and co-operation</w:t>
      </w:r>
      <w:r w:rsidR="000D0E0D">
        <w:rPr>
          <w:rFonts w:ascii="Times New Roman" w:hAnsi="Times New Roman" w:cs="Times New Roman"/>
        </w:rPr>
        <w:t>, thus acting as a pull-factor away from violence</w:t>
      </w:r>
      <w:r>
        <w:rPr>
          <w:rFonts w:ascii="Times New Roman" w:hAnsi="Times New Roman" w:cs="Times New Roman"/>
        </w:rPr>
        <w:t xml:space="preserve">:   </w:t>
      </w:r>
    </w:p>
    <w:p w14:paraId="15BA0E86" w14:textId="77777777" w:rsidR="00991000" w:rsidRDefault="00991000" w:rsidP="00B57C7F">
      <w:pPr>
        <w:spacing w:line="360" w:lineRule="auto"/>
        <w:jc w:val="both"/>
        <w:rPr>
          <w:rFonts w:ascii="Times New Roman" w:hAnsi="Times New Roman" w:cs="Times New Roman"/>
        </w:rPr>
      </w:pPr>
    </w:p>
    <w:p w14:paraId="1DCBE6ED" w14:textId="77777777" w:rsidR="00991000" w:rsidRPr="00880130" w:rsidRDefault="00991000" w:rsidP="00B57C7F">
      <w:pPr>
        <w:spacing w:line="360" w:lineRule="auto"/>
        <w:ind w:left="567" w:right="567"/>
        <w:jc w:val="both"/>
        <w:rPr>
          <w:rFonts w:ascii="Times New Roman" w:hAnsi="Times New Roman" w:cs="Times New Roman"/>
          <w:i/>
        </w:rPr>
      </w:pPr>
      <w:r w:rsidRPr="00880130">
        <w:rPr>
          <w:rFonts w:ascii="Times New Roman" w:hAnsi="Times New Roman" w:cs="Times New Roman"/>
          <w:i/>
        </w:rPr>
        <w:t xml:space="preserve">…we became accountable to each other, and that’s when the mobile phones came in. And we would meet each other on a fortnightly basis, so </w:t>
      </w:r>
      <w:r w:rsidRPr="00880130">
        <w:rPr>
          <w:rFonts w:ascii="Times New Roman" w:hAnsi="Times New Roman" w:cs="Times New Roman"/>
          <w:i/>
        </w:rPr>
        <w:lastRenderedPageBreak/>
        <w:t>if I say to you there’s a problem, you need to get this sorted out. If you come back to me in a fortnights time and I’m sitting there looking you in the eye going ‘what did you do about that’, and I know if you’re bullshitting me if you like, I’m not gonna phone you anymore. That relationship diminishes. If you come back and say ‘here’s what I did, blah blah blah blah, and we stop bullshitting each other… So I think that’s how it began to change, it came from this personal commitment in a way to each other and coming back and saying ‘well, no point in me bullshitting you because you can do it to me next week. I think we have to be honest and up-front with each other and deal with it that way’, and I think that’s how that stuff developed.</w:t>
      </w:r>
      <w:r>
        <w:rPr>
          <w:rStyle w:val="FootnoteReference"/>
          <w:rFonts w:ascii="Times New Roman" w:hAnsi="Times New Roman" w:cs="Times New Roman"/>
          <w:i/>
        </w:rPr>
        <w:footnoteReference w:id="501"/>
      </w:r>
    </w:p>
    <w:p w14:paraId="3266C713" w14:textId="77777777" w:rsidR="00991000" w:rsidRDefault="00991000" w:rsidP="00B57C7F">
      <w:pPr>
        <w:spacing w:line="360" w:lineRule="auto"/>
        <w:jc w:val="both"/>
        <w:rPr>
          <w:rFonts w:ascii="Times New Roman" w:hAnsi="Times New Roman" w:cs="Times New Roman"/>
        </w:rPr>
      </w:pPr>
    </w:p>
    <w:p w14:paraId="2BEFE77D"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Subsequently, Republican and Loyalist former combatants began meeting more regularly, which had previously only happened in much smaller ways in prisons</w:t>
      </w:r>
      <w:r w:rsidR="00E37560">
        <w:rPr>
          <w:rFonts w:ascii="Times New Roman" w:hAnsi="Times New Roman" w:cs="Times New Roman"/>
        </w:rPr>
        <w:t xml:space="preserve"> because of the strong normative constraints against inter-community dialogue</w:t>
      </w:r>
      <w:r>
        <w:rPr>
          <w:rFonts w:ascii="Times New Roman" w:hAnsi="Times New Roman" w:cs="Times New Roman"/>
        </w:rPr>
        <w:t xml:space="preserve">. While there were </w:t>
      </w:r>
      <w:r w:rsidR="000D0E0D">
        <w:rPr>
          <w:rFonts w:ascii="Times New Roman" w:hAnsi="Times New Roman" w:cs="Times New Roman"/>
        </w:rPr>
        <w:t xml:space="preserve">traditionally </w:t>
      </w:r>
      <w:r>
        <w:rPr>
          <w:rFonts w:ascii="Times New Roman" w:hAnsi="Times New Roman" w:cs="Times New Roman"/>
        </w:rPr>
        <w:t>strong disincentives for inter-group interaction in both communities, the work of the network and experience as a former combatant gave a green light for interaction, which began to grow beyond the remit of the mobile phone networks:</w:t>
      </w:r>
    </w:p>
    <w:p w14:paraId="2D907A1B" w14:textId="77777777" w:rsidR="00991000" w:rsidRDefault="00991000" w:rsidP="00B57C7F">
      <w:pPr>
        <w:spacing w:line="360" w:lineRule="auto"/>
        <w:rPr>
          <w:rFonts w:ascii="Times New Roman" w:hAnsi="Times New Roman" w:cs="Times New Roman"/>
        </w:rPr>
      </w:pPr>
    </w:p>
    <w:p w14:paraId="1AA93387" w14:textId="77777777" w:rsidR="00991000" w:rsidRPr="00CF07B0" w:rsidRDefault="00991000" w:rsidP="00B57C7F">
      <w:pPr>
        <w:spacing w:line="360" w:lineRule="auto"/>
        <w:ind w:left="567" w:right="567"/>
        <w:jc w:val="both"/>
        <w:rPr>
          <w:rFonts w:ascii="Times New Roman" w:hAnsi="Times New Roman" w:cs="Times New Roman"/>
          <w:i/>
        </w:rPr>
      </w:pPr>
      <w:r w:rsidRPr="00CF07B0">
        <w:rPr>
          <w:rFonts w:ascii="Times New Roman" w:hAnsi="Times New Roman" w:cs="Times New Roman"/>
          <w:i/>
        </w:rPr>
        <w:t>...we meet fortnightly and regardless of what happens, every fortnight for the last eight years. You come in and sometimes going ‘there</w:t>
      </w:r>
      <w:r w:rsidR="00E37560">
        <w:rPr>
          <w:rFonts w:ascii="Times New Roman" w:hAnsi="Times New Roman" w:cs="Times New Roman"/>
          <w:i/>
        </w:rPr>
        <w:t>’s nothing</w:t>
      </w:r>
      <w:r w:rsidRPr="00CF07B0">
        <w:rPr>
          <w:rFonts w:ascii="Times New Roman" w:hAnsi="Times New Roman" w:cs="Times New Roman"/>
          <w:i/>
        </w:rPr>
        <w:t xml:space="preserve"> happened this week and we’ll call this meeting off’, but then you go ‘no, because these meetings are useful, they keep us in touch with each other, we know what we are doing and it also develops that relationship where we have a trustful working relationship. There’d be another six or seven chairs in this room and eighteen people would be in the room and maybe every second Monday morning. And I wouldn’t have gone out with a drink with any one of them - so we have a working relationship and probably a friendly enough relationship. We are pally like but we </w:t>
      </w:r>
      <w:r w:rsidRPr="00CF07B0">
        <w:rPr>
          <w:rFonts w:ascii="Times New Roman" w:hAnsi="Times New Roman" w:cs="Times New Roman"/>
          <w:i/>
        </w:rPr>
        <w:lastRenderedPageBreak/>
        <w:t>wouldn’t go over to someone</w:t>
      </w:r>
      <w:r>
        <w:rPr>
          <w:rFonts w:ascii="Times New Roman" w:hAnsi="Times New Roman" w:cs="Times New Roman"/>
          <w:i/>
        </w:rPr>
        <w:t>’</w:t>
      </w:r>
      <w:r w:rsidRPr="00CF07B0">
        <w:rPr>
          <w:rFonts w:ascii="Times New Roman" w:hAnsi="Times New Roman" w:cs="Times New Roman"/>
          <w:i/>
        </w:rPr>
        <w:t>s for dinner...but hopefully the relationship can work in that direction, but we are just not there at the moment.</w:t>
      </w:r>
      <w:r>
        <w:rPr>
          <w:rStyle w:val="FootnoteReference"/>
          <w:rFonts w:ascii="Times New Roman" w:hAnsi="Times New Roman" w:cs="Times New Roman"/>
          <w:i/>
        </w:rPr>
        <w:footnoteReference w:id="502"/>
      </w:r>
      <w:r w:rsidRPr="00CF07B0">
        <w:rPr>
          <w:rFonts w:ascii="Times New Roman" w:hAnsi="Times New Roman" w:cs="Times New Roman"/>
          <w:i/>
        </w:rPr>
        <w:t xml:space="preserve">    </w:t>
      </w:r>
    </w:p>
    <w:p w14:paraId="682A9416" w14:textId="77777777" w:rsidR="00991000" w:rsidRDefault="00991000" w:rsidP="00B57C7F">
      <w:pPr>
        <w:spacing w:line="360" w:lineRule="auto"/>
        <w:rPr>
          <w:rFonts w:ascii="Times New Roman" w:hAnsi="Times New Roman" w:cs="Times New Roman"/>
        </w:rPr>
      </w:pPr>
    </w:p>
    <w:p w14:paraId="44800C39" w14:textId="77777777" w:rsidR="00B0178D" w:rsidRDefault="00991000" w:rsidP="00B57C7F">
      <w:pPr>
        <w:spacing w:line="360" w:lineRule="auto"/>
        <w:jc w:val="both"/>
        <w:rPr>
          <w:rFonts w:ascii="Times New Roman" w:hAnsi="Times New Roman" w:cs="Times New Roman"/>
        </w:rPr>
      </w:pPr>
      <w:r>
        <w:rPr>
          <w:rFonts w:ascii="Times New Roman" w:hAnsi="Times New Roman" w:cs="Times New Roman"/>
        </w:rPr>
        <w:tab/>
        <w:t>While inter-group and cross-community co-operation improved the efficacy of the mobile phone network in calming interface violence, the occurrence of regular dialogue also helped to build trust and avoid misinterpreting signals. Partly building on this earlier dialogue, funding from the European Union’s PEACE II project (2000 to 2006) was utilised by former combatants to develop a number of projects on conflict transformation, prevention and inter-community dialogue. The different groups began to invite each other into the ‘other’s’ community, going to trips to Dublin and Stormont together, and bringing young people from one side of the interface to the other</w:t>
      </w:r>
      <w:r w:rsidR="00B1546E">
        <w:rPr>
          <w:rFonts w:ascii="Times New Roman" w:hAnsi="Times New Roman" w:cs="Times New Roman"/>
        </w:rPr>
        <w:t>.</w:t>
      </w:r>
      <w:r w:rsidR="00E37560">
        <w:rPr>
          <w:rStyle w:val="FootnoteReference"/>
          <w:rFonts w:ascii="Times New Roman" w:hAnsi="Times New Roman" w:cs="Times New Roman"/>
        </w:rPr>
        <w:footnoteReference w:id="503"/>
      </w:r>
      <w:r>
        <w:rPr>
          <w:rFonts w:ascii="Times New Roman" w:hAnsi="Times New Roman" w:cs="Times New Roman"/>
        </w:rPr>
        <w:t xml:space="preserve"> Also, senior leaders of the paramilitary groups</w:t>
      </w:r>
      <w:r w:rsidR="000D0E0D" w:rsidRPr="000D0E0D">
        <w:rPr>
          <w:rFonts w:ascii="Times New Roman" w:hAnsi="Times New Roman" w:cs="Times New Roman"/>
        </w:rPr>
        <w:t xml:space="preserve"> </w:t>
      </w:r>
      <w:r w:rsidR="000D0E0D">
        <w:rPr>
          <w:rFonts w:ascii="Times New Roman" w:hAnsi="Times New Roman" w:cs="Times New Roman"/>
        </w:rPr>
        <w:t>in Belfast</w:t>
      </w:r>
      <w:r>
        <w:rPr>
          <w:rFonts w:ascii="Times New Roman" w:hAnsi="Times New Roman" w:cs="Times New Roman"/>
        </w:rPr>
        <w:t>, including representatives from the Provisional IRA, began to hold meetings regularly throughout the 2000s up until now. The growing dialogue firstly built up enough trust to prompt other paramilitary groups to consider disengagement</w:t>
      </w:r>
      <w:r w:rsidR="00B0178D">
        <w:rPr>
          <w:rFonts w:ascii="Times New Roman" w:hAnsi="Times New Roman" w:cs="Times New Roman"/>
        </w:rPr>
        <w:t>:</w:t>
      </w:r>
    </w:p>
    <w:p w14:paraId="7F61C6B0" w14:textId="77777777" w:rsidR="00B0178D" w:rsidRDefault="00B0178D" w:rsidP="00B57C7F">
      <w:pPr>
        <w:spacing w:line="360" w:lineRule="auto"/>
        <w:jc w:val="both"/>
        <w:rPr>
          <w:rFonts w:ascii="Times New Roman" w:hAnsi="Times New Roman" w:cs="Times New Roman"/>
        </w:rPr>
      </w:pPr>
    </w:p>
    <w:p w14:paraId="651041ED" w14:textId="345B2137" w:rsidR="00B0178D" w:rsidRPr="00B0178D" w:rsidRDefault="00B0178D" w:rsidP="00B57C7F">
      <w:pPr>
        <w:spacing w:line="360" w:lineRule="auto"/>
        <w:ind w:left="567" w:right="567"/>
        <w:jc w:val="both"/>
        <w:rPr>
          <w:rFonts w:ascii="Times New Roman" w:hAnsi="Times New Roman" w:cs="Times New Roman"/>
          <w:i/>
        </w:rPr>
      </w:pPr>
      <w:r w:rsidRPr="00585204">
        <w:rPr>
          <w:rFonts w:ascii="Times New Roman" w:hAnsi="Times New Roman" w:cs="Times New Roman"/>
          <w:i/>
        </w:rPr>
        <w:t>These relations were so important that eventually they contributed to, in large part, the decommissioning of weapons by the UDA, the INLA and the OIRA, and that happened a few years ago</w:t>
      </w:r>
      <w:r w:rsidRPr="00B0178D">
        <w:rPr>
          <w:rFonts w:ascii="Times New Roman" w:hAnsi="Times New Roman" w:cs="Times New Roman"/>
          <w:i/>
        </w:rPr>
        <w:t>. There was an im</w:t>
      </w:r>
      <w:r>
        <w:rPr>
          <w:rFonts w:ascii="Times New Roman" w:hAnsi="Times New Roman" w:cs="Times New Roman"/>
          <w:i/>
        </w:rPr>
        <w:t>petus to decommissioning anyway:</w:t>
      </w:r>
      <w:r w:rsidRPr="00B0178D">
        <w:rPr>
          <w:rFonts w:ascii="Times New Roman" w:hAnsi="Times New Roman" w:cs="Times New Roman"/>
          <w:i/>
        </w:rPr>
        <w:t xml:space="preserve"> you had the commission overseeing it. But it hadn’t happened and I can’t verify this because I wasn’t part of the process but what we have been told by the individual groups that are here was that the relationships that were built up around the table and beyond, when they went to events together, when they went to Dublin together, that they were instrumental in building up the confidence that allowed people to believe what the others were saying and to get rid of the weapons.  The INLA and </w:t>
      </w:r>
      <w:r w:rsidR="002C783A">
        <w:rPr>
          <w:rFonts w:ascii="Times New Roman" w:hAnsi="Times New Roman" w:cs="Times New Roman"/>
          <w:i/>
        </w:rPr>
        <w:t>the UDA in East Belfast, in Stra</w:t>
      </w:r>
      <w:r w:rsidRPr="00B0178D">
        <w:rPr>
          <w:rFonts w:ascii="Times New Roman" w:hAnsi="Times New Roman" w:cs="Times New Roman"/>
          <w:i/>
        </w:rPr>
        <w:t xml:space="preserve">bane, in Derry, in Tyrone, and so on, and they talked about it and they eventually decided to believe one another and accepted that if they decommissioned their weapons, then the others were going to do the same, and they did it. </w:t>
      </w:r>
      <w:r w:rsidRPr="00B0178D">
        <w:rPr>
          <w:rFonts w:ascii="Times New Roman" w:hAnsi="Times New Roman" w:cs="Times New Roman"/>
          <w:i/>
        </w:rPr>
        <w:lastRenderedPageBreak/>
        <w:t>Now we don’t know for sure if everything is gone, but there is a hell of a lot of stuff gone.</w:t>
      </w:r>
      <w:r>
        <w:rPr>
          <w:rStyle w:val="FootnoteReference"/>
          <w:rFonts w:ascii="Times New Roman" w:hAnsi="Times New Roman" w:cs="Times New Roman"/>
          <w:i/>
        </w:rPr>
        <w:footnoteReference w:id="504"/>
      </w:r>
      <w:r w:rsidRPr="00B0178D">
        <w:rPr>
          <w:rFonts w:ascii="Times New Roman" w:hAnsi="Times New Roman" w:cs="Times New Roman"/>
          <w:i/>
        </w:rPr>
        <w:t xml:space="preserve">   </w:t>
      </w:r>
    </w:p>
    <w:p w14:paraId="3BBE01D5" w14:textId="77777777" w:rsidR="00B0178D" w:rsidRDefault="00B0178D" w:rsidP="00B57C7F">
      <w:pPr>
        <w:spacing w:line="360" w:lineRule="auto"/>
        <w:jc w:val="both"/>
        <w:rPr>
          <w:rFonts w:ascii="Times New Roman" w:hAnsi="Times New Roman" w:cs="Times New Roman"/>
        </w:rPr>
      </w:pPr>
    </w:p>
    <w:p w14:paraId="03590EF7" w14:textId="40425E89" w:rsidR="00991000" w:rsidRDefault="00512F21" w:rsidP="00B57C7F">
      <w:pPr>
        <w:spacing w:line="360" w:lineRule="auto"/>
        <w:ind w:firstLine="567"/>
        <w:jc w:val="both"/>
        <w:rPr>
          <w:rFonts w:ascii="Times New Roman" w:hAnsi="Times New Roman" w:cs="Times New Roman"/>
        </w:rPr>
      </w:pPr>
      <w:r>
        <w:rPr>
          <w:rFonts w:ascii="Times New Roman" w:hAnsi="Times New Roman" w:cs="Times New Roman"/>
        </w:rPr>
        <w:t>The quote above strengthens the argument made by Ashour that interaction can help diffuse the disengagement process, whereby trust is built up.</w:t>
      </w:r>
      <w:r>
        <w:rPr>
          <w:rStyle w:val="FootnoteReference"/>
          <w:rFonts w:ascii="Times New Roman" w:hAnsi="Times New Roman" w:cs="Times New Roman"/>
        </w:rPr>
        <w:footnoteReference w:id="505"/>
      </w:r>
      <w:r>
        <w:rPr>
          <w:rFonts w:ascii="Times New Roman" w:hAnsi="Times New Roman" w:cs="Times New Roman"/>
        </w:rPr>
        <w:t xml:space="preserve"> Furthermore, while there has been much emphasis on elite negotiation on decommissioning or the impact of external events such as September 11</w:t>
      </w:r>
      <w:r w:rsidRPr="00512F21">
        <w:rPr>
          <w:rFonts w:ascii="Times New Roman" w:hAnsi="Times New Roman" w:cs="Times New Roman"/>
          <w:vertAlign w:val="superscript"/>
        </w:rPr>
        <w:t>th</w:t>
      </w:r>
      <w:r>
        <w:rPr>
          <w:rFonts w:ascii="Times New Roman" w:hAnsi="Times New Roman" w:cs="Times New Roman"/>
        </w:rPr>
        <w:t>,</w:t>
      </w:r>
      <w:r>
        <w:rPr>
          <w:rStyle w:val="FootnoteReference"/>
          <w:rFonts w:ascii="Times New Roman" w:hAnsi="Times New Roman" w:cs="Times New Roman"/>
        </w:rPr>
        <w:footnoteReference w:id="506"/>
      </w:r>
      <w:r>
        <w:rPr>
          <w:rFonts w:ascii="Times New Roman" w:hAnsi="Times New Roman" w:cs="Times New Roman"/>
        </w:rPr>
        <w:t xml:space="preserve"> the thesis highlights how the transformations occurred at the local level, arguably where it mattered most. </w:t>
      </w:r>
      <w:r w:rsidR="00B0178D">
        <w:rPr>
          <w:rFonts w:ascii="Times New Roman" w:hAnsi="Times New Roman" w:cs="Times New Roman"/>
        </w:rPr>
        <w:t>Secondly, inter-group meetings</w:t>
      </w:r>
      <w:r w:rsidR="00991000">
        <w:rPr>
          <w:rFonts w:ascii="Times New Roman" w:hAnsi="Times New Roman" w:cs="Times New Roman"/>
        </w:rPr>
        <w:t xml:space="preserve"> helped to prevent a slip-back into violence during contentious flash-points. One interviewee present at meetings of senior paramilitary figures in Belfast discussed their importance:</w:t>
      </w:r>
    </w:p>
    <w:p w14:paraId="0A9FD142" w14:textId="77777777" w:rsidR="00991000" w:rsidRDefault="00991000" w:rsidP="00B57C7F">
      <w:pPr>
        <w:spacing w:line="360" w:lineRule="auto"/>
        <w:jc w:val="both"/>
        <w:rPr>
          <w:rFonts w:ascii="Times New Roman" w:hAnsi="Times New Roman" w:cs="Times New Roman"/>
        </w:rPr>
      </w:pPr>
    </w:p>
    <w:p w14:paraId="302B74F2" w14:textId="77777777" w:rsidR="00991000" w:rsidRPr="00585204" w:rsidRDefault="00991000" w:rsidP="00B57C7F">
      <w:pPr>
        <w:spacing w:line="360" w:lineRule="auto"/>
        <w:ind w:left="567" w:right="567"/>
        <w:jc w:val="both"/>
        <w:rPr>
          <w:rFonts w:ascii="Times New Roman" w:hAnsi="Times New Roman" w:cs="Times New Roman"/>
          <w:i/>
        </w:rPr>
      </w:pPr>
      <w:r w:rsidRPr="00585204">
        <w:rPr>
          <w:rFonts w:ascii="Times New Roman" w:hAnsi="Times New Roman" w:cs="Times New Roman"/>
          <w:i/>
        </w:rPr>
        <w:t>Another thing the relationships around the table prevented was a slide back into conflict on a number of occasions. When the two soldiers were killed in the barracks [and the policeman</w:t>
      </w:r>
      <w:r>
        <w:rPr>
          <w:rFonts w:ascii="Times New Roman" w:hAnsi="Times New Roman" w:cs="Times New Roman"/>
          <w:i/>
        </w:rPr>
        <w:t xml:space="preserve"> in 2009</w:t>
      </w:r>
      <w:r w:rsidRPr="00585204">
        <w:rPr>
          <w:rFonts w:ascii="Times New Roman" w:hAnsi="Times New Roman" w:cs="Times New Roman"/>
          <w:i/>
        </w:rPr>
        <w:t>]...that was a very dangerous period because that could have slipped back into conflict. The loyalists came to the table, they were quite angry. Initially, when the policeman was killed, it was pointed out around the table that this represented an old mind-set on the point that the police...belong to your community because that’s the impression you are giving here, and that they now belong to everybody</w:t>
      </w:r>
      <w:r w:rsidR="00E37560">
        <w:rPr>
          <w:rFonts w:ascii="Times New Roman" w:hAnsi="Times New Roman" w:cs="Times New Roman"/>
          <w:i/>
        </w:rPr>
        <w:t>, s</w:t>
      </w:r>
      <w:r w:rsidRPr="00585204">
        <w:rPr>
          <w:rFonts w:ascii="Times New Roman" w:hAnsi="Times New Roman" w:cs="Times New Roman"/>
          <w:i/>
        </w:rPr>
        <w:t>o people on the nationalist side are entitled to be just as annoyed as on the Unionist side. I think for a number of the Unionist groups around the table...it was a wake-up for them you know, suddenly they thought ‘that’s true,</w:t>
      </w:r>
      <w:r>
        <w:rPr>
          <w:rFonts w:ascii="Times New Roman" w:hAnsi="Times New Roman" w:cs="Times New Roman"/>
          <w:i/>
        </w:rPr>
        <w:t xml:space="preserve"> that is a mind-set we’ve had’…</w:t>
      </w:r>
      <w:r w:rsidRPr="00585204">
        <w:rPr>
          <w:rFonts w:ascii="Times New Roman" w:hAnsi="Times New Roman" w:cs="Times New Roman"/>
          <w:i/>
        </w:rPr>
        <w:t xml:space="preserve">In fairness to them, they took it on-board and went back into their communities and said ‘look, there’s no support for this </w:t>
      </w:r>
      <w:r w:rsidRPr="00585204">
        <w:rPr>
          <w:rFonts w:ascii="Times New Roman" w:hAnsi="Times New Roman" w:cs="Times New Roman"/>
          <w:i/>
        </w:rPr>
        <w:lastRenderedPageBreak/>
        <w:t>amongst the nationalists/Republican community in general’. They just kept a lid on things. Same when the two soldiers were killed; same situation again. Recognition that there was no support for this anymore, that people didn’t see this as contributing in any way as a way forward, and again the Loyalists went back into their communities and put a lid on it.</w:t>
      </w:r>
      <w:r>
        <w:rPr>
          <w:rStyle w:val="FootnoteReference"/>
          <w:rFonts w:ascii="Times New Roman" w:hAnsi="Times New Roman" w:cs="Times New Roman"/>
          <w:i/>
        </w:rPr>
        <w:footnoteReference w:id="507"/>
      </w:r>
      <w:r w:rsidRPr="00585204">
        <w:rPr>
          <w:rFonts w:ascii="Times New Roman" w:hAnsi="Times New Roman" w:cs="Times New Roman"/>
          <w:i/>
        </w:rPr>
        <w:t xml:space="preserve"> </w:t>
      </w:r>
    </w:p>
    <w:p w14:paraId="0E322296" w14:textId="77777777" w:rsidR="00991000" w:rsidRDefault="00991000" w:rsidP="00B57C7F">
      <w:pPr>
        <w:spacing w:line="360" w:lineRule="auto"/>
        <w:jc w:val="both"/>
        <w:rPr>
          <w:rFonts w:ascii="Times New Roman" w:hAnsi="Times New Roman" w:cs="Times New Roman"/>
        </w:rPr>
      </w:pPr>
    </w:p>
    <w:p w14:paraId="34659096" w14:textId="333ACC2E"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The UDA, INLA and the Official IRA utilised different disengagement frames from the Provisional IRA</w:t>
      </w:r>
      <w:r w:rsidR="00B62140">
        <w:rPr>
          <w:rFonts w:ascii="Times New Roman" w:hAnsi="Times New Roman" w:cs="Times New Roman"/>
        </w:rPr>
        <w:t>.</w:t>
      </w:r>
      <w:r>
        <w:rPr>
          <w:rFonts w:ascii="Times New Roman" w:hAnsi="Times New Roman" w:cs="Times New Roman"/>
        </w:rPr>
        <w:t xml:space="preserve"> </w:t>
      </w:r>
      <w:r w:rsidR="00B62140">
        <w:rPr>
          <w:rFonts w:ascii="Times New Roman" w:hAnsi="Times New Roman" w:cs="Times New Roman"/>
        </w:rPr>
        <w:t>H</w:t>
      </w:r>
      <w:r>
        <w:rPr>
          <w:rFonts w:ascii="Times New Roman" w:hAnsi="Times New Roman" w:cs="Times New Roman"/>
        </w:rPr>
        <w:t xml:space="preserve">owever the meetings between the groups helped to diffuse the Provisional IRA’s frame, which provided security for the UDA to disarm and convinced the two Republican groups to officially disarm too. The Provisional IRA’s support for shared policing – under the rubric of its equality agenda – and its own ability to decommission had a substantial knock-on on the remaining paramilitary groups. Therefore, while interaction with the ‘other’ may not have been important for the Provisional IRA’s disengagement in the 1990s, it was important in diffusing disengagement in Northern Ireland, reducing the risk of recidivism (albeit primarily from other groups) and containing the trigger causes of violence.  </w:t>
      </w:r>
    </w:p>
    <w:p w14:paraId="376897E5" w14:textId="7D68E503"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Throughout this period, dissident Republican groups continued to be active, but as mentioned above, their ability to escalate the conflict by killing two soldiers and a policeman was severely limited by the inter-communal dialogue and ability of Loyalist leaders to assert their authority in their communities. Therefore, the presence of former c</w:t>
      </w:r>
      <w:r w:rsidR="003560D9">
        <w:rPr>
          <w:rFonts w:ascii="Times New Roman" w:hAnsi="Times New Roman" w:cs="Times New Roman"/>
        </w:rPr>
        <w:t xml:space="preserve">ombatants at a community level </w:t>
      </w:r>
      <w:r>
        <w:rPr>
          <w:rFonts w:ascii="Times New Roman" w:hAnsi="Times New Roman" w:cs="Times New Roman"/>
        </w:rPr>
        <w:t>and the succe</w:t>
      </w:r>
      <w:r w:rsidR="003560D9">
        <w:rPr>
          <w:rFonts w:ascii="Times New Roman" w:hAnsi="Times New Roman" w:cs="Times New Roman"/>
        </w:rPr>
        <w:t>ss of the mobile phone networks</w:t>
      </w:r>
      <w:r>
        <w:rPr>
          <w:rFonts w:ascii="Times New Roman" w:hAnsi="Times New Roman" w:cs="Times New Roman"/>
        </w:rPr>
        <w:t xml:space="preserve"> ha</w:t>
      </w:r>
      <w:r w:rsidR="003560D9">
        <w:rPr>
          <w:rFonts w:ascii="Times New Roman" w:hAnsi="Times New Roman" w:cs="Times New Roman"/>
        </w:rPr>
        <w:t>ve</w:t>
      </w:r>
      <w:r>
        <w:rPr>
          <w:rFonts w:ascii="Times New Roman" w:hAnsi="Times New Roman" w:cs="Times New Roman"/>
        </w:rPr>
        <w:t xml:space="preserve"> occupied a space that fosters disengagement in society: this can be contrasted with earlier incidents during the Troubles where killings would lead to a significant escalation in violence. Therefore, organisational disengagement in Northern Ireland has taken a unique form whereby informal networks of former combatants and command structures – varying in terms of formality from one group to another – has complemented political change from the Good Friday Agreement and diffusing the disengagement process in society. </w:t>
      </w:r>
      <w:r w:rsidR="00512F21">
        <w:rPr>
          <w:rFonts w:ascii="Times New Roman" w:hAnsi="Times New Roman" w:cs="Times New Roman"/>
        </w:rPr>
        <w:t xml:space="preserve">Linking back to theoretical and conceptual debates discussed in Chapter One and Chapter Two, the implications of </w:t>
      </w:r>
      <w:r w:rsidR="00512F21">
        <w:rPr>
          <w:rFonts w:ascii="Times New Roman" w:hAnsi="Times New Roman" w:cs="Times New Roman"/>
        </w:rPr>
        <w:lastRenderedPageBreak/>
        <w:t>the thesis’ findings manifests in two ways. Firstly, networks of former combatants will continue to exist after organisational disengagement, therefore the process of organisational disengagement does not end with disbandment of the group. The Provisional IRA’s organisational disengagement ensured that networks of former combatants would not return to violence by utilising them to contain violence. Secondly, former combatants have a role in preventing terrorism and removing the causes of violence which can augment or supplant state approaches. The literature has so far not acknowledge this role,</w:t>
      </w:r>
      <w:r w:rsidR="00512F21">
        <w:rPr>
          <w:rStyle w:val="FootnoteReference"/>
          <w:rFonts w:ascii="Times New Roman" w:hAnsi="Times New Roman" w:cs="Times New Roman"/>
        </w:rPr>
        <w:footnoteReference w:id="508"/>
      </w:r>
      <w:r w:rsidR="00512F21">
        <w:rPr>
          <w:rFonts w:ascii="Times New Roman" w:hAnsi="Times New Roman" w:cs="Times New Roman"/>
        </w:rPr>
        <w:t xml:space="preserve"> but where there is state weakness and a lack of credibility, former combatants may be in a more advantageous position due to the linkages with the community that were established during the conflict.  </w:t>
      </w:r>
      <w:r>
        <w:rPr>
          <w:rFonts w:ascii="Times New Roman" w:hAnsi="Times New Roman" w:cs="Times New Roman"/>
        </w:rPr>
        <w:t xml:space="preserve">However, two significant problems with this unique form of organisational disengagement limit the success of disengagement more broadly within </w:t>
      </w:r>
      <w:r w:rsidR="003560D9">
        <w:rPr>
          <w:rFonts w:ascii="Times New Roman" w:hAnsi="Times New Roman" w:cs="Times New Roman"/>
        </w:rPr>
        <w:t>the social movement</w:t>
      </w:r>
      <w:r>
        <w:rPr>
          <w:rFonts w:ascii="Times New Roman" w:hAnsi="Times New Roman" w:cs="Times New Roman"/>
        </w:rPr>
        <w:t>, which will be discussed in the next section of the chapter.</w:t>
      </w:r>
      <w:r w:rsidR="0020128C">
        <w:rPr>
          <w:rFonts w:ascii="Times New Roman" w:hAnsi="Times New Roman" w:cs="Times New Roman"/>
        </w:rPr>
        <w:t xml:space="preserve"> </w:t>
      </w:r>
      <w:r>
        <w:rPr>
          <w:rFonts w:ascii="Times New Roman" w:hAnsi="Times New Roman" w:cs="Times New Roman"/>
        </w:rPr>
        <w:t xml:space="preserve"> </w:t>
      </w:r>
    </w:p>
    <w:p w14:paraId="4297F805" w14:textId="77777777" w:rsidR="00991000" w:rsidRDefault="00991000" w:rsidP="00B57C7F">
      <w:pPr>
        <w:spacing w:line="360" w:lineRule="auto"/>
        <w:jc w:val="both"/>
        <w:rPr>
          <w:rFonts w:ascii="Times New Roman" w:hAnsi="Times New Roman" w:cs="Times New Roman"/>
        </w:rPr>
      </w:pPr>
    </w:p>
    <w:p w14:paraId="5B12AAC3" w14:textId="77777777" w:rsidR="00991000" w:rsidRPr="0035493C" w:rsidRDefault="00991000" w:rsidP="00B57C7F">
      <w:pPr>
        <w:pStyle w:val="Heading3"/>
        <w:spacing w:before="120" w:line="360" w:lineRule="auto"/>
      </w:pPr>
      <w:bookmarkStart w:id="60" w:name="_Toc389208842"/>
      <w:r>
        <w:t>The Political System: Consociationalism and Conflict</w:t>
      </w:r>
      <w:bookmarkEnd w:id="60"/>
    </w:p>
    <w:p w14:paraId="250863AA" w14:textId="77777777" w:rsidR="00FA5E09" w:rsidRDefault="00991000" w:rsidP="00B57C7F">
      <w:pPr>
        <w:spacing w:line="360" w:lineRule="auto"/>
        <w:jc w:val="both"/>
        <w:rPr>
          <w:rFonts w:ascii="Times New Roman" w:hAnsi="Times New Roman" w:cs="Times New Roman"/>
        </w:rPr>
      </w:pPr>
      <w:r>
        <w:rPr>
          <w:rFonts w:ascii="Times New Roman" w:hAnsi="Times New Roman" w:cs="Times New Roman"/>
        </w:rPr>
        <w:tab/>
        <w:t>The thesis contends that organisational disengagement is not sufficient on its own to reduce the risk of recidivism and that there must be a political system in place that</w:t>
      </w:r>
      <w:r w:rsidR="004746A3">
        <w:rPr>
          <w:rFonts w:ascii="Times New Roman" w:hAnsi="Times New Roman" w:cs="Times New Roman"/>
        </w:rPr>
        <w:t xml:space="preserve"> not only facilitates organisational disengagement but</w:t>
      </w:r>
      <w:r>
        <w:rPr>
          <w:rFonts w:ascii="Times New Roman" w:hAnsi="Times New Roman" w:cs="Times New Roman"/>
        </w:rPr>
        <w:t xml:space="preserve"> solidifies </w:t>
      </w:r>
      <w:r w:rsidR="004746A3">
        <w:rPr>
          <w:rFonts w:ascii="Times New Roman" w:hAnsi="Times New Roman" w:cs="Times New Roman"/>
        </w:rPr>
        <w:t>the process</w:t>
      </w:r>
      <w:r>
        <w:rPr>
          <w:rFonts w:ascii="Times New Roman" w:hAnsi="Times New Roman" w:cs="Times New Roman"/>
        </w:rPr>
        <w:t xml:space="preserve"> and limits the opportunities for violence. </w:t>
      </w:r>
      <w:r w:rsidR="00E612F9">
        <w:rPr>
          <w:rFonts w:ascii="Times New Roman" w:hAnsi="Times New Roman" w:cs="Times New Roman"/>
        </w:rPr>
        <w:t xml:space="preserve">The previous section demonstrated how the mobile phone network limited the risk of recidivism but, as will be shown, such social networks are a temporary solution. </w:t>
      </w:r>
      <w:r>
        <w:rPr>
          <w:rFonts w:ascii="Times New Roman" w:hAnsi="Times New Roman" w:cs="Times New Roman"/>
        </w:rPr>
        <w:t xml:space="preserve">Building on the work presented by Della Porta and LaFree, the chapter analyses the political </w:t>
      </w:r>
      <w:r w:rsidR="00E612F9">
        <w:rPr>
          <w:rFonts w:ascii="Times New Roman" w:hAnsi="Times New Roman" w:cs="Times New Roman"/>
        </w:rPr>
        <w:t>system</w:t>
      </w:r>
      <w:r>
        <w:rPr>
          <w:rFonts w:ascii="Times New Roman" w:hAnsi="Times New Roman" w:cs="Times New Roman"/>
        </w:rPr>
        <w:t xml:space="preserve"> that emerged from disengagement.</w:t>
      </w:r>
      <w:r w:rsidR="004746A3">
        <w:rPr>
          <w:rFonts w:ascii="Times New Roman" w:hAnsi="Times New Roman" w:cs="Times New Roman"/>
        </w:rPr>
        <w:t xml:space="preserve"> As discussed in Chapter Two, the thesis draws on the social movement concept of political opportunity structures, which analyses how political frameworks provide opportunities and incentives social movement behaviour.</w:t>
      </w:r>
      <w:r w:rsidR="004746A3">
        <w:rPr>
          <w:rStyle w:val="FootnoteReference"/>
          <w:rFonts w:ascii="Times New Roman" w:hAnsi="Times New Roman" w:cs="Times New Roman"/>
        </w:rPr>
        <w:footnoteReference w:id="509"/>
      </w:r>
      <w:r w:rsidR="004746A3">
        <w:rPr>
          <w:rFonts w:ascii="Times New Roman" w:hAnsi="Times New Roman" w:cs="Times New Roman"/>
        </w:rPr>
        <w:t xml:space="preserve"> The thesis builds on this approach to analyse the interaction between different layers of political structure which emerged from the Provisional IRA’</w:t>
      </w:r>
      <w:r w:rsidR="005A08F4">
        <w:rPr>
          <w:rFonts w:ascii="Times New Roman" w:hAnsi="Times New Roman" w:cs="Times New Roman"/>
        </w:rPr>
        <w:t>s disengagement, shaping</w:t>
      </w:r>
      <w:r w:rsidR="004746A3">
        <w:rPr>
          <w:rFonts w:ascii="Times New Roman" w:hAnsi="Times New Roman" w:cs="Times New Roman"/>
        </w:rPr>
        <w:t xml:space="preserve"> the contemporary landscape for the Irish Republican movement.</w:t>
      </w:r>
      <w:r>
        <w:rPr>
          <w:rFonts w:ascii="Times New Roman" w:hAnsi="Times New Roman" w:cs="Times New Roman"/>
        </w:rPr>
        <w:t xml:space="preserve"> </w:t>
      </w:r>
    </w:p>
    <w:p w14:paraId="762DD799" w14:textId="44D4F0D5" w:rsidR="00991000" w:rsidRDefault="00FA5E09" w:rsidP="00FA5E09">
      <w:pPr>
        <w:spacing w:line="360" w:lineRule="auto"/>
        <w:ind w:firstLine="720"/>
        <w:jc w:val="both"/>
        <w:rPr>
          <w:rFonts w:ascii="Times New Roman" w:hAnsi="Times New Roman" w:cs="Times New Roman"/>
        </w:rPr>
      </w:pPr>
      <w:r>
        <w:rPr>
          <w:rFonts w:ascii="Times New Roman" w:hAnsi="Times New Roman" w:cs="Times New Roman"/>
        </w:rPr>
        <w:lastRenderedPageBreak/>
        <w:t>Following the electoral successes in the Hunger Strikes, some members within the Provisional IRA and Sinn Fein recognised the opportunities to woo voters beyond its core support, which led them espouse a disengagement frame within the group (as discu</w:t>
      </w:r>
      <w:r w:rsidR="00C42A91">
        <w:rPr>
          <w:rFonts w:ascii="Times New Roman" w:hAnsi="Times New Roman" w:cs="Times New Roman"/>
        </w:rPr>
        <w:t xml:space="preserve">ssed in Chapter Four). </w:t>
      </w:r>
      <w:r w:rsidR="00991000">
        <w:rPr>
          <w:rFonts w:ascii="Times New Roman" w:hAnsi="Times New Roman" w:cs="Times New Roman"/>
        </w:rPr>
        <w:t xml:space="preserve">Sinn Fein and the Provisional IRA’s support of the Good Friday Agreement (1998), and later the St Andrews (2006) and Hillsborough Agreements (2010), led to a substantial change in the political </w:t>
      </w:r>
      <w:r w:rsidR="00E612F9">
        <w:rPr>
          <w:rFonts w:ascii="Times New Roman" w:hAnsi="Times New Roman" w:cs="Times New Roman"/>
        </w:rPr>
        <w:t>system</w:t>
      </w:r>
      <w:r w:rsidR="00991000">
        <w:rPr>
          <w:rFonts w:ascii="Times New Roman" w:hAnsi="Times New Roman" w:cs="Times New Roman"/>
        </w:rPr>
        <w:t xml:space="preserve"> for supporters of political violence.</w:t>
      </w:r>
      <w:r w:rsidR="00C42A91">
        <w:rPr>
          <w:rFonts w:ascii="Times New Roman" w:hAnsi="Times New Roman" w:cs="Times New Roman"/>
        </w:rPr>
        <w:t xml:space="preserve"> While this political process would provide incentives for disengagement due to opportunities to mobilise new supporters and gain political resources, it would also need to ensure that frame resonance was maintained with the movement. </w:t>
      </w:r>
      <w:r w:rsidR="00991000">
        <w:rPr>
          <w:rFonts w:ascii="Times New Roman" w:hAnsi="Times New Roman" w:cs="Times New Roman"/>
        </w:rPr>
        <w:t xml:space="preserve">The new political dispensation that emerged was a consociational system, which enshrined political identities institutionally. </w:t>
      </w:r>
      <w:r w:rsidR="004746A3">
        <w:rPr>
          <w:rFonts w:ascii="Times New Roman" w:hAnsi="Times New Roman" w:cs="Times New Roman"/>
        </w:rPr>
        <w:t>The arrangements under the consociational system mean that p</w:t>
      </w:r>
      <w:r w:rsidR="00991000" w:rsidRPr="00DC0F97">
        <w:rPr>
          <w:rFonts w:ascii="Times New Roman" w:hAnsi="Times New Roman" w:cs="Times New Roman"/>
        </w:rPr>
        <w:t>olitical parties</w:t>
      </w:r>
      <w:r w:rsidR="00991000">
        <w:rPr>
          <w:rFonts w:ascii="Times New Roman" w:hAnsi="Times New Roman" w:cs="Times New Roman"/>
        </w:rPr>
        <w:t>, including Sinn Fein,</w:t>
      </w:r>
      <w:r w:rsidR="00991000" w:rsidRPr="00DC0F97">
        <w:rPr>
          <w:rFonts w:ascii="Times New Roman" w:hAnsi="Times New Roman" w:cs="Times New Roman"/>
        </w:rPr>
        <w:t xml:space="preserve"> were designated as ‘Unionist’, ‘Nationalist’ or ‘Other’, and</w:t>
      </w:r>
      <w:r w:rsidR="00991000">
        <w:rPr>
          <w:rFonts w:ascii="Times New Roman" w:hAnsi="Times New Roman" w:cs="Times New Roman"/>
        </w:rPr>
        <w:t xml:space="preserve"> it provided government power-sharing by proportional inclusion of parties,</w:t>
      </w:r>
      <w:r w:rsidR="00991000" w:rsidRPr="00DC0F97">
        <w:rPr>
          <w:rFonts w:ascii="Times New Roman" w:hAnsi="Times New Roman" w:cs="Times New Roman"/>
        </w:rPr>
        <w:t xml:space="preserve"> thus ensuring </w:t>
      </w:r>
      <w:r w:rsidR="00991000">
        <w:rPr>
          <w:rFonts w:ascii="Times New Roman" w:hAnsi="Times New Roman" w:cs="Times New Roman"/>
        </w:rPr>
        <w:t>both identity groups had a stake in governance at Stormont</w:t>
      </w:r>
      <w:r w:rsidR="00991000" w:rsidRPr="00DC0F97">
        <w:rPr>
          <w:rFonts w:ascii="Times New Roman" w:hAnsi="Times New Roman" w:cs="Times New Roman"/>
        </w:rPr>
        <w:t>.</w:t>
      </w:r>
      <w:r w:rsidR="00E612F9">
        <w:rPr>
          <w:rFonts w:ascii="Times New Roman" w:hAnsi="Times New Roman" w:cs="Times New Roman"/>
        </w:rPr>
        <w:t xml:space="preserve"> Therefore, following the Provisional IRA’s formal disengagement in 2005, Sinn Fein entered government with the Democratic Unionist Party, with the former Provisional IRA commander, Martin McGuiness, taking the role of Deputy First Minister in the Northern Ireland Assembly.</w:t>
      </w:r>
      <w:r w:rsidR="00991000">
        <w:rPr>
          <w:rFonts w:ascii="Times New Roman" w:hAnsi="Times New Roman" w:cs="Times New Roman"/>
        </w:rPr>
        <w:t xml:space="preserve"> </w:t>
      </w:r>
      <w:r w:rsidR="00E612F9">
        <w:rPr>
          <w:rFonts w:ascii="Times New Roman" w:hAnsi="Times New Roman" w:cs="Times New Roman"/>
        </w:rPr>
        <w:t>The new political dispensation</w:t>
      </w:r>
      <w:r w:rsidR="00991000">
        <w:rPr>
          <w:rFonts w:ascii="Times New Roman" w:hAnsi="Times New Roman" w:cs="Times New Roman"/>
        </w:rPr>
        <w:t xml:space="preserve"> also provided for a certain amount of </w:t>
      </w:r>
      <w:r w:rsidR="005A08F4">
        <w:rPr>
          <w:rFonts w:ascii="Times New Roman" w:hAnsi="Times New Roman" w:cs="Times New Roman"/>
        </w:rPr>
        <w:t xml:space="preserve">cross-border institutions and </w:t>
      </w:r>
      <w:r w:rsidR="00991000">
        <w:rPr>
          <w:rFonts w:ascii="Times New Roman" w:hAnsi="Times New Roman" w:cs="Times New Roman"/>
        </w:rPr>
        <w:t>cultural autonomy and, specifically, ‘group vetoes to assure Catholic and Protestant communities that important decisions will only be made with the broad consent of representatives of the relevant community’</w:t>
      </w:r>
      <w:r w:rsidR="00B1546E">
        <w:rPr>
          <w:rFonts w:ascii="Times New Roman" w:hAnsi="Times New Roman" w:cs="Times New Roman"/>
        </w:rPr>
        <w:t>.</w:t>
      </w:r>
      <w:r w:rsidR="00991000">
        <w:rPr>
          <w:rStyle w:val="FootnoteReference"/>
          <w:rFonts w:ascii="Times New Roman" w:hAnsi="Times New Roman" w:cs="Times New Roman"/>
        </w:rPr>
        <w:footnoteReference w:id="510"/>
      </w:r>
      <w:r w:rsidR="00991000">
        <w:rPr>
          <w:rFonts w:ascii="Times New Roman" w:hAnsi="Times New Roman" w:cs="Times New Roman"/>
        </w:rPr>
        <w:t xml:space="preserve"> Critics argue that the consociational system encourages a zero-sum outlook, freezes and perpetuates the status quo, marginalises moderate voices and new identities, and that the political process can be held to ransom by one side</w:t>
      </w:r>
      <w:r w:rsidR="00B1546E">
        <w:rPr>
          <w:rFonts w:ascii="Times New Roman" w:hAnsi="Times New Roman" w:cs="Times New Roman"/>
        </w:rPr>
        <w:t>.</w:t>
      </w:r>
      <w:r w:rsidR="00991000">
        <w:rPr>
          <w:rStyle w:val="FootnoteReference"/>
          <w:rFonts w:ascii="Times New Roman" w:hAnsi="Times New Roman" w:cs="Times New Roman"/>
        </w:rPr>
        <w:footnoteReference w:id="511"/>
      </w:r>
      <w:r w:rsidR="00991000">
        <w:rPr>
          <w:rFonts w:ascii="Times New Roman" w:hAnsi="Times New Roman" w:cs="Times New Roman"/>
        </w:rPr>
        <w:t xml:space="preserve"> Proponents of consociationalism, for example O’Leary and McGarry, retort that consociationalism is a reflection of the divisions in society and is a pragmatic solution.</w:t>
      </w:r>
      <w:r w:rsidR="00491613">
        <w:rPr>
          <w:rStyle w:val="FootnoteReference"/>
          <w:rFonts w:ascii="Times New Roman" w:hAnsi="Times New Roman" w:cs="Times New Roman"/>
        </w:rPr>
        <w:footnoteReference w:id="512"/>
      </w:r>
      <w:r w:rsidR="00991000">
        <w:rPr>
          <w:rFonts w:ascii="Times New Roman" w:hAnsi="Times New Roman" w:cs="Times New Roman"/>
        </w:rPr>
        <w:t xml:space="preserve"> In this debate, </w:t>
      </w:r>
      <w:r w:rsidR="00991000">
        <w:rPr>
          <w:rFonts w:ascii="Times New Roman" w:hAnsi="Times New Roman" w:cs="Times New Roman"/>
        </w:rPr>
        <w:lastRenderedPageBreak/>
        <w:t>there has been no discussion on how consociationalism relates to the disengagement process in society, which the chapter will briefly address.</w:t>
      </w:r>
      <w:r w:rsidR="0020128C">
        <w:rPr>
          <w:rFonts w:ascii="Times New Roman" w:hAnsi="Times New Roman" w:cs="Times New Roman"/>
        </w:rPr>
        <w:t xml:space="preserve"> </w:t>
      </w:r>
    </w:p>
    <w:p w14:paraId="07559AB5" w14:textId="77777777" w:rsidR="00B91159" w:rsidRDefault="00991000" w:rsidP="00B57C7F">
      <w:pPr>
        <w:spacing w:line="360" w:lineRule="auto"/>
        <w:jc w:val="both"/>
        <w:rPr>
          <w:rFonts w:ascii="Times New Roman" w:hAnsi="Times New Roman" w:cs="Times New Roman"/>
        </w:rPr>
      </w:pPr>
      <w:r>
        <w:rPr>
          <w:rFonts w:ascii="Times New Roman" w:hAnsi="Times New Roman" w:cs="Times New Roman"/>
        </w:rPr>
        <w:tab/>
      </w:r>
      <w:r w:rsidR="0020128C">
        <w:rPr>
          <w:rFonts w:ascii="Times New Roman" w:hAnsi="Times New Roman" w:cs="Times New Roman"/>
        </w:rPr>
        <w:t xml:space="preserve">The Provisional IRA’s disengagement helped to change the political system, which can then seek to address grievances and opportunities that can drive terrorism and political violence. Chapter Three outlined how two types of grievance has driven Republican violence: </w:t>
      </w:r>
      <w:r w:rsidR="00460425">
        <w:rPr>
          <w:rFonts w:ascii="Times New Roman" w:hAnsi="Times New Roman" w:cs="Times New Roman"/>
        </w:rPr>
        <w:t xml:space="preserve">1) constitutional grievances – the desire to establish an all-Ireland Republic; 2) identity and discrimination grievances – the 1960s’ political system discriminated against Catholics and Nationalists, who were treated as second-class </w:t>
      </w:r>
      <w:r w:rsidR="00B62140">
        <w:rPr>
          <w:rFonts w:ascii="Times New Roman" w:hAnsi="Times New Roman" w:cs="Times New Roman"/>
        </w:rPr>
        <w:t>citizens. Loyalist grievances have</w:t>
      </w:r>
      <w:r w:rsidR="00460425">
        <w:rPr>
          <w:rFonts w:ascii="Times New Roman" w:hAnsi="Times New Roman" w:cs="Times New Roman"/>
        </w:rPr>
        <w:t xml:space="preserve"> also driven these two aspects, with their desire to remain a part of Britain constitutionally and their perception that British culture is under threat. Loyalist grievances are important because they can provide opportunities </w:t>
      </w:r>
      <w:r w:rsidR="00B62140">
        <w:rPr>
          <w:rFonts w:ascii="Times New Roman" w:hAnsi="Times New Roman" w:cs="Times New Roman"/>
        </w:rPr>
        <w:t>for</w:t>
      </w:r>
      <w:r w:rsidR="00460425">
        <w:rPr>
          <w:rFonts w:ascii="Times New Roman" w:hAnsi="Times New Roman" w:cs="Times New Roman"/>
        </w:rPr>
        <w:t xml:space="preserve"> dissident Republicans by increasing anger through provocative marches or by stalling the political system, thus challenging the legitimacy of the disengagement process. Therefore, for a political system to consolidate on the gains made through organisational disengagement, it will need to be able to address grievances and limit the opportunities for militants to mobilise support.</w:t>
      </w:r>
      <w:r w:rsidR="0020128C">
        <w:rPr>
          <w:rFonts w:ascii="Times New Roman" w:hAnsi="Times New Roman" w:cs="Times New Roman"/>
        </w:rPr>
        <w:t xml:space="preserve"> </w:t>
      </w:r>
      <w:r>
        <w:rPr>
          <w:rFonts w:ascii="Times New Roman" w:hAnsi="Times New Roman" w:cs="Times New Roman"/>
        </w:rPr>
        <w:t xml:space="preserve">There are three layers of the </w:t>
      </w:r>
      <w:r w:rsidR="00E612F9">
        <w:rPr>
          <w:rFonts w:ascii="Times New Roman" w:hAnsi="Times New Roman" w:cs="Times New Roman"/>
        </w:rPr>
        <w:t>political system that the thesis focuses on -</w:t>
      </w:r>
      <w:r>
        <w:rPr>
          <w:rFonts w:ascii="Times New Roman" w:hAnsi="Times New Roman" w:cs="Times New Roman"/>
        </w:rPr>
        <w:t xml:space="preserve"> Stormont (including Westminster and Dublin); local government; and communities – and consociationalism has been institutionalised at each layer to a different degree. In Stormont it has been institutionalised more, with more veto powers on the area of culture than local government, and at the community level there is no formal consociationalism but ethnic division is perpetuated by social practices, including physical barriers such as the ‘peace walls’. </w:t>
      </w:r>
    </w:p>
    <w:p w14:paraId="57B503D7" w14:textId="7A1CB3B1" w:rsidR="00991000" w:rsidRDefault="00991000" w:rsidP="00B91159">
      <w:pPr>
        <w:spacing w:line="360" w:lineRule="auto"/>
        <w:ind w:firstLine="720"/>
        <w:jc w:val="both"/>
        <w:rPr>
          <w:rFonts w:ascii="Times New Roman" w:hAnsi="Times New Roman" w:cs="Times New Roman"/>
        </w:rPr>
      </w:pPr>
      <w:r>
        <w:rPr>
          <w:rFonts w:ascii="Times New Roman" w:hAnsi="Times New Roman" w:cs="Times New Roman"/>
        </w:rPr>
        <w:t>Therefore, while one layer of politics may be stable, decisions at one level can have a serious impact at different layers where there is less protection for political identities, and political actors have varying influence and pressures in each layer.</w:t>
      </w:r>
      <w:r w:rsidR="005A08F4">
        <w:rPr>
          <w:rFonts w:ascii="Times New Roman" w:hAnsi="Times New Roman" w:cs="Times New Roman"/>
        </w:rPr>
        <w:t xml:space="preserve"> This approach contributes to social movement theory which tends to focus on elite structures, but as the network analysis above shows,</w:t>
      </w:r>
      <w:r w:rsidR="005A08F4">
        <w:rPr>
          <w:rStyle w:val="FootnoteReference"/>
          <w:rFonts w:ascii="Times New Roman" w:hAnsi="Times New Roman" w:cs="Times New Roman"/>
        </w:rPr>
        <w:footnoteReference w:id="513"/>
      </w:r>
      <w:r w:rsidR="005A08F4">
        <w:rPr>
          <w:rFonts w:ascii="Times New Roman" w:hAnsi="Times New Roman" w:cs="Times New Roman"/>
        </w:rPr>
        <w:t xml:space="preserve"> the so-called elites in a social movement can operate at the grassroots where they can have a different form of power to the elites in the main political institutions. Consociation literature on </w:t>
      </w:r>
      <w:r w:rsidR="005A08F4">
        <w:rPr>
          <w:rFonts w:ascii="Times New Roman" w:hAnsi="Times New Roman" w:cs="Times New Roman"/>
        </w:rPr>
        <w:lastRenderedPageBreak/>
        <w:t>Northern Ireland has tended to focus on its manifestation in ‘high politics’ and while it shows how this can function differently at other political layer,</w:t>
      </w:r>
      <w:r w:rsidR="005A08F4">
        <w:rPr>
          <w:rStyle w:val="FootnoteReference"/>
          <w:rFonts w:ascii="Times New Roman" w:hAnsi="Times New Roman" w:cs="Times New Roman"/>
        </w:rPr>
        <w:footnoteReference w:id="514"/>
      </w:r>
      <w:r w:rsidR="005A08F4">
        <w:rPr>
          <w:rFonts w:ascii="Times New Roman" w:hAnsi="Times New Roman" w:cs="Times New Roman"/>
        </w:rPr>
        <w:t xml:space="preserve"> there has been no analyse of how each layer interacts, specifically in the context of disengagement.</w:t>
      </w:r>
    </w:p>
    <w:p w14:paraId="3A26985E" w14:textId="3CECF9B4" w:rsidR="00B91159" w:rsidRDefault="00B91159" w:rsidP="00B91159">
      <w:pPr>
        <w:spacing w:line="360" w:lineRule="auto"/>
        <w:ind w:firstLine="720"/>
        <w:jc w:val="both"/>
        <w:rPr>
          <w:rFonts w:ascii="Times New Roman" w:hAnsi="Times New Roman" w:cs="Times New Roman"/>
        </w:rPr>
      </w:pPr>
      <w:r>
        <w:rPr>
          <w:rFonts w:ascii="Times New Roman" w:hAnsi="Times New Roman" w:cs="Times New Roman"/>
        </w:rPr>
        <w:t xml:space="preserve">Another important layer of the political opportunity structure to consider is, of course, the European Union and the Republic of Ireland. As argued above, the EU </w:t>
      </w:r>
      <w:r w:rsidR="00320E38">
        <w:rPr>
          <w:rFonts w:ascii="Times New Roman" w:hAnsi="Times New Roman" w:cs="Times New Roman"/>
        </w:rPr>
        <w:t xml:space="preserve">has been very significant in helping former combatants to legitimately gain funding to strengthen the disengagement process, where the use of UK or Stormont funding would have damaged their credibility in the early stages of the peace process. Sinn Fein have participated in the EU and the Republic of Ireland Dail, where they may find incentives to moderate their frame to mobilise support. Despite recognising the importance of these structures, the thesis does not focus on them primarily because the Stormont opportunity structures remain the most influential and the most contentious. The financial crises and its effect on the Republic of Ireland, for example, may reduce the likelihood of support among nationalists for a united Ireland, but this does not affect the disengagement frame’s dual emphasis on equality and unification, which is shaped by the opportunities in the Stormont political system </w:t>
      </w:r>
      <w:r w:rsidR="00CF758E">
        <w:rPr>
          <w:rFonts w:ascii="Times New Roman" w:hAnsi="Times New Roman" w:cs="Times New Roman"/>
        </w:rPr>
        <w:t>more substantially given the powers for unification reside primarily through it</w:t>
      </w:r>
      <w:r w:rsidR="00320E38">
        <w:rPr>
          <w:rFonts w:ascii="Times New Roman" w:hAnsi="Times New Roman" w:cs="Times New Roman"/>
        </w:rPr>
        <w:t xml:space="preserve">. </w:t>
      </w:r>
    </w:p>
    <w:p w14:paraId="5661214D" w14:textId="5B5D4AB8"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r w:rsidR="005A08F4">
        <w:rPr>
          <w:rFonts w:ascii="Times New Roman" w:hAnsi="Times New Roman" w:cs="Times New Roman"/>
        </w:rPr>
        <w:t xml:space="preserve">As previously discussed, a key part of the disengagement of social movements and militant groups within it is organisational disengagement, and consociationalism had a significant impact on this process. </w:t>
      </w:r>
      <w:r>
        <w:rPr>
          <w:rFonts w:ascii="Times New Roman" w:hAnsi="Times New Roman" w:cs="Times New Roman"/>
        </w:rPr>
        <w:t>The Provisional IRA’s organisational disengagement developed in two directions, into a political sphere and</w:t>
      </w:r>
      <w:r w:rsidR="00BA387A">
        <w:rPr>
          <w:rFonts w:ascii="Times New Roman" w:hAnsi="Times New Roman" w:cs="Times New Roman"/>
        </w:rPr>
        <w:t>, as discussed above,</w:t>
      </w:r>
      <w:r>
        <w:rPr>
          <w:rFonts w:ascii="Times New Roman" w:hAnsi="Times New Roman" w:cs="Times New Roman"/>
        </w:rPr>
        <w:t xml:space="preserve"> a community sphere. Much of the Provisional IRA was merged with Sinn Fein, with notable figures becoming M</w:t>
      </w:r>
      <w:r w:rsidR="0091749D">
        <w:rPr>
          <w:rFonts w:ascii="Times New Roman" w:hAnsi="Times New Roman" w:cs="Times New Roman"/>
        </w:rPr>
        <w:t xml:space="preserve">embers of the Legislative </w:t>
      </w:r>
      <w:r>
        <w:rPr>
          <w:rFonts w:ascii="Times New Roman" w:hAnsi="Times New Roman" w:cs="Times New Roman"/>
        </w:rPr>
        <w:t>As</w:t>
      </w:r>
      <w:r w:rsidR="0091749D">
        <w:rPr>
          <w:rFonts w:ascii="Times New Roman" w:hAnsi="Times New Roman" w:cs="Times New Roman"/>
        </w:rPr>
        <w:t>sembly (MLAs)</w:t>
      </w:r>
      <w:r>
        <w:rPr>
          <w:rFonts w:ascii="Times New Roman" w:hAnsi="Times New Roman" w:cs="Times New Roman"/>
        </w:rPr>
        <w:t xml:space="preserve"> in Stormont or local councillors. These new roles can provide added incentives for disengaging and remaining disengaged, and they may also lead to a change in attitudes through institutionalisation and interaction with the other.</w:t>
      </w:r>
      <w:r w:rsidR="004B7B64">
        <w:rPr>
          <w:rFonts w:ascii="Times New Roman" w:hAnsi="Times New Roman" w:cs="Times New Roman"/>
        </w:rPr>
        <w:t xml:space="preserve"> The Provisional IRA’s disengagement frame, particularly after 1998, constructed the political system as one that addressed some grievances and provided a long-term solution to address constitutional grievances. In this perspective, the causes of </w:t>
      </w:r>
      <w:r w:rsidR="004B7B64">
        <w:rPr>
          <w:rFonts w:ascii="Times New Roman" w:hAnsi="Times New Roman" w:cs="Times New Roman"/>
        </w:rPr>
        <w:lastRenderedPageBreak/>
        <w:t xml:space="preserve">conflict were attributed to inequality between Catholics and Protestants, in terms of economic, social, cultural and political aspirations. Therefore, the consociational political system enshrines a parity of esteem – equality – between both communities. Constitutional grievances can only be dealt through parity of esteem too, as Loyalists cannot be coerced in to a united Ireland, and only through a referendum can </w:t>
      </w:r>
      <w:r w:rsidR="00671FA8">
        <w:rPr>
          <w:rFonts w:ascii="Times New Roman" w:hAnsi="Times New Roman" w:cs="Times New Roman"/>
        </w:rPr>
        <w:t xml:space="preserve">re-unification be achieved. Once again, the frame holds that the use of violence is futile and irrational in this political system, but without the legitimate armed struggle and sacrifice of volunteers in the past, this political system would not be possible. </w:t>
      </w:r>
      <w:r>
        <w:rPr>
          <w:rFonts w:ascii="Times New Roman" w:hAnsi="Times New Roman" w:cs="Times New Roman"/>
        </w:rPr>
        <w:t xml:space="preserve">Disengagement into </w:t>
      </w:r>
      <w:r w:rsidR="00671FA8">
        <w:rPr>
          <w:rFonts w:ascii="Times New Roman" w:hAnsi="Times New Roman" w:cs="Times New Roman"/>
        </w:rPr>
        <w:t>political</w:t>
      </w:r>
      <w:r>
        <w:rPr>
          <w:rFonts w:ascii="Times New Roman" w:hAnsi="Times New Roman" w:cs="Times New Roman"/>
        </w:rPr>
        <w:t xml:space="preserve"> routes can facilitate the diffusion of th</w:t>
      </w:r>
      <w:r w:rsidR="004B7B64">
        <w:rPr>
          <w:rFonts w:ascii="Times New Roman" w:hAnsi="Times New Roman" w:cs="Times New Roman"/>
        </w:rPr>
        <w:t xml:space="preserve">is </w:t>
      </w:r>
      <w:r>
        <w:rPr>
          <w:rFonts w:ascii="Times New Roman" w:hAnsi="Times New Roman" w:cs="Times New Roman"/>
        </w:rPr>
        <w:t>disengagement frame to d</w:t>
      </w:r>
      <w:r w:rsidR="00671FA8">
        <w:rPr>
          <w:rFonts w:ascii="Times New Roman" w:hAnsi="Times New Roman" w:cs="Times New Roman"/>
        </w:rPr>
        <w:t>ifferent audiences but</w:t>
      </w:r>
      <w:r>
        <w:rPr>
          <w:rFonts w:ascii="Times New Roman" w:hAnsi="Times New Roman" w:cs="Times New Roman"/>
        </w:rPr>
        <w:t xml:space="preserve"> </w:t>
      </w:r>
      <w:r w:rsidR="00671FA8">
        <w:rPr>
          <w:rFonts w:ascii="Times New Roman" w:hAnsi="Times New Roman" w:cs="Times New Roman"/>
        </w:rPr>
        <w:t>t</w:t>
      </w:r>
      <w:r>
        <w:rPr>
          <w:rFonts w:ascii="Times New Roman" w:hAnsi="Times New Roman" w:cs="Times New Roman"/>
        </w:rPr>
        <w:t>his creates problems for Sinn Fein</w:t>
      </w:r>
      <w:r w:rsidR="00671FA8">
        <w:rPr>
          <w:rFonts w:ascii="Times New Roman" w:hAnsi="Times New Roman" w:cs="Times New Roman"/>
        </w:rPr>
        <w:t>:</w:t>
      </w:r>
      <w:r>
        <w:rPr>
          <w:rFonts w:ascii="Times New Roman" w:hAnsi="Times New Roman" w:cs="Times New Roman"/>
        </w:rPr>
        <w:t xml:space="preserve"> </w:t>
      </w:r>
      <w:r w:rsidR="00671FA8">
        <w:rPr>
          <w:rFonts w:ascii="Times New Roman" w:hAnsi="Times New Roman" w:cs="Times New Roman"/>
        </w:rPr>
        <w:t>i</w:t>
      </w:r>
      <w:r>
        <w:rPr>
          <w:rFonts w:ascii="Times New Roman" w:hAnsi="Times New Roman" w:cs="Times New Roman"/>
        </w:rPr>
        <w:t>t has to balance the expectations of the Unionists at Stormont, who have a veto, with expectations in the community sphere, who can move to support dissident groups if they are not content. As consociationalism encourages bargaining, Sinn Fein therefore support</w:t>
      </w:r>
      <w:r w:rsidR="00B62140">
        <w:rPr>
          <w:rFonts w:ascii="Times New Roman" w:hAnsi="Times New Roman" w:cs="Times New Roman"/>
        </w:rPr>
        <w:t>s</w:t>
      </w:r>
      <w:r>
        <w:rPr>
          <w:rFonts w:ascii="Times New Roman" w:hAnsi="Times New Roman" w:cs="Times New Roman"/>
        </w:rPr>
        <w:t xml:space="preserve"> Unionist policies in return for support for their policies, which are used to legitimise their disengagement to the community sphere.</w:t>
      </w:r>
      <w:r w:rsidR="00671FA8">
        <w:rPr>
          <w:rFonts w:ascii="Times New Roman" w:hAnsi="Times New Roman" w:cs="Times New Roman"/>
        </w:rPr>
        <w:t xml:space="preserve"> As an example, Sinn Fein will gain funding for housing development in the Catholic, Nationalist community, and in return, Unionists will be given equal funding even when there is less need for housing development in the awarded community</w:t>
      </w:r>
      <w:r w:rsidR="00B1546E">
        <w:rPr>
          <w:rFonts w:ascii="Times New Roman" w:hAnsi="Times New Roman" w:cs="Times New Roman"/>
        </w:rPr>
        <w:t>.</w:t>
      </w:r>
      <w:r w:rsidR="00671FA8">
        <w:rPr>
          <w:rStyle w:val="FootnoteReference"/>
          <w:rFonts w:ascii="Times New Roman" w:hAnsi="Times New Roman" w:cs="Times New Roman"/>
        </w:rPr>
        <w:footnoteReference w:id="515"/>
      </w:r>
      <w:r w:rsidR="00B1546E">
        <w:rPr>
          <w:rFonts w:ascii="Times New Roman" w:hAnsi="Times New Roman" w:cs="Times New Roman"/>
        </w:rPr>
        <w:t xml:space="preserve"> </w:t>
      </w:r>
      <w:r>
        <w:rPr>
          <w:rFonts w:ascii="Times New Roman" w:hAnsi="Times New Roman" w:cs="Times New Roman"/>
        </w:rPr>
        <w:t>However, the community sphere can contradict the bargaining that needs to take place in consociationalism. The community sphere has been largely independent from other political spheres insofar as paramilitary groups have held significant influence, at the expense of the police force. In Republican areas, the dominance of the Provisional IRA has meant that with disengagement there is a greater link between the community sphere and the political sphere through Sinn Fein. Loyalist areas, however, tend to be alienated from the political sphere as the political parties can operate</w:t>
      </w:r>
      <w:r w:rsidR="00FC1252">
        <w:rPr>
          <w:rFonts w:ascii="Times New Roman" w:hAnsi="Times New Roman" w:cs="Times New Roman"/>
        </w:rPr>
        <w:t xml:space="preserve"> more</w:t>
      </w:r>
      <w:r>
        <w:rPr>
          <w:rFonts w:ascii="Times New Roman" w:hAnsi="Times New Roman" w:cs="Times New Roman"/>
        </w:rPr>
        <w:t xml:space="preserve"> independently of</w:t>
      </w:r>
      <w:r w:rsidR="00FC1252">
        <w:rPr>
          <w:rFonts w:ascii="Times New Roman" w:hAnsi="Times New Roman" w:cs="Times New Roman"/>
        </w:rPr>
        <w:t xml:space="preserve"> the opinions of voters in Loyalist areas</w:t>
      </w:r>
      <w:r>
        <w:rPr>
          <w:rFonts w:ascii="Times New Roman" w:hAnsi="Times New Roman" w:cs="Times New Roman"/>
        </w:rPr>
        <w:t>.</w:t>
      </w:r>
      <w:r w:rsidR="00FC1252">
        <w:rPr>
          <w:rStyle w:val="FootnoteReference"/>
          <w:rFonts w:ascii="Times New Roman" w:hAnsi="Times New Roman" w:cs="Times New Roman"/>
        </w:rPr>
        <w:footnoteReference w:id="516"/>
      </w:r>
      <w:r>
        <w:rPr>
          <w:rFonts w:ascii="Times New Roman" w:hAnsi="Times New Roman" w:cs="Times New Roman"/>
        </w:rPr>
        <w:t xml:space="preserve"> </w:t>
      </w:r>
      <w:r w:rsidR="00671FA8">
        <w:rPr>
          <w:rFonts w:ascii="Times New Roman" w:hAnsi="Times New Roman" w:cs="Times New Roman"/>
        </w:rPr>
        <w:t xml:space="preserve">Thus to summarise, Republican disengagement into the consociational political system can create tensions because of the different linkages between </w:t>
      </w:r>
      <w:r w:rsidR="005A08F4">
        <w:rPr>
          <w:rFonts w:ascii="Times New Roman" w:hAnsi="Times New Roman" w:cs="Times New Roman"/>
        </w:rPr>
        <w:t>layers</w:t>
      </w:r>
      <w:r w:rsidR="00671FA8">
        <w:rPr>
          <w:rFonts w:ascii="Times New Roman" w:hAnsi="Times New Roman" w:cs="Times New Roman"/>
        </w:rPr>
        <w:t xml:space="preserve"> of the political system, each of which differs in how it responds to the arguments that have been put forward for disengagement. </w:t>
      </w:r>
    </w:p>
    <w:p w14:paraId="67476AC6"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In terms of disengagement, the outcome of this political system is that Sinn Fein has to be able to compromise with Unionists and maintain its hegemonic position within Republicanism. It does this through its disengagement frame, emphasising </w:t>
      </w:r>
      <w:r w:rsidR="00BA387A">
        <w:rPr>
          <w:rFonts w:ascii="Times New Roman" w:hAnsi="Times New Roman" w:cs="Times New Roman"/>
        </w:rPr>
        <w:t xml:space="preserve">Irish </w:t>
      </w:r>
      <w:r>
        <w:rPr>
          <w:rFonts w:ascii="Times New Roman" w:hAnsi="Times New Roman" w:cs="Times New Roman"/>
        </w:rPr>
        <w:t>independence and equality. Equality legitimises compromises with Unionism in the political sphere, which is argued to be essential to achieve a united Ireland. This strategy is presented as a continuation of the struggle, drawing on Republican tradition to legitimise it. To emphasise this continuation</w:t>
      </w:r>
      <w:r w:rsidR="00BA387A">
        <w:rPr>
          <w:rFonts w:ascii="Times New Roman" w:hAnsi="Times New Roman" w:cs="Times New Roman"/>
        </w:rPr>
        <w:t xml:space="preserve"> at the community level</w:t>
      </w:r>
      <w:r>
        <w:rPr>
          <w:rFonts w:ascii="Times New Roman" w:hAnsi="Times New Roman" w:cs="Times New Roman"/>
        </w:rPr>
        <w:t>, Sinn Fein work</w:t>
      </w:r>
      <w:r w:rsidR="00BA387A">
        <w:rPr>
          <w:rFonts w:ascii="Times New Roman" w:hAnsi="Times New Roman" w:cs="Times New Roman"/>
        </w:rPr>
        <w:t>s</w:t>
      </w:r>
      <w:r>
        <w:rPr>
          <w:rFonts w:ascii="Times New Roman" w:hAnsi="Times New Roman" w:cs="Times New Roman"/>
        </w:rPr>
        <w:t xml:space="preserve"> to maintain a monopoly of Republican commemoration to celebrate their volunte</w:t>
      </w:r>
      <w:r w:rsidR="00B62140">
        <w:rPr>
          <w:rFonts w:ascii="Times New Roman" w:hAnsi="Times New Roman" w:cs="Times New Roman"/>
        </w:rPr>
        <w:t>ers who died in the struggle. T</w:t>
      </w:r>
      <w:r>
        <w:rPr>
          <w:rFonts w:ascii="Times New Roman" w:hAnsi="Times New Roman" w:cs="Times New Roman"/>
        </w:rPr>
        <w:t>he purpose of this – apart from genuinely believing in it – is to deny this</w:t>
      </w:r>
      <w:r w:rsidR="00BA387A">
        <w:rPr>
          <w:rFonts w:ascii="Times New Roman" w:hAnsi="Times New Roman" w:cs="Times New Roman"/>
        </w:rPr>
        <w:t xml:space="preserve"> space to dissident Republicans. Given how the IRA in the 1960s had maintained its presence and avoided full disengagement partly through the use of commemorations, it is clear that they play an interesting role in diffusing disengagement at the community level.</w:t>
      </w:r>
      <w:r w:rsidR="00671FA8">
        <w:rPr>
          <w:rFonts w:ascii="Times New Roman" w:hAnsi="Times New Roman" w:cs="Times New Roman"/>
        </w:rPr>
        <w:t xml:space="preserve"> By maintaining a strong position on Republican commemorative events, the Provisional IRA’s </w:t>
      </w:r>
      <w:r w:rsidR="0056489D">
        <w:rPr>
          <w:rFonts w:ascii="Times New Roman" w:hAnsi="Times New Roman" w:cs="Times New Roman"/>
        </w:rPr>
        <w:t>perspective on disengagement and how the political system justifies this can be spread throughout the community that dissident Republicans seek to mobilise.</w:t>
      </w:r>
      <w:r>
        <w:rPr>
          <w:rFonts w:ascii="Times New Roman" w:hAnsi="Times New Roman" w:cs="Times New Roman"/>
        </w:rPr>
        <w:t xml:space="preserve"> </w:t>
      </w:r>
      <w:r w:rsidR="00BA387A">
        <w:rPr>
          <w:rFonts w:ascii="Times New Roman" w:hAnsi="Times New Roman" w:cs="Times New Roman"/>
        </w:rPr>
        <w:t xml:space="preserve">However, as will be shown below, Republican contestation </w:t>
      </w:r>
      <w:r w:rsidR="00F159BD">
        <w:rPr>
          <w:rFonts w:ascii="Times New Roman" w:hAnsi="Times New Roman" w:cs="Times New Roman"/>
        </w:rPr>
        <w:t xml:space="preserve">for this space leads Unionists to claim, often </w:t>
      </w:r>
      <w:r>
        <w:rPr>
          <w:rFonts w:ascii="Times New Roman" w:hAnsi="Times New Roman" w:cs="Times New Roman"/>
        </w:rPr>
        <w:t>following Loyalist pressure</w:t>
      </w:r>
      <w:r w:rsidR="00F159BD">
        <w:rPr>
          <w:rFonts w:ascii="Times New Roman" w:hAnsi="Times New Roman" w:cs="Times New Roman"/>
        </w:rPr>
        <w:t>,</w:t>
      </w:r>
      <w:r>
        <w:rPr>
          <w:rFonts w:ascii="Times New Roman" w:hAnsi="Times New Roman" w:cs="Times New Roman"/>
        </w:rPr>
        <w:t xml:space="preserve"> that such events are glorifying terrorism</w:t>
      </w:r>
      <w:r w:rsidR="00F159BD">
        <w:rPr>
          <w:rFonts w:ascii="Times New Roman" w:hAnsi="Times New Roman" w:cs="Times New Roman"/>
        </w:rPr>
        <w:t>, thus disrupting compromises at other levels of the political system</w:t>
      </w:r>
      <w:r>
        <w:rPr>
          <w:rFonts w:ascii="Times New Roman" w:hAnsi="Times New Roman" w:cs="Times New Roman"/>
        </w:rPr>
        <w:t xml:space="preserve">.   </w:t>
      </w:r>
    </w:p>
    <w:p w14:paraId="39D82C09" w14:textId="1CE01F59" w:rsidR="00991000" w:rsidRDefault="0056489D" w:rsidP="00B57C7F">
      <w:pPr>
        <w:spacing w:line="360" w:lineRule="auto"/>
        <w:ind w:firstLine="720"/>
        <w:jc w:val="both"/>
        <w:rPr>
          <w:rFonts w:ascii="Times New Roman" w:hAnsi="Times New Roman" w:cs="Times New Roman"/>
        </w:rPr>
      </w:pPr>
      <w:r>
        <w:rPr>
          <w:rFonts w:ascii="Times New Roman" w:hAnsi="Times New Roman" w:cs="Times New Roman"/>
        </w:rPr>
        <w:t>Consociationalism encourages co-operation between Republicans and Unionists at Stormont, which legitimises the Provisional IRA’s disengagement frame, but this can be frustrated because the need to maintain linkages with the community level in order to coun</w:t>
      </w:r>
      <w:r w:rsidR="005A08F4">
        <w:rPr>
          <w:rFonts w:ascii="Times New Roman" w:hAnsi="Times New Roman" w:cs="Times New Roman"/>
        </w:rPr>
        <w:t xml:space="preserve">ter dissident </w:t>
      </w:r>
      <w:r>
        <w:rPr>
          <w:rFonts w:ascii="Times New Roman" w:hAnsi="Times New Roman" w:cs="Times New Roman"/>
        </w:rPr>
        <w:t>Republican narratives</w:t>
      </w:r>
      <w:r w:rsidR="005A08F4">
        <w:rPr>
          <w:rFonts w:ascii="Times New Roman" w:hAnsi="Times New Roman" w:cs="Times New Roman"/>
        </w:rPr>
        <w:t xml:space="preserve"> which</w:t>
      </w:r>
      <w:r>
        <w:rPr>
          <w:rFonts w:ascii="Times New Roman" w:hAnsi="Times New Roman" w:cs="Times New Roman"/>
        </w:rPr>
        <w:t xml:space="preserve"> can disrupt co-operation at Stormont. The disconnection between Unionists at Stormont and Loyalist communities encourages the disruption of co-operation and places greater responsibility on the networks like the </w:t>
      </w:r>
      <w:r w:rsidR="0020458C">
        <w:rPr>
          <w:rFonts w:ascii="Times New Roman" w:hAnsi="Times New Roman" w:cs="Times New Roman"/>
        </w:rPr>
        <w:t>one discussed above</w:t>
      </w:r>
      <w:r>
        <w:rPr>
          <w:rFonts w:ascii="Times New Roman" w:hAnsi="Times New Roman" w:cs="Times New Roman"/>
        </w:rPr>
        <w:t>.</w:t>
      </w:r>
      <w:r w:rsidR="0020458C">
        <w:rPr>
          <w:rFonts w:ascii="Times New Roman" w:hAnsi="Times New Roman" w:cs="Times New Roman"/>
        </w:rPr>
        <w:t xml:space="preserve"> </w:t>
      </w:r>
      <w:r>
        <w:rPr>
          <w:rFonts w:ascii="Times New Roman" w:hAnsi="Times New Roman" w:cs="Times New Roman"/>
        </w:rPr>
        <w:t>Thus</w:t>
      </w:r>
      <w:r w:rsidR="00991000">
        <w:rPr>
          <w:rFonts w:ascii="Times New Roman" w:hAnsi="Times New Roman" w:cs="Times New Roman"/>
        </w:rPr>
        <w:t xml:space="preserve">, the consociational political system contains features that can spark violence. Firstly, it does not resolve the constitutional issue for Republicans and its zero-sum nature can mean that attempts by Sinn Fein to convince its constituency of progress on the constitutional front can prompt a violent response by the Loyalist community: </w:t>
      </w:r>
    </w:p>
    <w:p w14:paraId="351E23A5" w14:textId="77777777" w:rsidR="00991000" w:rsidRDefault="00991000" w:rsidP="00B57C7F">
      <w:pPr>
        <w:spacing w:line="360" w:lineRule="auto"/>
        <w:ind w:firstLine="720"/>
        <w:jc w:val="both"/>
        <w:rPr>
          <w:rFonts w:ascii="Times New Roman" w:hAnsi="Times New Roman" w:cs="Times New Roman"/>
        </w:rPr>
      </w:pPr>
    </w:p>
    <w:p w14:paraId="604A4AA1" w14:textId="77777777" w:rsidR="00991000" w:rsidRPr="003A0162" w:rsidRDefault="00991000" w:rsidP="00B57C7F">
      <w:pPr>
        <w:spacing w:line="360" w:lineRule="auto"/>
        <w:ind w:left="567" w:right="567"/>
        <w:jc w:val="both"/>
        <w:rPr>
          <w:rFonts w:ascii="Times New Roman" w:hAnsi="Times New Roman" w:cs="Times New Roman"/>
          <w:i/>
          <w:iCs/>
        </w:rPr>
      </w:pPr>
      <w:r>
        <w:rPr>
          <w:rFonts w:ascii="Times New Roman" w:hAnsi="Times New Roman" w:cs="Times New Roman"/>
          <w:i/>
          <w:iCs/>
          <w:color w:val="000000"/>
        </w:rPr>
        <w:lastRenderedPageBreak/>
        <w:t>Y</w:t>
      </w:r>
      <w:r w:rsidRPr="003A0162">
        <w:rPr>
          <w:rFonts w:ascii="Times New Roman" w:hAnsi="Times New Roman" w:cs="Times New Roman"/>
          <w:i/>
          <w:iCs/>
          <w:color w:val="000000"/>
        </w:rPr>
        <w:t xml:space="preserve">ou could slide back </w:t>
      </w:r>
      <w:r>
        <w:rPr>
          <w:rFonts w:ascii="Times New Roman" w:hAnsi="Times New Roman" w:cs="Times New Roman"/>
          <w:i/>
          <w:iCs/>
          <w:color w:val="000000"/>
        </w:rPr>
        <w:t xml:space="preserve">[into violence] </w:t>
      </w:r>
      <w:r w:rsidRPr="003A0162">
        <w:rPr>
          <w:rFonts w:ascii="Times New Roman" w:hAnsi="Times New Roman" w:cs="Times New Roman"/>
          <w:i/>
          <w:iCs/>
          <w:color w:val="000000"/>
        </w:rPr>
        <w:t>again because the fundamental issues haven’t been resolved, the constitutional issues haven’t been resolved and that is the fundamental one. That’s the one that leads to all the other side-shows like the flag protest...One side tells its supporters we are moving toward a united Ireland, and the other side tells their supporters that we are not. They both can’t be right. There is no doubt about it; it is like a tug of war. If it goes this way then that side thinks it’s losing, if it goes that way then this side thinks it’s losing...</w:t>
      </w:r>
      <w:r>
        <w:rPr>
          <w:rStyle w:val="FootnoteReference"/>
          <w:rFonts w:ascii="Times New Roman" w:hAnsi="Times New Roman" w:cs="Times New Roman"/>
          <w:i/>
          <w:iCs/>
          <w:color w:val="000000"/>
        </w:rPr>
        <w:footnoteReference w:id="517"/>
      </w:r>
    </w:p>
    <w:p w14:paraId="1D1DEC97"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p>
    <w:p w14:paraId="200A1820"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 xml:space="preserve">While the limited support for dissident Republicans suggests that the unresolved nature of the constitutional question does not pose a risk </w:t>
      </w:r>
      <w:r w:rsidR="00B62140">
        <w:rPr>
          <w:rFonts w:ascii="Times New Roman" w:hAnsi="Times New Roman" w:cs="Times New Roman"/>
        </w:rPr>
        <w:t>of</w:t>
      </w:r>
      <w:r>
        <w:rPr>
          <w:rFonts w:ascii="Times New Roman" w:hAnsi="Times New Roman" w:cs="Times New Roman"/>
        </w:rPr>
        <w:t xml:space="preserve"> recidivism, this may not be the case in the long-term. The Provisional IRA’s disengagement frame presents the constitutional issue as one that will be resolved over time through changing demographics, meaning Loyalists can be persuaded into a united Ireland through a referendum. However, there are disagreements on how much the Loyalists should be considered or electorally forced, and whether Loyalists would resist militarily the decisions of a referendum. One particular meeting between Republican and Loyalist leaders in Belfast demonstrates the long-term tensions on the constitutional issue:</w:t>
      </w:r>
    </w:p>
    <w:p w14:paraId="3E4C511A" w14:textId="77777777" w:rsidR="00991000" w:rsidRDefault="00991000" w:rsidP="00B57C7F">
      <w:pPr>
        <w:spacing w:line="360" w:lineRule="auto"/>
        <w:jc w:val="both"/>
        <w:rPr>
          <w:rFonts w:ascii="Times New Roman" w:hAnsi="Times New Roman" w:cs="Times New Roman"/>
        </w:rPr>
      </w:pPr>
    </w:p>
    <w:p w14:paraId="10D0253F" w14:textId="77777777" w:rsidR="00991000" w:rsidRPr="00C2002B" w:rsidRDefault="00991000" w:rsidP="00B57C7F">
      <w:pPr>
        <w:spacing w:line="360" w:lineRule="auto"/>
        <w:ind w:left="567" w:right="567"/>
        <w:jc w:val="both"/>
        <w:rPr>
          <w:rFonts w:ascii="Times New Roman" w:hAnsi="Times New Roman" w:cs="Times New Roman"/>
          <w:i/>
        </w:rPr>
      </w:pPr>
      <w:r w:rsidRPr="00C2002B">
        <w:rPr>
          <w:rFonts w:ascii="Times New Roman" w:hAnsi="Times New Roman" w:cs="Times New Roman"/>
          <w:i/>
        </w:rPr>
        <w:t>Another thin</w:t>
      </w:r>
      <w:r>
        <w:rPr>
          <w:rFonts w:ascii="Times New Roman" w:hAnsi="Times New Roman" w:cs="Times New Roman"/>
          <w:i/>
        </w:rPr>
        <w:t>g that came out of that meeting</w:t>
      </w:r>
      <w:r w:rsidRPr="00C2002B">
        <w:rPr>
          <w:rFonts w:ascii="Times New Roman" w:hAnsi="Times New Roman" w:cs="Times New Roman"/>
          <w:i/>
        </w:rPr>
        <w:t xml:space="preserve"> was that [a senior Provisional IRA figure] said ‘look lads’ he said to these senior Loyalists, ‘there is a train coming. Only thirty-six percent of primary school children, right now, are from the Unionist tradition. So you better be getting your people ready for this, preparing the way forward, not pretending that there is going to be no change’...[The loyalists] were stunned, absolutely stunned. One of them actually said, ‘shit’ he said, ‘does that mean you are going to get what you want, and we aren’t going to get what we want’.</w:t>
      </w:r>
      <w:r>
        <w:rPr>
          <w:rStyle w:val="FootnoteReference"/>
          <w:rFonts w:ascii="Times New Roman" w:hAnsi="Times New Roman" w:cs="Times New Roman"/>
          <w:i/>
        </w:rPr>
        <w:footnoteReference w:id="518"/>
      </w:r>
    </w:p>
    <w:p w14:paraId="1C318A5A" w14:textId="77777777" w:rsidR="00991000" w:rsidRDefault="00991000" w:rsidP="00B57C7F">
      <w:pPr>
        <w:spacing w:line="360" w:lineRule="auto"/>
        <w:jc w:val="both"/>
        <w:rPr>
          <w:rFonts w:ascii="Times New Roman" w:hAnsi="Times New Roman" w:cs="Times New Roman"/>
        </w:rPr>
      </w:pPr>
    </w:p>
    <w:p w14:paraId="33955578"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ab/>
        <w:t xml:space="preserve">It is impossible to tell whether consociationalism can overcome this constitutional contradiction without either leading to Loyalist violence or disillusionment among Republicans of the political route. Yet the political system has led to low-scale Loyalist violence which may be indicative of the limits of consociationalism in dealing with identity and constitutional </w:t>
      </w:r>
      <w:r w:rsidR="0020458C">
        <w:rPr>
          <w:rFonts w:ascii="Times New Roman" w:hAnsi="Times New Roman" w:cs="Times New Roman"/>
        </w:rPr>
        <w:t>grievances</w:t>
      </w:r>
      <w:r>
        <w:rPr>
          <w:rFonts w:ascii="Times New Roman" w:hAnsi="Times New Roman" w:cs="Times New Roman"/>
        </w:rPr>
        <w:t>, and these tensions cannot be dealt with through mechanisms such as the mobile phones network. Two period of Loyalist violence emerged, one in 2011 with paramilitary-influenced attacks on the Short Strand (a Republican enclave in East Belfast), and the 2012-2013 riots and protests following the decision to remove the Union flag from Belfast City Hall. In both cases, the mechanisms of managing conflict mentioned previously failed to work, firstly because the rationale behind removing the flag – equality - did not resonate with the Loyalist community, and secondly, the mobile phone network broke down. The inability of the Provisional IRA’s disengagement frame to resonate among Loyalists is not surprising. The disengagement frame bridges to Loyalist frames through the ‘partity of esteem/equality’ agenda, but this has not been successful in resonating with the Loyalist paramilitaries or in Loyalist communities</w:t>
      </w:r>
      <w:r w:rsidR="00F159BD">
        <w:rPr>
          <w:rFonts w:ascii="Times New Roman" w:hAnsi="Times New Roman" w:cs="Times New Roman"/>
        </w:rPr>
        <w:t>, particularly on identity and constitutional matters</w:t>
      </w:r>
      <w:r>
        <w:rPr>
          <w:rFonts w:ascii="Times New Roman" w:hAnsi="Times New Roman" w:cs="Times New Roman"/>
        </w:rPr>
        <w:t>:</w:t>
      </w:r>
    </w:p>
    <w:p w14:paraId="02FCADF8" w14:textId="77777777" w:rsidR="00991000" w:rsidRDefault="00991000" w:rsidP="00B57C7F">
      <w:pPr>
        <w:spacing w:line="360" w:lineRule="auto"/>
        <w:jc w:val="both"/>
        <w:rPr>
          <w:rFonts w:ascii="Times New Roman" w:hAnsi="Times New Roman" w:cs="Times New Roman"/>
        </w:rPr>
      </w:pPr>
    </w:p>
    <w:p w14:paraId="32AAC09C" w14:textId="77777777" w:rsidR="00991000" w:rsidRDefault="00991000" w:rsidP="00B57C7F">
      <w:pPr>
        <w:spacing w:line="360" w:lineRule="auto"/>
        <w:ind w:left="567" w:right="567"/>
        <w:jc w:val="both"/>
        <w:rPr>
          <w:rFonts w:ascii="Times New Roman" w:hAnsi="Times New Roman" w:cs="Times New Roman"/>
          <w:i/>
        </w:rPr>
      </w:pPr>
      <w:r w:rsidRPr="00C2002B">
        <w:rPr>
          <w:rFonts w:ascii="Times New Roman" w:hAnsi="Times New Roman" w:cs="Times New Roman"/>
          <w:i/>
        </w:rPr>
        <w:t>We actually had a meeting here to discuss the issue [of parades] back in January, and it was quite hot. To be honest it was people from the Loyalist side, they were absolutely bouncing up and down…. Now we had discussions here and we had fairly senior people from the organisations around the table, and the Unionists/Loyalists were absolutely livid about the flag coming down. And other people were saying this is part of the equality agenda but they weren’t buying it. That to me was very revealing because that was an issue that was quite contentious and quite inflammatory and people, well certainly the Loyalists, had moved back into the old camp. The whole [equality agenda] was quickly side</w:t>
      </w:r>
      <w:r>
        <w:rPr>
          <w:rFonts w:ascii="Times New Roman" w:hAnsi="Times New Roman" w:cs="Times New Roman"/>
          <w:i/>
        </w:rPr>
        <w:t>-</w:t>
      </w:r>
      <w:r w:rsidRPr="00C2002B">
        <w:rPr>
          <w:rFonts w:ascii="Times New Roman" w:hAnsi="Times New Roman" w:cs="Times New Roman"/>
          <w:i/>
        </w:rPr>
        <w:t xml:space="preserve">lined, and no doubt that would have ricocheted back into communities as well. They were actually bringing the feelings </w:t>
      </w:r>
      <w:r w:rsidRPr="00C2002B">
        <w:rPr>
          <w:rFonts w:ascii="Times New Roman" w:hAnsi="Times New Roman" w:cs="Times New Roman"/>
          <w:i/>
        </w:rPr>
        <w:lastRenderedPageBreak/>
        <w:t>of the communities with them as well, but instead of challenging them locally</w:t>
      </w:r>
      <w:r w:rsidR="00B23FE1">
        <w:rPr>
          <w:rFonts w:ascii="Times New Roman" w:hAnsi="Times New Roman" w:cs="Times New Roman"/>
          <w:i/>
        </w:rPr>
        <w:t xml:space="preserve"> [they did not]</w:t>
      </w:r>
      <w:r>
        <w:rPr>
          <w:rFonts w:ascii="Times New Roman" w:hAnsi="Times New Roman" w:cs="Times New Roman"/>
          <w:i/>
        </w:rPr>
        <w:t>.</w:t>
      </w:r>
      <w:r w:rsidRPr="00C2002B">
        <w:rPr>
          <w:rFonts w:ascii="Times New Roman" w:hAnsi="Times New Roman" w:cs="Times New Roman"/>
          <w:i/>
        </w:rPr>
        <w:t>..and the unionist politicians stirred t</w:t>
      </w:r>
      <w:r>
        <w:rPr>
          <w:rFonts w:ascii="Times New Roman" w:hAnsi="Times New Roman" w:cs="Times New Roman"/>
          <w:i/>
        </w:rPr>
        <w:t>he thing up.</w:t>
      </w:r>
      <w:r>
        <w:rPr>
          <w:rStyle w:val="FootnoteReference"/>
          <w:rFonts w:ascii="Times New Roman" w:hAnsi="Times New Roman" w:cs="Times New Roman"/>
          <w:i/>
        </w:rPr>
        <w:footnoteReference w:id="519"/>
      </w:r>
      <w:r w:rsidRPr="00C2002B">
        <w:rPr>
          <w:rFonts w:ascii="Times New Roman" w:hAnsi="Times New Roman" w:cs="Times New Roman"/>
          <w:i/>
        </w:rPr>
        <w:t xml:space="preserve">  </w:t>
      </w:r>
    </w:p>
    <w:p w14:paraId="5BABFF62" w14:textId="77777777" w:rsidR="00991000" w:rsidRPr="00C2002B" w:rsidRDefault="00991000" w:rsidP="00B57C7F">
      <w:pPr>
        <w:spacing w:line="360" w:lineRule="auto"/>
        <w:ind w:left="567" w:right="567"/>
        <w:jc w:val="both"/>
        <w:rPr>
          <w:rFonts w:ascii="Times New Roman" w:hAnsi="Times New Roman" w:cs="Times New Roman"/>
          <w:i/>
        </w:rPr>
      </w:pPr>
    </w:p>
    <w:p w14:paraId="27161B0A" w14:textId="77777777" w:rsidR="002C783A" w:rsidRDefault="00991000" w:rsidP="00B57C7F">
      <w:pPr>
        <w:spacing w:line="360" w:lineRule="auto"/>
        <w:jc w:val="both"/>
        <w:rPr>
          <w:rFonts w:ascii="Times New Roman" w:hAnsi="Times New Roman" w:cs="Times New Roman"/>
        </w:rPr>
      </w:pPr>
      <w:r>
        <w:rPr>
          <w:rFonts w:ascii="Times New Roman" w:hAnsi="Times New Roman" w:cs="Times New Roman"/>
        </w:rPr>
        <w:tab/>
        <w:t xml:space="preserve">Therefore, while the equality agenda facilitated dialogue between both communities with regard to policing, thus de-escalating the risk of violence in 2009, it has been unsuccessful in creating agreement on identity issues (such as parades and flags) or constitutional issues. </w:t>
      </w:r>
      <w:r w:rsidR="005A08F4">
        <w:rPr>
          <w:rFonts w:ascii="Times New Roman" w:hAnsi="Times New Roman" w:cs="Times New Roman"/>
        </w:rPr>
        <w:t xml:space="preserve">This has implications for Ashour’s theory of de-radicalisation and how the process diffuses, particularly with regard to interaction with the ‘other’ which Ashour identifies as a significant factor. Frame diffusion within the Irish Republican movement can be relatively smooth due to the existence of credible figures who can maintain narrative fidelity, but as discussed in Chapter Four, the disengagement process is one which is also constructed with an actor external to the social movement. In the cases that most theories of de-radicalisation build upon, the external actor is a state, and in such cases the state’s main goal in constructing a disengagement process is to assert its monopoly on the means of violence. </w:t>
      </w:r>
    </w:p>
    <w:p w14:paraId="707133DB" w14:textId="1618233B" w:rsidR="00991000" w:rsidRDefault="005A08F4" w:rsidP="002C783A">
      <w:pPr>
        <w:spacing w:line="360" w:lineRule="auto"/>
        <w:ind w:firstLine="567"/>
        <w:jc w:val="both"/>
        <w:rPr>
          <w:rFonts w:ascii="Times New Roman" w:hAnsi="Times New Roman" w:cs="Times New Roman"/>
        </w:rPr>
      </w:pPr>
      <w:r>
        <w:rPr>
          <w:rFonts w:ascii="Times New Roman" w:hAnsi="Times New Roman" w:cs="Times New Roman"/>
        </w:rPr>
        <w:t xml:space="preserve">However, the presence of the Loyalists in Northern Ireland, now enshrined in the consociational political system, changes how disengagement manifests in a political system: on the one hand, frame diffusion seeks to construct a shared meaning of how violence ends; but on the other hand, the strength of identity and the political system limits the boundaries of dialogue between the Irish Republican movement and Loyalism. Consequently, the political system limits the opportunities for the Irish Republican movement – led by Sinn Fein – to pursue a Republican strategy through politics and disengagement as pushing too far in this agenda can lead to Loyalist violence, thus shutting down the political system and the very rewards this provides to justify disengagement. </w:t>
      </w:r>
      <w:r w:rsidR="00991000">
        <w:rPr>
          <w:rFonts w:ascii="Times New Roman" w:hAnsi="Times New Roman" w:cs="Times New Roman"/>
        </w:rPr>
        <w:t>Inter-group dialogue is limited in terms of how it can convince Loyalists to contain violence, which can be linked back to the lack of a similar internal discussion that the Provisional IRA went through. Other factors include</w:t>
      </w:r>
      <w:r w:rsidR="00F159BD">
        <w:rPr>
          <w:rFonts w:ascii="Times New Roman" w:hAnsi="Times New Roman" w:cs="Times New Roman"/>
        </w:rPr>
        <w:t xml:space="preserve"> internal</w:t>
      </w:r>
      <w:r w:rsidR="00991000">
        <w:rPr>
          <w:rFonts w:ascii="Times New Roman" w:hAnsi="Times New Roman" w:cs="Times New Roman"/>
        </w:rPr>
        <w:t xml:space="preserve"> Loyalist politics</w:t>
      </w:r>
      <w:r w:rsidR="00991000">
        <w:rPr>
          <w:rStyle w:val="FootnoteReference"/>
          <w:rFonts w:ascii="Times New Roman" w:hAnsi="Times New Roman" w:cs="Times New Roman"/>
        </w:rPr>
        <w:footnoteReference w:id="520"/>
      </w:r>
      <w:r w:rsidR="00991000">
        <w:rPr>
          <w:rFonts w:ascii="Times New Roman" w:hAnsi="Times New Roman" w:cs="Times New Roman"/>
        </w:rPr>
        <w:t xml:space="preserve"> – out of the scope of this thesis – </w:t>
      </w:r>
      <w:r w:rsidR="00991000">
        <w:rPr>
          <w:rFonts w:ascii="Times New Roman" w:hAnsi="Times New Roman" w:cs="Times New Roman"/>
        </w:rPr>
        <w:lastRenderedPageBreak/>
        <w:t>which has incentivised groups to encourage violence and has limited the capacity of the mobile phone network in containing it:</w:t>
      </w:r>
    </w:p>
    <w:p w14:paraId="41DF4FEB" w14:textId="77777777" w:rsidR="00991000" w:rsidRDefault="00991000" w:rsidP="00B57C7F">
      <w:pPr>
        <w:spacing w:line="360" w:lineRule="auto"/>
        <w:ind w:right="567" w:firstLine="567"/>
        <w:jc w:val="both"/>
        <w:rPr>
          <w:rFonts w:ascii="Times New Roman" w:hAnsi="Times New Roman" w:cs="Times New Roman"/>
        </w:rPr>
      </w:pPr>
    </w:p>
    <w:p w14:paraId="2F09D1D9" w14:textId="77777777" w:rsidR="00991000" w:rsidRDefault="00991000" w:rsidP="00B57C7F">
      <w:pPr>
        <w:spacing w:line="360" w:lineRule="auto"/>
        <w:ind w:left="567" w:right="567"/>
        <w:jc w:val="both"/>
        <w:rPr>
          <w:rFonts w:ascii="Times New Roman" w:hAnsi="Times New Roman" w:cs="Times New Roman"/>
          <w:i/>
        </w:rPr>
      </w:pPr>
      <w:r w:rsidRPr="00107D94">
        <w:rPr>
          <w:rFonts w:ascii="Times New Roman" w:hAnsi="Times New Roman" w:cs="Times New Roman"/>
          <w:i/>
        </w:rPr>
        <w:t xml:space="preserve">I think definitely in the last few years because relationships have been fragmented, the phones have routinely just been turned off. So there has been more of a tendency to do that recently where relationships are bad with Republicans and relationships are bad with the police, and we are not going to fill the police’s role and we are not going to talk to Republicans, so we are going to turn our phones off. There are still key people within the community who keep their phone on, and you are right, when it works well, it works really well. I think there has been some really good relationship-building and there have been very good forums where straight-talking has been able to take place, but it’s very difficult to maintain those relationships in an environment like this where probably we are at the worst place we have been since the </w:t>
      </w:r>
      <w:r w:rsidR="00F159BD">
        <w:rPr>
          <w:rFonts w:ascii="Times New Roman" w:hAnsi="Times New Roman" w:cs="Times New Roman"/>
          <w:i/>
        </w:rPr>
        <w:t>[</w:t>
      </w:r>
      <w:r w:rsidRPr="00107D94">
        <w:rPr>
          <w:rFonts w:ascii="Times New Roman" w:hAnsi="Times New Roman" w:cs="Times New Roman"/>
          <w:i/>
        </w:rPr>
        <w:t>GFA</w:t>
      </w:r>
      <w:r w:rsidR="00F159BD">
        <w:rPr>
          <w:rFonts w:ascii="Times New Roman" w:hAnsi="Times New Roman" w:cs="Times New Roman"/>
          <w:i/>
        </w:rPr>
        <w:t>]</w:t>
      </w:r>
      <w:r w:rsidRPr="00107D94">
        <w:rPr>
          <w:rFonts w:ascii="Times New Roman" w:hAnsi="Times New Roman" w:cs="Times New Roman"/>
          <w:i/>
        </w:rPr>
        <w:t>. It’s difficult to keep the relationships going in the face of opposition from your own community who calls you ‘traitor’ for being involved in those discussions.</w:t>
      </w:r>
      <w:r>
        <w:rPr>
          <w:rStyle w:val="FootnoteReference"/>
          <w:rFonts w:ascii="Times New Roman" w:hAnsi="Times New Roman" w:cs="Times New Roman"/>
          <w:i/>
        </w:rPr>
        <w:footnoteReference w:id="521"/>
      </w:r>
    </w:p>
    <w:p w14:paraId="26C445C1" w14:textId="77777777" w:rsidR="00991000" w:rsidRPr="00107D94" w:rsidRDefault="00991000" w:rsidP="00B57C7F">
      <w:pPr>
        <w:spacing w:line="360" w:lineRule="auto"/>
        <w:ind w:left="567" w:right="567" w:firstLine="567"/>
        <w:jc w:val="both"/>
        <w:rPr>
          <w:rFonts w:ascii="Times New Roman" w:hAnsi="Times New Roman" w:cs="Times New Roman"/>
          <w:i/>
        </w:rPr>
      </w:pPr>
    </w:p>
    <w:p w14:paraId="52B4C15F" w14:textId="61EB3A40" w:rsidR="00991000" w:rsidRDefault="00991000" w:rsidP="00B57C7F">
      <w:pPr>
        <w:spacing w:line="360" w:lineRule="auto"/>
        <w:jc w:val="both"/>
        <w:rPr>
          <w:rFonts w:ascii="Times New Roman" w:hAnsi="Times New Roman" w:cs="Times New Roman"/>
        </w:rPr>
      </w:pPr>
      <w:r w:rsidRPr="00107D94">
        <w:rPr>
          <w:rFonts w:ascii="Times New Roman" w:hAnsi="Times New Roman" w:cs="Times New Roman"/>
        </w:rPr>
        <w:tab/>
      </w:r>
      <w:r w:rsidR="00583117">
        <w:rPr>
          <w:rFonts w:ascii="Times New Roman" w:hAnsi="Times New Roman" w:cs="Times New Roman"/>
        </w:rPr>
        <w:t>Thus, the ‘high politics’ layer can disrupt mechanisms such as the mobile phones network because its success is contingent on inter-community links, and those who wish to maintain the link can find themselves undermined. This problem has some impact on a key debate on consociationalism which contends that a grassroots approach can overcome the community divide which seemingly necessitates consociational institutions.</w:t>
      </w:r>
      <w:r w:rsidR="00583117">
        <w:rPr>
          <w:rStyle w:val="FootnoteReference"/>
          <w:rFonts w:ascii="Times New Roman" w:hAnsi="Times New Roman" w:cs="Times New Roman"/>
        </w:rPr>
        <w:footnoteReference w:id="522"/>
      </w:r>
      <w:r w:rsidR="00583117">
        <w:rPr>
          <w:rFonts w:ascii="Times New Roman" w:hAnsi="Times New Roman" w:cs="Times New Roman"/>
        </w:rPr>
        <w:t xml:space="preserve"> The thesis’ data suggests that grassroots approaches are equally susceptible to the zero-sum logic of consociationalism and while they may allow common ground to develop (as shown above), the continued </w:t>
      </w:r>
      <w:r w:rsidR="00583117">
        <w:rPr>
          <w:rFonts w:ascii="Times New Roman" w:hAnsi="Times New Roman" w:cs="Times New Roman"/>
        </w:rPr>
        <w:lastRenderedPageBreak/>
        <w:t xml:space="preserve">prevalence of political identities constrains this. Subsequently, grassroot approaches such as the mobile phone network – which has the potential to contain violence and overcome community divisions, thus strengthening the Irish Republican movement’s disengagement - tend to be undermined by consociational institutions and deep-seated community divisions. </w:t>
      </w:r>
      <w:r w:rsidRPr="00107D94">
        <w:rPr>
          <w:rFonts w:ascii="Times New Roman" w:hAnsi="Times New Roman" w:cs="Times New Roman"/>
        </w:rPr>
        <w:t>However, another factor that limits the capacity of the mobile phone network in containing violence is its informality:</w:t>
      </w:r>
    </w:p>
    <w:p w14:paraId="7B6B458E" w14:textId="77777777" w:rsidR="00991000" w:rsidRPr="00107D94" w:rsidRDefault="00991000" w:rsidP="00B57C7F">
      <w:pPr>
        <w:spacing w:line="360" w:lineRule="auto"/>
        <w:jc w:val="both"/>
        <w:rPr>
          <w:rFonts w:ascii="Times New Roman" w:hAnsi="Times New Roman" w:cs="Times New Roman"/>
        </w:rPr>
      </w:pPr>
    </w:p>
    <w:p w14:paraId="5D5855F1" w14:textId="77777777" w:rsidR="00991000" w:rsidRDefault="00991000" w:rsidP="00B57C7F">
      <w:pPr>
        <w:spacing w:line="360" w:lineRule="auto"/>
        <w:ind w:left="567" w:right="567"/>
        <w:jc w:val="both"/>
        <w:rPr>
          <w:rFonts w:ascii="Times New Roman" w:hAnsi="Times New Roman" w:cs="Times New Roman"/>
          <w:i/>
        </w:rPr>
      </w:pPr>
      <w:r w:rsidRPr="00107D94">
        <w:rPr>
          <w:rFonts w:ascii="Times New Roman" w:hAnsi="Times New Roman" w:cs="Times New Roman"/>
          <w:i/>
        </w:rPr>
        <w:t>What has happened in Northern Ireland is mechanisms like the mobile phone network have grown up organically and evolved organically, but aren’t funded or supported strategically at a high level. So they are difficult to sustain and the baton isn’t going to be handed on because it is all about the current relationship, it’s not about the framework in which they operate. It’s not about systems or any of that, it’s all about the relationship. And those guys are all tired and there is very, very little personal and human support, partly because people don’t know how to ask for it because it’s such a macho culture.</w:t>
      </w:r>
      <w:r>
        <w:rPr>
          <w:rStyle w:val="FootnoteReference"/>
          <w:rFonts w:ascii="Times New Roman" w:hAnsi="Times New Roman" w:cs="Times New Roman"/>
          <w:i/>
        </w:rPr>
        <w:footnoteReference w:id="523"/>
      </w:r>
      <w:r w:rsidRPr="00107D94">
        <w:rPr>
          <w:rFonts w:ascii="Times New Roman" w:hAnsi="Times New Roman" w:cs="Times New Roman"/>
          <w:i/>
        </w:rPr>
        <w:t xml:space="preserve">  </w:t>
      </w:r>
    </w:p>
    <w:p w14:paraId="20E5D40C" w14:textId="77777777" w:rsidR="00991000" w:rsidRPr="00107D94" w:rsidRDefault="00991000" w:rsidP="00B57C7F">
      <w:pPr>
        <w:spacing w:line="360" w:lineRule="auto"/>
        <w:ind w:left="567" w:right="567" w:firstLine="567"/>
        <w:jc w:val="both"/>
        <w:rPr>
          <w:rFonts w:ascii="Times New Roman" w:hAnsi="Times New Roman" w:cs="Times New Roman"/>
          <w:i/>
        </w:rPr>
      </w:pPr>
    </w:p>
    <w:p w14:paraId="2C048D81" w14:textId="18268963" w:rsidR="00FE485C" w:rsidRDefault="00991000" w:rsidP="00B57C7F">
      <w:pPr>
        <w:spacing w:line="360" w:lineRule="auto"/>
        <w:jc w:val="both"/>
        <w:rPr>
          <w:rFonts w:ascii="Times New Roman" w:hAnsi="Times New Roman" w:cs="Times New Roman"/>
        </w:rPr>
      </w:pPr>
      <w:r>
        <w:rPr>
          <w:rFonts w:ascii="Times New Roman" w:hAnsi="Times New Roman" w:cs="Times New Roman"/>
        </w:rPr>
        <w:tab/>
      </w:r>
      <w:r w:rsidR="00583117">
        <w:rPr>
          <w:rFonts w:ascii="Times New Roman" w:hAnsi="Times New Roman" w:cs="Times New Roman"/>
        </w:rPr>
        <w:t xml:space="preserve">Consequently, the weakness of the mobile phones may be less to do with their vulnerability to disruptions from other political layers, but because they have not been sufficiently institutionalised or incentivised with resources. </w:t>
      </w:r>
      <w:r w:rsidR="00FE485C">
        <w:rPr>
          <w:rFonts w:ascii="Times New Roman" w:hAnsi="Times New Roman" w:cs="Times New Roman"/>
        </w:rPr>
        <w:t xml:space="preserve">Gaps in the mobile phone network provide opportunities for militants who wish to provoke violence at interface areas for their own political agenda. When paramilitary groups or dissident Republicans assert control over an area that are opposed to disengagement, there is little the mobile phone network can do prevent an escalation in violence. Ardoyne has been highlighted as one interface area in which dissident Republicans have a degree of control, thus enabling them to engage in political violence. While one Provisional IRA interviewee laughed at the claim made by a Real IRA member that the latter had gained control over Ardoyne at the expense of </w:t>
      </w:r>
      <w:r w:rsidR="00FE485C">
        <w:rPr>
          <w:rFonts w:ascii="Times New Roman" w:hAnsi="Times New Roman" w:cs="Times New Roman"/>
        </w:rPr>
        <w:lastRenderedPageBreak/>
        <w:t>the former</w:t>
      </w:r>
      <w:r w:rsidR="00B1546E">
        <w:rPr>
          <w:rFonts w:ascii="Times New Roman" w:hAnsi="Times New Roman" w:cs="Times New Roman"/>
        </w:rPr>
        <w:t>,</w:t>
      </w:r>
      <w:r w:rsidR="00FE485C">
        <w:rPr>
          <w:rStyle w:val="FootnoteReference"/>
          <w:rFonts w:ascii="Times New Roman" w:hAnsi="Times New Roman" w:cs="Times New Roman"/>
        </w:rPr>
        <w:footnoteReference w:id="524"/>
      </w:r>
      <w:r w:rsidR="00FE485C">
        <w:rPr>
          <w:rFonts w:ascii="Times New Roman" w:hAnsi="Times New Roman" w:cs="Times New Roman"/>
        </w:rPr>
        <w:t xml:space="preserve"> another Republican interviewee explained what Provisional IRA members had been saying to Loyalists in meetings: </w:t>
      </w:r>
    </w:p>
    <w:p w14:paraId="45B549BB" w14:textId="77777777" w:rsidR="00FE485C" w:rsidRDefault="00FE485C" w:rsidP="00B57C7F">
      <w:pPr>
        <w:spacing w:line="360" w:lineRule="auto"/>
        <w:jc w:val="both"/>
        <w:rPr>
          <w:rFonts w:ascii="Times New Roman" w:hAnsi="Times New Roman" w:cs="Times New Roman"/>
        </w:rPr>
      </w:pPr>
    </w:p>
    <w:p w14:paraId="56DA69CB" w14:textId="77777777" w:rsidR="00FE485C" w:rsidRDefault="00FE485C" w:rsidP="00B57C7F">
      <w:pPr>
        <w:spacing w:line="360" w:lineRule="auto"/>
        <w:ind w:left="567" w:right="567"/>
        <w:jc w:val="both"/>
        <w:rPr>
          <w:rFonts w:ascii="Times New Roman" w:hAnsi="Times New Roman" w:cs="Times New Roman"/>
          <w:i/>
          <w:iCs/>
        </w:rPr>
      </w:pPr>
      <w:r w:rsidRPr="00FE485C">
        <w:rPr>
          <w:rFonts w:ascii="Times New Roman" w:hAnsi="Times New Roman" w:cs="Times New Roman"/>
          <w:i/>
          <w:iCs/>
        </w:rPr>
        <w:t xml:space="preserve">I mean up there over the years they were saying there is no dissidents in Ardoyne to the Loyalists, now they are saying okay we have no control over Ardoyne anymore. As a matter of fact, when they have their protest at Ardoyne, their silent protest, most of them are people bused in from outside Ardoyne. There’s no doubt that the so-called dissidents are the ones who can get the numbers in Ardoyne and stuff like that…. </w:t>
      </w:r>
      <w:r>
        <w:rPr>
          <w:rFonts w:ascii="Times New Roman" w:hAnsi="Times New Roman" w:cs="Times New Roman"/>
          <w:i/>
          <w:iCs/>
        </w:rPr>
        <w:t>But the downside is [the Provisional’s]</w:t>
      </w:r>
      <w:r w:rsidRPr="00FE485C">
        <w:rPr>
          <w:rFonts w:ascii="Times New Roman" w:hAnsi="Times New Roman" w:cs="Times New Roman"/>
          <w:i/>
          <w:iCs/>
        </w:rPr>
        <w:t xml:space="preserve"> are losing control of the area, if they ever did have control over the area in the last eight or nine years like. And thats encouraging these groups, but these groups are fragmented and fighting among themselves as well, there is no unity in them, and that’s one thing the Provies will always take advantage of.</w:t>
      </w:r>
      <w:r>
        <w:rPr>
          <w:rStyle w:val="FootnoteReference"/>
          <w:rFonts w:ascii="Times New Roman" w:hAnsi="Times New Roman" w:cs="Times New Roman"/>
          <w:i/>
          <w:iCs/>
        </w:rPr>
        <w:footnoteReference w:id="525"/>
      </w:r>
      <w:r w:rsidRPr="00FE485C">
        <w:rPr>
          <w:rFonts w:ascii="Times New Roman" w:hAnsi="Times New Roman" w:cs="Times New Roman"/>
          <w:i/>
          <w:iCs/>
        </w:rPr>
        <w:t xml:space="preserve">   </w:t>
      </w:r>
    </w:p>
    <w:p w14:paraId="141968F1" w14:textId="77777777" w:rsidR="00A26812" w:rsidRDefault="00A26812" w:rsidP="00B57C7F">
      <w:pPr>
        <w:spacing w:line="360" w:lineRule="auto"/>
        <w:ind w:firstLine="567"/>
        <w:jc w:val="both"/>
        <w:rPr>
          <w:rFonts w:ascii="Times New Roman" w:hAnsi="Times New Roman" w:cs="Times New Roman"/>
        </w:rPr>
      </w:pPr>
    </w:p>
    <w:p w14:paraId="2DDB9103" w14:textId="77777777" w:rsidR="00863CAE" w:rsidRDefault="00A26812" w:rsidP="00B57C7F">
      <w:pPr>
        <w:spacing w:line="360" w:lineRule="auto"/>
        <w:ind w:firstLine="567"/>
        <w:jc w:val="both"/>
        <w:rPr>
          <w:rFonts w:ascii="Times New Roman" w:hAnsi="Times New Roman" w:cs="Times New Roman"/>
        </w:rPr>
      </w:pPr>
      <w:r>
        <w:rPr>
          <w:rFonts w:ascii="Times New Roman" w:hAnsi="Times New Roman" w:cs="Times New Roman"/>
        </w:rPr>
        <w:t>The limited penetration of the mobile phone network in areas such as Ardoyne has provided dissident Republicans with a power base where they have encouraged young people to riot and attack the police at interface areas</w:t>
      </w:r>
      <w:r w:rsidR="00B1546E">
        <w:rPr>
          <w:rFonts w:ascii="Times New Roman" w:hAnsi="Times New Roman" w:cs="Times New Roman"/>
        </w:rPr>
        <w:t>.</w:t>
      </w:r>
      <w:r>
        <w:rPr>
          <w:rStyle w:val="FootnoteReference"/>
          <w:rFonts w:ascii="Times New Roman" w:hAnsi="Times New Roman" w:cs="Times New Roman"/>
        </w:rPr>
        <w:footnoteReference w:id="526"/>
      </w:r>
      <w:r>
        <w:rPr>
          <w:rFonts w:ascii="Times New Roman" w:hAnsi="Times New Roman" w:cs="Times New Roman"/>
        </w:rPr>
        <w:t xml:space="preserve"> </w:t>
      </w:r>
      <w:r w:rsidR="00863CAE">
        <w:rPr>
          <w:rFonts w:ascii="Times New Roman" w:hAnsi="Times New Roman" w:cs="Times New Roman"/>
        </w:rPr>
        <w:t>However, the inter-group dialogue that the mobile phone network facilitated has had a lasting effect, and even when the groups may have little impact on areas such as Ardoyne, the relationships built up can still be used to prevent violence that would play into the hands of dissident Republicans:</w:t>
      </w:r>
    </w:p>
    <w:p w14:paraId="5B56E10D" w14:textId="77777777" w:rsidR="00863CAE" w:rsidRDefault="00863CAE" w:rsidP="00B57C7F">
      <w:pPr>
        <w:spacing w:line="360" w:lineRule="auto"/>
        <w:ind w:firstLine="567"/>
        <w:jc w:val="both"/>
        <w:rPr>
          <w:rFonts w:ascii="Times New Roman" w:hAnsi="Times New Roman" w:cs="Times New Roman"/>
        </w:rPr>
      </w:pPr>
    </w:p>
    <w:p w14:paraId="2F049C12" w14:textId="77777777" w:rsidR="00863CAE" w:rsidRDefault="00863CAE" w:rsidP="00B57C7F">
      <w:pPr>
        <w:spacing w:line="360" w:lineRule="auto"/>
        <w:ind w:left="567" w:right="567"/>
        <w:jc w:val="both"/>
        <w:rPr>
          <w:rFonts w:ascii="Times New Roman" w:hAnsi="Times New Roman" w:cs="Times New Roman"/>
          <w:i/>
          <w:iCs/>
        </w:rPr>
      </w:pPr>
      <w:r>
        <w:rPr>
          <w:rFonts w:ascii="Times New Roman" w:hAnsi="Times New Roman" w:cs="Times New Roman"/>
          <w:i/>
          <w:iCs/>
        </w:rPr>
        <w:t>T</w:t>
      </w:r>
      <w:r w:rsidRPr="00863CAE">
        <w:rPr>
          <w:rFonts w:ascii="Times New Roman" w:hAnsi="Times New Roman" w:cs="Times New Roman"/>
          <w:i/>
          <w:iCs/>
        </w:rPr>
        <w:t xml:space="preserve">here were instances in Ardoyne where there was an Orange march passing Ardoyne and one of the newspapers put out a story that the INLA was going to attack the march. Of course, that triggered off a response in the Loyalist areas, that people were going to come along and prevent the </w:t>
      </w:r>
      <w:r w:rsidRPr="00863CAE">
        <w:rPr>
          <w:rFonts w:ascii="Times New Roman" w:hAnsi="Times New Roman" w:cs="Times New Roman"/>
          <w:i/>
          <w:iCs/>
        </w:rPr>
        <w:lastRenderedPageBreak/>
        <w:t>INLA from attacking the march. Again, people around the table discussed it and representatives from the INLA constituency assured the Loyalists that there was absolutely no truth in this. The loyalists went back in their communities saying ‘nobody is to go to Ardoyne, this isn’t true’ and there was no riot, basically. Whereas if it had been allowed to run its course, there probably would have been.</w:t>
      </w:r>
      <w:r>
        <w:rPr>
          <w:rStyle w:val="FootnoteReference"/>
          <w:rFonts w:ascii="Times New Roman" w:hAnsi="Times New Roman" w:cs="Times New Roman"/>
          <w:i/>
          <w:iCs/>
        </w:rPr>
        <w:footnoteReference w:id="527"/>
      </w:r>
      <w:r w:rsidRPr="00863CAE">
        <w:rPr>
          <w:rFonts w:ascii="Times New Roman" w:hAnsi="Times New Roman" w:cs="Times New Roman"/>
          <w:i/>
          <w:iCs/>
        </w:rPr>
        <w:t xml:space="preserve"> </w:t>
      </w:r>
    </w:p>
    <w:p w14:paraId="5EE42B0A" w14:textId="77777777" w:rsidR="00863CAE" w:rsidRPr="00863CAE" w:rsidRDefault="00863CAE" w:rsidP="00B57C7F">
      <w:pPr>
        <w:spacing w:line="360" w:lineRule="auto"/>
        <w:jc w:val="both"/>
        <w:rPr>
          <w:rFonts w:ascii="Times New Roman" w:hAnsi="Times New Roman" w:cs="Times New Roman"/>
          <w:i/>
          <w:iCs/>
        </w:rPr>
      </w:pPr>
    </w:p>
    <w:p w14:paraId="725409ED" w14:textId="77777777" w:rsidR="00A26812" w:rsidRDefault="00863CAE" w:rsidP="00B57C7F">
      <w:pPr>
        <w:spacing w:line="360" w:lineRule="auto"/>
        <w:ind w:firstLine="567"/>
        <w:jc w:val="both"/>
        <w:rPr>
          <w:rFonts w:ascii="Times New Roman" w:hAnsi="Times New Roman" w:cs="Times New Roman"/>
        </w:rPr>
      </w:pPr>
      <w:r>
        <w:rPr>
          <w:rFonts w:ascii="Times New Roman" w:hAnsi="Times New Roman" w:cs="Times New Roman"/>
        </w:rPr>
        <w:t>Therefore, the mobile phone network has created relationships which can contain violence despite weaknesses in the network, but it still does not remove the capacity for dissident Republicans or Loyalist paramilitaries to engage in violence if it is in their interest. Furthermore, t</w:t>
      </w:r>
      <w:r w:rsidR="004A7A80">
        <w:rPr>
          <w:rFonts w:ascii="Times New Roman" w:hAnsi="Times New Roman" w:cs="Times New Roman"/>
        </w:rPr>
        <w:t>he Provisional IRA’s organisational disengagement has not been completely successful, and recently some cases of recidivism have strengthened dissident Republicans. The recent escalation in dissident violence from 2009 onwards suggests that there has been recidivism among some Provisional IRA members, which can be attributed to discontent on the recognition of policing in 2006</w:t>
      </w:r>
      <w:r w:rsidR="00B1546E">
        <w:rPr>
          <w:rFonts w:ascii="Times New Roman" w:hAnsi="Times New Roman" w:cs="Times New Roman"/>
        </w:rPr>
        <w:t>.</w:t>
      </w:r>
      <w:r w:rsidR="004A7A80">
        <w:rPr>
          <w:rStyle w:val="FootnoteReference"/>
          <w:rFonts w:ascii="Times New Roman" w:hAnsi="Times New Roman" w:cs="Times New Roman"/>
        </w:rPr>
        <w:footnoteReference w:id="528"/>
      </w:r>
      <w:r w:rsidR="004A7A80">
        <w:rPr>
          <w:rFonts w:ascii="Times New Roman" w:hAnsi="Times New Roman" w:cs="Times New Roman"/>
        </w:rPr>
        <w:t xml:space="preserve"> Furthermore, the disengagement of Provisional IRA members into a social route has not always led to a role in conflict transformation, with some members continuing to operate as vigilantes against drug dealers. Disengagement into this form of social route has encouraged this network in Derry to re-engage and form the New IRA:</w:t>
      </w:r>
    </w:p>
    <w:p w14:paraId="1D0DCD80" w14:textId="77777777" w:rsidR="0007249A" w:rsidRDefault="0007249A" w:rsidP="00B57C7F">
      <w:pPr>
        <w:spacing w:line="360" w:lineRule="auto"/>
        <w:ind w:firstLine="567"/>
        <w:jc w:val="both"/>
        <w:rPr>
          <w:rFonts w:ascii="Times New Roman" w:hAnsi="Times New Roman" w:cs="Times New Roman"/>
        </w:rPr>
      </w:pPr>
    </w:p>
    <w:p w14:paraId="3591597A" w14:textId="77777777" w:rsidR="004A7A80" w:rsidRPr="004A7A80" w:rsidRDefault="004A7A80" w:rsidP="00B57C7F">
      <w:pPr>
        <w:spacing w:line="360" w:lineRule="auto"/>
        <w:ind w:left="567" w:right="567"/>
        <w:jc w:val="both"/>
        <w:rPr>
          <w:rFonts w:ascii="Times New Roman" w:hAnsi="Times New Roman" w:cs="Times New Roman"/>
          <w:i/>
          <w:iCs/>
        </w:rPr>
      </w:pPr>
      <w:r w:rsidRPr="004A7A80">
        <w:rPr>
          <w:rFonts w:ascii="Times New Roman" w:hAnsi="Times New Roman" w:cs="Times New Roman"/>
          <w:i/>
          <w:iCs/>
        </w:rPr>
        <w:t>Who are [the New IRA]? One was a group from Derry, an anti-drugs group; that was actually set up by the Provisionals, that was their Frankenstein. They set it up and it got beyond their control. Anyone in Derry could tell you, this group R</w:t>
      </w:r>
      <w:r w:rsidR="00B62140">
        <w:rPr>
          <w:rFonts w:ascii="Times New Roman" w:hAnsi="Times New Roman" w:cs="Times New Roman"/>
          <w:i/>
          <w:iCs/>
        </w:rPr>
        <w:t xml:space="preserve">epublican </w:t>
      </w:r>
      <w:r w:rsidRPr="004A7A80">
        <w:rPr>
          <w:rFonts w:ascii="Times New Roman" w:hAnsi="Times New Roman" w:cs="Times New Roman"/>
          <w:i/>
          <w:iCs/>
        </w:rPr>
        <w:t>A</w:t>
      </w:r>
      <w:r w:rsidR="00B62140">
        <w:rPr>
          <w:rFonts w:ascii="Times New Roman" w:hAnsi="Times New Roman" w:cs="Times New Roman"/>
          <w:i/>
          <w:iCs/>
        </w:rPr>
        <w:t xml:space="preserve">ction </w:t>
      </w:r>
      <w:r w:rsidRPr="004A7A80">
        <w:rPr>
          <w:rFonts w:ascii="Times New Roman" w:hAnsi="Times New Roman" w:cs="Times New Roman"/>
          <w:i/>
          <w:iCs/>
        </w:rPr>
        <w:t>A</w:t>
      </w:r>
      <w:r w:rsidR="00B62140">
        <w:rPr>
          <w:rFonts w:ascii="Times New Roman" w:hAnsi="Times New Roman" w:cs="Times New Roman"/>
          <w:i/>
          <w:iCs/>
        </w:rPr>
        <w:t xml:space="preserve">gainst </w:t>
      </w:r>
      <w:r w:rsidRPr="004A7A80">
        <w:rPr>
          <w:rFonts w:ascii="Times New Roman" w:hAnsi="Times New Roman" w:cs="Times New Roman"/>
          <w:i/>
          <w:iCs/>
        </w:rPr>
        <w:t>D</w:t>
      </w:r>
      <w:r w:rsidR="00B62140">
        <w:rPr>
          <w:rFonts w:ascii="Times New Roman" w:hAnsi="Times New Roman" w:cs="Times New Roman"/>
          <w:i/>
          <w:iCs/>
        </w:rPr>
        <w:t>rugs</w:t>
      </w:r>
      <w:r w:rsidRPr="004A7A80">
        <w:rPr>
          <w:rFonts w:ascii="Times New Roman" w:hAnsi="Times New Roman" w:cs="Times New Roman"/>
          <w:i/>
          <w:iCs/>
        </w:rPr>
        <w:t xml:space="preserve"> was Provies initially and it just got out of control. So now you have got people who were confined to Derry who have joined this New IRA</w:t>
      </w:r>
      <w:r>
        <w:rPr>
          <w:rFonts w:ascii="Times New Roman" w:hAnsi="Times New Roman" w:cs="Times New Roman"/>
          <w:i/>
          <w:iCs/>
        </w:rPr>
        <w:t>.</w:t>
      </w:r>
      <w:r>
        <w:rPr>
          <w:rStyle w:val="FootnoteReference"/>
          <w:rFonts w:ascii="Times New Roman" w:hAnsi="Times New Roman" w:cs="Times New Roman"/>
          <w:i/>
          <w:iCs/>
        </w:rPr>
        <w:footnoteReference w:id="529"/>
      </w:r>
    </w:p>
    <w:p w14:paraId="24227D15" w14:textId="77777777" w:rsidR="0007249A" w:rsidRDefault="0007249A" w:rsidP="00B57C7F">
      <w:pPr>
        <w:spacing w:line="360" w:lineRule="auto"/>
        <w:ind w:firstLine="567"/>
        <w:jc w:val="both"/>
        <w:rPr>
          <w:rFonts w:ascii="Times New Roman" w:hAnsi="Times New Roman" w:cs="Times New Roman"/>
        </w:rPr>
      </w:pPr>
    </w:p>
    <w:p w14:paraId="5A254759" w14:textId="765F18C8"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In essence, the mobile phone network reflects the system that operates at the political level</w:t>
      </w:r>
      <w:r w:rsidR="00AA3377">
        <w:rPr>
          <w:rFonts w:ascii="Times New Roman" w:hAnsi="Times New Roman" w:cs="Times New Roman"/>
        </w:rPr>
        <w:t>, albeit less well resourced</w:t>
      </w:r>
      <w:r>
        <w:rPr>
          <w:rFonts w:ascii="Times New Roman" w:hAnsi="Times New Roman" w:cs="Times New Roman"/>
        </w:rPr>
        <w:t>: when one community is in opposition to a decision, they can veto it, but at the community level this results in violence rather than a vote being cancelled. While there was some cross-community work to calm down violence during the flag protests</w:t>
      </w:r>
      <w:r w:rsidR="00B1546E">
        <w:rPr>
          <w:rFonts w:ascii="Times New Roman" w:hAnsi="Times New Roman" w:cs="Times New Roman"/>
        </w:rPr>
        <w:t>,</w:t>
      </w:r>
      <w:r>
        <w:rPr>
          <w:rStyle w:val="FootnoteReference"/>
          <w:rFonts w:ascii="Times New Roman" w:hAnsi="Times New Roman" w:cs="Times New Roman"/>
        </w:rPr>
        <w:footnoteReference w:id="530"/>
      </w:r>
      <w:r>
        <w:rPr>
          <w:rFonts w:ascii="Times New Roman" w:hAnsi="Times New Roman" w:cs="Times New Roman"/>
        </w:rPr>
        <w:t xml:space="preserve"> and some dialogue still continued during this period, the violence demonstrated that the mobile phone networks and the disengagement frame is far weaker on the Loyalist side, leaving it open to challenge from paramilitaries in favour of using violence. Furthermore, despite the relatively low-key nature of violence, it had its intended effect at the political level. The Unionist politicians focused their attention on the alienated Loyalist community and in their attempts to repair relations, vetoed Republican projects such as the H-Blocks Centre, increased rhetoric against Republican parades, and have hardened their position on identity-issues in rejecting </w:t>
      </w:r>
      <w:r w:rsidR="00AA3377">
        <w:rPr>
          <w:rFonts w:ascii="Times New Roman" w:hAnsi="Times New Roman" w:cs="Times New Roman"/>
        </w:rPr>
        <w:t>attempts at an agreement</w:t>
      </w:r>
      <w:r>
        <w:rPr>
          <w:rFonts w:ascii="Times New Roman" w:hAnsi="Times New Roman" w:cs="Times New Roman"/>
        </w:rPr>
        <w:t>. Violence by Loyalists worked to grind to a halt political compromise at Stormont between Republicans and Unionists/Loyalists, meaning progress in the Provisional IRA and Sinn Fein’s equality agenda through a political approach can become stuck. As a key part of the Provisional IRA’s disengagement frame is built upon the argument that Republican goals can be achieved through the political process, stalling in the consociational system can undermine the legitimacy of this claim. Although this may not be significant enough to disrupt the Provisional IRA’s disengagement, it may increase competi</w:t>
      </w:r>
      <w:r w:rsidR="00BB2B04">
        <w:rPr>
          <w:rFonts w:ascii="Times New Roman" w:hAnsi="Times New Roman" w:cs="Times New Roman"/>
        </w:rPr>
        <w:t>tion with dissident Republicans.</w:t>
      </w:r>
      <w:r>
        <w:rPr>
          <w:rFonts w:ascii="Times New Roman" w:hAnsi="Times New Roman" w:cs="Times New Roman"/>
        </w:rPr>
        <w:t xml:space="preserve"> </w:t>
      </w:r>
    </w:p>
    <w:p w14:paraId="632F0E6D"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p>
    <w:p w14:paraId="1F49576C" w14:textId="2C8837F8" w:rsidR="00991000" w:rsidRPr="008376A8" w:rsidRDefault="00991000" w:rsidP="00B57C7F">
      <w:pPr>
        <w:pStyle w:val="Heading3"/>
        <w:spacing w:before="120" w:line="360" w:lineRule="auto"/>
      </w:pPr>
      <w:bookmarkStart w:id="61" w:name="_Toc389208843"/>
      <w:r w:rsidRPr="008376A8">
        <w:t>De-Radicalisation</w:t>
      </w:r>
      <w:r w:rsidR="001F38BD">
        <w:t xml:space="preserve"> and the Limits of Frame Diffusion</w:t>
      </w:r>
      <w:bookmarkEnd w:id="61"/>
    </w:p>
    <w:p w14:paraId="5BAB8C52" w14:textId="77777777"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One means of limiting competition from dissident Republicans is to emphasise the Provisional IRA’s legacy in the conflict and monopoly over the Republican tradition through commemorations. Once again, the disengagement frame fundamentally serves to utilise past violence to provide disengagement with credibility and maintain hegemony over Republicans to limit dissenting voices. However, a debate has emerged on whether this disengagement frame is </w:t>
      </w:r>
      <w:r>
        <w:rPr>
          <w:rFonts w:ascii="Times New Roman" w:hAnsi="Times New Roman" w:cs="Times New Roman"/>
        </w:rPr>
        <w:lastRenderedPageBreak/>
        <w:t>contradictory insofar as it aims to reduce recidivism by maintaining credibility and narrative fidelity, but by doing so it glorifies violence which actually can encourage others to participate in violence.</w:t>
      </w:r>
    </w:p>
    <w:p w14:paraId="6B6B5FF7" w14:textId="498B173E" w:rsidR="00C012D5" w:rsidRDefault="00991000" w:rsidP="00C012D5">
      <w:pPr>
        <w:spacing w:line="360" w:lineRule="auto"/>
        <w:ind w:firstLine="567"/>
        <w:jc w:val="both"/>
        <w:rPr>
          <w:rFonts w:ascii="Times New Roman" w:hAnsi="Times New Roman" w:cs="Times New Roman"/>
          <w:shd w:val="clear" w:color="auto" w:fill="FFFFFF"/>
        </w:rPr>
      </w:pPr>
      <w:r>
        <w:rPr>
          <w:rFonts w:ascii="Times New Roman" w:hAnsi="Times New Roman" w:cs="Times New Roman"/>
        </w:rPr>
        <w:t>In 2013, a Republican commemoration was held at Castlederg that would be later condemned by the Unionists as glorifying terrorism.</w:t>
      </w:r>
      <w:r w:rsidR="00C012D5">
        <w:rPr>
          <w:rFonts w:ascii="Times New Roman" w:hAnsi="Times New Roman" w:cs="Times New Roman"/>
        </w:rPr>
        <w:t xml:space="preserve"> This speech, delivered by Sinn Fein MLA and former Provisional IRA member, Gerry Kelly, represents how Provisional IRA’s disengagement frame has evolved. </w:t>
      </w:r>
      <w:r w:rsidR="00C012D5" w:rsidRPr="0043463B">
        <w:rPr>
          <w:rFonts w:ascii="Times New Roman" w:hAnsi="Times New Roman" w:cs="Times New Roman"/>
        </w:rPr>
        <w:t>Gerry Kelly’s speech</w:t>
      </w:r>
      <w:r w:rsidR="00107046">
        <w:rPr>
          <w:rStyle w:val="FootnoteReference"/>
          <w:rFonts w:ascii="Times New Roman" w:hAnsi="Times New Roman" w:cs="Times New Roman"/>
        </w:rPr>
        <w:footnoteReference w:id="531"/>
      </w:r>
      <w:r w:rsidR="00C012D5" w:rsidRPr="0043463B">
        <w:rPr>
          <w:rFonts w:ascii="Times New Roman" w:hAnsi="Times New Roman" w:cs="Times New Roman"/>
        </w:rPr>
        <w:t xml:space="preserve"> at Castlederg was to commemorate former Provisional IRA members in Tyrone, Castlederg specifically.</w:t>
      </w:r>
      <w:r w:rsidR="00DA2953">
        <w:rPr>
          <w:rFonts w:ascii="Times New Roman" w:hAnsi="Times New Roman" w:cs="Times New Roman"/>
        </w:rPr>
        <w:t xml:space="preserve"> It is worthy of a detailed discussion considering how significant it was at the time and how the exact same tensions and discussions have manifested in different controversies (for example, the naming of parks after former Provisional IRA members). The speech at Castlederg thus epitomises how consociationalism impacts upon disengagement frames.</w:t>
      </w:r>
      <w:r w:rsidR="00C012D5" w:rsidRPr="0043463B">
        <w:rPr>
          <w:rFonts w:ascii="Times New Roman" w:hAnsi="Times New Roman" w:cs="Times New Roman"/>
        </w:rPr>
        <w:t xml:space="preserve"> While Unionists claimed this was glamourising terrorism, the disengagement frame was quite clearly expressed in the speech. In the speech, Kelly firstly emphasises that they have a right to commemorate the death of ‘c</w:t>
      </w:r>
      <w:r w:rsidR="00C012D5" w:rsidRPr="0043463B">
        <w:rPr>
          <w:rFonts w:ascii="Times New Roman" w:hAnsi="Times New Roman" w:cs="Times New Roman"/>
          <w:shd w:val="clear" w:color="auto" w:fill="FFFFFF"/>
        </w:rPr>
        <w:t>omrades who gave their lives in the Struggle for Irish freedom and equality’. Kelly then goes on to emphasise the unique environment in the 1960s, amplifying these conditions as the cause of the conflict and the Provisional IRA’s role in it as it’s source of credibility:</w:t>
      </w:r>
    </w:p>
    <w:p w14:paraId="49250C96" w14:textId="77777777" w:rsidR="00C012D5" w:rsidRPr="0043463B" w:rsidRDefault="00C012D5" w:rsidP="00C012D5">
      <w:pPr>
        <w:spacing w:line="360" w:lineRule="auto"/>
        <w:ind w:firstLine="567"/>
        <w:jc w:val="both"/>
        <w:rPr>
          <w:rFonts w:ascii="Times New Roman" w:hAnsi="Times New Roman" w:cs="Times New Roman"/>
          <w:shd w:val="clear" w:color="auto" w:fill="FFFFFF"/>
        </w:rPr>
      </w:pPr>
    </w:p>
    <w:p w14:paraId="114D82A1" w14:textId="25E7BAA8" w:rsidR="00C012D5" w:rsidRDefault="00C012D5" w:rsidP="00C012D5">
      <w:pPr>
        <w:spacing w:line="360" w:lineRule="auto"/>
        <w:ind w:left="567" w:right="567"/>
        <w:jc w:val="both"/>
        <w:rPr>
          <w:rFonts w:ascii="Times New Roman" w:hAnsi="Times New Roman" w:cs="Times New Roman"/>
          <w:i/>
          <w:shd w:val="clear" w:color="auto" w:fill="FFFFFF"/>
        </w:rPr>
      </w:pPr>
      <w:r w:rsidRPr="0043463B">
        <w:rPr>
          <w:rFonts w:ascii="Times New Roman" w:hAnsi="Times New Roman" w:cs="Times New Roman"/>
          <w:i/>
          <w:shd w:val="clear" w:color="auto" w:fill="FFFFFF"/>
        </w:rPr>
        <w:t>The Republicans and Nationalists of Castlederg/Aghyaran and of Tyrone remember the oppression of house raids, harassment, internment, collusion, imprisonment and shoot to kill. They also remember when the RUC, UDR and British Army in their thousands tried to prevent the dignified burials of our comrades killed in action…. There was a war, which the Orange Apartheid State caused through its institutionalised and endemic discrimination and oppression of the Catholic population over generations. It was described succinctly by Lord Craigavon as “A Protestant State for a Protestant People.</w:t>
      </w:r>
      <w:r>
        <w:rPr>
          <w:rFonts w:ascii="Times New Roman" w:hAnsi="Times New Roman" w:cs="Times New Roman"/>
          <w:i/>
          <w:shd w:val="clear" w:color="auto" w:fill="FFFFFF"/>
        </w:rPr>
        <w:t>”</w:t>
      </w:r>
    </w:p>
    <w:p w14:paraId="18237F6D" w14:textId="77777777" w:rsidR="00C012D5" w:rsidRPr="0043463B" w:rsidRDefault="00C012D5" w:rsidP="00C012D5">
      <w:pPr>
        <w:spacing w:line="360" w:lineRule="auto"/>
        <w:ind w:left="567" w:right="567"/>
        <w:jc w:val="both"/>
        <w:rPr>
          <w:rFonts w:ascii="Times New Roman" w:hAnsi="Times New Roman" w:cs="Times New Roman"/>
          <w:i/>
          <w:shd w:val="clear" w:color="auto" w:fill="FFFFFF"/>
        </w:rPr>
      </w:pPr>
    </w:p>
    <w:p w14:paraId="659907F8" w14:textId="77777777" w:rsidR="00C012D5" w:rsidRPr="0043463B" w:rsidRDefault="00C012D5" w:rsidP="00C012D5">
      <w:pPr>
        <w:spacing w:line="360" w:lineRule="auto"/>
        <w:ind w:firstLine="567"/>
        <w:jc w:val="both"/>
        <w:rPr>
          <w:rFonts w:ascii="Times New Roman" w:hAnsi="Times New Roman" w:cs="Times New Roman"/>
          <w:shd w:val="clear" w:color="auto" w:fill="FFFFFF"/>
        </w:rPr>
      </w:pPr>
      <w:r w:rsidRPr="0043463B">
        <w:rPr>
          <w:rFonts w:ascii="Times New Roman" w:hAnsi="Times New Roman" w:cs="Times New Roman"/>
          <w:shd w:val="clear" w:color="auto" w:fill="FFFFFF"/>
        </w:rPr>
        <w:t>As discussed above, frame amplification of the 1960s conditions as the cause of the war allows for the pursuit of Irish independence to be achieved through politics, while maintaining narrative fidelity – even if this involves a degree of re-interpreting history considering many of these members had initially emphasised Irish unity. Commemorations play a significant role in legitimising the Provisional IRA’s disengagement and the equality aspect of the disengagement frame allows them build on the credibility of past volunteers with the overarching aim of a united Ireland:</w:t>
      </w:r>
    </w:p>
    <w:p w14:paraId="3AD398C0" w14:textId="77777777" w:rsidR="00C012D5" w:rsidRPr="0043463B" w:rsidRDefault="00C012D5" w:rsidP="00C012D5">
      <w:pPr>
        <w:spacing w:line="360" w:lineRule="auto"/>
        <w:ind w:left="567" w:right="567"/>
        <w:jc w:val="both"/>
        <w:rPr>
          <w:rFonts w:ascii="Times New Roman" w:hAnsi="Times New Roman" w:cs="Times New Roman"/>
          <w:i/>
          <w:shd w:val="clear" w:color="auto" w:fill="FFFFFF"/>
        </w:rPr>
      </w:pPr>
      <w:r w:rsidRPr="0043463B">
        <w:rPr>
          <w:rFonts w:ascii="Times New Roman" w:hAnsi="Times New Roman" w:cs="Times New Roman"/>
          <w:i/>
          <w:shd w:val="clear" w:color="auto" w:fill="FFFFFF"/>
        </w:rPr>
        <w:t>But today, let me say this on the 40th Anniversary of the deaths of Volunteer Seamus Harvey and Volunteer Gerard McGlynn who gave their lives so that we could be free…They were ordinary young men in the extraordinary circumstances of the early 1970’s who rose to the challenge of the time. They had a vision of Equality and Freedom and they knew the risks they were taking to achieve it but they could not stand idly by or leave it to others… We should not and cannot act as if it is 1916 or 1969 or 1980 or 1996 or even 2006. We cannot live in our past but we must learn from our past to secure and improve our future.</w:t>
      </w:r>
    </w:p>
    <w:p w14:paraId="6297C78D" w14:textId="77777777" w:rsidR="00C012D5" w:rsidRPr="0043463B" w:rsidRDefault="00C012D5" w:rsidP="00C012D5">
      <w:pPr>
        <w:spacing w:line="360" w:lineRule="auto"/>
        <w:jc w:val="both"/>
        <w:rPr>
          <w:rFonts w:ascii="Times New Roman" w:hAnsi="Times New Roman" w:cs="Times New Roman"/>
          <w:shd w:val="clear" w:color="auto" w:fill="FFFFFF"/>
        </w:rPr>
      </w:pPr>
    </w:p>
    <w:p w14:paraId="73CF6933" w14:textId="23CEF33A" w:rsidR="00C012D5" w:rsidRDefault="00C012D5" w:rsidP="00C012D5">
      <w:pPr>
        <w:spacing w:line="360" w:lineRule="auto"/>
        <w:ind w:firstLine="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This passage best encapsulates how the disengagement frame builds on the commemoration of volunteers to link to changes away from armed violence. </w:t>
      </w:r>
      <w:r w:rsidRPr="0043463B">
        <w:rPr>
          <w:rFonts w:ascii="Times New Roman" w:hAnsi="Times New Roman" w:cs="Times New Roman"/>
          <w:shd w:val="clear" w:color="auto" w:fill="FFFFFF"/>
        </w:rPr>
        <w:t>F</w:t>
      </w:r>
      <w:r>
        <w:rPr>
          <w:rFonts w:ascii="Times New Roman" w:hAnsi="Times New Roman" w:cs="Times New Roman"/>
          <w:shd w:val="clear" w:color="auto" w:fill="FFFFFF"/>
        </w:rPr>
        <w:t>urthermore</w:t>
      </w:r>
      <w:r w:rsidRPr="0043463B">
        <w:rPr>
          <w:rFonts w:ascii="Times New Roman" w:hAnsi="Times New Roman" w:cs="Times New Roman"/>
          <w:shd w:val="clear" w:color="auto" w:fill="FFFFFF"/>
        </w:rPr>
        <w:t>, the speech links the sacrifice of dead volunteers to opportunities for the next generation to achieve a united Ireland through political means:</w:t>
      </w:r>
    </w:p>
    <w:p w14:paraId="24DC2F72" w14:textId="77777777" w:rsidR="00C012D5" w:rsidRPr="0043463B" w:rsidRDefault="00C012D5" w:rsidP="00C012D5">
      <w:pPr>
        <w:spacing w:line="360" w:lineRule="auto"/>
        <w:ind w:firstLine="567"/>
        <w:jc w:val="both"/>
        <w:rPr>
          <w:rFonts w:ascii="Times New Roman" w:hAnsi="Times New Roman" w:cs="Times New Roman"/>
          <w:shd w:val="clear" w:color="auto" w:fill="FFFFFF"/>
        </w:rPr>
      </w:pPr>
    </w:p>
    <w:p w14:paraId="7703C8D4" w14:textId="7DE9B9B3" w:rsidR="00C012D5" w:rsidRPr="0043463B" w:rsidRDefault="00C012D5" w:rsidP="00C012D5">
      <w:pPr>
        <w:spacing w:line="360" w:lineRule="auto"/>
        <w:ind w:left="567" w:right="567"/>
        <w:jc w:val="both"/>
        <w:rPr>
          <w:rFonts w:ascii="Times New Roman" w:hAnsi="Times New Roman" w:cs="Times New Roman"/>
          <w:i/>
          <w:shd w:val="clear" w:color="auto" w:fill="FFFFFF"/>
        </w:rPr>
      </w:pPr>
      <w:r w:rsidRPr="0043463B">
        <w:rPr>
          <w:rFonts w:ascii="Times New Roman" w:hAnsi="Times New Roman" w:cs="Times New Roman"/>
          <w:i/>
          <w:shd w:val="clear" w:color="auto" w:fill="FFFFFF"/>
        </w:rPr>
        <w:t>Republicanism on this island has never been so strong, so organized and so capable of achieving its objectives. This generation of republicans is laying the foundations for a New Republic — a 32-County Republic with social justice and equality at its core.</w:t>
      </w:r>
      <w:r>
        <w:rPr>
          <w:rFonts w:ascii="Times New Roman" w:hAnsi="Times New Roman" w:cs="Times New Roman"/>
          <w:i/>
          <w:shd w:val="clear" w:color="auto" w:fill="FFFFFF"/>
        </w:rPr>
        <w:t xml:space="preserve"> </w:t>
      </w:r>
      <w:r w:rsidRPr="0043463B">
        <w:rPr>
          <w:rFonts w:ascii="Times New Roman" w:hAnsi="Times New Roman" w:cs="Times New Roman"/>
          <w:i/>
          <w:shd w:val="clear" w:color="auto" w:fill="FFFFFF"/>
        </w:rPr>
        <w:t xml:space="preserve">This generation has the greatest opportunity since Partition to finally achieve genuine national self-determination. </w:t>
      </w:r>
      <w:r w:rsidR="003B36F3">
        <w:rPr>
          <w:rFonts w:ascii="Times New Roman" w:hAnsi="Times New Roman" w:cs="Times New Roman"/>
          <w:i/>
          <w:shd w:val="clear" w:color="auto" w:fill="FFFFFF"/>
        </w:rPr>
        <w:t>F</w:t>
      </w:r>
      <w:r w:rsidRPr="0043463B">
        <w:rPr>
          <w:rFonts w:ascii="Times New Roman" w:hAnsi="Times New Roman" w:cs="Times New Roman"/>
          <w:i/>
          <w:shd w:val="clear" w:color="auto" w:fill="FFFFFF"/>
        </w:rPr>
        <w:t xml:space="preserve">inally, and importantly we could not have got this far without the activism, dedication and self-sacrifice of the people we are here to honour today. Our best tribute to them, I would suggest is to </w:t>
      </w:r>
      <w:r w:rsidRPr="0043463B">
        <w:rPr>
          <w:rFonts w:ascii="Times New Roman" w:hAnsi="Times New Roman" w:cs="Times New Roman"/>
          <w:i/>
          <w:shd w:val="clear" w:color="auto" w:fill="FFFFFF"/>
        </w:rPr>
        <w:lastRenderedPageBreak/>
        <w:t>rededicate ourselves to the achievement of the United Ireland for which they gave their lives.</w:t>
      </w:r>
      <w:r w:rsidRPr="0043463B">
        <w:rPr>
          <w:rStyle w:val="apple-converted-space"/>
          <w:rFonts w:ascii="Times New Roman" w:hAnsi="Times New Roman" w:cs="Times New Roman"/>
          <w:i/>
          <w:shd w:val="clear" w:color="auto" w:fill="FFFFFF"/>
        </w:rPr>
        <w:t> </w:t>
      </w:r>
    </w:p>
    <w:p w14:paraId="673C5E3B" w14:textId="77777777" w:rsidR="00C012D5" w:rsidRPr="0043463B" w:rsidRDefault="00C012D5" w:rsidP="00C012D5">
      <w:pPr>
        <w:spacing w:line="360" w:lineRule="auto"/>
        <w:rPr>
          <w:rFonts w:ascii="Times New Roman" w:hAnsi="Times New Roman" w:cs="Times New Roman"/>
          <w:shd w:val="clear" w:color="auto" w:fill="FFFFFF"/>
        </w:rPr>
      </w:pPr>
    </w:p>
    <w:p w14:paraId="11F7E8F5" w14:textId="77777777" w:rsidR="00C012D5" w:rsidRDefault="00C012D5" w:rsidP="00C012D5">
      <w:pPr>
        <w:spacing w:line="360" w:lineRule="auto"/>
        <w:ind w:firstLine="567"/>
        <w:jc w:val="both"/>
        <w:rPr>
          <w:rFonts w:ascii="Times New Roman" w:hAnsi="Times New Roman" w:cs="Times New Roman"/>
          <w:shd w:val="clear" w:color="auto" w:fill="FFFFFF"/>
        </w:rPr>
      </w:pPr>
      <w:r w:rsidRPr="0043463B">
        <w:rPr>
          <w:rFonts w:ascii="Times New Roman" w:hAnsi="Times New Roman" w:cs="Times New Roman"/>
          <w:shd w:val="clear" w:color="auto" w:fill="FFFFFF"/>
        </w:rPr>
        <w:t>Another key aspect of the speech then develops from this point to emphasise the equality and parity of esteem agenda and to frame commemorations, such as Castlederg, as a part of that, which then is used to legitimise dialogue with Unionism:</w:t>
      </w:r>
    </w:p>
    <w:p w14:paraId="60C7B15E" w14:textId="77777777" w:rsidR="00C012D5" w:rsidRPr="0043463B" w:rsidRDefault="00C012D5" w:rsidP="00C012D5">
      <w:pPr>
        <w:spacing w:line="360" w:lineRule="auto"/>
        <w:jc w:val="both"/>
        <w:rPr>
          <w:rFonts w:ascii="Times New Roman" w:hAnsi="Times New Roman" w:cs="Times New Roman"/>
          <w:shd w:val="clear" w:color="auto" w:fill="FFFFFF"/>
        </w:rPr>
      </w:pPr>
    </w:p>
    <w:p w14:paraId="6EB0CB94" w14:textId="65BB62BC" w:rsidR="00C012D5" w:rsidRPr="0043463B" w:rsidRDefault="00C012D5" w:rsidP="00C012D5">
      <w:pPr>
        <w:spacing w:line="360" w:lineRule="auto"/>
        <w:ind w:left="567" w:right="567"/>
        <w:jc w:val="both"/>
        <w:rPr>
          <w:rStyle w:val="apple-converted-space"/>
          <w:rFonts w:ascii="Times New Roman" w:hAnsi="Times New Roman" w:cs="Times New Roman"/>
          <w:i/>
          <w:shd w:val="clear" w:color="auto" w:fill="FFFFFF"/>
        </w:rPr>
      </w:pPr>
      <w:r w:rsidRPr="0043463B">
        <w:rPr>
          <w:rFonts w:ascii="Times New Roman" w:hAnsi="Times New Roman" w:cs="Times New Roman"/>
          <w:i/>
          <w:shd w:val="clear" w:color="auto" w:fill="FFFFFF"/>
        </w:rPr>
        <w:t>We are told by Unionists that Tyrone Republicans are insensitive to those who suffered at the hands of Republicans, in this area. Yet Castlederg is where Republicans have been involved in dialogue with the Loyal Orders and others within the Unionist section of our community for over 5 years</w:t>
      </w:r>
      <w:r>
        <w:rPr>
          <w:rFonts w:ascii="Times New Roman" w:hAnsi="Times New Roman" w:cs="Times New Roman"/>
          <w:i/>
          <w:shd w:val="clear" w:color="auto" w:fill="FFFFFF"/>
        </w:rPr>
        <w:t>…</w:t>
      </w:r>
      <w:r w:rsidRPr="0043463B">
        <w:rPr>
          <w:rFonts w:ascii="Times New Roman" w:hAnsi="Times New Roman" w:cs="Times New Roman"/>
          <w:i/>
          <w:shd w:val="clear" w:color="auto" w:fill="FFFFFF"/>
        </w:rPr>
        <w:t>It was agreed in those talks that the centre of Castlederg should be a shared space. Yet when a single Republican commemoration parade is organised we are confronted with a deluge of orchestrated complaints. In effect we are being told that it is right for unionism to remember their British dead without interference but how dare Republicans remember their Irish dead in the same way.</w:t>
      </w:r>
      <w:r w:rsidRPr="0043463B">
        <w:rPr>
          <w:rStyle w:val="apple-converted-space"/>
          <w:rFonts w:ascii="Times New Roman" w:hAnsi="Times New Roman" w:cs="Times New Roman"/>
          <w:i/>
          <w:shd w:val="clear" w:color="auto" w:fill="FFFFFF"/>
        </w:rPr>
        <w:t> </w:t>
      </w:r>
    </w:p>
    <w:p w14:paraId="178BDB5E" w14:textId="77777777" w:rsidR="00C012D5" w:rsidRDefault="00C012D5" w:rsidP="00B57C7F">
      <w:pPr>
        <w:spacing w:line="360" w:lineRule="auto"/>
        <w:ind w:firstLine="567"/>
        <w:jc w:val="both"/>
        <w:rPr>
          <w:rFonts w:ascii="Times New Roman" w:hAnsi="Times New Roman" w:cs="Times New Roman"/>
        </w:rPr>
      </w:pPr>
    </w:p>
    <w:p w14:paraId="5F330792" w14:textId="4A95E2C6" w:rsidR="00991000" w:rsidRDefault="00C012D5" w:rsidP="00B57C7F">
      <w:pPr>
        <w:spacing w:line="360" w:lineRule="auto"/>
        <w:ind w:firstLine="567"/>
        <w:jc w:val="both"/>
        <w:rPr>
          <w:rFonts w:ascii="Times New Roman" w:hAnsi="Times New Roman" w:cs="Times New Roman"/>
        </w:rPr>
      </w:pPr>
      <w:r>
        <w:rPr>
          <w:rFonts w:ascii="Times New Roman" w:hAnsi="Times New Roman" w:cs="Times New Roman"/>
        </w:rPr>
        <w:t>However, the speech also</w:t>
      </w:r>
      <w:r w:rsidR="00991000">
        <w:rPr>
          <w:rFonts w:ascii="Times New Roman" w:hAnsi="Times New Roman" w:cs="Times New Roman"/>
        </w:rPr>
        <w:t xml:space="preserve"> typified the problems with diffusing the disengagement frame</w:t>
      </w:r>
      <w:r>
        <w:rPr>
          <w:rFonts w:ascii="Times New Roman" w:hAnsi="Times New Roman" w:cs="Times New Roman"/>
        </w:rPr>
        <w:t xml:space="preserve"> among society, particularly among Unionists. As noted earlier, the context of the Castlederg speech was how commemorations were perceived as glamourising violence, even if the frame also serves the purpose of linking past violence to provide legitimacy to dialogue with Unionists and the new political approach. The problems in seeking to diffuse this frame to multiple and very different audiences were noted by one Loyalist</w:t>
      </w:r>
      <w:r w:rsidR="00991000">
        <w:rPr>
          <w:rFonts w:ascii="Times New Roman" w:hAnsi="Times New Roman" w:cs="Times New Roman"/>
        </w:rPr>
        <w:t xml:space="preserve">: </w:t>
      </w:r>
    </w:p>
    <w:p w14:paraId="43B64774" w14:textId="77777777" w:rsidR="00991000" w:rsidRDefault="00991000" w:rsidP="00B57C7F">
      <w:pPr>
        <w:spacing w:line="360" w:lineRule="auto"/>
        <w:jc w:val="both"/>
        <w:rPr>
          <w:rFonts w:ascii="Times New Roman" w:hAnsi="Times New Roman" w:cs="Times New Roman"/>
        </w:rPr>
      </w:pPr>
    </w:p>
    <w:p w14:paraId="42DFF7B2" w14:textId="77777777" w:rsidR="00991000" w:rsidRPr="00C8445A" w:rsidRDefault="00991000" w:rsidP="00B57C7F">
      <w:pPr>
        <w:spacing w:line="360" w:lineRule="auto"/>
        <w:ind w:left="567" w:right="567"/>
        <w:jc w:val="both"/>
        <w:rPr>
          <w:rFonts w:ascii="Times New Roman" w:hAnsi="Times New Roman" w:cs="Times New Roman"/>
          <w:i/>
        </w:rPr>
      </w:pPr>
      <w:r w:rsidRPr="00C8445A">
        <w:rPr>
          <w:rFonts w:ascii="Times New Roman" w:hAnsi="Times New Roman" w:cs="Times New Roman"/>
          <w:i/>
        </w:rPr>
        <w:t xml:space="preserve">I think if you read carefully the speech that Gerry gave [at Castlederg], I think he was trying to find a delicate balance between sending a message to the dissidents, sending a message to the hawks within the IRA, sending a message to the doves within the organisation, and also trying to, at one level, still send a message saying that we are still committed to this </w:t>
      </w:r>
      <w:r w:rsidRPr="00C8445A">
        <w:rPr>
          <w:rFonts w:ascii="Times New Roman" w:hAnsi="Times New Roman" w:cs="Times New Roman"/>
          <w:i/>
        </w:rPr>
        <w:lastRenderedPageBreak/>
        <w:t>notion of reconciliation. That’s a difficult thing to do. I don’t think he got it right. He is quite adamant that he tried his best in that speech not to be aggressive, not to be as militaristic as he could have been, and not to be offensive to the Protestant community…. I think they are always looking over their shoulder to make sure their hawks don’t join the dissident movement. And as the dissidents grow that is an incredible threat to the Shinners and the IRA. So that’s always the big piece of work that they are try</w:t>
      </w:r>
      <w:r>
        <w:rPr>
          <w:rFonts w:ascii="Times New Roman" w:hAnsi="Times New Roman" w:cs="Times New Roman"/>
          <w:i/>
        </w:rPr>
        <w:t>ing to manage behind the scenes...</w:t>
      </w:r>
      <w:r>
        <w:rPr>
          <w:rStyle w:val="FootnoteReference"/>
          <w:rFonts w:ascii="Times New Roman" w:hAnsi="Times New Roman" w:cs="Times New Roman"/>
          <w:i/>
        </w:rPr>
        <w:footnoteReference w:id="532"/>
      </w:r>
    </w:p>
    <w:p w14:paraId="252E373D"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p>
    <w:p w14:paraId="7909F540"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t>However, it is unclear to what extent there are actually still people within the movement who would consider a return to violence if they don’t achieve their political goals. A key aspect of the disengagement frame is the recognition that the conditions for armed struggle no longer exist, and even if they did exist, the outcome of a renewed armed struggle would be no different from that of the Provisional IRA’s 1970-1990 campaign</w:t>
      </w:r>
      <w:r w:rsidR="00B1546E">
        <w:rPr>
          <w:rFonts w:ascii="Times New Roman" w:hAnsi="Times New Roman" w:cs="Times New Roman"/>
        </w:rPr>
        <w:t>.</w:t>
      </w:r>
      <w:r>
        <w:rPr>
          <w:rStyle w:val="FootnoteReference"/>
          <w:rFonts w:ascii="Times New Roman" w:hAnsi="Times New Roman" w:cs="Times New Roman"/>
        </w:rPr>
        <w:footnoteReference w:id="533"/>
      </w:r>
      <w:r>
        <w:rPr>
          <w:rFonts w:ascii="Times New Roman" w:hAnsi="Times New Roman" w:cs="Times New Roman"/>
        </w:rPr>
        <w:t xml:space="preserve"> The primary function of Republican commemorations is to assert Sinn Fein’s legitimacy; once again, the credibility of its frame is built upon its role in a ‘just war’, helping it to juxtapose its perceived successful campaign with the unsuccessful campaign of dissident Republicans. The motivation for disengaging and remaining disengaged are based on conditions, or expectations, and these are: the social and political system today is so different from the 1960s that there is no need to use violence; the current political system provides opportunities to provide Republican goals; </w:t>
      </w:r>
      <w:r w:rsidR="000577BC">
        <w:rPr>
          <w:rFonts w:ascii="Times New Roman" w:hAnsi="Times New Roman" w:cs="Times New Roman"/>
        </w:rPr>
        <w:t xml:space="preserve">and </w:t>
      </w:r>
      <w:r>
        <w:rPr>
          <w:rFonts w:ascii="Times New Roman" w:hAnsi="Times New Roman" w:cs="Times New Roman"/>
        </w:rPr>
        <w:t>pursuing equality between both communities ensures there will be no return to the past and can facilitate the goals of a united Ireland. Loyalists interpret this disengagement frame to mean that if either of these is not achieved, then it is legitimate to return to violence:</w:t>
      </w:r>
    </w:p>
    <w:p w14:paraId="0E128D24" w14:textId="77777777" w:rsidR="00991000" w:rsidRDefault="00991000" w:rsidP="00B57C7F">
      <w:pPr>
        <w:spacing w:line="360" w:lineRule="auto"/>
        <w:jc w:val="both"/>
        <w:rPr>
          <w:rFonts w:ascii="Times New Roman" w:hAnsi="Times New Roman" w:cs="Times New Roman"/>
        </w:rPr>
      </w:pPr>
    </w:p>
    <w:p w14:paraId="78BD5F56" w14:textId="77777777" w:rsidR="00991000" w:rsidRDefault="00991000" w:rsidP="00B57C7F">
      <w:pPr>
        <w:spacing w:line="360" w:lineRule="auto"/>
        <w:ind w:left="567" w:right="567"/>
        <w:jc w:val="both"/>
        <w:rPr>
          <w:rFonts w:ascii="Times New Roman" w:hAnsi="Times New Roman" w:cs="Times New Roman"/>
          <w:i/>
        </w:rPr>
      </w:pPr>
      <w:r w:rsidRPr="00A70E8C">
        <w:rPr>
          <w:rFonts w:ascii="Times New Roman" w:hAnsi="Times New Roman" w:cs="Times New Roman"/>
          <w:i/>
        </w:rPr>
        <w:t xml:space="preserve">Remember, Sinn Fein and the IRA did not leave violence behind because they became pacifists. They just changed their strategy. So there still is a mentality there ‘in our mind, that if it is tactically and strategically expedient for us to go back to war, why would we not do it’…external </w:t>
      </w:r>
      <w:r w:rsidRPr="00A70E8C">
        <w:rPr>
          <w:rFonts w:ascii="Times New Roman" w:hAnsi="Times New Roman" w:cs="Times New Roman"/>
          <w:i/>
        </w:rPr>
        <w:lastRenderedPageBreak/>
        <w:t>governments tip-toe around Sinn Fein because they can always threaten to go back to war if they don’t like it.</w:t>
      </w:r>
      <w:r>
        <w:rPr>
          <w:rStyle w:val="FootnoteReference"/>
          <w:rFonts w:ascii="Times New Roman" w:hAnsi="Times New Roman" w:cs="Times New Roman"/>
          <w:i/>
        </w:rPr>
        <w:footnoteReference w:id="534"/>
      </w:r>
      <w:r w:rsidRPr="00A70E8C">
        <w:rPr>
          <w:rFonts w:ascii="Times New Roman" w:hAnsi="Times New Roman" w:cs="Times New Roman"/>
          <w:i/>
        </w:rPr>
        <w:t xml:space="preserve">    </w:t>
      </w:r>
    </w:p>
    <w:p w14:paraId="13FF6E77" w14:textId="77777777" w:rsidR="00991000" w:rsidRPr="00A70E8C" w:rsidRDefault="00991000" w:rsidP="00B57C7F">
      <w:pPr>
        <w:spacing w:line="360" w:lineRule="auto"/>
        <w:ind w:left="567" w:right="567"/>
        <w:jc w:val="both"/>
        <w:rPr>
          <w:rFonts w:ascii="Times New Roman" w:hAnsi="Times New Roman" w:cs="Times New Roman"/>
          <w:i/>
        </w:rPr>
      </w:pPr>
      <w:r w:rsidRPr="00A70E8C">
        <w:rPr>
          <w:rFonts w:ascii="Times New Roman" w:hAnsi="Times New Roman" w:cs="Times New Roman"/>
          <w:i/>
        </w:rPr>
        <w:t xml:space="preserve">         </w:t>
      </w:r>
    </w:p>
    <w:p w14:paraId="493D8766" w14:textId="77777777" w:rsidR="00991000" w:rsidRDefault="00991000" w:rsidP="00B57C7F">
      <w:pPr>
        <w:spacing w:line="360" w:lineRule="auto"/>
        <w:ind w:firstLine="720"/>
        <w:jc w:val="both"/>
        <w:rPr>
          <w:rFonts w:ascii="Times New Roman" w:hAnsi="Times New Roman" w:cs="Times New Roman"/>
        </w:rPr>
      </w:pPr>
      <w:r>
        <w:rPr>
          <w:rFonts w:ascii="Times New Roman" w:hAnsi="Times New Roman" w:cs="Times New Roman"/>
        </w:rPr>
        <w:t>This perception is the same argument that scholars make on the disengagement or de-radicalisation debate</w:t>
      </w:r>
      <w:r w:rsidR="000577BC">
        <w:rPr>
          <w:rFonts w:ascii="Times New Roman" w:hAnsi="Times New Roman" w:cs="Times New Roman"/>
        </w:rPr>
        <w:t>, assuming that the Provisional IRA’s disengagement is driven by tactical considerations rather than ‘genuine de-radicalisation’</w:t>
      </w:r>
      <w:r>
        <w:rPr>
          <w:rFonts w:ascii="Times New Roman" w:hAnsi="Times New Roman" w:cs="Times New Roman"/>
        </w:rPr>
        <w:t xml:space="preserve">. However, as </w:t>
      </w:r>
      <w:r w:rsidR="000577BC">
        <w:rPr>
          <w:rFonts w:ascii="Times New Roman" w:hAnsi="Times New Roman" w:cs="Times New Roman"/>
        </w:rPr>
        <w:t xml:space="preserve">the Provisional IRA’s </w:t>
      </w:r>
      <w:r>
        <w:rPr>
          <w:rFonts w:ascii="Times New Roman" w:hAnsi="Times New Roman" w:cs="Times New Roman"/>
        </w:rPr>
        <w:t xml:space="preserve">disengagement is made conditional on relatively durable structures, it would require substantial political upheaval to even reverse some of these conditions, and pursuit of the equality agenda is far more flexible in terms of what it needs to emphasise. Furthermore, this assumption underplays the extent that individual attitudes have </w:t>
      </w:r>
      <w:r w:rsidR="00891400">
        <w:rPr>
          <w:rFonts w:ascii="Times New Roman" w:hAnsi="Times New Roman" w:cs="Times New Roman"/>
        </w:rPr>
        <w:t>changed over the last few years</w:t>
      </w:r>
      <w:r>
        <w:rPr>
          <w:rFonts w:ascii="Times New Roman" w:hAnsi="Times New Roman" w:cs="Times New Roman"/>
        </w:rPr>
        <w:t>. One former Provisional IRA member indicated that such a change occurred:</w:t>
      </w:r>
    </w:p>
    <w:p w14:paraId="5880286C" w14:textId="77777777" w:rsidR="00991000" w:rsidRDefault="00991000" w:rsidP="00B57C7F">
      <w:pPr>
        <w:spacing w:line="360" w:lineRule="auto"/>
        <w:ind w:firstLine="720"/>
        <w:jc w:val="both"/>
        <w:rPr>
          <w:rFonts w:ascii="Times New Roman" w:hAnsi="Times New Roman" w:cs="Times New Roman"/>
        </w:rPr>
      </w:pPr>
    </w:p>
    <w:p w14:paraId="479BA54E" w14:textId="77777777" w:rsidR="00991000" w:rsidRPr="00A70E8C" w:rsidRDefault="00991000" w:rsidP="00B57C7F">
      <w:pPr>
        <w:spacing w:line="360" w:lineRule="auto"/>
        <w:ind w:left="567" w:right="567"/>
        <w:jc w:val="both"/>
        <w:rPr>
          <w:rFonts w:ascii="Times New Roman" w:hAnsi="Times New Roman" w:cs="Times New Roman"/>
          <w:i/>
        </w:rPr>
      </w:pPr>
      <w:r w:rsidRPr="00A70E8C">
        <w:rPr>
          <w:rFonts w:ascii="Times New Roman" w:hAnsi="Times New Roman" w:cs="Times New Roman"/>
          <w:i/>
        </w:rPr>
        <w:t>Years ago, I suppose yeah, people who had come through the armed struggle, always in their mind was, you can always go back to that, even though they would never reveal it. But at this stage, yeah, I think that most of those who have come through the armed struggle have evolved in politics. I mean, I’m at the stage where, no matter what, that’s not the option. It’s not that there’s always that wee voice where I put him to sleep, where people can just turn it on. I think in the process where we are at...there’s nothing niggling there saying ‘well just someday’.</w:t>
      </w:r>
      <w:r w:rsidR="000577BC">
        <w:rPr>
          <w:rStyle w:val="FootnoteReference"/>
          <w:rFonts w:ascii="Times New Roman" w:hAnsi="Times New Roman" w:cs="Times New Roman"/>
          <w:i/>
        </w:rPr>
        <w:footnoteReference w:id="535"/>
      </w:r>
      <w:r w:rsidRPr="00A70E8C">
        <w:rPr>
          <w:rFonts w:ascii="Times New Roman" w:hAnsi="Times New Roman" w:cs="Times New Roman"/>
          <w:i/>
        </w:rPr>
        <w:t xml:space="preserve">            </w:t>
      </w:r>
    </w:p>
    <w:p w14:paraId="392174A8" w14:textId="77777777" w:rsidR="00991000" w:rsidRDefault="00991000" w:rsidP="00B57C7F">
      <w:pPr>
        <w:spacing w:line="360" w:lineRule="auto"/>
        <w:jc w:val="both"/>
        <w:rPr>
          <w:rFonts w:ascii="Times New Roman" w:hAnsi="Times New Roman" w:cs="Times New Roman"/>
        </w:rPr>
      </w:pPr>
      <w:r>
        <w:rPr>
          <w:rFonts w:ascii="Times New Roman" w:hAnsi="Times New Roman" w:cs="Times New Roman"/>
        </w:rPr>
        <w:tab/>
      </w:r>
    </w:p>
    <w:p w14:paraId="0C2CA9AA" w14:textId="165E37C2" w:rsidR="00E10499" w:rsidRDefault="00991000" w:rsidP="00B57C7F">
      <w:pPr>
        <w:spacing w:line="360" w:lineRule="auto"/>
        <w:jc w:val="both"/>
        <w:rPr>
          <w:rFonts w:ascii="Times New Roman" w:hAnsi="Times New Roman" w:cs="Times New Roman"/>
        </w:rPr>
      </w:pPr>
      <w:r>
        <w:rPr>
          <w:rFonts w:ascii="Times New Roman" w:hAnsi="Times New Roman" w:cs="Times New Roman"/>
        </w:rPr>
        <w:tab/>
        <w:t xml:space="preserve">Furthermore, if de-radicalisation is taken to refer to de-legitimising violence, then Provisional IRA members re-state this time and again. The suggestion that de-radicalisation ought to entail the de-legitimisation of all violence, particularly past violence, is unrealistic in conflicts where there has been substantial support for it. The de-legitimisation of violence justified by conditions – in both senses of the word – was crucial for the frame to resonate but it does not drastically effect the risk of </w:t>
      </w:r>
      <w:r>
        <w:rPr>
          <w:rFonts w:ascii="Times New Roman" w:hAnsi="Times New Roman" w:cs="Times New Roman"/>
        </w:rPr>
        <w:lastRenderedPageBreak/>
        <w:t xml:space="preserve">recidivism, one because the conditionality is durable, and two because attitudes to </w:t>
      </w:r>
      <w:r w:rsidR="00891400">
        <w:rPr>
          <w:rFonts w:ascii="Times New Roman" w:hAnsi="Times New Roman" w:cs="Times New Roman"/>
        </w:rPr>
        <w:t>violence have changed over time, as shown above.</w:t>
      </w:r>
      <w:r>
        <w:rPr>
          <w:rFonts w:ascii="Times New Roman" w:hAnsi="Times New Roman" w:cs="Times New Roman"/>
        </w:rPr>
        <w:t xml:space="preserve"> </w:t>
      </w:r>
      <w:r w:rsidR="00E10499">
        <w:rPr>
          <w:rFonts w:ascii="Times New Roman" w:hAnsi="Times New Roman" w:cs="Times New Roman"/>
        </w:rPr>
        <w:t xml:space="preserve">Thus, referring back to the theoretical discussions in Chapter Two, the thesis’ adaptation of de-radicalisation by using frames analysis demonstrates two points that are significant for the terrorism literature. Firstly, the disengagement-or-de-radicalisation dichotomy underplays how attitudes to violence can change over time in interaction with structure (or conditions) and behaviour, and specifically how initially tenuous disengagement frames can contain mechanisms which will allow these frames to solidify into greater opposition to violence once certain conditions are met and behavioural change takes place. Secondly, de-radicalisation is a social process rather than an individual process which can be inculcated in rehabilitation centres as many de-radicalisation programmes are. The success of the Provisional IRA and the Irish Republican movement’s de-radicalisation – underpinned by conditionality – is contingent on how former combatants are organisationally disengaged and integrated into a new political system, therefore de-radicalisation programmes would be better served by building linkages in a social movement to strengthen and diffuse a disengagement frame rather than focusing on reducing the risk of individual recidivism. </w:t>
      </w:r>
    </w:p>
    <w:p w14:paraId="53852A45" w14:textId="28759921" w:rsidR="00991000" w:rsidRDefault="00991000" w:rsidP="00B57C7F">
      <w:pPr>
        <w:spacing w:line="360" w:lineRule="auto"/>
        <w:ind w:firstLine="567"/>
        <w:jc w:val="both"/>
        <w:rPr>
          <w:rFonts w:ascii="Times New Roman" w:hAnsi="Times New Roman" w:cs="Times New Roman"/>
        </w:rPr>
      </w:pPr>
      <w:r>
        <w:rPr>
          <w:rFonts w:ascii="Times New Roman" w:hAnsi="Times New Roman" w:cs="Times New Roman"/>
        </w:rPr>
        <w:t xml:space="preserve">However, one other claim that has been made is that while there is no longer support for violence among former Provisional IRA members, that the disengagement frame they use, while delegitimising violence for them, actually glorifies violence for young people who have no conceptualisation of the conditionality that underpins the frame:  </w:t>
      </w:r>
    </w:p>
    <w:p w14:paraId="36B37FB8" w14:textId="77777777" w:rsidR="00991000" w:rsidRDefault="00991000" w:rsidP="00B57C7F">
      <w:pPr>
        <w:spacing w:line="360" w:lineRule="auto"/>
        <w:ind w:firstLine="567"/>
        <w:jc w:val="both"/>
        <w:rPr>
          <w:rFonts w:ascii="Times New Roman" w:hAnsi="Times New Roman" w:cs="Times New Roman"/>
        </w:rPr>
      </w:pPr>
    </w:p>
    <w:p w14:paraId="1F3789D7" w14:textId="77777777" w:rsidR="00991000" w:rsidRDefault="00991000" w:rsidP="00B57C7F">
      <w:pPr>
        <w:spacing w:line="360" w:lineRule="auto"/>
        <w:ind w:left="567" w:right="567"/>
        <w:jc w:val="both"/>
        <w:rPr>
          <w:rFonts w:ascii="Times New Roman" w:hAnsi="Times New Roman" w:cs="Times New Roman"/>
          <w:i/>
          <w:iCs/>
          <w:color w:val="000000"/>
        </w:rPr>
      </w:pPr>
      <w:r w:rsidRPr="00D71747">
        <w:rPr>
          <w:rFonts w:ascii="Times New Roman" w:hAnsi="Times New Roman" w:cs="Times New Roman"/>
          <w:i/>
          <w:iCs/>
          <w:color w:val="000000"/>
        </w:rPr>
        <w:t>Some young people do believe they’ve missed out on the conflict, for whatever reason.  Part of that is we have recognised that the way we talk about the past in some social setting, you are talking about things and you make it sound adventurous, you make it sound fun and stuff like that. So young people are getting this image in their head that it is some sort of adventure.</w:t>
      </w:r>
      <w:r>
        <w:rPr>
          <w:rStyle w:val="FootnoteReference"/>
          <w:rFonts w:ascii="Times New Roman" w:hAnsi="Times New Roman" w:cs="Times New Roman"/>
          <w:i/>
          <w:iCs/>
          <w:color w:val="000000"/>
        </w:rPr>
        <w:footnoteReference w:id="536"/>
      </w:r>
    </w:p>
    <w:p w14:paraId="30AFC856" w14:textId="77777777" w:rsidR="00991000" w:rsidRPr="00D71747" w:rsidRDefault="00991000" w:rsidP="00B57C7F">
      <w:pPr>
        <w:spacing w:line="360" w:lineRule="auto"/>
        <w:ind w:left="567" w:right="567"/>
        <w:jc w:val="both"/>
        <w:rPr>
          <w:rFonts w:ascii="Times New Roman" w:hAnsi="Times New Roman" w:cs="Times New Roman"/>
          <w:i/>
          <w:iCs/>
          <w:color w:val="000000"/>
        </w:rPr>
      </w:pPr>
    </w:p>
    <w:p w14:paraId="62A54CCD" w14:textId="135A599D" w:rsidR="00991000" w:rsidRDefault="00991000" w:rsidP="00B57C7F">
      <w:pPr>
        <w:spacing w:line="360" w:lineRule="auto"/>
        <w:jc w:val="both"/>
        <w:rPr>
          <w:rFonts w:ascii="Times New Roman" w:hAnsi="Times New Roman" w:cs="Times New Roman"/>
        </w:rPr>
      </w:pPr>
      <w:r>
        <w:lastRenderedPageBreak/>
        <w:tab/>
      </w:r>
      <w:r>
        <w:rPr>
          <w:rFonts w:ascii="Times New Roman" w:hAnsi="Times New Roman" w:cs="Times New Roman"/>
        </w:rPr>
        <w:t>Recognising this contradiction in the disengagement frame, and the risks that it posed in terms of encouraging young people to join dissident Republicans, substantial efforts were made to diffuse the disengagement frame to the next generation.</w:t>
      </w:r>
      <w:r w:rsidR="00E10499">
        <w:rPr>
          <w:rFonts w:ascii="Times New Roman" w:hAnsi="Times New Roman" w:cs="Times New Roman"/>
        </w:rPr>
        <w:t xml:space="preserve"> Social movement theory (and de-radicalisation theories to an extent) has tended to neglect to analyse frame diffusion between generations, especially when the frame is seeking to mobilise young people and discourage violent mobilisation. </w:t>
      </w:r>
      <w:r>
        <w:rPr>
          <w:rFonts w:ascii="Times New Roman" w:hAnsi="Times New Roman" w:cs="Times New Roman"/>
        </w:rPr>
        <w:t>And it was this effort which would represent the new challenge in the disengagement process, which will be discussed in Chapter Six.</w:t>
      </w:r>
      <w:r w:rsidR="00E10499">
        <w:rPr>
          <w:rFonts w:ascii="Times New Roman" w:hAnsi="Times New Roman" w:cs="Times New Roman"/>
        </w:rPr>
        <w:t xml:space="preserve"> </w:t>
      </w:r>
    </w:p>
    <w:p w14:paraId="7A805233" w14:textId="77777777" w:rsidR="00991000" w:rsidRDefault="00991000" w:rsidP="00B57C7F">
      <w:pPr>
        <w:spacing w:line="360" w:lineRule="auto"/>
        <w:rPr>
          <w:rFonts w:ascii="Times New Roman" w:hAnsi="Times New Roman" w:cs="Times New Roman"/>
        </w:rPr>
      </w:pPr>
    </w:p>
    <w:p w14:paraId="27DE66CA" w14:textId="77777777" w:rsidR="00991000" w:rsidRDefault="00991000" w:rsidP="00B57C7F">
      <w:pPr>
        <w:pStyle w:val="Heading3"/>
        <w:spacing w:before="120" w:line="360" w:lineRule="auto"/>
      </w:pPr>
      <w:bookmarkStart w:id="62" w:name="_Toc389208844"/>
      <w:r w:rsidRPr="00D71747">
        <w:t>Conclusion</w:t>
      </w:r>
      <w:bookmarkEnd w:id="62"/>
    </w:p>
    <w:p w14:paraId="521B7EB1" w14:textId="37804EAF" w:rsidR="00374254" w:rsidRDefault="00991000" w:rsidP="00B57C7F">
      <w:pPr>
        <w:spacing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If the Provisional IRA were the only militant group active</w:t>
      </w:r>
      <w:r w:rsidR="00BB2B04">
        <w:rPr>
          <w:rFonts w:ascii="Times New Roman" w:hAnsi="Times New Roman" w:cs="Times New Roman"/>
        </w:rPr>
        <w:t xml:space="preserve"> in the conflict</w:t>
      </w:r>
      <w:r>
        <w:rPr>
          <w:rFonts w:ascii="Times New Roman" w:hAnsi="Times New Roman" w:cs="Times New Roman"/>
        </w:rPr>
        <w:t>, organisational disengagement would have been largely sufficient to reduce the risk of recidivism and limit the opportunities for those who opposed disengagement to mobilise support and escalate the campaign.</w:t>
      </w:r>
      <w:r w:rsidR="00BB2B04">
        <w:rPr>
          <w:rFonts w:ascii="Times New Roman" w:hAnsi="Times New Roman" w:cs="Times New Roman"/>
        </w:rPr>
        <w:t xml:space="preserve"> </w:t>
      </w:r>
      <w:r w:rsidR="009720F4">
        <w:rPr>
          <w:rFonts w:ascii="Times New Roman" w:hAnsi="Times New Roman" w:cs="Times New Roman"/>
        </w:rPr>
        <w:t xml:space="preserve">Yet the vibrancy of the Irish Republican movement and its ability to survive it military dimension despite episodes of group disengagement throughout its history demonstrates that a more expansive process is necessary. </w:t>
      </w:r>
      <w:r w:rsidR="00374254">
        <w:rPr>
          <w:rFonts w:ascii="Times New Roman" w:hAnsi="Times New Roman" w:cs="Times New Roman"/>
        </w:rPr>
        <w:t>Chapter Five has demonstrated the intertwined and complex nature of the disengagement process, thus vindicating arguments for a multi-level analysis,</w:t>
      </w:r>
      <w:r w:rsidR="00374254">
        <w:rPr>
          <w:rStyle w:val="FootnoteReference"/>
          <w:rFonts w:ascii="Times New Roman" w:hAnsi="Times New Roman" w:cs="Times New Roman"/>
        </w:rPr>
        <w:footnoteReference w:id="537"/>
      </w:r>
      <w:r w:rsidR="00374254">
        <w:rPr>
          <w:rFonts w:ascii="Times New Roman" w:hAnsi="Times New Roman" w:cs="Times New Roman"/>
        </w:rPr>
        <w:t xml:space="preserve"> with social movement theory capturing the interaction between organisational disengagement, political structures, and attitudes. </w:t>
      </w:r>
      <w:r w:rsidR="009720F4">
        <w:rPr>
          <w:rFonts w:ascii="Times New Roman" w:hAnsi="Times New Roman" w:cs="Times New Roman"/>
        </w:rPr>
        <w:t>Importantly, the factors that may make disengagement at the group level, as discussed in Chapter Four, are not necessarily similar to the factors that would encourage disengagement at the social movement level. Hence, the thesis provides a more thorough explanation of how terrorism campaigns end.</w:t>
      </w:r>
    </w:p>
    <w:p w14:paraId="428068B9" w14:textId="505767D7" w:rsidR="00374254" w:rsidRDefault="00991000" w:rsidP="00B57C7F">
      <w:pPr>
        <w:spacing w:line="360" w:lineRule="auto"/>
        <w:ind w:firstLine="720"/>
        <w:jc w:val="both"/>
        <w:rPr>
          <w:rFonts w:ascii="Times New Roman" w:hAnsi="Times New Roman" w:cs="Times New Roman"/>
        </w:rPr>
      </w:pPr>
      <w:r>
        <w:rPr>
          <w:rFonts w:ascii="Times New Roman" w:hAnsi="Times New Roman" w:cs="Times New Roman"/>
        </w:rPr>
        <w:t xml:space="preserve">The unique manifestation of organisational disengagement helped to build a broadly stable political system which legitimised and rewarded the decision to disengage to the point that a return to violence among </w:t>
      </w:r>
      <w:r w:rsidR="009720F4">
        <w:rPr>
          <w:rFonts w:ascii="Times New Roman" w:hAnsi="Times New Roman" w:cs="Times New Roman"/>
        </w:rPr>
        <w:t xml:space="preserve">key </w:t>
      </w:r>
      <w:r>
        <w:rPr>
          <w:rFonts w:ascii="Times New Roman" w:hAnsi="Times New Roman" w:cs="Times New Roman"/>
        </w:rPr>
        <w:t xml:space="preserve">Provisional IRA members </w:t>
      </w:r>
      <w:r w:rsidR="00B62140">
        <w:rPr>
          <w:rFonts w:ascii="Times New Roman" w:hAnsi="Times New Roman" w:cs="Times New Roman"/>
        </w:rPr>
        <w:t xml:space="preserve">is </w:t>
      </w:r>
      <w:r>
        <w:rPr>
          <w:rFonts w:ascii="Times New Roman" w:hAnsi="Times New Roman" w:cs="Times New Roman"/>
        </w:rPr>
        <w:t xml:space="preserve">unthinkable and irrational. The expansion of community activism filled the space which the new political system could not penetrate. Although community activism </w:t>
      </w:r>
      <w:r>
        <w:rPr>
          <w:rFonts w:ascii="Times New Roman" w:hAnsi="Times New Roman" w:cs="Times New Roman"/>
        </w:rPr>
        <w:lastRenderedPageBreak/>
        <w:t xml:space="preserve">has not overcome the in-built dangers that can spark violence, it can contain it. Successful co-operation between militant groups that emerged from community activism has had a domino-effect on other militant groups. While the disengagement frame is built upon conditions rather than </w:t>
      </w:r>
      <w:r w:rsidR="00374254">
        <w:rPr>
          <w:rFonts w:ascii="Times New Roman" w:hAnsi="Times New Roman" w:cs="Times New Roman"/>
        </w:rPr>
        <w:t>unconditional</w:t>
      </w:r>
      <w:r>
        <w:rPr>
          <w:rFonts w:ascii="Times New Roman" w:hAnsi="Times New Roman" w:cs="Times New Roman"/>
        </w:rPr>
        <w:t xml:space="preserve"> arguments, the relative durability of the political system makes the attitudinal change equally durable, thus bringing into question the argument that</w:t>
      </w:r>
      <w:r w:rsidR="008F2386">
        <w:rPr>
          <w:rFonts w:ascii="Times New Roman" w:hAnsi="Times New Roman" w:cs="Times New Roman"/>
        </w:rPr>
        <w:t xml:space="preserve"> unconditional</w:t>
      </w:r>
      <w:r>
        <w:rPr>
          <w:rFonts w:ascii="Times New Roman" w:hAnsi="Times New Roman" w:cs="Times New Roman"/>
        </w:rPr>
        <w:t xml:space="preserve"> de-radicalisation offers better safeguards against recidivism. </w:t>
      </w:r>
      <w:r w:rsidR="00374254">
        <w:rPr>
          <w:rFonts w:ascii="Times New Roman" w:hAnsi="Times New Roman" w:cs="Times New Roman"/>
        </w:rPr>
        <w:t xml:space="preserve">This is a significant critique of the de-radicalisation literature (discussed in Chapter One) which has reduced the debate to a dichotomy between attitudinal change and behavioural change, with the thesis showing that the nuances of attitudinal change (namely, frame resonance) which shapes the risk of recidivism. </w:t>
      </w:r>
    </w:p>
    <w:p w14:paraId="6D40CF9E" w14:textId="36DDABBA" w:rsidR="00374254" w:rsidRDefault="00991000" w:rsidP="00B57C7F">
      <w:pPr>
        <w:spacing w:line="360" w:lineRule="auto"/>
        <w:ind w:firstLine="720"/>
        <w:jc w:val="both"/>
        <w:rPr>
          <w:rFonts w:ascii="Times New Roman" w:hAnsi="Times New Roman" w:cs="Times New Roman"/>
        </w:rPr>
      </w:pPr>
      <w:r>
        <w:rPr>
          <w:rFonts w:ascii="Times New Roman" w:hAnsi="Times New Roman" w:cs="Times New Roman"/>
        </w:rPr>
        <w:t>The one caveat concerns constitutional and identity issues,</w:t>
      </w:r>
      <w:r w:rsidR="008F2386">
        <w:rPr>
          <w:rFonts w:ascii="Times New Roman" w:hAnsi="Times New Roman" w:cs="Times New Roman"/>
        </w:rPr>
        <w:t xml:space="preserve"> particularly among Loyalists,</w:t>
      </w:r>
      <w:r>
        <w:rPr>
          <w:rFonts w:ascii="Times New Roman" w:hAnsi="Times New Roman" w:cs="Times New Roman"/>
        </w:rPr>
        <w:t xml:space="preserve"> which can potentially reverse the way organisational disengagement and the political system reduces the risk of recidivism.</w:t>
      </w:r>
      <w:r w:rsidR="00374254">
        <w:rPr>
          <w:rFonts w:ascii="Times New Roman" w:hAnsi="Times New Roman" w:cs="Times New Roman"/>
        </w:rPr>
        <w:t xml:space="preserve"> Once again, while the thesis does not focus on Loyalism, it functions as part of the political system, providing constraints and opportunities for the Irish Republican movement (violent and disengaged). By using political opportunity structures to inform the analysis, the thesis showed how the interaction between two layers of political structure can create tension, sometimes disrupting the community-level mechanisms which have been successful at reducing the risk of recidivism. The implications of community approaches such as the mobile phone network on the literature is quite significant as it suggests that not only do former combatants have a role to play, that in the Northern Ireland context this role may need to be formalised to bridge the gap between political layers and strengthen it against shocks from vetoes at Stormont.</w:t>
      </w:r>
      <w:r w:rsidR="009720F4">
        <w:rPr>
          <w:rFonts w:ascii="Times New Roman" w:hAnsi="Times New Roman" w:cs="Times New Roman"/>
        </w:rPr>
        <w:t xml:space="preserve"> For example, the mobile phone network has played a crucial role in providing the space for the PSNI to establish legitimacy in Republican communities and former combatants have worked toward de-essentialising violence by young people, thus changing its perception from political violence to criminality. Furthermore</w:t>
      </w:r>
      <w:r w:rsidR="00DC2735">
        <w:rPr>
          <w:rFonts w:ascii="Times New Roman" w:hAnsi="Times New Roman" w:cs="Times New Roman"/>
        </w:rPr>
        <w:t>, the chapter demonstrates how organisational disengagement many not necessarily be the guard against recidivism as it is assumed to be, as a network of activists can lead to an informal command structure existing. As a result, attitudinal change among former combatants becomes all the more salient to avoid this informal command structure being utilised to (re)engage in violence.</w:t>
      </w:r>
      <w:r w:rsidR="009720F4">
        <w:rPr>
          <w:rFonts w:ascii="Times New Roman" w:hAnsi="Times New Roman" w:cs="Times New Roman"/>
        </w:rPr>
        <w:t xml:space="preserve"> </w:t>
      </w:r>
      <w:r w:rsidR="00374254">
        <w:rPr>
          <w:rFonts w:ascii="Times New Roman" w:hAnsi="Times New Roman" w:cs="Times New Roman"/>
        </w:rPr>
        <w:t xml:space="preserve">  </w:t>
      </w:r>
    </w:p>
    <w:p w14:paraId="1A1A1B64" w14:textId="6FD20F4A" w:rsidR="00991000" w:rsidRPr="00D71747" w:rsidRDefault="00DC2735" w:rsidP="00B57C7F">
      <w:pPr>
        <w:spacing w:line="360" w:lineRule="auto"/>
        <w:ind w:firstLine="720"/>
        <w:jc w:val="both"/>
        <w:rPr>
          <w:rFonts w:ascii="Times New Roman" w:hAnsi="Times New Roman" w:cs="Times New Roman"/>
        </w:rPr>
      </w:pPr>
      <w:r>
        <w:rPr>
          <w:rFonts w:ascii="Times New Roman" w:hAnsi="Times New Roman" w:cs="Times New Roman"/>
        </w:rPr>
        <w:lastRenderedPageBreak/>
        <w:t>T</w:t>
      </w:r>
      <w:r w:rsidR="00991000">
        <w:rPr>
          <w:rFonts w:ascii="Times New Roman" w:hAnsi="Times New Roman" w:cs="Times New Roman"/>
        </w:rPr>
        <w:t xml:space="preserve">he thesis would argue that sufficient attitudinal change has occurred among Provisional IRA members that in the long-term this will not motivate a return to violence, or they will simply not be around to deal with the consequences of the potential frustration of constitutional goals. This makes the next generation all the more crucial for finalising the disengagement process, but the contradiction remains that while the disengagement frame is sufficient to reduce the risk of recidivism among themselves, it can actually inspire the next generation to take up arms if and when the opportunity arises. </w:t>
      </w:r>
    </w:p>
    <w:p w14:paraId="76999428" w14:textId="77777777" w:rsidR="00D41B62" w:rsidRDefault="00991000" w:rsidP="00B57C7F">
      <w:pPr>
        <w:spacing w:line="360" w:lineRule="auto"/>
        <w:jc w:val="both"/>
        <w:rPr>
          <w:rFonts w:ascii="Times New Roman" w:hAnsi="Times New Roman" w:cs="Times New Roman"/>
          <w:b/>
        </w:rPr>
      </w:pPr>
      <w:r>
        <w:rPr>
          <w:rFonts w:ascii="Times New Roman" w:hAnsi="Times New Roman" w:cs="Times New Roman"/>
        </w:rPr>
        <w:tab/>
      </w:r>
      <w:r w:rsidR="00521615">
        <w:rPr>
          <w:rFonts w:ascii="Times New Roman" w:hAnsi="Times New Roman" w:cs="Times New Roman"/>
          <w:b/>
          <w:bCs/>
        </w:rPr>
        <w:t xml:space="preserve">  </w:t>
      </w:r>
    </w:p>
    <w:p w14:paraId="7CD5B1A6" w14:textId="77777777" w:rsidR="00D41B62" w:rsidRDefault="00D41B62" w:rsidP="00B57C7F">
      <w:pPr>
        <w:spacing w:line="360" w:lineRule="auto"/>
        <w:rPr>
          <w:rFonts w:ascii="Times New Roman" w:hAnsi="Times New Roman" w:cs="Times New Roman"/>
          <w:b/>
        </w:rPr>
      </w:pPr>
    </w:p>
    <w:p w14:paraId="0C9900B6" w14:textId="77777777" w:rsidR="000F6D8F" w:rsidRDefault="000F6D8F" w:rsidP="00B57C7F">
      <w:pPr>
        <w:spacing w:line="360" w:lineRule="auto"/>
        <w:rPr>
          <w:rFonts w:ascii="Times New Roman" w:hAnsi="Times New Roman" w:cs="Times New Roman"/>
          <w:b/>
        </w:rPr>
      </w:pPr>
    </w:p>
    <w:p w14:paraId="64BCFDF0" w14:textId="77777777" w:rsidR="000F6D8F" w:rsidRDefault="000F6D8F" w:rsidP="00B57C7F">
      <w:pPr>
        <w:spacing w:line="360" w:lineRule="auto"/>
        <w:rPr>
          <w:rFonts w:ascii="Times New Roman" w:hAnsi="Times New Roman" w:cs="Times New Roman"/>
          <w:b/>
        </w:rPr>
      </w:pPr>
    </w:p>
    <w:p w14:paraId="4166C664" w14:textId="77777777" w:rsidR="000F6D8F" w:rsidRDefault="000F6D8F" w:rsidP="00B57C7F">
      <w:pPr>
        <w:spacing w:line="360" w:lineRule="auto"/>
        <w:rPr>
          <w:rFonts w:ascii="Times New Roman" w:hAnsi="Times New Roman" w:cs="Times New Roman"/>
          <w:b/>
        </w:rPr>
      </w:pPr>
    </w:p>
    <w:p w14:paraId="1ED5BAE1" w14:textId="77777777" w:rsidR="000F6D8F" w:rsidRDefault="000F6D8F" w:rsidP="00B57C7F">
      <w:pPr>
        <w:spacing w:line="360" w:lineRule="auto"/>
        <w:rPr>
          <w:rFonts w:ascii="Times New Roman" w:hAnsi="Times New Roman" w:cs="Times New Roman"/>
          <w:b/>
        </w:rPr>
      </w:pPr>
    </w:p>
    <w:p w14:paraId="086F0755" w14:textId="77777777" w:rsidR="000F6D8F" w:rsidRDefault="000F6D8F" w:rsidP="00B57C7F">
      <w:pPr>
        <w:spacing w:line="360" w:lineRule="auto"/>
        <w:rPr>
          <w:rFonts w:ascii="Times New Roman" w:hAnsi="Times New Roman" w:cs="Times New Roman"/>
          <w:b/>
        </w:rPr>
      </w:pPr>
    </w:p>
    <w:p w14:paraId="26790732" w14:textId="77777777" w:rsidR="000F6D8F" w:rsidRDefault="000F6D8F" w:rsidP="00B57C7F">
      <w:pPr>
        <w:spacing w:line="360" w:lineRule="auto"/>
        <w:rPr>
          <w:rFonts w:ascii="Times New Roman" w:hAnsi="Times New Roman" w:cs="Times New Roman"/>
          <w:b/>
        </w:rPr>
      </w:pPr>
    </w:p>
    <w:p w14:paraId="0C15CF4D" w14:textId="77777777" w:rsidR="000F6D8F" w:rsidRDefault="000F6D8F" w:rsidP="00B57C7F">
      <w:pPr>
        <w:spacing w:line="360" w:lineRule="auto"/>
        <w:rPr>
          <w:rFonts w:ascii="Times New Roman" w:hAnsi="Times New Roman" w:cs="Times New Roman"/>
          <w:b/>
        </w:rPr>
      </w:pPr>
    </w:p>
    <w:p w14:paraId="3BBE710C" w14:textId="77777777" w:rsidR="000F6D8F" w:rsidRDefault="000F6D8F" w:rsidP="00B57C7F">
      <w:pPr>
        <w:spacing w:line="360" w:lineRule="auto"/>
        <w:rPr>
          <w:rFonts w:ascii="Times New Roman" w:hAnsi="Times New Roman" w:cs="Times New Roman"/>
          <w:b/>
        </w:rPr>
      </w:pPr>
    </w:p>
    <w:p w14:paraId="1403BC6B" w14:textId="77777777" w:rsidR="000F6D8F" w:rsidRDefault="000F6D8F" w:rsidP="00B57C7F">
      <w:pPr>
        <w:spacing w:line="360" w:lineRule="auto"/>
        <w:rPr>
          <w:rFonts w:ascii="Times New Roman" w:hAnsi="Times New Roman" w:cs="Times New Roman"/>
          <w:b/>
        </w:rPr>
      </w:pPr>
    </w:p>
    <w:p w14:paraId="6E600D4A" w14:textId="77777777" w:rsidR="000F6D8F" w:rsidRDefault="000F6D8F" w:rsidP="00B57C7F">
      <w:pPr>
        <w:spacing w:line="360" w:lineRule="auto"/>
        <w:rPr>
          <w:rFonts w:ascii="Times New Roman" w:hAnsi="Times New Roman" w:cs="Times New Roman"/>
          <w:b/>
        </w:rPr>
      </w:pPr>
    </w:p>
    <w:p w14:paraId="75EAC777" w14:textId="77777777" w:rsidR="000F6D8F" w:rsidRDefault="000F6D8F" w:rsidP="00B57C7F">
      <w:pPr>
        <w:spacing w:line="360" w:lineRule="auto"/>
        <w:rPr>
          <w:rFonts w:ascii="Times New Roman" w:hAnsi="Times New Roman" w:cs="Times New Roman"/>
          <w:b/>
        </w:rPr>
      </w:pPr>
    </w:p>
    <w:p w14:paraId="4AF31C89" w14:textId="77777777" w:rsidR="000F6D8F" w:rsidRDefault="000F6D8F" w:rsidP="00B57C7F">
      <w:pPr>
        <w:spacing w:line="360" w:lineRule="auto"/>
        <w:rPr>
          <w:rFonts w:ascii="Times New Roman" w:hAnsi="Times New Roman" w:cs="Times New Roman"/>
          <w:b/>
        </w:rPr>
      </w:pPr>
    </w:p>
    <w:p w14:paraId="6B9A9ACB" w14:textId="77777777" w:rsidR="000F6D8F" w:rsidRDefault="000F6D8F" w:rsidP="00B57C7F">
      <w:pPr>
        <w:spacing w:line="360" w:lineRule="auto"/>
        <w:rPr>
          <w:rFonts w:ascii="Times New Roman" w:hAnsi="Times New Roman" w:cs="Times New Roman"/>
          <w:b/>
        </w:rPr>
      </w:pPr>
    </w:p>
    <w:p w14:paraId="25315496" w14:textId="77777777" w:rsidR="000F6D8F" w:rsidRDefault="000F6D8F" w:rsidP="00B57C7F">
      <w:pPr>
        <w:spacing w:line="360" w:lineRule="auto"/>
        <w:rPr>
          <w:rFonts w:ascii="Times New Roman" w:hAnsi="Times New Roman" w:cs="Times New Roman"/>
          <w:b/>
        </w:rPr>
      </w:pPr>
    </w:p>
    <w:p w14:paraId="6C04D824" w14:textId="77777777" w:rsidR="00D41B62" w:rsidRDefault="00D41B62" w:rsidP="00B57C7F">
      <w:pPr>
        <w:spacing w:line="360" w:lineRule="auto"/>
        <w:rPr>
          <w:rFonts w:ascii="Times New Roman" w:hAnsi="Times New Roman" w:cs="Times New Roman"/>
          <w:b/>
        </w:rPr>
      </w:pPr>
    </w:p>
    <w:p w14:paraId="10E4DDF5" w14:textId="77777777" w:rsidR="00521615" w:rsidRDefault="00521615" w:rsidP="00B57C7F">
      <w:pPr>
        <w:spacing w:line="360" w:lineRule="auto"/>
        <w:rPr>
          <w:rFonts w:ascii="Times New Roman" w:hAnsi="Times New Roman" w:cs="Times New Roman"/>
          <w:b/>
        </w:rPr>
      </w:pPr>
    </w:p>
    <w:p w14:paraId="3723C3AA" w14:textId="77777777" w:rsidR="00521615" w:rsidRDefault="00521615" w:rsidP="00B57C7F">
      <w:pPr>
        <w:spacing w:line="360" w:lineRule="auto"/>
        <w:rPr>
          <w:rFonts w:ascii="Times New Roman" w:hAnsi="Times New Roman" w:cs="Times New Roman"/>
          <w:b/>
        </w:rPr>
      </w:pPr>
    </w:p>
    <w:p w14:paraId="72162B6B" w14:textId="77777777" w:rsidR="00521615" w:rsidRDefault="00521615" w:rsidP="00B57C7F">
      <w:pPr>
        <w:spacing w:line="360" w:lineRule="auto"/>
        <w:rPr>
          <w:rFonts w:ascii="Times New Roman" w:hAnsi="Times New Roman" w:cs="Times New Roman"/>
          <w:b/>
        </w:rPr>
      </w:pPr>
    </w:p>
    <w:p w14:paraId="7BFC3F33" w14:textId="77777777" w:rsidR="00655AD6" w:rsidRPr="00616F5E" w:rsidRDefault="009E3DF5" w:rsidP="00B57C7F">
      <w:pPr>
        <w:pStyle w:val="Heading2"/>
        <w:spacing w:before="120" w:line="360" w:lineRule="auto"/>
      </w:pPr>
      <w:bookmarkStart w:id="63" w:name="_Toc389208845"/>
      <w:r>
        <w:lastRenderedPageBreak/>
        <w:t>CHAPTER SIX</w:t>
      </w:r>
      <w:bookmarkEnd w:id="63"/>
    </w:p>
    <w:p w14:paraId="17118A6E" w14:textId="77777777" w:rsidR="00655AD6" w:rsidRPr="001C3D76" w:rsidRDefault="00655AD6" w:rsidP="00B57C7F">
      <w:pPr>
        <w:spacing w:line="360" w:lineRule="auto"/>
        <w:ind w:right="1701"/>
        <w:rPr>
          <w:b/>
          <w:sz w:val="40"/>
          <w:szCs w:val="40"/>
        </w:rPr>
      </w:pPr>
      <w:r w:rsidRPr="001C3D76">
        <w:rPr>
          <w:b/>
          <w:sz w:val="40"/>
          <w:szCs w:val="40"/>
        </w:rPr>
        <w:t xml:space="preserve">De-Radicalisation and the </w:t>
      </w:r>
      <w:r w:rsidR="00E35D47">
        <w:rPr>
          <w:b/>
          <w:sz w:val="40"/>
          <w:szCs w:val="40"/>
        </w:rPr>
        <w:t>Next</w:t>
      </w:r>
      <w:r w:rsidRPr="001C3D76">
        <w:rPr>
          <w:b/>
          <w:sz w:val="40"/>
          <w:szCs w:val="40"/>
        </w:rPr>
        <w:t xml:space="preserve"> Generation</w:t>
      </w:r>
    </w:p>
    <w:p w14:paraId="16F85E07" w14:textId="77777777" w:rsidR="00D807B4" w:rsidRDefault="00D807B4" w:rsidP="00B57C7F">
      <w:pPr>
        <w:spacing w:line="360" w:lineRule="auto"/>
        <w:rPr>
          <w:rFonts w:ascii="Times New Roman" w:hAnsi="Times New Roman" w:cs="Times New Roman"/>
        </w:rPr>
        <w:sectPr w:rsidR="00D807B4" w:rsidSect="00BE3349">
          <w:footnotePr>
            <w:numRestart w:val="eachSect"/>
          </w:footnotePr>
          <w:type w:val="continuous"/>
          <w:pgSz w:w="11906" w:h="16838"/>
          <w:pgMar w:top="1440" w:right="1440" w:bottom="1440" w:left="2268" w:header="709" w:footer="709" w:gutter="0"/>
          <w:cols w:space="708"/>
          <w:docGrid w:linePitch="360"/>
        </w:sectPr>
      </w:pPr>
    </w:p>
    <w:p w14:paraId="513BF1A2" w14:textId="77777777" w:rsidR="00655AD6" w:rsidRPr="00616F5E" w:rsidRDefault="00655AD6" w:rsidP="00B57C7F">
      <w:pPr>
        <w:spacing w:line="360" w:lineRule="auto"/>
        <w:rPr>
          <w:rFonts w:ascii="Times New Roman" w:hAnsi="Times New Roman" w:cs="Times New Roman"/>
        </w:rPr>
      </w:pPr>
    </w:p>
    <w:p w14:paraId="6B731825" w14:textId="77777777" w:rsidR="00970F36"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r>
      <w:r w:rsidR="00EE648E" w:rsidRPr="00616F5E">
        <w:rPr>
          <w:rFonts w:ascii="Times New Roman" w:hAnsi="Times New Roman" w:cs="Times New Roman"/>
        </w:rPr>
        <w:t xml:space="preserve">As discussed in </w:t>
      </w:r>
      <w:r w:rsidR="00EE648E">
        <w:rPr>
          <w:rFonts w:ascii="Times New Roman" w:hAnsi="Times New Roman" w:cs="Times New Roman"/>
        </w:rPr>
        <w:t>Chapter Four</w:t>
      </w:r>
      <w:r w:rsidR="00EE648E" w:rsidRPr="00616F5E">
        <w:rPr>
          <w:rFonts w:ascii="Times New Roman" w:hAnsi="Times New Roman" w:cs="Times New Roman"/>
        </w:rPr>
        <w:t xml:space="preserve">, the Provisional IRA developed a disengagement frame which </w:t>
      </w:r>
      <w:r w:rsidR="00B778C9">
        <w:rPr>
          <w:rFonts w:ascii="Times New Roman" w:hAnsi="Times New Roman" w:cs="Times New Roman"/>
        </w:rPr>
        <w:t>justified and enabled</w:t>
      </w:r>
      <w:r w:rsidR="00EE648E" w:rsidRPr="00616F5E">
        <w:rPr>
          <w:rFonts w:ascii="Times New Roman" w:hAnsi="Times New Roman" w:cs="Times New Roman"/>
        </w:rPr>
        <w:t xml:space="preserve"> it to implement the process of ending</w:t>
      </w:r>
      <w:r w:rsidR="00B778C9">
        <w:rPr>
          <w:rFonts w:ascii="Times New Roman" w:hAnsi="Times New Roman" w:cs="Times New Roman"/>
        </w:rPr>
        <w:t xml:space="preserve"> its armed campaign. It provided</w:t>
      </w:r>
      <w:r w:rsidR="00EE648E" w:rsidRPr="00616F5E">
        <w:rPr>
          <w:rFonts w:ascii="Times New Roman" w:hAnsi="Times New Roman" w:cs="Times New Roman"/>
        </w:rPr>
        <w:t xml:space="preserve"> the justification and rationale for disenga</w:t>
      </w:r>
      <w:r w:rsidR="00B778C9">
        <w:rPr>
          <w:rFonts w:ascii="Times New Roman" w:hAnsi="Times New Roman" w:cs="Times New Roman"/>
        </w:rPr>
        <w:t>gement, it aimed</w:t>
      </w:r>
      <w:r w:rsidR="00EE648E" w:rsidRPr="00616F5E">
        <w:rPr>
          <w:rFonts w:ascii="Times New Roman" w:hAnsi="Times New Roman" w:cs="Times New Roman"/>
        </w:rPr>
        <w:t xml:space="preserve"> to maintain </w:t>
      </w:r>
      <w:r w:rsidR="00EE648E">
        <w:rPr>
          <w:rFonts w:ascii="Times New Roman" w:hAnsi="Times New Roman" w:cs="Times New Roman"/>
        </w:rPr>
        <w:t>narrative fidelity</w:t>
      </w:r>
      <w:r w:rsidR="00B778C9">
        <w:rPr>
          <w:rFonts w:ascii="Times New Roman" w:hAnsi="Times New Roman" w:cs="Times New Roman"/>
        </w:rPr>
        <w:t xml:space="preserve"> and ga</w:t>
      </w:r>
      <w:r w:rsidR="00EE648E" w:rsidRPr="00616F5E">
        <w:rPr>
          <w:rFonts w:ascii="Times New Roman" w:hAnsi="Times New Roman" w:cs="Times New Roman"/>
        </w:rPr>
        <w:t xml:space="preserve">ve incentives for the new approach. However, the analysis of the frame demonstrated how it based its credibility and legitimacy on past armed struggle, and that giving up the struggle was contingent on the conditions having changed (and remaining changed). </w:t>
      </w:r>
      <w:r w:rsidR="00EE648E">
        <w:rPr>
          <w:rFonts w:ascii="Times New Roman" w:hAnsi="Times New Roman" w:cs="Times New Roman"/>
        </w:rPr>
        <w:t>Chapter Five demonstrated how the organisational disengagement of the Provisional IRA reduced the risk of recidivism through</w:t>
      </w:r>
      <w:r w:rsidR="00B778C9">
        <w:rPr>
          <w:rFonts w:ascii="Times New Roman" w:hAnsi="Times New Roman" w:cs="Times New Roman"/>
        </w:rPr>
        <w:t>, among other things,</w:t>
      </w:r>
      <w:r w:rsidR="00EE648E">
        <w:rPr>
          <w:rFonts w:ascii="Times New Roman" w:hAnsi="Times New Roman" w:cs="Times New Roman"/>
        </w:rPr>
        <w:t xml:space="preserve"> inter-group co-operation. This co-operation helped to create a domino-effect, whereby a number of militant groups also disengaged, which changed the conditions that the younger generation find themselves in and it is these new conditions which the de-legitimisation of violence is based on. However, tensions in the political system provide opportunities for dissident Republicans to increase attacks, and attempts to compete with dissidents and potential dissidents led to the accusation that Sinn Fein and the Provisional IRA were glamourising violence. </w:t>
      </w:r>
    </w:p>
    <w:p w14:paraId="03B1AB72" w14:textId="39724452" w:rsidR="00655AD6" w:rsidRPr="00616F5E" w:rsidRDefault="00655AD6" w:rsidP="00970F36">
      <w:pPr>
        <w:spacing w:line="360" w:lineRule="auto"/>
        <w:ind w:firstLine="720"/>
        <w:jc w:val="both"/>
        <w:rPr>
          <w:rFonts w:ascii="Times New Roman" w:hAnsi="Times New Roman" w:cs="Times New Roman"/>
        </w:rPr>
      </w:pPr>
      <w:r w:rsidRPr="00616F5E">
        <w:rPr>
          <w:rFonts w:ascii="Times New Roman" w:hAnsi="Times New Roman" w:cs="Times New Roman"/>
        </w:rPr>
        <w:t xml:space="preserve">In the last few years, some Republicans have recognised how the disengagement frame contains problems, as it does not resonate with the </w:t>
      </w:r>
      <w:r>
        <w:rPr>
          <w:rFonts w:ascii="Times New Roman" w:hAnsi="Times New Roman" w:cs="Times New Roman"/>
        </w:rPr>
        <w:t xml:space="preserve">some of the </w:t>
      </w:r>
      <w:r w:rsidRPr="00616F5E">
        <w:rPr>
          <w:rFonts w:ascii="Times New Roman" w:hAnsi="Times New Roman" w:cs="Times New Roman"/>
        </w:rPr>
        <w:t>younger generation and can in fact facilitate their violent mobilisation.</w:t>
      </w:r>
      <w:r w:rsidR="00EE648E">
        <w:rPr>
          <w:rFonts w:ascii="Times New Roman" w:hAnsi="Times New Roman" w:cs="Times New Roman"/>
        </w:rPr>
        <w:t xml:space="preserve"> Therefore, just as the Provisional IRA sought to diffuse the disengagement frame to other militant groups in the movement, the remaining informal network that disengaged into community activism have sought to diffuse this frame to the younger generation.</w:t>
      </w:r>
      <w:r w:rsidRPr="00616F5E">
        <w:rPr>
          <w:rFonts w:ascii="Times New Roman" w:hAnsi="Times New Roman" w:cs="Times New Roman"/>
        </w:rPr>
        <w:t xml:space="preserve"> </w:t>
      </w:r>
      <w:r w:rsidR="00EE648E">
        <w:rPr>
          <w:rFonts w:ascii="Times New Roman" w:hAnsi="Times New Roman" w:cs="Times New Roman"/>
        </w:rPr>
        <w:t xml:space="preserve">The younger generation hold the key </w:t>
      </w:r>
      <w:r w:rsidR="004F226D">
        <w:rPr>
          <w:rFonts w:ascii="Times New Roman" w:hAnsi="Times New Roman" w:cs="Times New Roman"/>
        </w:rPr>
        <w:t xml:space="preserve">as </w:t>
      </w:r>
      <w:r w:rsidR="00EE648E">
        <w:rPr>
          <w:rFonts w:ascii="Times New Roman" w:hAnsi="Times New Roman" w:cs="Times New Roman"/>
        </w:rPr>
        <w:t>to whether or not disengagement is successful, and while politicians ‘cannot legislate for the next generation’</w:t>
      </w:r>
      <w:r w:rsidR="00B1546E">
        <w:rPr>
          <w:rFonts w:ascii="Times New Roman" w:hAnsi="Times New Roman" w:cs="Times New Roman"/>
        </w:rPr>
        <w:t>,</w:t>
      </w:r>
      <w:r w:rsidR="00EE648E">
        <w:rPr>
          <w:rStyle w:val="FootnoteReference"/>
          <w:rFonts w:ascii="Times New Roman" w:hAnsi="Times New Roman" w:cs="Times New Roman"/>
        </w:rPr>
        <w:footnoteReference w:id="538"/>
      </w:r>
      <w:r w:rsidR="00EE648E">
        <w:rPr>
          <w:rFonts w:ascii="Times New Roman" w:hAnsi="Times New Roman" w:cs="Times New Roman"/>
        </w:rPr>
        <w:t xml:space="preserve"> former combatants have a crucial role to play to shape and change the attitudes of the next </w:t>
      </w:r>
      <w:r w:rsidR="00EE648E">
        <w:rPr>
          <w:rFonts w:ascii="Times New Roman" w:hAnsi="Times New Roman" w:cs="Times New Roman"/>
        </w:rPr>
        <w:lastRenderedPageBreak/>
        <w:t>generation to oppose violence and limit the risk of terrorism and political violence re-emerging in the future.</w:t>
      </w:r>
    </w:p>
    <w:p w14:paraId="520AF4DA" w14:textId="52D3B92F" w:rsidR="004F226D"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t>While the significance of the younger generation in the disengagement process has been acknowledged</w:t>
      </w:r>
      <w:r w:rsidR="00B1546E">
        <w:rPr>
          <w:rFonts w:ascii="Times New Roman" w:hAnsi="Times New Roman" w:cs="Times New Roman"/>
        </w:rPr>
        <w:t>,</w:t>
      </w:r>
      <w:r w:rsidR="005324C8">
        <w:rPr>
          <w:rStyle w:val="FootnoteReference"/>
          <w:rFonts w:ascii="Times New Roman" w:hAnsi="Times New Roman" w:cs="Times New Roman"/>
        </w:rPr>
        <w:footnoteReference w:id="539"/>
      </w:r>
      <w:r w:rsidRPr="00616F5E">
        <w:rPr>
          <w:rFonts w:ascii="Times New Roman" w:hAnsi="Times New Roman" w:cs="Times New Roman"/>
        </w:rPr>
        <w:t xml:space="preserve"> it has been the least studied aspect in the literature. A key factor in the decline of terrorism campaigns can be a group’s inability to pass the struggle on to the next generation, meaning the group can no longer recruit to replace members who have disengaged</w:t>
      </w:r>
      <w:r w:rsidR="00B1546E">
        <w:rPr>
          <w:rFonts w:ascii="Times New Roman" w:hAnsi="Times New Roman" w:cs="Times New Roman"/>
        </w:rPr>
        <w:t>.</w:t>
      </w:r>
      <w:r w:rsidRPr="00616F5E">
        <w:rPr>
          <w:rStyle w:val="FootnoteReference"/>
          <w:rFonts w:ascii="Times New Roman" w:hAnsi="Times New Roman" w:cs="Times New Roman"/>
        </w:rPr>
        <w:footnoteReference w:id="540"/>
      </w:r>
      <w:r w:rsidRPr="00616F5E">
        <w:rPr>
          <w:rFonts w:ascii="Times New Roman" w:hAnsi="Times New Roman" w:cs="Times New Roman"/>
        </w:rPr>
        <w:t xml:space="preserve"> In such cases, the groups have tended to be ideologically driven and to have no substantial relations with a supportive community, such as the Weather Underground</w:t>
      </w:r>
      <w:r w:rsidR="00D90E99">
        <w:rPr>
          <w:rFonts w:ascii="Times New Roman" w:hAnsi="Times New Roman" w:cs="Times New Roman"/>
        </w:rPr>
        <w:t xml:space="preserve"> in the USA</w:t>
      </w:r>
      <w:r w:rsidRPr="00616F5E">
        <w:rPr>
          <w:rFonts w:ascii="Times New Roman" w:hAnsi="Times New Roman" w:cs="Times New Roman"/>
        </w:rPr>
        <w:t xml:space="preserve"> or the Red Army Faction</w:t>
      </w:r>
      <w:r w:rsidR="00D90E99">
        <w:rPr>
          <w:rFonts w:ascii="Times New Roman" w:hAnsi="Times New Roman" w:cs="Times New Roman"/>
        </w:rPr>
        <w:t xml:space="preserve"> in Germany</w:t>
      </w:r>
      <w:r w:rsidRPr="00616F5E">
        <w:rPr>
          <w:rFonts w:ascii="Times New Roman" w:hAnsi="Times New Roman" w:cs="Times New Roman"/>
        </w:rPr>
        <w:t xml:space="preserve">. The Irish Republican movement has certainly not suffered from this problem, as various incarnations of the IRA have recruited youngsters to varying degrees from the 1900s onwards. Familial ties and the passing on of stories of Republican tradition </w:t>
      </w:r>
      <w:r w:rsidR="00B778C9">
        <w:rPr>
          <w:rFonts w:ascii="Times New Roman" w:hAnsi="Times New Roman" w:cs="Times New Roman"/>
        </w:rPr>
        <w:t xml:space="preserve">through commemorative events </w:t>
      </w:r>
      <w:r w:rsidRPr="00616F5E">
        <w:rPr>
          <w:rFonts w:ascii="Times New Roman" w:hAnsi="Times New Roman" w:cs="Times New Roman"/>
        </w:rPr>
        <w:t>between generations has ensured that, while there may have been ebbs and flows of the strength of inter-generational bonds, they have been considerably durable. However, such inter-generational bonds are not fixed but can degrade, leading to a gradual decline in the movement’s capacity to regenerate.</w:t>
      </w:r>
      <w:r w:rsidR="00B778C9">
        <w:rPr>
          <w:rFonts w:ascii="Times New Roman" w:hAnsi="Times New Roman" w:cs="Times New Roman"/>
        </w:rPr>
        <w:t xml:space="preserve"> Thus, in terms of the end of terrorism campaigns, it is the degradation of inter-generational support which is the key to social movement disengagement, which can help to stop Irish Republican history repeating itself.</w:t>
      </w:r>
      <w:r w:rsidRPr="00616F5E">
        <w:rPr>
          <w:rFonts w:ascii="Times New Roman" w:hAnsi="Times New Roman" w:cs="Times New Roman"/>
        </w:rPr>
        <w:t xml:space="preserve"> </w:t>
      </w:r>
    </w:p>
    <w:p w14:paraId="09603121" w14:textId="77777777" w:rsidR="004F226D"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Research on this phenomenon has been very sparse, with the ‘waves of terrorism’ theory being the main attempt to address the causes of inter-generational declines in terrorism. Sageman analysed how the understanding of Islamist ideology changed from each generation, with the political dimension becoming severely diminished</w:t>
      </w:r>
      <w:r w:rsidRPr="00616F5E">
        <w:rPr>
          <w:rStyle w:val="FootnoteReference"/>
          <w:rFonts w:ascii="Times New Roman" w:hAnsi="Times New Roman" w:cs="Times New Roman"/>
        </w:rPr>
        <w:footnoteReference w:id="541"/>
      </w:r>
      <w:r w:rsidR="005324C8">
        <w:rPr>
          <w:rFonts w:ascii="Times New Roman" w:hAnsi="Times New Roman" w:cs="Times New Roman"/>
        </w:rPr>
        <w:t xml:space="preserve"> and Moghadam examined how each generation of the Red Army Faction disengaged</w:t>
      </w:r>
      <w:r w:rsidR="00B1546E">
        <w:rPr>
          <w:rFonts w:ascii="Times New Roman" w:hAnsi="Times New Roman" w:cs="Times New Roman"/>
        </w:rPr>
        <w:t>.</w:t>
      </w:r>
      <w:r w:rsidR="005324C8">
        <w:rPr>
          <w:rStyle w:val="FootnoteReference"/>
          <w:rFonts w:ascii="Times New Roman" w:hAnsi="Times New Roman" w:cs="Times New Roman"/>
        </w:rPr>
        <w:footnoteReference w:id="542"/>
      </w:r>
      <w:r w:rsidR="005324C8">
        <w:rPr>
          <w:rFonts w:ascii="Times New Roman" w:hAnsi="Times New Roman" w:cs="Times New Roman"/>
        </w:rPr>
        <w:t xml:space="preserve"> Yet none of these studies explored the interaction between generations and the role of disengaged and de-radicalised militants in convincing the next generation to disengage or remain disengaged from violence.</w:t>
      </w:r>
      <w:r w:rsidRPr="00616F5E">
        <w:rPr>
          <w:rFonts w:ascii="Times New Roman" w:hAnsi="Times New Roman" w:cs="Times New Roman"/>
        </w:rPr>
        <w:t xml:space="preserve"> The thesis differentiates itself from th</w:t>
      </w:r>
      <w:r w:rsidR="005324C8">
        <w:rPr>
          <w:rFonts w:ascii="Times New Roman" w:hAnsi="Times New Roman" w:cs="Times New Roman"/>
        </w:rPr>
        <w:t>ese</w:t>
      </w:r>
      <w:r w:rsidRPr="00616F5E">
        <w:rPr>
          <w:rFonts w:ascii="Times New Roman" w:hAnsi="Times New Roman" w:cs="Times New Roman"/>
        </w:rPr>
        <w:t xml:space="preserve"> stud</w:t>
      </w:r>
      <w:r w:rsidR="005324C8">
        <w:rPr>
          <w:rFonts w:ascii="Times New Roman" w:hAnsi="Times New Roman" w:cs="Times New Roman"/>
        </w:rPr>
        <w:t>ies</w:t>
      </w:r>
      <w:r w:rsidRPr="00616F5E">
        <w:rPr>
          <w:rFonts w:ascii="Times New Roman" w:hAnsi="Times New Roman" w:cs="Times New Roman"/>
        </w:rPr>
        <w:t xml:space="preserve"> by applying </w:t>
      </w:r>
      <w:r w:rsidR="005324C8">
        <w:rPr>
          <w:rFonts w:ascii="Times New Roman" w:hAnsi="Times New Roman" w:cs="Times New Roman"/>
        </w:rPr>
        <w:t>a generational analysis</w:t>
      </w:r>
      <w:r w:rsidRPr="00616F5E">
        <w:rPr>
          <w:rFonts w:ascii="Times New Roman" w:hAnsi="Times New Roman" w:cs="Times New Roman"/>
        </w:rPr>
        <w:t xml:space="preserve"> to the case </w:t>
      </w:r>
      <w:r w:rsidRPr="00616F5E">
        <w:rPr>
          <w:rFonts w:ascii="Times New Roman" w:hAnsi="Times New Roman" w:cs="Times New Roman"/>
        </w:rPr>
        <w:lastRenderedPageBreak/>
        <w:t>of the Provisional IRA and by providing greater conceptual depth and clarity by applying a frames analysis approach. Research on disengagement and de-radicalisation has specifically neglected to explain the impact of the process on the next generation. Chapter One highlighted how the salience of de-radicalisation is underplayed by Silke because he doesn’t acknowledge that the continued attitudinal support for violence may facilitate the participation of the next generation</w:t>
      </w:r>
      <w:r w:rsidR="00B1546E">
        <w:rPr>
          <w:rFonts w:ascii="Times New Roman" w:hAnsi="Times New Roman" w:cs="Times New Roman"/>
        </w:rPr>
        <w:t>.</w:t>
      </w:r>
      <w:r w:rsidRPr="00616F5E">
        <w:rPr>
          <w:rStyle w:val="FootnoteReference"/>
          <w:rFonts w:ascii="Times New Roman" w:hAnsi="Times New Roman" w:cs="Times New Roman"/>
        </w:rPr>
        <w:footnoteReference w:id="543"/>
      </w:r>
      <w:r w:rsidRPr="00616F5E">
        <w:rPr>
          <w:rFonts w:ascii="Times New Roman" w:hAnsi="Times New Roman" w:cs="Times New Roman"/>
        </w:rPr>
        <w:t xml:space="preserve"> </w:t>
      </w:r>
    </w:p>
    <w:p w14:paraId="4A4981F9"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The DDR literature on the Republican movement has also neglected the relationship between generations: Shirlow et al demonstrate how significant former combatants are in conflict transformation but there are no indications of how successful this has been with youngsters</w:t>
      </w:r>
      <w:r w:rsidR="00B1546E">
        <w:rPr>
          <w:rFonts w:ascii="Times New Roman" w:hAnsi="Times New Roman" w:cs="Times New Roman"/>
        </w:rPr>
        <w:t>.</w:t>
      </w:r>
      <w:r w:rsidRPr="00616F5E">
        <w:rPr>
          <w:rStyle w:val="FootnoteReference"/>
          <w:rFonts w:ascii="Times New Roman" w:hAnsi="Times New Roman" w:cs="Times New Roman"/>
        </w:rPr>
        <w:footnoteReference w:id="544"/>
      </w:r>
      <w:r w:rsidR="005324C8">
        <w:rPr>
          <w:rFonts w:ascii="Times New Roman" w:hAnsi="Times New Roman" w:cs="Times New Roman"/>
        </w:rPr>
        <w:t xml:space="preserve"> Therefore there is a link between the disengagement and de-radicalisation of one generation, the likelihood of the next generation becoming involved.</w:t>
      </w:r>
      <w:r w:rsidRPr="00616F5E">
        <w:rPr>
          <w:rFonts w:ascii="Times New Roman" w:hAnsi="Times New Roman" w:cs="Times New Roman"/>
        </w:rPr>
        <w:t xml:space="preserve"> Thus, the thesis provides an original contribution by exploring the impact of disengagement and de-radicalisation on young people, asking to what extent this frame has diffused to the next generation. This contribution is important to understand how violent campaigns decline and how significant de-radicalisation is </w:t>
      </w:r>
      <w:r w:rsidR="004F226D">
        <w:rPr>
          <w:rFonts w:ascii="Times New Roman" w:hAnsi="Times New Roman" w:cs="Times New Roman"/>
        </w:rPr>
        <w:t>in reducing</w:t>
      </w:r>
      <w:r w:rsidRPr="00616F5E">
        <w:rPr>
          <w:rFonts w:ascii="Times New Roman" w:hAnsi="Times New Roman" w:cs="Times New Roman"/>
        </w:rPr>
        <w:t xml:space="preserve"> the risk of violence re-emerging. </w:t>
      </w:r>
    </w:p>
    <w:p w14:paraId="010C1623" w14:textId="77777777" w:rsidR="00655AD6" w:rsidRPr="00616F5E"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t>Chapter S</w:t>
      </w:r>
      <w:r w:rsidR="005324C8">
        <w:rPr>
          <w:rFonts w:ascii="Times New Roman" w:hAnsi="Times New Roman" w:cs="Times New Roman"/>
        </w:rPr>
        <w:t>ix</w:t>
      </w:r>
      <w:r w:rsidRPr="00616F5E">
        <w:rPr>
          <w:rFonts w:ascii="Times New Roman" w:hAnsi="Times New Roman" w:cs="Times New Roman"/>
        </w:rPr>
        <w:t xml:space="preserve"> explores frame alignment between generations in three dimensions. It firstly draws o</w:t>
      </w:r>
      <w:r w:rsidR="00734A07">
        <w:rPr>
          <w:rFonts w:ascii="Times New Roman" w:hAnsi="Times New Roman" w:cs="Times New Roman"/>
        </w:rPr>
        <w:t>n the secondary literature and qualitative</w:t>
      </w:r>
      <w:r w:rsidRPr="00616F5E">
        <w:rPr>
          <w:rFonts w:ascii="Times New Roman" w:hAnsi="Times New Roman" w:cs="Times New Roman"/>
        </w:rPr>
        <w:t xml:space="preserve"> data that seeks to capture the attitudes of young people. Secondly, original interview material with a focus group of young Sinn Fein members from West Belfast is analysed. Thirdly, the chapter provides a case study of a government-funded pilot project which facilitates former prisoners to share their experiences in schools. As frames analysis has not been </w:t>
      </w:r>
      <w:r w:rsidR="004F226D">
        <w:rPr>
          <w:rFonts w:ascii="Times New Roman" w:hAnsi="Times New Roman" w:cs="Times New Roman"/>
        </w:rPr>
        <w:t xml:space="preserve">previously </w:t>
      </w:r>
      <w:r w:rsidRPr="00616F5E">
        <w:rPr>
          <w:rFonts w:ascii="Times New Roman" w:hAnsi="Times New Roman" w:cs="Times New Roman"/>
        </w:rPr>
        <w:t xml:space="preserve">applied to the study of disengagement and de-radicalisation, the next section briefly provides this application in the context of inter-generational change. </w:t>
      </w:r>
      <w:r w:rsidR="00CD306E">
        <w:rPr>
          <w:rFonts w:ascii="Times New Roman" w:hAnsi="Times New Roman" w:cs="Times New Roman"/>
        </w:rPr>
        <w:t>The structure of the chapter deals with the following issues</w:t>
      </w:r>
      <w:r w:rsidRPr="00616F5E">
        <w:rPr>
          <w:rFonts w:ascii="Times New Roman" w:hAnsi="Times New Roman" w:cs="Times New Roman"/>
        </w:rPr>
        <w:t xml:space="preserve">: 1) the rationale for focusing on young people and how that is defined; 2) how the idea of disengagement frames needs to be contextualised when focusing on the younger generation; 3) why disengagement frames that were used by the previous generation actually have any relevance for younger people; and 4) the main problems encountered in diffusing the frame to the next generation. </w:t>
      </w:r>
      <w:r w:rsidR="005324C8">
        <w:rPr>
          <w:rFonts w:ascii="Times New Roman" w:hAnsi="Times New Roman" w:cs="Times New Roman"/>
        </w:rPr>
        <w:t xml:space="preserve">Having demonstrated </w:t>
      </w:r>
      <w:r w:rsidR="00CD306E">
        <w:rPr>
          <w:rFonts w:ascii="Times New Roman" w:hAnsi="Times New Roman" w:cs="Times New Roman"/>
        </w:rPr>
        <w:t xml:space="preserve">the problems between </w:t>
      </w:r>
      <w:r w:rsidR="00CD306E">
        <w:rPr>
          <w:rFonts w:ascii="Times New Roman" w:hAnsi="Times New Roman" w:cs="Times New Roman"/>
        </w:rPr>
        <w:lastRenderedPageBreak/>
        <w:t>generations, the chapter then moves to explain attempts to overcome this in terms of Sinn Fein Youth members and in the Prison to Peace programme in schools.</w:t>
      </w:r>
    </w:p>
    <w:p w14:paraId="47B9E6AD" w14:textId="77777777" w:rsidR="00655AD6" w:rsidRPr="00616F5E" w:rsidRDefault="00655AD6" w:rsidP="00B57C7F">
      <w:pPr>
        <w:spacing w:line="360" w:lineRule="auto"/>
        <w:jc w:val="both"/>
        <w:rPr>
          <w:rFonts w:ascii="Times New Roman" w:hAnsi="Times New Roman" w:cs="Times New Roman"/>
        </w:rPr>
      </w:pPr>
    </w:p>
    <w:p w14:paraId="41D349E6" w14:textId="77777777" w:rsidR="00655AD6" w:rsidRPr="00616F5E" w:rsidRDefault="00655AD6" w:rsidP="00B57C7F">
      <w:pPr>
        <w:pStyle w:val="Heading3"/>
        <w:spacing w:before="120" w:line="360" w:lineRule="auto"/>
      </w:pPr>
      <w:bookmarkStart w:id="64" w:name="_Toc389208846"/>
      <w:r w:rsidRPr="00616F5E">
        <w:t>Disengagement Frames and the Next Generation</w:t>
      </w:r>
      <w:bookmarkEnd w:id="64"/>
    </w:p>
    <w:p w14:paraId="6FB3C172" w14:textId="448AF247" w:rsidR="00970F36"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t>The thesis focuses on the younger generation for the reason that militant campaigns end when the next generation no longer support them.</w:t>
      </w:r>
      <w:r w:rsidR="009E0D76">
        <w:rPr>
          <w:rFonts w:ascii="Times New Roman" w:hAnsi="Times New Roman" w:cs="Times New Roman"/>
        </w:rPr>
        <w:t xml:space="preserve"> As young people are often born into a world not of their choosing, their attitudes can be (implicitly) shaped by the pre-existent conditions they find themselves in and the dominant frames that are expressed in this community. Analysing how young people interpret and adopt frames can provide nuanced insights into the link between generations which scholars have argued is important but have insufficiently addressed.</w:t>
      </w:r>
      <w:r w:rsidR="009E0D76">
        <w:rPr>
          <w:rStyle w:val="FootnoteReference"/>
          <w:rFonts w:ascii="Times New Roman" w:hAnsi="Times New Roman" w:cs="Times New Roman"/>
        </w:rPr>
        <w:footnoteReference w:id="545"/>
      </w:r>
      <w:r w:rsidR="009E0D76">
        <w:rPr>
          <w:rFonts w:ascii="Times New Roman" w:hAnsi="Times New Roman" w:cs="Times New Roman"/>
        </w:rPr>
        <w:t xml:space="preserve"> </w:t>
      </w:r>
      <w:r w:rsidRPr="00616F5E">
        <w:rPr>
          <w:rFonts w:ascii="Times New Roman" w:hAnsi="Times New Roman" w:cs="Times New Roman"/>
        </w:rPr>
        <w:t>Young people may no longer support the use of armed violence because social transformation has removed the drivers of violence for the previous generation; in such a scenario, a durable change of social structures would indicate a decreased likelihood of violence returning. Conversely, there may have been inadequate social transformation so that young people are supportive of using violence; in this scenario, a change in opportunities may increase the likelihood of violence returning</w:t>
      </w:r>
      <w:r w:rsidR="00B1546E">
        <w:rPr>
          <w:rFonts w:ascii="Times New Roman" w:hAnsi="Times New Roman" w:cs="Times New Roman"/>
        </w:rPr>
        <w:t>.</w:t>
      </w:r>
      <w:r w:rsidR="003B0FCA">
        <w:rPr>
          <w:rStyle w:val="FootnoteReference"/>
          <w:rFonts w:ascii="Times New Roman" w:hAnsi="Times New Roman" w:cs="Times New Roman"/>
        </w:rPr>
        <w:footnoteReference w:id="546"/>
      </w:r>
      <w:r w:rsidRPr="00616F5E">
        <w:rPr>
          <w:rFonts w:ascii="Times New Roman" w:hAnsi="Times New Roman" w:cs="Times New Roman"/>
        </w:rPr>
        <w:t xml:space="preserve"> </w:t>
      </w:r>
    </w:p>
    <w:p w14:paraId="61C6D3B2" w14:textId="5E113370" w:rsidR="00655AD6" w:rsidRPr="00616F5E" w:rsidRDefault="00655AD6" w:rsidP="00970F36">
      <w:pPr>
        <w:spacing w:line="360" w:lineRule="auto"/>
        <w:ind w:firstLine="720"/>
        <w:jc w:val="both"/>
        <w:rPr>
          <w:rFonts w:ascii="Times New Roman" w:hAnsi="Times New Roman" w:cs="Times New Roman"/>
        </w:rPr>
      </w:pPr>
      <w:r w:rsidRPr="00616F5E">
        <w:rPr>
          <w:rFonts w:ascii="Times New Roman" w:hAnsi="Times New Roman" w:cs="Times New Roman"/>
        </w:rPr>
        <w:t xml:space="preserve">Defining who the younger generation is, to an extent, arbitrary, but the thesis bases its designation on people born from 1990 onwards, </w:t>
      </w:r>
      <w:r w:rsidR="004F226D">
        <w:rPr>
          <w:rFonts w:ascii="Times New Roman" w:hAnsi="Times New Roman" w:cs="Times New Roman"/>
        </w:rPr>
        <w:t>focusing</w:t>
      </w:r>
      <w:r w:rsidRPr="00616F5E">
        <w:rPr>
          <w:rFonts w:ascii="Times New Roman" w:hAnsi="Times New Roman" w:cs="Times New Roman"/>
        </w:rPr>
        <w:t xml:space="preserve"> on 17-24 year olds</w:t>
      </w:r>
      <w:r w:rsidR="004F226D">
        <w:rPr>
          <w:rFonts w:ascii="Times New Roman" w:hAnsi="Times New Roman" w:cs="Times New Roman"/>
        </w:rPr>
        <w:t xml:space="preserve"> in particular</w:t>
      </w:r>
      <w:r w:rsidRPr="00616F5E">
        <w:rPr>
          <w:rFonts w:ascii="Times New Roman" w:hAnsi="Times New Roman" w:cs="Times New Roman"/>
        </w:rPr>
        <w:t>, as this group had become socialised in the cease-fire context. The average age of a movement can provide indications of the extent it is declining or being renewed. For example, the Provisional IRA members averaged 25.5 in the 1970s, 26.7 in the 1980s, and 30.3 in the 1990s</w:t>
      </w:r>
      <w:r w:rsidR="00794EAE">
        <w:rPr>
          <w:rFonts w:ascii="Times New Roman" w:hAnsi="Times New Roman" w:cs="Times New Roman"/>
        </w:rPr>
        <w:t xml:space="preserve"> – and this was broadly representative of higher ranking Provisional IRA members too</w:t>
      </w:r>
      <w:r w:rsidRPr="00616F5E">
        <w:rPr>
          <w:rFonts w:ascii="Times New Roman" w:hAnsi="Times New Roman" w:cs="Times New Roman"/>
        </w:rPr>
        <w:t>. Republican groups in favour of violence, such as the Real IRA, have an average age of 35.5, suggesting there is a trend toward declining recruitment of younger people</w:t>
      </w:r>
      <w:r w:rsidR="008E0806">
        <w:rPr>
          <w:rFonts w:ascii="Times New Roman" w:hAnsi="Times New Roman" w:cs="Times New Roman"/>
        </w:rPr>
        <w:t>.</w:t>
      </w:r>
      <w:r w:rsidRPr="00616F5E">
        <w:rPr>
          <w:rStyle w:val="FootnoteReference"/>
          <w:rFonts w:ascii="Times New Roman" w:hAnsi="Times New Roman" w:cs="Times New Roman"/>
        </w:rPr>
        <w:footnoteReference w:id="547"/>
      </w:r>
      <w:r w:rsidRPr="00616F5E">
        <w:rPr>
          <w:rFonts w:ascii="Times New Roman" w:hAnsi="Times New Roman" w:cs="Times New Roman"/>
        </w:rPr>
        <w:t xml:space="preserve"> </w:t>
      </w:r>
      <w:r w:rsidR="004670A8">
        <w:rPr>
          <w:rFonts w:ascii="Times New Roman" w:hAnsi="Times New Roman" w:cs="Times New Roman"/>
        </w:rPr>
        <w:t xml:space="preserve">However, there are exceptions to be found, </w:t>
      </w:r>
      <w:r w:rsidR="005075BE">
        <w:rPr>
          <w:rFonts w:ascii="Times New Roman" w:hAnsi="Times New Roman" w:cs="Times New Roman"/>
        </w:rPr>
        <w:t xml:space="preserve">for example </w:t>
      </w:r>
      <w:r w:rsidR="004670A8">
        <w:rPr>
          <w:rFonts w:ascii="Times New Roman" w:hAnsi="Times New Roman" w:cs="Times New Roman"/>
        </w:rPr>
        <w:t>with t</w:t>
      </w:r>
      <w:r w:rsidR="005075BE">
        <w:rPr>
          <w:rFonts w:ascii="Times New Roman" w:hAnsi="Times New Roman" w:cs="Times New Roman"/>
        </w:rPr>
        <w:t>wo</w:t>
      </w:r>
      <w:r w:rsidR="004670A8">
        <w:rPr>
          <w:rFonts w:ascii="Times New Roman" w:hAnsi="Times New Roman" w:cs="Times New Roman"/>
        </w:rPr>
        <w:t xml:space="preserve"> young people </w:t>
      </w:r>
      <w:r w:rsidR="005075BE">
        <w:rPr>
          <w:rFonts w:ascii="Times New Roman" w:hAnsi="Times New Roman" w:cs="Times New Roman"/>
        </w:rPr>
        <w:t xml:space="preserve">being </w:t>
      </w:r>
      <w:r w:rsidR="004670A8">
        <w:rPr>
          <w:rFonts w:ascii="Times New Roman" w:hAnsi="Times New Roman" w:cs="Times New Roman"/>
        </w:rPr>
        <w:t xml:space="preserve">arrested for </w:t>
      </w:r>
      <w:r w:rsidR="004670A8">
        <w:rPr>
          <w:rFonts w:ascii="Times New Roman" w:hAnsi="Times New Roman" w:cs="Times New Roman"/>
        </w:rPr>
        <w:lastRenderedPageBreak/>
        <w:t>involvement in dissident Republican activity</w:t>
      </w:r>
      <w:r w:rsidR="003B0FCA">
        <w:rPr>
          <w:rFonts w:ascii="Times New Roman" w:hAnsi="Times New Roman" w:cs="Times New Roman"/>
        </w:rPr>
        <w:t xml:space="preserve"> in 2013</w:t>
      </w:r>
      <w:r w:rsidR="008E0806">
        <w:rPr>
          <w:rFonts w:ascii="Times New Roman" w:hAnsi="Times New Roman" w:cs="Times New Roman"/>
        </w:rPr>
        <w:t>.</w:t>
      </w:r>
      <w:r w:rsidR="004670A8">
        <w:rPr>
          <w:rStyle w:val="FootnoteReference"/>
          <w:rFonts w:ascii="Times New Roman" w:hAnsi="Times New Roman" w:cs="Times New Roman"/>
        </w:rPr>
        <w:footnoteReference w:id="548"/>
      </w:r>
      <w:r w:rsidR="004670A8">
        <w:rPr>
          <w:rFonts w:ascii="Times New Roman" w:hAnsi="Times New Roman" w:cs="Times New Roman"/>
        </w:rPr>
        <w:t xml:space="preserve"> Nevertheless</w:t>
      </w:r>
      <w:r w:rsidRPr="00616F5E">
        <w:rPr>
          <w:rFonts w:ascii="Times New Roman" w:hAnsi="Times New Roman" w:cs="Times New Roman"/>
        </w:rPr>
        <w:t xml:space="preserve">, there are clear indications that the armed Republican campaign </w:t>
      </w:r>
      <w:r w:rsidR="00015554">
        <w:rPr>
          <w:rFonts w:ascii="Times New Roman" w:hAnsi="Times New Roman" w:cs="Times New Roman"/>
        </w:rPr>
        <w:t>is declining based on this data. While this data demonstrates the importance of a generational analysis, the chapter’s main focus is on the extent that the Provisional IRA’s disengagement frame resonates with the younger generation, and the extent this leads them to oppose violence. The chapter also explores the extent that the development of linkages and interaction with young people has an impact upon the disengagement frame.</w:t>
      </w:r>
      <w:r w:rsidR="00CE517D">
        <w:rPr>
          <w:rFonts w:ascii="Times New Roman" w:hAnsi="Times New Roman" w:cs="Times New Roman"/>
        </w:rPr>
        <w:t xml:space="preserve"> The analysis of frame diffusion between generations can help inform how attitudes to violence are formed and the extent to which they can prevent the next generation returning to an armed campaign. As was argued in Chapter Three, the IRA was able to survive through the decades as there was little attempt to de-legitimise violence between generations, and in order for terrorism and political violence to end, there needs to be a break in this link, and de-radicalised militants have a crucial role to play.</w:t>
      </w:r>
      <w:r w:rsidR="00015554">
        <w:rPr>
          <w:rFonts w:ascii="Times New Roman" w:hAnsi="Times New Roman" w:cs="Times New Roman"/>
        </w:rPr>
        <w:t xml:space="preserve"> </w:t>
      </w:r>
    </w:p>
    <w:p w14:paraId="23B43705"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 xml:space="preserve">However, the frames analysis approach needs to be modified slightly to be applicable to the current </w:t>
      </w:r>
      <w:r w:rsidR="00594AE8">
        <w:rPr>
          <w:rFonts w:ascii="Times New Roman" w:hAnsi="Times New Roman" w:cs="Times New Roman"/>
        </w:rPr>
        <w:t>chapter</w:t>
      </w:r>
      <w:r w:rsidRPr="00616F5E">
        <w:rPr>
          <w:rFonts w:ascii="Times New Roman" w:hAnsi="Times New Roman" w:cs="Times New Roman"/>
        </w:rPr>
        <w:t>. Frames analysis is mainly used to account for attempts at mobilising, and while Chapter Six applied it to disengagement, the application to the younger generation requires both to be analysed concurrently.</w:t>
      </w:r>
      <w:r w:rsidR="000B44DB">
        <w:rPr>
          <w:rFonts w:ascii="Times New Roman" w:hAnsi="Times New Roman" w:cs="Times New Roman"/>
        </w:rPr>
        <w:t xml:space="preserve"> Therefore, disengagement frames, when applied to the next generation, transform into mobilising frames which seek to prevent and counter violent mobilisation, but the term disengagement frame is still used as there is an overlapping period.</w:t>
      </w:r>
      <w:r w:rsidR="00594AE8">
        <w:rPr>
          <w:rFonts w:ascii="Times New Roman" w:hAnsi="Times New Roman" w:cs="Times New Roman"/>
        </w:rPr>
        <w:t xml:space="preserve"> </w:t>
      </w:r>
      <w:r w:rsidRPr="00616F5E">
        <w:rPr>
          <w:rFonts w:ascii="Times New Roman" w:hAnsi="Times New Roman" w:cs="Times New Roman"/>
        </w:rPr>
        <w:t xml:space="preserve">Young people in traditionally Republican communities interact with and experience a number of frames which seek to mobilise them into the numerous Republican organisations that exist. While groups such as Sinn Fein oppose violence and have disengaged, they still seek to mobilise young people alongside a wide range of other Republican groups, some of whom still support armed struggle. Thus, the disengagement frame that was used to demobilise the Provisional IRA intersects with how the Republican movement interacts with young people. Such interaction can take an organised form (as most frames do) or a more natural form (through dialogue between former militants involved in the disengagement process and younger people). In terms of the organised dimension, the disengagement frame is </w:t>
      </w:r>
      <w:r w:rsidRPr="00616F5E">
        <w:rPr>
          <w:rFonts w:ascii="Times New Roman" w:hAnsi="Times New Roman" w:cs="Times New Roman"/>
        </w:rPr>
        <w:lastRenderedPageBreak/>
        <w:t>used competitively by Sinn Fein to discourage young people from joining rival violent Republican organisations; this can be out of genuine concern for young people and their welfare, therefore should not be solely understood as a cynical tactic. However, much interaction that young people have with the disengagement frame is less coherent and planned, with young people hearing a mix of stories through their social networks (including family and friends), in an educational environment or through media</w:t>
      </w:r>
      <w:r w:rsidR="008E0806">
        <w:rPr>
          <w:rFonts w:ascii="Times New Roman" w:hAnsi="Times New Roman" w:cs="Times New Roman"/>
        </w:rPr>
        <w:t>.</w:t>
      </w:r>
      <w:r w:rsidRPr="00616F5E">
        <w:rPr>
          <w:rStyle w:val="FootnoteReference"/>
          <w:rFonts w:ascii="Times New Roman" w:hAnsi="Times New Roman" w:cs="Times New Roman"/>
        </w:rPr>
        <w:footnoteReference w:id="549"/>
      </w:r>
      <w:r w:rsidRPr="00616F5E">
        <w:rPr>
          <w:rFonts w:ascii="Times New Roman" w:hAnsi="Times New Roman" w:cs="Times New Roman"/>
        </w:rPr>
        <w:t xml:space="preserve"> Their own level of interest in politics and Republicanism, or their location in Republican social networks shapes the degree of understanding that they have of the disengagement frame. The fact that the younger people did not experience the conflict themselves makes them susceptible to the competing interpretations that exist</w:t>
      </w:r>
      <w:r w:rsidR="008E0806">
        <w:rPr>
          <w:rFonts w:ascii="Times New Roman" w:hAnsi="Times New Roman" w:cs="Times New Roman"/>
        </w:rPr>
        <w:t>.</w:t>
      </w:r>
      <w:r w:rsidRPr="00616F5E">
        <w:rPr>
          <w:rStyle w:val="FootnoteReference"/>
          <w:rFonts w:ascii="Times New Roman" w:hAnsi="Times New Roman" w:cs="Times New Roman"/>
        </w:rPr>
        <w:footnoteReference w:id="550"/>
      </w:r>
      <w:r w:rsidR="008E0806">
        <w:rPr>
          <w:rFonts w:ascii="Times New Roman" w:hAnsi="Times New Roman" w:cs="Times New Roman"/>
        </w:rPr>
        <w:t xml:space="preserve"> </w:t>
      </w:r>
      <w:r w:rsidRPr="00616F5E">
        <w:rPr>
          <w:rFonts w:ascii="Times New Roman" w:hAnsi="Times New Roman" w:cs="Times New Roman"/>
        </w:rPr>
        <w:t>Thus, the thesis focuses on different types of frames from a range of actors, but also more generally the social conditions that socialise young people and the attitudes they have, whether articulately formed or not.</w:t>
      </w:r>
      <w:r w:rsidR="000B44DB">
        <w:rPr>
          <w:rFonts w:ascii="Times New Roman" w:hAnsi="Times New Roman" w:cs="Times New Roman"/>
        </w:rPr>
        <w:t xml:space="preserve"> </w:t>
      </w:r>
    </w:p>
    <w:p w14:paraId="53AF8F1C"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Having acknowledged the differences in applying frames analysis to young people in the context of disengagement, the chapter now addresses why a disengagement frame matters. With regard to young people, the disengagement frame can act as a counter-narrative for mobilising frames which legitimise armed struggle. Rather than only challenging attitudes toward armed struggle, or to ideology, a disengagement frame can provide a coherent justification for opposing armed struggle whilst providing space for mobilisation into potentially radical politics</w:t>
      </w:r>
      <w:r w:rsidR="008E0806">
        <w:rPr>
          <w:rFonts w:ascii="Times New Roman" w:hAnsi="Times New Roman" w:cs="Times New Roman"/>
        </w:rPr>
        <w:t>.</w:t>
      </w:r>
      <w:r w:rsidRPr="00616F5E">
        <w:rPr>
          <w:rStyle w:val="FootnoteReference"/>
          <w:rFonts w:ascii="Times New Roman" w:hAnsi="Times New Roman" w:cs="Times New Roman"/>
        </w:rPr>
        <w:footnoteReference w:id="551"/>
      </w:r>
      <w:r w:rsidRPr="00616F5E">
        <w:rPr>
          <w:rFonts w:ascii="Times New Roman" w:hAnsi="Times New Roman" w:cs="Times New Roman"/>
        </w:rPr>
        <w:t xml:space="preserve"> Consequently, diffusion of the disengagement frame does not have to be the purview of a group (such as Sinn Fein) wishing to mobilise young people for its own objectives, but can be articulated by a range of actors (e.g. community workers, </w:t>
      </w:r>
      <w:r w:rsidRPr="00616F5E">
        <w:rPr>
          <w:rFonts w:ascii="Times New Roman" w:hAnsi="Times New Roman" w:cs="Times New Roman"/>
        </w:rPr>
        <w:lastRenderedPageBreak/>
        <w:t xml:space="preserve">NGOs, non-Sinn Fein Republicans, and school teachers). In this sense, </w:t>
      </w:r>
      <w:r w:rsidR="003560D9">
        <w:rPr>
          <w:rFonts w:ascii="Times New Roman" w:hAnsi="Times New Roman" w:cs="Times New Roman"/>
        </w:rPr>
        <w:t xml:space="preserve">the thesis’ concept of </w:t>
      </w:r>
      <w:r w:rsidRPr="00616F5E">
        <w:rPr>
          <w:rFonts w:ascii="Times New Roman" w:hAnsi="Times New Roman" w:cs="Times New Roman"/>
        </w:rPr>
        <w:t>disengagement frames overlap substantially with counter-narratives</w:t>
      </w:r>
      <w:r w:rsidR="003560D9">
        <w:rPr>
          <w:rFonts w:ascii="Times New Roman" w:hAnsi="Times New Roman" w:cs="Times New Roman"/>
        </w:rPr>
        <w:t xml:space="preserve"> as outlined by a number of scholars</w:t>
      </w:r>
      <w:r w:rsidRPr="00616F5E">
        <w:rPr>
          <w:rFonts w:ascii="Times New Roman" w:hAnsi="Times New Roman" w:cs="Times New Roman"/>
        </w:rPr>
        <w:t>,</w:t>
      </w:r>
      <w:r w:rsidR="003560D9">
        <w:rPr>
          <w:rStyle w:val="FootnoteReference"/>
          <w:rFonts w:ascii="Times New Roman" w:hAnsi="Times New Roman" w:cs="Times New Roman"/>
        </w:rPr>
        <w:footnoteReference w:id="552"/>
      </w:r>
      <w:r w:rsidRPr="00616F5E">
        <w:rPr>
          <w:rFonts w:ascii="Times New Roman" w:hAnsi="Times New Roman" w:cs="Times New Roman"/>
        </w:rPr>
        <w:t xml:space="preserve"> but the thesis focuses on the role of former combatants because they are the main articulators of the frame and have most credibility (at least in the </w:t>
      </w:r>
      <w:r w:rsidR="004F226D">
        <w:rPr>
          <w:rFonts w:ascii="Times New Roman" w:hAnsi="Times New Roman" w:cs="Times New Roman"/>
        </w:rPr>
        <w:t xml:space="preserve">case of </w:t>
      </w:r>
      <w:r w:rsidRPr="00616F5E">
        <w:rPr>
          <w:rFonts w:ascii="Times New Roman" w:hAnsi="Times New Roman" w:cs="Times New Roman"/>
        </w:rPr>
        <w:t xml:space="preserve">Northern Ireland). Therefore, the diffusion of the disengagement frame can act to discourage young people to engage in armed struggle and shape their attitudes toward violence, thus providing the generational change required for the Republican armed campaign to decline.   </w:t>
      </w:r>
    </w:p>
    <w:p w14:paraId="23957D9A" w14:textId="387F1DB1" w:rsidR="004C464B"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 xml:space="preserve"> However, disengagement frames have their unique idiosyncrasies which complicate the matter with the younger generation. Generally, disengagement frames can contain varying degrees of de-radicalisation: the extent the use of armed struggle is delegitimised can differ greatly</w:t>
      </w:r>
      <w:r w:rsidR="008E0806">
        <w:rPr>
          <w:rFonts w:ascii="Times New Roman" w:hAnsi="Times New Roman" w:cs="Times New Roman"/>
        </w:rPr>
        <w:t>.</w:t>
      </w:r>
      <w:r w:rsidRPr="00616F5E">
        <w:rPr>
          <w:rStyle w:val="FootnoteReference"/>
          <w:rFonts w:ascii="Times New Roman" w:hAnsi="Times New Roman" w:cs="Times New Roman"/>
        </w:rPr>
        <w:footnoteReference w:id="553"/>
      </w:r>
      <w:r w:rsidRPr="00616F5E">
        <w:rPr>
          <w:rFonts w:ascii="Times New Roman" w:hAnsi="Times New Roman" w:cs="Times New Roman"/>
        </w:rPr>
        <w:t xml:space="preserve"> While de-radicalisation may not be essential for reducing recidivism during the disengagement process</w:t>
      </w:r>
      <w:r w:rsidRPr="00616F5E">
        <w:rPr>
          <w:rStyle w:val="FootnoteReference"/>
          <w:rFonts w:ascii="Times New Roman" w:hAnsi="Times New Roman" w:cs="Times New Roman"/>
        </w:rPr>
        <w:footnoteReference w:id="554"/>
      </w:r>
      <w:r w:rsidRPr="00616F5E">
        <w:rPr>
          <w:rFonts w:ascii="Times New Roman" w:hAnsi="Times New Roman" w:cs="Times New Roman"/>
        </w:rPr>
        <w:t xml:space="preserve"> as it can be offset b</w:t>
      </w:r>
      <w:r w:rsidR="004F226D">
        <w:rPr>
          <w:rFonts w:ascii="Times New Roman" w:hAnsi="Times New Roman" w:cs="Times New Roman"/>
        </w:rPr>
        <w:t>y incentives or repression, the</w:t>
      </w:r>
      <w:r w:rsidRPr="00616F5E">
        <w:rPr>
          <w:rFonts w:ascii="Times New Roman" w:hAnsi="Times New Roman" w:cs="Times New Roman"/>
        </w:rPr>
        <w:t xml:space="preserve"> argument </w:t>
      </w:r>
      <w:r w:rsidR="004F226D">
        <w:rPr>
          <w:rFonts w:ascii="Times New Roman" w:hAnsi="Times New Roman" w:cs="Times New Roman"/>
        </w:rPr>
        <w:t xml:space="preserve">in this thesis </w:t>
      </w:r>
      <w:r w:rsidRPr="00616F5E">
        <w:rPr>
          <w:rFonts w:ascii="Times New Roman" w:hAnsi="Times New Roman" w:cs="Times New Roman"/>
        </w:rPr>
        <w:t xml:space="preserve">is that the de-radicalisation component is essential for changing the attitudes of the next generation. The thesis demonstrates how the contradictions – by glorifying violence - within the Provisional IRA’s disengagement frame have created tensions when engaging directly and indirectly with young people. While the disengagement frame had been diffused and resonated substantially with Provisional IRA members, the younger generation were (at least initially) not the target audience so there have been mixed results in terms of its resonance. Another issue is that there are contradictions in the frame, so even when young people do interact with it, the resonance promotes an unintended type of behaviour: for example, former combatants have commented on how they inadvertently glorify past violence, which may encourage them to join </w:t>
      </w:r>
      <w:r w:rsidR="00FC23AE">
        <w:rPr>
          <w:rFonts w:ascii="Times New Roman" w:hAnsi="Times New Roman" w:cs="Times New Roman"/>
        </w:rPr>
        <w:t>dissident</w:t>
      </w:r>
      <w:r w:rsidRPr="00616F5E">
        <w:rPr>
          <w:rFonts w:ascii="Times New Roman" w:hAnsi="Times New Roman" w:cs="Times New Roman"/>
        </w:rPr>
        <w:t xml:space="preserve"> Republican groups</w:t>
      </w:r>
      <w:r w:rsidR="008E0806">
        <w:rPr>
          <w:rFonts w:ascii="Times New Roman" w:hAnsi="Times New Roman" w:cs="Times New Roman"/>
        </w:rPr>
        <w:t>.</w:t>
      </w:r>
      <w:r w:rsidRPr="00616F5E">
        <w:rPr>
          <w:rStyle w:val="FootnoteReference"/>
          <w:rFonts w:ascii="Times New Roman" w:hAnsi="Times New Roman" w:cs="Times New Roman"/>
        </w:rPr>
        <w:footnoteReference w:id="555"/>
      </w:r>
      <w:r w:rsidRPr="00616F5E">
        <w:rPr>
          <w:rFonts w:ascii="Times New Roman" w:hAnsi="Times New Roman" w:cs="Times New Roman"/>
        </w:rPr>
        <w:t xml:space="preserve"> However, the chapter argues that this confusion depends partly on the extent one interacts with the disengagement frame, by showing how Sinn Fein youth members are able to distinguish between the contradictory elements to then build a frame which opposes violence. The chapter then argues how </w:t>
      </w:r>
      <w:r w:rsidRPr="00616F5E">
        <w:rPr>
          <w:rFonts w:ascii="Times New Roman" w:hAnsi="Times New Roman" w:cs="Times New Roman"/>
        </w:rPr>
        <w:lastRenderedPageBreak/>
        <w:t xml:space="preserve">the recognition of the contradiction by former combatants has prompted the active diffusion of the frame into schools and </w:t>
      </w:r>
      <w:r w:rsidR="00FC23AE">
        <w:rPr>
          <w:rFonts w:ascii="Times New Roman" w:hAnsi="Times New Roman" w:cs="Times New Roman"/>
        </w:rPr>
        <w:t>the community</w:t>
      </w:r>
      <w:r w:rsidRPr="00616F5E">
        <w:rPr>
          <w:rFonts w:ascii="Times New Roman" w:hAnsi="Times New Roman" w:cs="Times New Roman"/>
        </w:rPr>
        <w:t>. It demonstrates how the school project not only overcomes the problems of glorifying violence; it also acts as a feedback loop, prompting the disengagement frame to exhibit</w:t>
      </w:r>
      <w:r w:rsidR="00F90BCF">
        <w:rPr>
          <w:rFonts w:ascii="Times New Roman" w:hAnsi="Times New Roman" w:cs="Times New Roman"/>
        </w:rPr>
        <w:t xml:space="preserve"> elements associated with unconditional de-radicalisation</w:t>
      </w:r>
      <w:r w:rsidRPr="00616F5E">
        <w:rPr>
          <w:rFonts w:ascii="Times New Roman" w:hAnsi="Times New Roman" w:cs="Times New Roman"/>
        </w:rPr>
        <w:t>. Nevertheless, the chapter concludes by recognising that the school project and participation in Sinn Fein</w:t>
      </w:r>
      <w:r w:rsidR="0021378F">
        <w:rPr>
          <w:rFonts w:ascii="Times New Roman" w:hAnsi="Times New Roman" w:cs="Times New Roman"/>
        </w:rPr>
        <w:t xml:space="preserve"> is</w:t>
      </w:r>
      <w:r w:rsidRPr="00616F5E">
        <w:rPr>
          <w:rFonts w:ascii="Times New Roman" w:hAnsi="Times New Roman" w:cs="Times New Roman"/>
        </w:rPr>
        <w:t xml:space="preserve"> within a b</w:t>
      </w:r>
      <w:r w:rsidR="00FC23AE">
        <w:rPr>
          <w:rFonts w:ascii="Times New Roman" w:hAnsi="Times New Roman" w:cs="Times New Roman"/>
        </w:rPr>
        <w:t>roader process of socialisation</w:t>
      </w:r>
      <w:r w:rsidRPr="00616F5E">
        <w:rPr>
          <w:rFonts w:ascii="Times New Roman" w:hAnsi="Times New Roman" w:cs="Times New Roman"/>
        </w:rPr>
        <w:t xml:space="preserve">. </w:t>
      </w:r>
      <w:r w:rsidR="004C464B">
        <w:rPr>
          <w:rFonts w:ascii="Times New Roman" w:hAnsi="Times New Roman" w:cs="Times New Roman"/>
        </w:rPr>
        <w:t xml:space="preserve">Before </w:t>
      </w:r>
      <w:r w:rsidRPr="00616F5E">
        <w:rPr>
          <w:rFonts w:ascii="Times New Roman" w:hAnsi="Times New Roman" w:cs="Times New Roman"/>
        </w:rPr>
        <w:t>detail</w:t>
      </w:r>
      <w:r w:rsidR="004C464B">
        <w:rPr>
          <w:rFonts w:ascii="Times New Roman" w:hAnsi="Times New Roman" w:cs="Times New Roman"/>
        </w:rPr>
        <w:t>ing</w:t>
      </w:r>
      <w:r w:rsidRPr="00616F5E">
        <w:rPr>
          <w:rFonts w:ascii="Times New Roman" w:hAnsi="Times New Roman" w:cs="Times New Roman"/>
        </w:rPr>
        <w:t xml:space="preserve"> how young people have broadly interpreted the disengagement frame, linking back to the framing approach</w:t>
      </w:r>
      <w:r w:rsidR="004C464B">
        <w:rPr>
          <w:rFonts w:ascii="Times New Roman" w:hAnsi="Times New Roman" w:cs="Times New Roman"/>
        </w:rPr>
        <w:t>, the chapter will provide context to the case studies on youth engagement.</w:t>
      </w:r>
    </w:p>
    <w:p w14:paraId="7C6DB0DE" w14:textId="77777777" w:rsidR="00655AD6" w:rsidRPr="00616F5E" w:rsidRDefault="00655AD6" w:rsidP="00B57C7F">
      <w:pPr>
        <w:spacing w:line="360" w:lineRule="auto"/>
        <w:ind w:firstLine="720"/>
        <w:jc w:val="both"/>
        <w:rPr>
          <w:rFonts w:ascii="Times New Roman" w:hAnsi="Times New Roman" w:cs="Times New Roman"/>
        </w:rPr>
      </w:pPr>
    </w:p>
    <w:p w14:paraId="172733E1" w14:textId="77777777" w:rsidR="00655AD6" w:rsidRPr="006D3099" w:rsidRDefault="00655AD6" w:rsidP="00B57C7F">
      <w:pPr>
        <w:pStyle w:val="Heading3"/>
        <w:spacing w:before="120" w:line="360" w:lineRule="auto"/>
      </w:pPr>
      <w:bookmarkStart w:id="65" w:name="_Toc389208847"/>
      <w:r w:rsidRPr="006D3099">
        <w:t xml:space="preserve">Lost in Translation: mixed signals and the </w:t>
      </w:r>
      <w:r w:rsidR="005E6892">
        <w:t>glamourisation</w:t>
      </w:r>
      <w:r w:rsidRPr="006D3099">
        <w:t xml:space="preserve"> of violence</w:t>
      </w:r>
      <w:bookmarkEnd w:id="65"/>
    </w:p>
    <w:p w14:paraId="55FE02B2"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While interaction by the Provisional IRA, internally and externally, was crucial to building the disengagement process, the nature of interaction with the younger generation has been substantially different. Indeed, there has been a much broader breakdown in dialogue between generations with regard to experiences during the conflict, with a preference to emphasise the positive aspects of the conflict rather than the negative aspects</w:t>
      </w:r>
      <w:r w:rsidR="00F90BCF">
        <w:rPr>
          <w:rFonts w:ascii="Times New Roman" w:hAnsi="Times New Roman" w:cs="Times New Roman"/>
        </w:rPr>
        <w:t>, or none at all</w:t>
      </w:r>
      <w:r w:rsidRPr="00616F5E">
        <w:rPr>
          <w:rFonts w:ascii="Times New Roman" w:hAnsi="Times New Roman" w:cs="Times New Roman"/>
        </w:rPr>
        <w:t>.  Parents tend to not talk to their children about their experiences of the conflict and a number of former combatants also commented on how they also don’t talk to their children about past activity</w:t>
      </w:r>
      <w:r w:rsidR="008E0806">
        <w:rPr>
          <w:rFonts w:ascii="Times New Roman" w:hAnsi="Times New Roman" w:cs="Times New Roman"/>
        </w:rPr>
        <w:t>.</w:t>
      </w:r>
      <w:r w:rsidRPr="00616F5E">
        <w:rPr>
          <w:rStyle w:val="FootnoteReference"/>
          <w:rFonts w:ascii="Times New Roman" w:hAnsi="Times New Roman" w:cs="Times New Roman"/>
        </w:rPr>
        <w:footnoteReference w:id="556"/>
      </w:r>
      <w:r w:rsidRPr="00616F5E">
        <w:rPr>
          <w:rFonts w:ascii="Times New Roman" w:hAnsi="Times New Roman" w:cs="Times New Roman"/>
        </w:rPr>
        <w:t xml:space="preserve"> Young people also felt unable to talk to adults about the pressures they felt with regard to paramilitaries and violence</w:t>
      </w:r>
      <w:r w:rsidR="008E0806">
        <w:rPr>
          <w:rFonts w:ascii="Times New Roman" w:hAnsi="Times New Roman" w:cs="Times New Roman"/>
        </w:rPr>
        <w:t>.</w:t>
      </w:r>
      <w:r w:rsidRPr="00616F5E">
        <w:rPr>
          <w:rStyle w:val="FootnoteReference"/>
          <w:rFonts w:ascii="Times New Roman" w:hAnsi="Times New Roman" w:cs="Times New Roman"/>
        </w:rPr>
        <w:footnoteReference w:id="557"/>
      </w:r>
      <w:r w:rsidRPr="00616F5E">
        <w:rPr>
          <w:rFonts w:ascii="Times New Roman" w:hAnsi="Times New Roman" w:cs="Times New Roman"/>
        </w:rPr>
        <w:t xml:space="preserve"> </w:t>
      </w:r>
      <w:r w:rsidR="00D640B1">
        <w:rPr>
          <w:rFonts w:ascii="Times New Roman" w:hAnsi="Times New Roman" w:cs="Times New Roman"/>
        </w:rPr>
        <w:t>A review of how the Troubles were taught in Northern Ireland also found t</w:t>
      </w:r>
      <w:r w:rsidRPr="00616F5E">
        <w:rPr>
          <w:rFonts w:ascii="Times New Roman" w:hAnsi="Times New Roman" w:cs="Times New Roman"/>
        </w:rPr>
        <w:t>his lack of inter-generational dialogue at schools</w:t>
      </w:r>
      <w:r w:rsidR="00F90BCF">
        <w:rPr>
          <w:rFonts w:ascii="Times New Roman" w:hAnsi="Times New Roman" w:cs="Times New Roman"/>
        </w:rPr>
        <w:t xml:space="preserve"> too</w:t>
      </w:r>
      <w:r w:rsidR="001C2368">
        <w:rPr>
          <w:rFonts w:ascii="Times New Roman" w:hAnsi="Times New Roman" w:cs="Times New Roman"/>
        </w:rPr>
        <w:t>, where teachers would also be reluctant to discuss the troubles</w:t>
      </w:r>
      <w:r w:rsidR="008E0806">
        <w:rPr>
          <w:rFonts w:ascii="Times New Roman" w:hAnsi="Times New Roman" w:cs="Times New Roman"/>
        </w:rPr>
        <w:t>.</w:t>
      </w:r>
      <w:r w:rsidR="001C2368">
        <w:rPr>
          <w:rStyle w:val="FootnoteReference"/>
          <w:rFonts w:ascii="Times New Roman" w:hAnsi="Times New Roman" w:cs="Times New Roman"/>
        </w:rPr>
        <w:footnoteReference w:id="558"/>
      </w:r>
      <w:r w:rsidRPr="00616F5E">
        <w:rPr>
          <w:rFonts w:ascii="Times New Roman" w:hAnsi="Times New Roman" w:cs="Times New Roman"/>
        </w:rPr>
        <w:t xml:space="preserve">  </w:t>
      </w:r>
    </w:p>
    <w:p w14:paraId="0CBA5D34" w14:textId="77777777" w:rsidR="00655AD6" w:rsidRPr="00616F5E" w:rsidRDefault="00655AD6" w:rsidP="00B57C7F">
      <w:pPr>
        <w:spacing w:line="360" w:lineRule="auto"/>
        <w:ind w:firstLine="567"/>
        <w:jc w:val="both"/>
        <w:rPr>
          <w:rFonts w:ascii="Times New Roman" w:eastAsia="Times New Roman" w:hAnsi="Times New Roman" w:cs="Times New Roman"/>
          <w:bCs/>
          <w:i/>
          <w:color w:val="000000"/>
          <w:shd w:val="clear" w:color="auto" w:fill="FFFFFF"/>
        </w:rPr>
      </w:pPr>
      <w:r w:rsidRPr="00616F5E">
        <w:rPr>
          <w:rFonts w:ascii="Times New Roman" w:eastAsia="Times New Roman" w:hAnsi="Times New Roman" w:cs="Times New Roman"/>
          <w:color w:val="000000"/>
        </w:rPr>
        <w:t xml:space="preserve">In addition to avoiding discussion, inter-generational engagement tends to be selective in terms of observation and interaction. Harland’s study demonstrated how the continuation of low-level violence and the presence of paramilitary organisations </w:t>
      </w:r>
      <w:r w:rsidRPr="00616F5E">
        <w:rPr>
          <w:rFonts w:ascii="Times New Roman" w:eastAsia="Times New Roman" w:hAnsi="Times New Roman" w:cs="Times New Roman"/>
          <w:color w:val="000000"/>
        </w:rPr>
        <w:lastRenderedPageBreak/>
        <w:t>sent mixed messages. This serves “</w:t>
      </w:r>
      <w:r w:rsidRPr="00616F5E">
        <w:rPr>
          <w:rFonts w:ascii="Times New Roman" w:hAnsi="Times New Roman" w:cs="Times New Roman"/>
        </w:rPr>
        <w:t>to further confuse young men’s understanding of whether their society is at peace or preparing for war”</w:t>
      </w:r>
      <w:r w:rsidR="008E0806">
        <w:rPr>
          <w:rFonts w:ascii="Times New Roman" w:hAnsi="Times New Roman" w:cs="Times New Roman"/>
        </w:rPr>
        <w:t>.</w:t>
      </w:r>
      <w:r w:rsidRPr="00616F5E">
        <w:rPr>
          <w:rStyle w:val="FootnoteReference"/>
          <w:rFonts w:ascii="Times New Roman" w:hAnsi="Times New Roman" w:cs="Times New Roman"/>
        </w:rPr>
        <w:footnoteReference w:id="559"/>
      </w:r>
      <w:r w:rsidRPr="00616F5E">
        <w:rPr>
          <w:rFonts w:ascii="Times New Roman" w:eastAsia="Times New Roman" w:hAnsi="Times New Roman" w:cs="Times New Roman"/>
          <w:color w:val="000000"/>
        </w:rPr>
        <w:t xml:space="preserve"> The same study demonstrates how, despite being born after the ceasefires, young people spoke articulately of how the conflict was remembered and glorified by members of their communities: these members were viewed as heroes who defended and died for their beliefs, gaining respect, fear and status in their communities</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560"/>
      </w:r>
      <w:r w:rsidRPr="00616F5E">
        <w:rPr>
          <w:rFonts w:ascii="Times New Roman" w:eastAsia="Times New Roman" w:hAnsi="Times New Roman" w:cs="Times New Roman"/>
          <w:color w:val="000000"/>
        </w:rPr>
        <w:t xml:space="preserve"> When former combatants engage with young people there is a tendency for them to talk about humorous stories or the ‘good times’ from their past involvement in the armed struggle and in prison:</w:t>
      </w:r>
      <w:r w:rsidR="0021378F">
        <w:rPr>
          <w:rFonts w:ascii="Times New Roman" w:eastAsia="Times New Roman" w:hAnsi="Times New Roman" w:cs="Times New Roman"/>
          <w:color w:val="000000"/>
        </w:rPr>
        <w:t xml:space="preserve"> </w:t>
      </w:r>
      <w:r w:rsidR="0021378F" w:rsidRPr="0021378F">
        <w:rPr>
          <w:rFonts w:ascii="Times New Roman" w:eastAsia="Times New Roman" w:hAnsi="Times New Roman" w:cs="Times New Roman"/>
          <w:color w:val="000000"/>
        </w:rPr>
        <w:t>‘</w:t>
      </w:r>
      <w:r w:rsidRPr="0021378F">
        <w:rPr>
          <w:rFonts w:ascii="Times New Roman" w:eastAsia="Times New Roman" w:hAnsi="Times New Roman" w:cs="Times New Roman"/>
          <w:bCs/>
          <w:color w:val="000000"/>
          <w:shd w:val="clear" w:color="auto" w:fill="FFFFFF"/>
        </w:rPr>
        <w:t>You come out of the jail yourself and sit in the bar with a lot of young ones, and you talk about the things you done inside – the drugs that you took to parties, whatever. You never told them the bad story, only the things that they seemed to want to hear</w:t>
      </w:r>
      <w:r w:rsidR="0021378F" w:rsidRPr="0021378F">
        <w:rPr>
          <w:rFonts w:ascii="Times New Roman" w:eastAsia="Times New Roman" w:hAnsi="Times New Roman" w:cs="Times New Roman"/>
          <w:bCs/>
          <w:color w:val="000000"/>
          <w:shd w:val="clear" w:color="auto" w:fill="FFFFFF"/>
        </w:rPr>
        <w:t>’</w:t>
      </w:r>
      <w:r w:rsidRPr="0021378F">
        <w:rPr>
          <w:rFonts w:ascii="Times New Roman" w:eastAsia="Times New Roman" w:hAnsi="Times New Roman" w:cs="Times New Roman"/>
          <w:bCs/>
          <w:color w:val="000000"/>
          <w:shd w:val="clear" w:color="auto" w:fill="FFFFFF"/>
        </w:rPr>
        <w:t>.</w:t>
      </w:r>
      <w:r w:rsidRPr="0021378F">
        <w:rPr>
          <w:rStyle w:val="FootnoteReference"/>
          <w:rFonts w:ascii="Times New Roman" w:eastAsia="Times New Roman" w:hAnsi="Times New Roman" w:cs="Times New Roman"/>
          <w:bCs/>
          <w:color w:val="000000"/>
          <w:shd w:val="clear" w:color="auto" w:fill="FFFFFF"/>
        </w:rPr>
        <w:footnoteReference w:id="561"/>
      </w:r>
    </w:p>
    <w:p w14:paraId="64965500"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 xml:space="preserve">While the quote </w:t>
      </w:r>
      <w:r w:rsidR="0021378F" w:rsidRPr="00616F5E">
        <w:rPr>
          <w:rFonts w:ascii="Times New Roman" w:hAnsi="Times New Roman" w:cs="Times New Roman"/>
        </w:rPr>
        <w:t xml:space="preserve">above </w:t>
      </w:r>
      <w:r w:rsidRPr="00616F5E">
        <w:rPr>
          <w:rFonts w:ascii="Times New Roman" w:hAnsi="Times New Roman" w:cs="Times New Roman"/>
        </w:rPr>
        <w:t xml:space="preserve">is from a Loyalist, the thesis’ research corroborated this perspective from a member of the INLA. Talking to young people about the exciting experiences provided him with </w:t>
      </w:r>
      <w:r w:rsidR="00D640B1">
        <w:rPr>
          <w:rFonts w:ascii="Times New Roman" w:hAnsi="Times New Roman" w:cs="Times New Roman"/>
        </w:rPr>
        <w:t>a boost in self-esteem</w:t>
      </w:r>
      <w:r w:rsidRPr="00616F5E">
        <w:rPr>
          <w:rFonts w:ascii="Times New Roman" w:hAnsi="Times New Roman" w:cs="Times New Roman"/>
        </w:rPr>
        <w:t>, but he then realised that this was glamorising violence</w:t>
      </w:r>
      <w:r w:rsidR="008E0806">
        <w:rPr>
          <w:rFonts w:ascii="Times New Roman" w:hAnsi="Times New Roman" w:cs="Times New Roman"/>
        </w:rPr>
        <w:t>.</w:t>
      </w:r>
      <w:r w:rsidRPr="00616F5E">
        <w:rPr>
          <w:rStyle w:val="FootnoteReference"/>
          <w:rFonts w:ascii="Times New Roman" w:hAnsi="Times New Roman" w:cs="Times New Roman"/>
        </w:rPr>
        <w:footnoteReference w:id="562"/>
      </w:r>
      <w:r w:rsidRPr="00616F5E">
        <w:rPr>
          <w:rFonts w:ascii="Times New Roman" w:hAnsi="Times New Roman" w:cs="Times New Roman"/>
        </w:rPr>
        <w:t xml:space="preserve"> Therefore, in a sense, there already exists a positive attitude toward aspects of the armed struggle among some young people</w:t>
      </w:r>
      <w:r w:rsidRPr="00616F5E">
        <w:rPr>
          <w:rStyle w:val="FootnoteReference"/>
          <w:rFonts w:ascii="Times New Roman" w:hAnsi="Times New Roman" w:cs="Times New Roman"/>
        </w:rPr>
        <w:footnoteReference w:id="563"/>
      </w:r>
      <w:r w:rsidR="00F90BCF">
        <w:rPr>
          <w:rFonts w:ascii="Times New Roman" w:hAnsi="Times New Roman" w:cs="Times New Roman"/>
        </w:rPr>
        <w:t xml:space="preserve"> which blurs the distinction between preventing, countering and de-radicalisation processes</w:t>
      </w:r>
      <w:r w:rsidRPr="00616F5E">
        <w:rPr>
          <w:rFonts w:ascii="Times New Roman" w:hAnsi="Times New Roman" w:cs="Times New Roman"/>
        </w:rPr>
        <w:t xml:space="preserve">. Former combatants, when engaging with the younger generation, find personal incentives to glamorise violence and perhaps even to not attempt to diffuse the disengagement frame or what they actually feel about their past involvement. Yet the </w:t>
      </w:r>
      <w:r w:rsidRPr="00616F5E">
        <w:rPr>
          <w:rFonts w:ascii="Times New Roman" w:hAnsi="Times New Roman" w:cs="Times New Roman"/>
        </w:rPr>
        <w:lastRenderedPageBreak/>
        <w:t>interaction with the younger generation led to a recognition by former combatants of the challenge that discontented young people posed to disengagement. One loyalist commented that:</w:t>
      </w:r>
    </w:p>
    <w:p w14:paraId="7647DB48" w14:textId="77777777" w:rsidR="00655AD6" w:rsidRPr="00616F5E" w:rsidRDefault="00655AD6" w:rsidP="00B57C7F">
      <w:pPr>
        <w:spacing w:line="360" w:lineRule="auto"/>
        <w:ind w:firstLine="567"/>
        <w:jc w:val="both"/>
        <w:rPr>
          <w:rFonts w:ascii="Times New Roman" w:hAnsi="Times New Roman" w:cs="Times New Roman"/>
        </w:rPr>
      </w:pPr>
    </w:p>
    <w:p w14:paraId="3DB443C8" w14:textId="77777777" w:rsidR="00655AD6" w:rsidRPr="00616F5E" w:rsidRDefault="00655AD6" w:rsidP="00B57C7F">
      <w:pPr>
        <w:spacing w:line="360" w:lineRule="auto"/>
        <w:ind w:left="567" w:right="567"/>
        <w:jc w:val="both"/>
        <w:rPr>
          <w:rFonts w:ascii="Times New Roman" w:hAnsi="Times New Roman" w:cs="Times New Roman"/>
          <w:i/>
        </w:rPr>
      </w:pPr>
      <w:r w:rsidRPr="00616F5E">
        <w:rPr>
          <w:rFonts w:ascii="Times New Roman" w:hAnsi="Times New Roman" w:cs="Times New Roman"/>
          <w:i/>
        </w:rPr>
        <w:t>The only thing stopping a resumption of bombings and shootings is that there are enough sensible heads still in local communities who experienced the conflict and know that it’s not something you want to go back to willy-nilly. But there’s young ones out there who are just waiting for a chance to get involved.”</w:t>
      </w:r>
      <w:r w:rsidRPr="00616F5E">
        <w:rPr>
          <w:rStyle w:val="FootnoteReference"/>
          <w:rFonts w:ascii="Times New Roman" w:hAnsi="Times New Roman" w:cs="Times New Roman"/>
          <w:i/>
        </w:rPr>
        <w:footnoteReference w:id="564"/>
      </w:r>
      <w:r w:rsidRPr="00616F5E">
        <w:rPr>
          <w:rFonts w:ascii="Times New Roman" w:hAnsi="Times New Roman" w:cs="Times New Roman"/>
          <w:i/>
        </w:rPr>
        <w:t xml:space="preserve"> </w:t>
      </w:r>
    </w:p>
    <w:p w14:paraId="4799156A" w14:textId="77777777" w:rsidR="00655AD6" w:rsidRPr="00616F5E" w:rsidRDefault="00655AD6" w:rsidP="00B57C7F">
      <w:pPr>
        <w:spacing w:line="360" w:lineRule="auto"/>
        <w:jc w:val="both"/>
        <w:rPr>
          <w:rFonts w:ascii="Times New Roman" w:hAnsi="Times New Roman" w:cs="Times New Roman"/>
          <w:i/>
        </w:rPr>
      </w:pPr>
    </w:p>
    <w:p w14:paraId="56D76178"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A Republican former combatant, below, demonstrates the attitudes of some young people who are dissatisfied with the disengagement process:</w:t>
      </w:r>
    </w:p>
    <w:p w14:paraId="1FC309E5" w14:textId="77777777" w:rsidR="00655AD6" w:rsidRPr="00616F5E" w:rsidRDefault="00655AD6" w:rsidP="00B57C7F">
      <w:pPr>
        <w:spacing w:line="360" w:lineRule="auto"/>
        <w:ind w:firstLine="567"/>
        <w:jc w:val="both"/>
        <w:rPr>
          <w:rFonts w:ascii="Times New Roman" w:hAnsi="Times New Roman" w:cs="Times New Roman"/>
        </w:rPr>
      </w:pPr>
    </w:p>
    <w:p w14:paraId="185F4CBE" w14:textId="77777777" w:rsidR="00655AD6" w:rsidRPr="00616F5E" w:rsidRDefault="00655AD6" w:rsidP="00B57C7F">
      <w:pPr>
        <w:spacing w:line="360" w:lineRule="auto"/>
        <w:ind w:left="567" w:right="567"/>
        <w:jc w:val="both"/>
        <w:rPr>
          <w:rFonts w:ascii="Times New Roman" w:hAnsi="Times New Roman" w:cs="Times New Roman"/>
          <w:i/>
        </w:rPr>
      </w:pPr>
      <w:r w:rsidRPr="00616F5E">
        <w:rPr>
          <w:rFonts w:ascii="Times New Roman" w:eastAsia="Times New Roman" w:hAnsi="Times New Roman" w:cs="Times New Roman"/>
          <w:bCs/>
          <w:i/>
          <w:color w:val="000000"/>
          <w:shd w:val="clear" w:color="auto" w:fill="FFFFFF"/>
        </w:rPr>
        <w:t>The ones that I have met will tell you that ‘we were betrayed, there was a Republican sell-out, you lot were defeated, but we will defeat them next time, blah blah blah...’ and with total conviction. A conviction you would maybe have seen in yourself years ago. And if they see people as legitimate targets they will not go to bed crying and saying this is terrible, certainly not the young people that I have come into contact with. They are saying: bring it on, the sooner the better. If they get to that stage it is probably too late to tell that kid: ‘Look, you want to leave what you are in, for it’s not the way to go.’ It’s trying to get in there before that mindset has closed. My son has never been involved in anything and he’s now twenty-one years of age. But that’s because in the house there was no Republicanism preached, I didn’t bring my kids up with that, even though I was.</w:t>
      </w:r>
      <w:r w:rsidRPr="00616F5E">
        <w:rPr>
          <w:rStyle w:val="FootnoteReference"/>
          <w:rFonts w:ascii="Times New Roman" w:eastAsia="Times New Roman" w:hAnsi="Times New Roman" w:cs="Times New Roman"/>
          <w:bCs/>
          <w:i/>
          <w:color w:val="000000"/>
          <w:shd w:val="clear" w:color="auto" w:fill="FFFFFF"/>
        </w:rPr>
        <w:footnoteReference w:id="565"/>
      </w:r>
    </w:p>
    <w:p w14:paraId="1B0FD17E" w14:textId="77777777" w:rsidR="00655AD6" w:rsidRPr="00616F5E" w:rsidRDefault="00655AD6" w:rsidP="00B57C7F">
      <w:pPr>
        <w:spacing w:line="360" w:lineRule="auto"/>
        <w:jc w:val="both"/>
        <w:rPr>
          <w:rFonts w:ascii="Times New Roman" w:hAnsi="Times New Roman" w:cs="Times New Roman"/>
        </w:rPr>
      </w:pPr>
    </w:p>
    <w:p w14:paraId="48E498A7"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lastRenderedPageBreak/>
        <w:t xml:space="preserve">The last part of the quote touches upon the debate </w:t>
      </w:r>
      <w:r w:rsidR="0021378F">
        <w:rPr>
          <w:rFonts w:ascii="Times New Roman" w:hAnsi="Times New Roman" w:cs="Times New Roman"/>
        </w:rPr>
        <w:t>concerning to</w:t>
      </w:r>
      <w:r w:rsidRPr="00616F5E">
        <w:rPr>
          <w:rFonts w:ascii="Times New Roman" w:hAnsi="Times New Roman" w:cs="Times New Roman"/>
        </w:rPr>
        <w:t xml:space="preserve"> what extent being exposed to Republicanism is responsible for inspiring young people to hold such attitudes. In an interview, a Republican also stated that his children were not involved because Republicanism was not discussed</w:t>
      </w:r>
      <w:r w:rsidR="006400E2">
        <w:rPr>
          <w:rFonts w:ascii="Times New Roman" w:hAnsi="Times New Roman" w:cs="Times New Roman"/>
        </w:rPr>
        <w:t xml:space="preserve"> in the household</w:t>
      </w:r>
      <w:r w:rsidR="0021378F">
        <w:rPr>
          <w:rFonts w:ascii="Times New Roman" w:hAnsi="Times New Roman" w:cs="Times New Roman"/>
        </w:rPr>
        <w:t>.</w:t>
      </w:r>
      <w:r w:rsidRPr="00616F5E">
        <w:rPr>
          <w:rStyle w:val="FootnoteReference"/>
          <w:rFonts w:ascii="Times New Roman" w:hAnsi="Times New Roman" w:cs="Times New Roman"/>
        </w:rPr>
        <w:footnoteReference w:id="566"/>
      </w:r>
      <w:r w:rsidRPr="00616F5E">
        <w:rPr>
          <w:rFonts w:ascii="Times New Roman" w:hAnsi="Times New Roman" w:cs="Times New Roman"/>
        </w:rPr>
        <w:t xml:space="preserve"> </w:t>
      </w:r>
      <w:r w:rsidR="0021378F">
        <w:rPr>
          <w:rFonts w:ascii="Times New Roman" w:hAnsi="Times New Roman" w:cs="Times New Roman"/>
        </w:rPr>
        <w:t>H</w:t>
      </w:r>
      <w:r w:rsidRPr="00616F5E">
        <w:rPr>
          <w:rFonts w:ascii="Times New Roman" w:hAnsi="Times New Roman" w:cs="Times New Roman"/>
        </w:rPr>
        <w:t>owever there were indications of other factors at play: for example, the interviewee discussed how his children interacted more with Protestants and there were indications of greater affluence. Yet, while Republican ideology is not the sole driver of support for violence, the point made above suggests that a Republican mobilising frame does not sufficiently contain or effectively diffuse the disengagement frame. The Republican interviewee in question stated that other Republican groups not involved in non-mainstream (e.g. Sinn Fein) events have a radical appeal:</w:t>
      </w:r>
    </w:p>
    <w:p w14:paraId="04C11C42" w14:textId="77777777" w:rsidR="00655AD6" w:rsidRPr="00616F5E" w:rsidRDefault="00655AD6" w:rsidP="00B57C7F">
      <w:pPr>
        <w:spacing w:line="360" w:lineRule="auto"/>
        <w:ind w:firstLine="567"/>
        <w:jc w:val="both"/>
        <w:rPr>
          <w:rFonts w:ascii="Times New Roman" w:hAnsi="Times New Roman" w:cs="Times New Roman"/>
        </w:rPr>
      </w:pPr>
    </w:p>
    <w:p w14:paraId="7F65BE6E"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But I know you will see young people around because they think some of this other stuff is a little more radical than what has taken place. Mainstream politics is boring for younger people and they think ‘lets fight the man’ you know what I mean.</w:t>
      </w:r>
      <w:r w:rsidRPr="00616F5E">
        <w:rPr>
          <w:rStyle w:val="FootnoteReference"/>
          <w:rFonts w:ascii="Times New Roman" w:hAnsi="Times New Roman" w:cs="Times New Roman"/>
          <w:i/>
          <w:color w:val="000000"/>
        </w:rPr>
        <w:footnoteReference w:id="567"/>
      </w:r>
      <w:r w:rsidRPr="00616F5E">
        <w:rPr>
          <w:rFonts w:ascii="Times New Roman" w:hAnsi="Times New Roman" w:cs="Times New Roman"/>
          <w:i/>
          <w:color w:val="000000"/>
        </w:rPr>
        <w:t xml:space="preserve">    </w:t>
      </w:r>
    </w:p>
    <w:p w14:paraId="7D477379" w14:textId="77777777" w:rsidR="00655AD6" w:rsidRPr="00616F5E" w:rsidRDefault="00655AD6" w:rsidP="00B57C7F">
      <w:pPr>
        <w:spacing w:line="360" w:lineRule="auto"/>
        <w:ind w:left="567" w:right="567" w:firstLine="567"/>
        <w:jc w:val="both"/>
        <w:rPr>
          <w:rFonts w:ascii="Times New Roman" w:hAnsi="Times New Roman" w:cs="Times New Roman"/>
          <w:i/>
          <w:color w:val="000000"/>
        </w:rPr>
      </w:pPr>
    </w:p>
    <w:p w14:paraId="3925F05A" w14:textId="77777777" w:rsidR="00655AD6" w:rsidRPr="00616F5E" w:rsidRDefault="00655AD6" w:rsidP="00B57C7F">
      <w:pPr>
        <w:spacing w:line="360" w:lineRule="auto"/>
        <w:ind w:firstLine="567"/>
        <w:jc w:val="both"/>
        <w:rPr>
          <w:rFonts w:ascii="Times New Roman" w:hAnsi="Times New Roman" w:cs="Times New Roman"/>
          <w:color w:val="000000"/>
        </w:rPr>
      </w:pPr>
      <w:r w:rsidRPr="00616F5E">
        <w:rPr>
          <w:rFonts w:ascii="Times New Roman" w:hAnsi="Times New Roman" w:cs="Times New Roman"/>
          <w:color w:val="000000"/>
        </w:rPr>
        <w:t>Corroborating this view, an NGO worker involved highlighted the growing drift between generations that was developing</w:t>
      </w:r>
      <w:r w:rsidR="0046394F">
        <w:rPr>
          <w:rFonts w:ascii="Times New Roman" w:hAnsi="Times New Roman" w:cs="Times New Roman"/>
          <w:color w:val="000000"/>
        </w:rPr>
        <w:t xml:space="preserve"> generally, but also</w:t>
      </w:r>
      <w:r w:rsidRPr="00616F5E">
        <w:rPr>
          <w:rFonts w:ascii="Times New Roman" w:hAnsi="Times New Roman" w:cs="Times New Roman"/>
          <w:color w:val="000000"/>
        </w:rPr>
        <w:t xml:space="preserve"> specifically in </w:t>
      </w:r>
      <w:r w:rsidR="0046394F">
        <w:rPr>
          <w:rFonts w:ascii="Times New Roman" w:hAnsi="Times New Roman" w:cs="Times New Roman"/>
          <w:color w:val="000000"/>
        </w:rPr>
        <w:t xml:space="preserve">Loyalist </w:t>
      </w:r>
      <w:r w:rsidRPr="00616F5E">
        <w:rPr>
          <w:rFonts w:ascii="Times New Roman" w:hAnsi="Times New Roman" w:cs="Times New Roman"/>
          <w:color w:val="000000"/>
        </w:rPr>
        <w:t>East Belfast.</w:t>
      </w:r>
    </w:p>
    <w:p w14:paraId="7F828F39" w14:textId="77777777" w:rsidR="00655AD6" w:rsidRPr="00616F5E" w:rsidRDefault="00655AD6" w:rsidP="00B57C7F">
      <w:pPr>
        <w:spacing w:line="360" w:lineRule="auto"/>
        <w:ind w:firstLine="567"/>
        <w:jc w:val="both"/>
        <w:rPr>
          <w:rFonts w:ascii="Times New Roman" w:hAnsi="Times New Roman" w:cs="Times New Roman"/>
          <w:color w:val="000000"/>
        </w:rPr>
      </w:pPr>
    </w:p>
    <w:p w14:paraId="4EBD7870"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 xml:space="preserve">The older generation are beginning to be challenged by the younger generation. There is a disconnect between the ex-prisoners who oppose conflict and the younger generation. The younger generation see it as something they want to be a part of, they want to get involved in the violence. A riot is exciting for them, it is an adrenaline rush…Adults don’t talk about their experiences to the younger generation, about how it was to kill someone and the nightmares they continue to have. All they </w:t>
      </w:r>
      <w:r w:rsidRPr="00616F5E">
        <w:rPr>
          <w:rFonts w:ascii="Times New Roman" w:hAnsi="Times New Roman" w:cs="Times New Roman"/>
          <w:i/>
          <w:color w:val="000000"/>
        </w:rPr>
        <w:lastRenderedPageBreak/>
        <w:t xml:space="preserve">will talk about is its </w:t>
      </w:r>
      <w:r w:rsidR="005E6892">
        <w:rPr>
          <w:rFonts w:ascii="Times New Roman" w:hAnsi="Times New Roman" w:cs="Times New Roman"/>
          <w:i/>
          <w:color w:val="000000"/>
        </w:rPr>
        <w:t>glamourisation</w:t>
      </w:r>
      <w:r w:rsidRPr="00616F5E">
        <w:rPr>
          <w:rFonts w:ascii="Times New Roman" w:hAnsi="Times New Roman" w:cs="Times New Roman"/>
          <w:i/>
          <w:color w:val="000000"/>
        </w:rPr>
        <w:t>. So the younger generation aren’t hearing this side, they want to get involved for the glory, status, and to get involved in drugs.</w:t>
      </w:r>
      <w:r w:rsidRPr="00616F5E">
        <w:rPr>
          <w:rStyle w:val="FootnoteReference"/>
          <w:rFonts w:ascii="Times New Roman" w:hAnsi="Times New Roman" w:cs="Times New Roman"/>
          <w:i/>
          <w:color w:val="000000"/>
        </w:rPr>
        <w:footnoteReference w:id="568"/>
      </w:r>
    </w:p>
    <w:p w14:paraId="55C24EE8" w14:textId="77777777" w:rsidR="00655AD6" w:rsidRPr="00616F5E" w:rsidRDefault="00655AD6" w:rsidP="00B57C7F">
      <w:pPr>
        <w:spacing w:line="360" w:lineRule="auto"/>
        <w:ind w:left="567" w:right="567" w:firstLine="567"/>
        <w:jc w:val="both"/>
        <w:rPr>
          <w:rFonts w:ascii="Times New Roman" w:hAnsi="Times New Roman" w:cs="Times New Roman"/>
          <w:i/>
          <w:color w:val="000000"/>
        </w:rPr>
      </w:pPr>
    </w:p>
    <w:p w14:paraId="1A59FB8A" w14:textId="77777777" w:rsidR="00655AD6" w:rsidRPr="00616F5E" w:rsidRDefault="00655AD6" w:rsidP="00B57C7F">
      <w:pPr>
        <w:spacing w:line="360" w:lineRule="auto"/>
        <w:ind w:firstLine="567"/>
        <w:jc w:val="both"/>
        <w:rPr>
          <w:rFonts w:ascii="Times New Roman" w:hAnsi="Times New Roman" w:cs="Times New Roman"/>
          <w:color w:val="000000"/>
        </w:rPr>
      </w:pPr>
      <w:r w:rsidRPr="00616F5E">
        <w:rPr>
          <w:rFonts w:ascii="Times New Roman" w:hAnsi="Times New Roman" w:cs="Times New Roman"/>
          <w:color w:val="000000"/>
        </w:rPr>
        <w:t>Therefore, in addition to receiving mixed messages from former combatants who are opposed to armed struggle and the limited diffusion of the disengagement frame, a competitive Republican environment is encouraging attitudes supportive of the armed struggle.</w:t>
      </w:r>
      <w:r w:rsidR="00737DED">
        <w:rPr>
          <w:rFonts w:ascii="Times New Roman" w:hAnsi="Times New Roman" w:cs="Times New Roman"/>
          <w:color w:val="000000"/>
        </w:rPr>
        <w:t xml:space="preserve"> One study found that five percent of Catholics and ten percent overall of young people in the study spoke positively of dissident Republicans and paramilitaries respectively</w:t>
      </w:r>
      <w:r w:rsidR="008E0806">
        <w:rPr>
          <w:rFonts w:ascii="Times New Roman" w:hAnsi="Times New Roman" w:cs="Times New Roman"/>
          <w:color w:val="000000"/>
        </w:rPr>
        <w:t>.</w:t>
      </w:r>
      <w:r w:rsidR="00737DED">
        <w:rPr>
          <w:rStyle w:val="FootnoteReference"/>
          <w:rFonts w:ascii="Times New Roman" w:hAnsi="Times New Roman" w:cs="Times New Roman"/>
          <w:color w:val="000000"/>
        </w:rPr>
        <w:footnoteReference w:id="569"/>
      </w:r>
      <w:r w:rsidR="009E28A4">
        <w:rPr>
          <w:rFonts w:ascii="Times New Roman" w:hAnsi="Times New Roman" w:cs="Times New Roman"/>
          <w:color w:val="000000"/>
        </w:rPr>
        <w:t xml:space="preserve"> Of course, there have been difficulties in ascertaining the level of support for dissident Republican groups among young people, and while there are few convictions for violent activity (one way of ascertaining the level of support), Horgan and Morrison suggest this may be because young people are being deployed in non-violent activities in dissident groups</w:t>
      </w:r>
      <w:r w:rsidR="008E0806">
        <w:rPr>
          <w:rFonts w:ascii="Times New Roman" w:hAnsi="Times New Roman" w:cs="Times New Roman"/>
          <w:color w:val="000000"/>
        </w:rPr>
        <w:t>.</w:t>
      </w:r>
      <w:r w:rsidR="009E28A4">
        <w:rPr>
          <w:rStyle w:val="FootnoteReference"/>
          <w:rFonts w:ascii="Times New Roman" w:hAnsi="Times New Roman" w:cs="Times New Roman"/>
          <w:color w:val="000000"/>
        </w:rPr>
        <w:footnoteReference w:id="570"/>
      </w:r>
      <w:r w:rsidRPr="00616F5E">
        <w:rPr>
          <w:rFonts w:ascii="Times New Roman" w:hAnsi="Times New Roman" w:cs="Times New Roman"/>
          <w:color w:val="000000"/>
        </w:rPr>
        <w:t xml:space="preserve"> Furthermore, </w:t>
      </w:r>
      <w:r w:rsidR="009E28A4">
        <w:rPr>
          <w:rFonts w:ascii="Times New Roman" w:hAnsi="Times New Roman" w:cs="Times New Roman"/>
          <w:color w:val="000000"/>
        </w:rPr>
        <w:t>young people’s</w:t>
      </w:r>
      <w:r w:rsidRPr="00616F5E">
        <w:rPr>
          <w:rFonts w:ascii="Times New Roman" w:hAnsi="Times New Roman" w:cs="Times New Roman"/>
          <w:color w:val="000000"/>
        </w:rPr>
        <w:t xml:space="preserve"> observation of the continued presence of paramilitaries – whether or not they are engaged in violence – adds to the confusing signals being sent out. As a consequence, there are concerns that young people continue to hold attitudes sympathetic to paramilitaries and engaging in armed struggle. </w:t>
      </w:r>
    </w:p>
    <w:p w14:paraId="0913AE22" w14:textId="77777777" w:rsidR="00655AD6"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In reaction to this, a number o</w:t>
      </w:r>
      <w:r w:rsidR="009E28A4">
        <w:rPr>
          <w:rFonts w:ascii="Times New Roman" w:hAnsi="Times New Roman" w:cs="Times New Roman"/>
        </w:rPr>
        <w:t xml:space="preserve">f attempts at de-radicalising or preventing radicalisation among young people </w:t>
      </w:r>
      <w:r w:rsidRPr="00616F5E">
        <w:rPr>
          <w:rFonts w:ascii="Times New Roman" w:hAnsi="Times New Roman" w:cs="Times New Roman"/>
        </w:rPr>
        <w:t>have taken place. However, instead of only trying to change attitudes, these attempts</w:t>
      </w:r>
      <w:r w:rsidR="009E28A4">
        <w:rPr>
          <w:rFonts w:ascii="Times New Roman" w:hAnsi="Times New Roman" w:cs="Times New Roman"/>
        </w:rPr>
        <w:t>, driven by disengaged militants,</w:t>
      </w:r>
      <w:r w:rsidRPr="00616F5E">
        <w:rPr>
          <w:rFonts w:ascii="Times New Roman" w:hAnsi="Times New Roman" w:cs="Times New Roman"/>
        </w:rPr>
        <w:t xml:space="preserve"> have largely manifested in providing linkages between the disengagement f</w:t>
      </w:r>
      <w:r w:rsidR="009E28A4">
        <w:rPr>
          <w:rFonts w:ascii="Times New Roman" w:hAnsi="Times New Roman" w:cs="Times New Roman"/>
        </w:rPr>
        <w:t>rame and the younger generation</w:t>
      </w:r>
      <w:r w:rsidRPr="00616F5E">
        <w:rPr>
          <w:rFonts w:ascii="Times New Roman" w:hAnsi="Times New Roman" w:cs="Times New Roman"/>
        </w:rPr>
        <w:t xml:space="preserve">. The chapter explores two forms of such </w:t>
      </w:r>
      <w:r w:rsidR="009E28A4">
        <w:rPr>
          <w:rFonts w:ascii="Times New Roman" w:hAnsi="Times New Roman" w:cs="Times New Roman"/>
        </w:rPr>
        <w:t>activities</w:t>
      </w:r>
      <w:r w:rsidRPr="00616F5E">
        <w:rPr>
          <w:rFonts w:ascii="Times New Roman" w:hAnsi="Times New Roman" w:cs="Times New Roman"/>
        </w:rPr>
        <w:t xml:space="preserve">: the first involves young members in Sinn Fein who interact with former combatants on a daily basis; the second focuses on the hitherto largely unexplored attempts at de-radicalisation within schools. The aim of these two sections is to provide insight </w:t>
      </w:r>
      <w:r w:rsidR="009E28A4">
        <w:rPr>
          <w:rFonts w:ascii="Times New Roman" w:hAnsi="Times New Roman" w:cs="Times New Roman"/>
        </w:rPr>
        <w:t>in</w:t>
      </w:r>
      <w:r w:rsidRPr="00616F5E">
        <w:rPr>
          <w:rFonts w:ascii="Times New Roman" w:hAnsi="Times New Roman" w:cs="Times New Roman"/>
        </w:rPr>
        <w:t>to how interaction and the di</w:t>
      </w:r>
      <w:r w:rsidR="009E28A4">
        <w:rPr>
          <w:rFonts w:ascii="Times New Roman" w:hAnsi="Times New Roman" w:cs="Times New Roman"/>
        </w:rPr>
        <w:t>ffusion</w:t>
      </w:r>
      <w:r w:rsidRPr="00616F5E">
        <w:rPr>
          <w:rFonts w:ascii="Times New Roman" w:hAnsi="Times New Roman" w:cs="Times New Roman"/>
        </w:rPr>
        <w:t xml:space="preserve"> of the disengagement frame impacts upon young people, in juxtaposition to the cases set out above where there is a deficient level of </w:t>
      </w:r>
      <w:r w:rsidRPr="00616F5E">
        <w:rPr>
          <w:rFonts w:ascii="Times New Roman" w:hAnsi="Times New Roman" w:cs="Times New Roman"/>
        </w:rPr>
        <w:lastRenderedPageBreak/>
        <w:t xml:space="preserve">dialogue. The conclusions will aid the thesis’ main argument that de-radicalisation among former combatants, in its nuanced form, is important </w:t>
      </w:r>
      <w:r w:rsidR="0021378F">
        <w:rPr>
          <w:rFonts w:ascii="Times New Roman" w:hAnsi="Times New Roman" w:cs="Times New Roman"/>
        </w:rPr>
        <w:t>in providing</w:t>
      </w:r>
      <w:r w:rsidRPr="00616F5E">
        <w:rPr>
          <w:rFonts w:ascii="Times New Roman" w:hAnsi="Times New Roman" w:cs="Times New Roman"/>
        </w:rPr>
        <w:t xml:space="preserve"> social transformation which can reduce the likelihood of violence re-emerging</w:t>
      </w:r>
      <w:r w:rsidR="009E28A4">
        <w:rPr>
          <w:rFonts w:ascii="Times New Roman" w:hAnsi="Times New Roman" w:cs="Times New Roman"/>
        </w:rPr>
        <w:t xml:space="preserve"> from one generation to another</w:t>
      </w:r>
      <w:r w:rsidRPr="00616F5E">
        <w:rPr>
          <w:rFonts w:ascii="Times New Roman" w:hAnsi="Times New Roman" w:cs="Times New Roman"/>
        </w:rPr>
        <w:t xml:space="preserve">. </w:t>
      </w:r>
    </w:p>
    <w:p w14:paraId="530C0F63" w14:textId="77777777" w:rsidR="006D3099" w:rsidRPr="00616F5E" w:rsidRDefault="006D3099" w:rsidP="00B57C7F">
      <w:pPr>
        <w:spacing w:line="360" w:lineRule="auto"/>
        <w:ind w:firstLine="567"/>
        <w:jc w:val="both"/>
        <w:rPr>
          <w:rFonts w:ascii="Times New Roman" w:hAnsi="Times New Roman" w:cs="Times New Roman"/>
        </w:rPr>
      </w:pPr>
    </w:p>
    <w:p w14:paraId="10B73C48" w14:textId="77777777" w:rsidR="00655AD6" w:rsidRPr="00616F5E" w:rsidRDefault="00655AD6" w:rsidP="00B57C7F">
      <w:pPr>
        <w:pStyle w:val="Heading3"/>
        <w:spacing w:before="120" w:line="360" w:lineRule="auto"/>
      </w:pPr>
      <w:bookmarkStart w:id="66" w:name="_Toc389208848"/>
      <w:r w:rsidRPr="00616F5E">
        <w:t xml:space="preserve">Frame </w:t>
      </w:r>
      <w:r w:rsidR="00521615" w:rsidRPr="00616F5E">
        <w:t>Di</w:t>
      </w:r>
      <w:r w:rsidR="00521615">
        <w:t>ffusion</w:t>
      </w:r>
      <w:r w:rsidR="005B1E2E">
        <w:t xml:space="preserve"> and Networks</w:t>
      </w:r>
      <w:r w:rsidRPr="00616F5E">
        <w:t>: Sinn Fein Youth</w:t>
      </w:r>
      <w:bookmarkEnd w:id="66"/>
    </w:p>
    <w:p w14:paraId="60905E89" w14:textId="30C905C4" w:rsidR="00655AD6" w:rsidRPr="00616F5E" w:rsidRDefault="00655AD6" w:rsidP="00C012D5">
      <w:pPr>
        <w:spacing w:line="360" w:lineRule="auto"/>
        <w:jc w:val="both"/>
        <w:rPr>
          <w:rFonts w:ascii="Times New Roman" w:hAnsi="Times New Roman" w:cs="Times New Roman"/>
        </w:rPr>
      </w:pPr>
      <w:r w:rsidRPr="00616F5E">
        <w:rPr>
          <w:rFonts w:ascii="Times New Roman" w:hAnsi="Times New Roman" w:cs="Times New Roman"/>
        </w:rPr>
        <w:tab/>
        <w:t xml:space="preserve">A main contention of the thesis is that </w:t>
      </w:r>
      <w:r w:rsidR="009E7BDD">
        <w:rPr>
          <w:rFonts w:ascii="Times New Roman" w:hAnsi="Times New Roman" w:cs="Times New Roman"/>
        </w:rPr>
        <w:t>different types of</w:t>
      </w:r>
      <w:r w:rsidRPr="00616F5E">
        <w:rPr>
          <w:rFonts w:ascii="Times New Roman" w:hAnsi="Times New Roman" w:cs="Times New Roman"/>
        </w:rPr>
        <w:t xml:space="preserve"> attitude-change </w:t>
      </w:r>
      <w:r w:rsidR="009E7BDD">
        <w:rPr>
          <w:rFonts w:ascii="Times New Roman" w:hAnsi="Times New Roman" w:cs="Times New Roman"/>
        </w:rPr>
        <w:t>in the disengagement process</w:t>
      </w:r>
      <w:r w:rsidRPr="00616F5E">
        <w:rPr>
          <w:rFonts w:ascii="Times New Roman" w:hAnsi="Times New Roman" w:cs="Times New Roman"/>
        </w:rPr>
        <w:t xml:space="preserve"> </w:t>
      </w:r>
      <w:r w:rsidR="009E7BDD">
        <w:rPr>
          <w:rFonts w:ascii="Times New Roman" w:hAnsi="Times New Roman" w:cs="Times New Roman"/>
        </w:rPr>
        <w:t>– tactical disengagement, conditional de-radicalisation and unconditional de-radicalisation -</w:t>
      </w:r>
      <w:r w:rsidRPr="00616F5E">
        <w:rPr>
          <w:rFonts w:ascii="Times New Roman" w:hAnsi="Times New Roman" w:cs="Times New Roman"/>
        </w:rPr>
        <w:t xml:space="preserve"> is important in reducing armed violence: while it may not make such a difference on disengaging combatants</w:t>
      </w:r>
      <w:r w:rsidR="0021378F">
        <w:rPr>
          <w:rFonts w:ascii="Times New Roman" w:hAnsi="Times New Roman" w:cs="Times New Roman"/>
        </w:rPr>
        <w:t>,</w:t>
      </w:r>
      <w:r w:rsidRPr="00616F5E">
        <w:rPr>
          <w:rStyle w:val="FootnoteReference"/>
          <w:rFonts w:ascii="Times New Roman" w:hAnsi="Times New Roman" w:cs="Times New Roman"/>
        </w:rPr>
        <w:footnoteReference w:id="571"/>
      </w:r>
      <w:r w:rsidRPr="00616F5E">
        <w:rPr>
          <w:rFonts w:ascii="Times New Roman" w:hAnsi="Times New Roman" w:cs="Times New Roman"/>
        </w:rPr>
        <w:t xml:space="preserve"> the attitudes they hold (and the extent these support or oppose violence) can have an impact upon the next generation. Taking the literature as a starting point,</w:t>
      </w:r>
      <w:r w:rsidR="0046394F">
        <w:rPr>
          <w:rStyle w:val="FootnoteReference"/>
          <w:rFonts w:ascii="Times New Roman" w:hAnsi="Times New Roman" w:cs="Times New Roman"/>
        </w:rPr>
        <w:footnoteReference w:id="572"/>
      </w:r>
      <w:r w:rsidRPr="00616F5E">
        <w:rPr>
          <w:rFonts w:ascii="Times New Roman" w:hAnsi="Times New Roman" w:cs="Times New Roman"/>
        </w:rPr>
        <w:t xml:space="preserve"> the hypothesis would be that disengaged militants who have not de-radicalised would encourage young people to become involved in violence, whereas de-radicalised, disengaged militants would discourage young people becoming involved in violence. Taking this further, the thesis has argued that de-radicalisation is a far more nuanced process, so it is important to analyse the messages – or frames – that are used rather than trying to identify among militants and young people a pre-judged standard of acceptable attitude-change.</w:t>
      </w:r>
      <w:r w:rsidR="009E7BDD">
        <w:rPr>
          <w:rFonts w:ascii="Times New Roman" w:hAnsi="Times New Roman" w:cs="Times New Roman"/>
        </w:rPr>
        <w:t xml:space="preserve"> Different narratives on the problem and solution facing a movement, and narratives that provide motivation combine to form a frame, and as a frame can mobilise for violence, they can equally demobilise and prevent violence.</w:t>
      </w:r>
      <w:r w:rsidRPr="00616F5E">
        <w:rPr>
          <w:rFonts w:ascii="Times New Roman" w:hAnsi="Times New Roman" w:cs="Times New Roman"/>
        </w:rPr>
        <w:t xml:space="preserve"> While one frame may aid disengagement for one generation, the frame may not have the same effect on younger people – which has been argued to be the case in Northern Ireland</w:t>
      </w:r>
      <w:r w:rsidR="008E0806">
        <w:rPr>
          <w:rFonts w:ascii="Times New Roman" w:hAnsi="Times New Roman" w:cs="Times New Roman"/>
        </w:rPr>
        <w:t>.</w:t>
      </w:r>
      <w:r w:rsidRPr="00616F5E">
        <w:rPr>
          <w:rStyle w:val="FootnoteReference"/>
          <w:rFonts w:ascii="Times New Roman" w:hAnsi="Times New Roman" w:cs="Times New Roman"/>
        </w:rPr>
        <w:footnoteReference w:id="573"/>
      </w:r>
      <w:r w:rsidRPr="00616F5E">
        <w:rPr>
          <w:rFonts w:ascii="Times New Roman" w:hAnsi="Times New Roman" w:cs="Times New Roman"/>
        </w:rPr>
        <w:t xml:space="preserve"> Two arguments are made with this regard: one, there is no substantial inter-generational dialogue; and two, when there is dialogue, i</w:t>
      </w:r>
      <w:r w:rsidR="009E7BDD">
        <w:rPr>
          <w:rFonts w:ascii="Times New Roman" w:hAnsi="Times New Roman" w:cs="Times New Roman"/>
        </w:rPr>
        <w:t>t tends to glamourise</w:t>
      </w:r>
      <w:r w:rsidRPr="00616F5E">
        <w:rPr>
          <w:rFonts w:ascii="Times New Roman" w:hAnsi="Times New Roman" w:cs="Times New Roman"/>
        </w:rPr>
        <w:t xml:space="preserve"> armed struggle.</w:t>
      </w:r>
      <w:r w:rsidR="009E7BDD">
        <w:rPr>
          <w:rFonts w:ascii="Times New Roman" w:hAnsi="Times New Roman" w:cs="Times New Roman"/>
        </w:rPr>
        <w:t xml:space="preserve"> </w:t>
      </w:r>
      <w:r w:rsidR="005E6892">
        <w:rPr>
          <w:rFonts w:ascii="Times New Roman" w:hAnsi="Times New Roman" w:cs="Times New Roman"/>
        </w:rPr>
        <w:t xml:space="preserve">Glamourisation functions to provide motivation in frames, but it can </w:t>
      </w:r>
      <w:r w:rsidR="005E6892">
        <w:rPr>
          <w:rFonts w:ascii="Times New Roman" w:hAnsi="Times New Roman" w:cs="Times New Roman"/>
        </w:rPr>
        <w:lastRenderedPageBreak/>
        <w:t>occur implicitly or by accident.</w:t>
      </w:r>
      <w:r w:rsidRPr="00616F5E">
        <w:rPr>
          <w:rFonts w:ascii="Times New Roman" w:hAnsi="Times New Roman" w:cs="Times New Roman"/>
        </w:rPr>
        <w:t xml:space="preserve"> </w:t>
      </w:r>
      <w:r w:rsidR="005E6892">
        <w:rPr>
          <w:rFonts w:ascii="Times New Roman" w:hAnsi="Times New Roman" w:cs="Times New Roman"/>
        </w:rPr>
        <w:t>The supposed consequence of this</w:t>
      </w:r>
      <w:r w:rsidRPr="00616F5E">
        <w:rPr>
          <w:rFonts w:ascii="Times New Roman" w:hAnsi="Times New Roman" w:cs="Times New Roman"/>
        </w:rPr>
        <w:t xml:space="preserve"> is that some young</w:t>
      </w:r>
      <w:r w:rsidR="005E6892">
        <w:rPr>
          <w:rFonts w:ascii="Times New Roman" w:hAnsi="Times New Roman" w:cs="Times New Roman"/>
        </w:rPr>
        <w:t xml:space="preserve"> people are sympathetic to dissident</w:t>
      </w:r>
      <w:r w:rsidRPr="00616F5E">
        <w:rPr>
          <w:rFonts w:ascii="Times New Roman" w:hAnsi="Times New Roman" w:cs="Times New Roman"/>
        </w:rPr>
        <w:t xml:space="preserve"> Republicans, waiting for the opportunity to arise to allow them to engage in the armed struggle</w:t>
      </w:r>
      <w:r w:rsidR="005E6892">
        <w:rPr>
          <w:rFonts w:ascii="Times New Roman" w:hAnsi="Times New Roman" w:cs="Times New Roman"/>
        </w:rPr>
        <w:t>, and glamourisation of violence by former combatants can increase the appeal to join dissident Republicans</w:t>
      </w:r>
      <w:r w:rsidRPr="00616F5E">
        <w:rPr>
          <w:rFonts w:ascii="Times New Roman" w:hAnsi="Times New Roman" w:cs="Times New Roman"/>
        </w:rPr>
        <w:t>. The following section aims to explore the accuracy of this argument when young people interact with former combatants. While the scope of the study limits the generalisations that can be made</w:t>
      </w:r>
      <w:r w:rsidR="008E0806">
        <w:rPr>
          <w:rFonts w:ascii="Times New Roman" w:hAnsi="Times New Roman" w:cs="Times New Roman"/>
        </w:rPr>
        <w:t>,</w:t>
      </w:r>
      <w:r w:rsidRPr="00616F5E">
        <w:rPr>
          <w:rFonts w:ascii="Times New Roman" w:hAnsi="Times New Roman" w:cs="Times New Roman"/>
        </w:rPr>
        <w:t xml:space="preserve"> the section will provide an explanation of how the disengagement frame is diffused to the younger generation and how it resonates. </w:t>
      </w:r>
    </w:p>
    <w:p w14:paraId="1D879972" w14:textId="021141A1" w:rsidR="00655AD6" w:rsidRPr="00616F5E"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r>
      <w:r w:rsidR="00794EAE">
        <w:rPr>
          <w:rFonts w:ascii="Times New Roman" w:hAnsi="Times New Roman" w:cs="Times New Roman"/>
        </w:rPr>
        <w:t>As mentioned in Chapter Two, t</w:t>
      </w:r>
      <w:r w:rsidR="00794EAE" w:rsidRPr="00616F5E">
        <w:rPr>
          <w:rFonts w:ascii="Times New Roman" w:hAnsi="Times New Roman" w:cs="Times New Roman"/>
        </w:rPr>
        <w:t>he focus group consisted of three mal</w:t>
      </w:r>
      <w:r w:rsidR="00794EAE">
        <w:rPr>
          <w:rFonts w:ascii="Times New Roman" w:hAnsi="Times New Roman" w:cs="Times New Roman"/>
        </w:rPr>
        <w:t>e and two female participants</w:t>
      </w:r>
      <w:r w:rsidR="00794EAE" w:rsidRPr="00616F5E">
        <w:rPr>
          <w:rFonts w:ascii="Times New Roman" w:hAnsi="Times New Roman" w:cs="Times New Roman"/>
        </w:rPr>
        <w:t xml:space="preserve"> aged 17</w:t>
      </w:r>
      <w:r w:rsidR="00794EAE">
        <w:rPr>
          <w:rFonts w:ascii="Times New Roman" w:hAnsi="Times New Roman" w:cs="Times New Roman"/>
        </w:rPr>
        <w:t>-18, while one participant was 24</w:t>
      </w:r>
      <w:r w:rsidR="00794EAE" w:rsidRPr="00616F5E">
        <w:rPr>
          <w:rFonts w:ascii="Times New Roman" w:hAnsi="Times New Roman" w:cs="Times New Roman"/>
        </w:rPr>
        <w:t xml:space="preserve">. </w:t>
      </w:r>
      <w:r w:rsidRPr="00616F5E">
        <w:rPr>
          <w:rFonts w:ascii="Times New Roman" w:hAnsi="Times New Roman" w:cs="Times New Roman"/>
        </w:rPr>
        <w:t>The focus group was set in the context of a Republican commemoration event that had been held at Castlederg, leading the D</w:t>
      </w:r>
      <w:r w:rsidR="0091749D">
        <w:rPr>
          <w:rFonts w:ascii="Times New Roman" w:hAnsi="Times New Roman" w:cs="Times New Roman"/>
        </w:rPr>
        <w:t xml:space="preserve">emocratic </w:t>
      </w:r>
      <w:r w:rsidRPr="00616F5E">
        <w:rPr>
          <w:rFonts w:ascii="Times New Roman" w:hAnsi="Times New Roman" w:cs="Times New Roman"/>
        </w:rPr>
        <w:t>U</w:t>
      </w:r>
      <w:r w:rsidR="0091749D">
        <w:rPr>
          <w:rFonts w:ascii="Times New Roman" w:hAnsi="Times New Roman" w:cs="Times New Roman"/>
        </w:rPr>
        <w:t xml:space="preserve">nionist </w:t>
      </w:r>
      <w:r w:rsidRPr="00616F5E">
        <w:rPr>
          <w:rFonts w:ascii="Times New Roman" w:hAnsi="Times New Roman" w:cs="Times New Roman"/>
        </w:rPr>
        <w:t>P</w:t>
      </w:r>
      <w:r w:rsidR="0091749D">
        <w:rPr>
          <w:rFonts w:ascii="Times New Roman" w:hAnsi="Times New Roman" w:cs="Times New Roman"/>
        </w:rPr>
        <w:t>arty (DUP)</w:t>
      </w:r>
      <w:r w:rsidRPr="00616F5E">
        <w:rPr>
          <w:rFonts w:ascii="Times New Roman" w:hAnsi="Times New Roman" w:cs="Times New Roman"/>
        </w:rPr>
        <w:t xml:space="preserve"> First Minister, Peter Robinson, to condemn Sinn Fein’s involvement in an event that he felt </w:t>
      </w:r>
      <w:r w:rsidR="005E6892">
        <w:rPr>
          <w:rFonts w:ascii="Times New Roman" w:hAnsi="Times New Roman" w:cs="Times New Roman"/>
        </w:rPr>
        <w:t>glamourised</w:t>
      </w:r>
      <w:r w:rsidRPr="00616F5E">
        <w:rPr>
          <w:rFonts w:ascii="Times New Roman" w:hAnsi="Times New Roman" w:cs="Times New Roman"/>
        </w:rPr>
        <w:t xml:space="preserve"> violence and terrorism. Gerry Kelly, who is the elected representative for the area and was a senior member of the Provisional IRA, had been in the building at the time and had just given a speech in response to Castlederg. Subsequently, much of the discussion in the focus group revolved around former combatants such as Kelly, the stories they would tell like the ‘Great Escape’</w:t>
      </w:r>
      <w:r w:rsidR="0021378F">
        <w:rPr>
          <w:rFonts w:ascii="Times New Roman" w:hAnsi="Times New Roman" w:cs="Times New Roman"/>
        </w:rPr>
        <w:t>,</w:t>
      </w:r>
      <w:r w:rsidRPr="00616F5E">
        <w:rPr>
          <w:rStyle w:val="FootnoteReference"/>
          <w:rFonts w:ascii="Times New Roman" w:hAnsi="Times New Roman" w:cs="Times New Roman"/>
        </w:rPr>
        <w:footnoteReference w:id="574"/>
      </w:r>
      <w:r w:rsidRPr="00616F5E">
        <w:rPr>
          <w:rFonts w:ascii="Times New Roman" w:hAnsi="Times New Roman" w:cs="Times New Roman"/>
        </w:rPr>
        <w:t xml:space="preserve"> the gl</w:t>
      </w:r>
      <w:r w:rsidR="005E6892">
        <w:rPr>
          <w:rFonts w:ascii="Times New Roman" w:hAnsi="Times New Roman" w:cs="Times New Roman"/>
        </w:rPr>
        <w:t xml:space="preserve">amourisation </w:t>
      </w:r>
      <w:r w:rsidRPr="00616F5E">
        <w:rPr>
          <w:rFonts w:ascii="Times New Roman" w:hAnsi="Times New Roman" w:cs="Times New Roman"/>
        </w:rPr>
        <w:t>of violence and the relationship this has in leading to support of violent Republicanism. The data from this focus group provides an original contribution in itself: previous research has not focused on the attitudes of politically-active Republicans who interact with disengaged militants on a regular basis. With regard to the disengagement literature, no study has explored the relationship between former militants and the next generation.</w:t>
      </w:r>
      <w:r w:rsidR="005E6892">
        <w:rPr>
          <w:rFonts w:ascii="Times New Roman" w:hAnsi="Times New Roman" w:cs="Times New Roman"/>
        </w:rPr>
        <w:t xml:space="preserve"> While there are obviously problems with generalisation and selection bias, the purpose of this section is to analyse what former combatants tell members and how they interpret this to provide an indication of the effect of close interaction with former combatants that have conditionally de-radicalised. </w:t>
      </w:r>
      <w:r w:rsidRPr="00616F5E">
        <w:rPr>
          <w:rFonts w:ascii="Times New Roman" w:hAnsi="Times New Roman" w:cs="Times New Roman"/>
        </w:rPr>
        <w:t xml:space="preserve"> </w:t>
      </w:r>
    </w:p>
    <w:p w14:paraId="76165E90"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The next section briefly discusses the different types of networks that the younger generation interact with; demonstrating how embedded the focus group participants are with former combatant n</w:t>
      </w:r>
      <w:r w:rsidR="005F39B9">
        <w:rPr>
          <w:rFonts w:ascii="Times New Roman" w:hAnsi="Times New Roman" w:cs="Times New Roman"/>
        </w:rPr>
        <w:t xml:space="preserve">etworks. These networks act as linkages </w:t>
      </w:r>
      <w:r w:rsidRPr="00616F5E">
        <w:rPr>
          <w:rFonts w:ascii="Times New Roman" w:hAnsi="Times New Roman" w:cs="Times New Roman"/>
        </w:rPr>
        <w:t xml:space="preserve">for </w:t>
      </w:r>
      <w:r w:rsidRPr="00616F5E">
        <w:rPr>
          <w:rFonts w:ascii="Times New Roman" w:hAnsi="Times New Roman" w:cs="Times New Roman"/>
        </w:rPr>
        <w:lastRenderedPageBreak/>
        <w:t xml:space="preserve">frames to be </w:t>
      </w:r>
      <w:r w:rsidR="005F39B9">
        <w:rPr>
          <w:rFonts w:ascii="Times New Roman" w:hAnsi="Times New Roman" w:cs="Times New Roman"/>
        </w:rPr>
        <w:t>diffused</w:t>
      </w:r>
      <w:r w:rsidRPr="00616F5E">
        <w:rPr>
          <w:rFonts w:ascii="Times New Roman" w:hAnsi="Times New Roman" w:cs="Times New Roman"/>
        </w:rPr>
        <w:t xml:space="preserve"> through, shaping the credibility and resonance of the message. The second section focuses on the participants’ interaction with society in general, namely family and friends. The purpose of this section is to relate the experiences of the focus group to the general arguments, set out above, on the breakdown of intergenerational relations leading to the glamourisation of violence. The third section focuses on the interaction between the focus group participants and former combatants. It is here where the chapter demonstrates the extent that interaction leads to the development of attitudes among young people that de-legitimise violence. A crucial point to explore is how they frame the tendency by the Republican movement to supposedly glamourise past violence: does it support or contradict th</w:t>
      </w:r>
      <w:r w:rsidR="00A86C53">
        <w:rPr>
          <w:rFonts w:ascii="Times New Roman" w:hAnsi="Times New Roman" w:cs="Times New Roman"/>
        </w:rPr>
        <w:t>e de-legitimisation of violence?</w:t>
      </w:r>
      <w:r w:rsidRPr="00616F5E">
        <w:rPr>
          <w:rFonts w:ascii="Times New Roman" w:hAnsi="Times New Roman" w:cs="Times New Roman"/>
        </w:rPr>
        <w:t xml:space="preserve">   </w:t>
      </w:r>
    </w:p>
    <w:p w14:paraId="5336A456" w14:textId="77777777" w:rsidR="00655AD6" w:rsidRPr="00616F5E" w:rsidRDefault="00655AD6" w:rsidP="00B57C7F">
      <w:pPr>
        <w:spacing w:line="360" w:lineRule="auto"/>
        <w:jc w:val="both"/>
        <w:rPr>
          <w:rFonts w:ascii="Times New Roman" w:hAnsi="Times New Roman" w:cs="Times New Roman"/>
        </w:rPr>
      </w:pPr>
    </w:p>
    <w:p w14:paraId="724B51FA" w14:textId="77777777" w:rsidR="00655AD6" w:rsidRPr="00616F5E" w:rsidRDefault="00655AD6" w:rsidP="00B57C7F">
      <w:pPr>
        <w:pStyle w:val="Heading4"/>
        <w:spacing w:before="120" w:line="360" w:lineRule="auto"/>
      </w:pPr>
      <w:bookmarkStart w:id="67" w:name="_Toc389208849"/>
      <w:r w:rsidRPr="00616F5E">
        <w:t>Frames, Stories and Networks</w:t>
      </w:r>
      <w:bookmarkEnd w:id="67"/>
    </w:p>
    <w:p w14:paraId="4E94E2C0" w14:textId="77777777" w:rsidR="00655AD6" w:rsidRPr="00616F5E"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t xml:space="preserve">This section </w:t>
      </w:r>
      <w:r w:rsidR="00A86C53">
        <w:rPr>
          <w:rFonts w:ascii="Times New Roman" w:hAnsi="Times New Roman" w:cs="Times New Roman"/>
        </w:rPr>
        <w:t>develops</w:t>
      </w:r>
      <w:r w:rsidRPr="00616F5E">
        <w:rPr>
          <w:rFonts w:ascii="Times New Roman" w:hAnsi="Times New Roman" w:cs="Times New Roman"/>
        </w:rPr>
        <w:t xml:space="preserve"> frames analysis and networks theory as a framework for analysis. Whereas frames are far more coherent and organised, much interaction that shapes and informs attitudes is less coherent, in the form of stories or, in this case, the lack of stories. As stated above, the older generation in Northern Ireland, when discussing the armed struggle, can tend to glamourise it. Furthermore, a lack of intergenerational dialogue can fail to contextualise stories that may glorify violence or they may miss an opportunity to express attitudes and feelings which may serve to de-legitimise or de-glamourise violence. Actively attempting to show the negative aspects of armed struggle (de-glamourisation) is an aspect of the process of de-legitimisation, which can take the form of denunciations, linking the activity to criminality, countering narratives and challenging the credibility of those who use violence, to name a few methods. Whereas de-radicalisation in the literature </w:t>
      </w:r>
      <w:r w:rsidR="00A86C53">
        <w:rPr>
          <w:rFonts w:ascii="Times New Roman" w:hAnsi="Times New Roman" w:cs="Times New Roman"/>
        </w:rPr>
        <w:t>refers</w:t>
      </w:r>
      <w:r w:rsidRPr="00616F5E">
        <w:rPr>
          <w:rFonts w:ascii="Times New Roman" w:hAnsi="Times New Roman" w:cs="Times New Roman"/>
        </w:rPr>
        <w:t xml:space="preserve"> to the changing attitudes of the militant, the only way this can be ascertained is through behaviour, which includes their speech. While de-glamourising violence is a key part of de-radicalisation, the act of glamourising violence is far more ambiguous, which is why it is perceived as a possible driver in young people joining armed Republican groups</w:t>
      </w:r>
      <w:r w:rsidR="008E0806">
        <w:rPr>
          <w:rFonts w:ascii="Times New Roman" w:hAnsi="Times New Roman" w:cs="Times New Roman"/>
        </w:rPr>
        <w:t>.</w:t>
      </w:r>
      <w:r w:rsidRPr="00616F5E">
        <w:rPr>
          <w:rStyle w:val="FootnoteReference"/>
          <w:rFonts w:ascii="Times New Roman" w:hAnsi="Times New Roman" w:cs="Times New Roman"/>
        </w:rPr>
        <w:footnoteReference w:id="575"/>
      </w:r>
      <w:r w:rsidRPr="00616F5E">
        <w:rPr>
          <w:rFonts w:ascii="Times New Roman" w:hAnsi="Times New Roman" w:cs="Times New Roman"/>
        </w:rPr>
        <w:t xml:space="preserve"> Crucially, though, in addition to the message (or lack of a message), the </w:t>
      </w:r>
      <w:r w:rsidRPr="00616F5E">
        <w:rPr>
          <w:rFonts w:ascii="Times New Roman" w:hAnsi="Times New Roman" w:cs="Times New Roman"/>
        </w:rPr>
        <w:lastRenderedPageBreak/>
        <w:t>type of networks that di</w:t>
      </w:r>
      <w:r w:rsidR="005F39B9">
        <w:rPr>
          <w:rFonts w:ascii="Times New Roman" w:hAnsi="Times New Roman" w:cs="Times New Roman"/>
        </w:rPr>
        <w:t>ffuse</w:t>
      </w:r>
      <w:r w:rsidRPr="00616F5E">
        <w:rPr>
          <w:rFonts w:ascii="Times New Roman" w:hAnsi="Times New Roman" w:cs="Times New Roman"/>
        </w:rPr>
        <w:t xml:space="preserve"> the message can be crucial for its resonance with, in this case, the younger generation.  </w:t>
      </w:r>
    </w:p>
    <w:p w14:paraId="40CBAE33"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 xml:space="preserve">The participants interacted with former combatants on a number of levels: family networks; social networks; and political networks. These distinctions are for analytical purposes as these networks naturally overlap and there was no means to distinguish between the impact of different networks. </w:t>
      </w:r>
      <w:r w:rsidR="005F39B9">
        <w:rPr>
          <w:rFonts w:ascii="Times New Roman" w:hAnsi="Times New Roman" w:cs="Times New Roman"/>
        </w:rPr>
        <w:t>The first form of interaction concerned</w:t>
      </w:r>
      <w:r w:rsidRPr="00616F5E">
        <w:rPr>
          <w:rFonts w:ascii="Times New Roman" w:hAnsi="Times New Roman" w:cs="Times New Roman"/>
        </w:rPr>
        <w:t xml:space="preserve"> family members who may or not have been actively involved, but were affected by the conflict</w:t>
      </w:r>
      <w:r w:rsidR="005F39B9">
        <w:rPr>
          <w:rFonts w:ascii="Times New Roman" w:hAnsi="Times New Roman" w:cs="Times New Roman"/>
        </w:rPr>
        <w:t>. The second form of interaction is with</w:t>
      </w:r>
      <w:r w:rsidRPr="00616F5E">
        <w:rPr>
          <w:rFonts w:ascii="Times New Roman" w:hAnsi="Times New Roman" w:cs="Times New Roman"/>
        </w:rPr>
        <w:t xml:space="preserve"> friends or neighbours they know from living in the community, who may have been former combatants. </w:t>
      </w:r>
      <w:r w:rsidR="005F39B9">
        <w:rPr>
          <w:rFonts w:ascii="Times New Roman" w:hAnsi="Times New Roman" w:cs="Times New Roman"/>
        </w:rPr>
        <w:t>The third form of interaction comes from</w:t>
      </w:r>
      <w:r w:rsidRPr="00616F5E">
        <w:rPr>
          <w:rFonts w:ascii="Times New Roman" w:hAnsi="Times New Roman" w:cs="Times New Roman"/>
        </w:rPr>
        <w:t xml:space="preserve"> becoming a member of Sinn Fein</w:t>
      </w:r>
      <w:r w:rsidR="005F39B9">
        <w:rPr>
          <w:rFonts w:ascii="Times New Roman" w:hAnsi="Times New Roman" w:cs="Times New Roman"/>
        </w:rPr>
        <w:t>, where</w:t>
      </w:r>
      <w:r w:rsidRPr="00616F5E">
        <w:rPr>
          <w:rFonts w:ascii="Times New Roman" w:hAnsi="Times New Roman" w:cs="Times New Roman"/>
        </w:rPr>
        <w:t xml:space="preserve"> they come into close interaction with former combatants involved in the party, elected representatives, or the ex-prisoner group, Coiste. The chapter focuses primarily on interaction with political networks, namely those consisting of disengaged militants; which seemed quite extensive for participants in the focus group:</w:t>
      </w:r>
    </w:p>
    <w:p w14:paraId="60E6BB2F" w14:textId="77777777" w:rsidR="00655AD6" w:rsidRPr="00616F5E" w:rsidRDefault="00655AD6" w:rsidP="00B57C7F">
      <w:pPr>
        <w:spacing w:line="360" w:lineRule="auto"/>
        <w:ind w:left="567" w:right="567"/>
        <w:jc w:val="both"/>
        <w:rPr>
          <w:rFonts w:ascii="Times New Roman" w:hAnsi="Times New Roman" w:cs="Times New Roman"/>
        </w:rPr>
      </w:pPr>
      <w:r w:rsidRPr="00616F5E">
        <w:rPr>
          <w:rFonts w:ascii="Times New Roman" w:hAnsi="Times New Roman" w:cs="Times New Roman"/>
        </w:rPr>
        <w:t xml:space="preserve"> </w:t>
      </w:r>
    </w:p>
    <w:p w14:paraId="0EA7E00E"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rPr>
        <w:t xml:space="preserve"> </w:t>
      </w:r>
      <w:r w:rsidRPr="00616F5E">
        <w:rPr>
          <w:rFonts w:ascii="Times New Roman" w:hAnsi="Times New Roman" w:cs="Times New Roman"/>
          <w:i/>
          <w:color w:val="000000"/>
        </w:rPr>
        <w:t>…</w:t>
      </w:r>
      <w:r w:rsidR="00A86C53">
        <w:rPr>
          <w:rFonts w:ascii="Times New Roman" w:hAnsi="Times New Roman" w:cs="Times New Roman"/>
          <w:i/>
          <w:color w:val="000000"/>
        </w:rPr>
        <w:t>[G]</w:t>
      </w:r>
      <w:r w:rsidRPr="00616F5E">
        <w:rPr>
          <w:rFonts w:ascii="Times New Roman" w:hAnsi="Times New Roman" w:cs="Times New Roman"/>
          <w:i/>
          <w:color w:val="000000"/>
        </w:rPr>
        <w:t>roups like Coiste will have events that we are invited to and young people go and speak to them. It’s not just within Sinn Fein, it’s a Republican thing. You can come in and talk to them, you can talk about stories in the past, you can talk about the future, you can talk about how they can go around</w:t>
      </w:r>
      <w:r w:rsidR="00D310C9">
        <w:rPr>
          <w:rFonts w:ascii="Times New Roman" w:hAnsi="Times New Roman" w:cs="Times New Roman"/>
          <w:i/>
          <w:color w:val="000000"/>
        </w:rPr>
        <w:t xml:space="preserve"> the city in Unionist outreach.</w:t>
      </w:r>
      <w:r w:rsidR="00D310C9">
        <w:rPr>
          <w:rStyle w:val="FootnoteReference"/>
          <w:rFonts w:ascii="Times New Roman" w:hAnsi="Times New Roman" w:cs="Times New Roman"/>
          <w:i/>
          <w:color w:val="000000"/>
        </w:rPr>
        <w:footnoteReference w:id="576"/>
      </w:r>
    </w:p>
    <w:p w14:paraId="594B34BA" w14:textId="77777777" w:rsidR="00655AD6" w:rsidRPr="00616F5E" w:rsidRDefault="00655AD6" w:rsidP="00B57C7F">
      <w:pPr>
        <w:spacing w:line="360" w:lineRule="auto"/>
        <w:ind w:firstLine="567"/>
        <w:jc w:val="both"/>
        <w:rPr>
          <w:rFonts w:ascii="Times New Roman" w:hAnsi="Times New Roman" w:cs="Times New Roman"/>
        </w:rPr>
      </w:pPr>
    </w:p>
    <w:p w14:paraId="3532B3E4" w14:textId="77777777" w:rsidR="00655AD6" w:rsidRPr="00A86C53" w:rsidRDefault="00655AD6" w:rsidP="00B57C7F">
      <w:pPr>
        <w:spacing w:line="360" w:lineRule="auto"/>
        <w:ind w:firstLine="567"/>
        <w:jc w:val="both"/>
        <w:rPr>
          <w:rFonts w:ascii="Times New Roman" w:hAnsi="Times New Roman" w:cs="Times New Roman"/>
          <w:iCs/>
        </w:rPr>
      </w:pPr>
      <w:r w:rsidRPr="00616F5E">
        <w:rPr>
          <w:rFonts w:ascii="Times New Roman" w:hAnsi="Times New Roman" w:cs="Times New Roman"/>
        </w:rPr>
        <w:t>Networks differ in terms of how much authority, respect and credibility they have among young people, which can influence the extent the message resonates. Furthermore, political networks, by their very nature, will be more likely to actively push a coherent and structured message, e.g. a disengagement frame, while also talking about stories from the past:</w:t>
      </w:r>
      <w:r w:rsidR="00A86C53">
        <w:rPr>
          <w:rFonts w:ascii="Times New Roman" w:hAnsi="Times New Roman" w:cs="Times New Roman"/>
        </w:rPr>
        <w:t xml:space="preserve"> ‘</w:t>
      </w:r>
      <w:r w:rsidRPr="00A86C53">
        <w:rPr>
          <w:rFonts w:ascii="Times New Roman" w:hAnsi="Times New Roman" w:cs="Times New Roman"/>
          <w:iCs/>
          <w:color w:val="000000"/>
        </w:rPr>
        <w:t xml:space="preserve">Some of our ex-prisoners and groups like Coiste are saying to us the things that they are doing at the minute, that they are going into </w:t>
      </w:r>
      <w:r w:rsidRPr="00A86C53">
        <w:rPr>
          <w:rFonts w:ascii="Times New Roman" w:hAnsi="Times New Roman" w:cs="Times New Roman"/>
          <w:iCs/>
          <w:color w:val="000000"/>
        </w:rPr>
        <w:lastRenderedPageBreak/>
        <w:t>cross-community stuff, and they are pushing us into it. To go and see the craic and tell us wee stories and that</w:t>
      </w:r>
      <w:r w:rsidR="00A86C53">
        <w:rPr>
          <w:rFonts w:ascii="Times New Roman" w:hAnsi="Times New Roman" w:cs="Times New Roman"/>
          <w:iCs/>
          <w:color w:val="000000"/>
        </w:rPr>
        <w:t>’</w:t>
      </w:r>
      <w:r w:rsidR="00B23FE1">
        <w:rPr>
          <w:rFonts w:ascii="Times New Roman" w:hAnsi="Times New Roman" w:cs="Times New Roman"/>
          <w:iCs/>
          <w:color w:val="000000"/>
        </w:rPr>
        <w:t>.</w:t>
      </w:r>
      <w:r w:rsidR="00B23FE1">
        <w:rPr>
          <w:rStyle w:val="FootnoteReference"/>
          <w:rFonts w:ascii="Times New Roman" w:hAnsi="Times New Roman" w:cs="Times New Roman"/>
          <w:iCs/>
          <w:color w:val="000000"/>
        </w:rPr>
        <w:footnoteReference w:id="577"/>
      </w:r>
    </w:p>
    <w:p w14:paraId="752BF004" w14:textId="77777777" w:rsidR="00A86C53" w:rsidRDefault="00A86C53" w:rsidP="00B57C7F">
      <w:pPr>
        <w:spacing w:line="360" w:lineRule="auto"/>
      </w:pPr>
    </w:p>
    <w:p w14:paraId="31A3C084" w14:textId="77777777" w:rsidR="00655AD6" w:rsidRPr="00616F5E" w:rsidRDefault="00655AD6" w:rsidP="00B57C7F">
      <w:pPr>
        <w:pStyle w:val="Heading4"/>
        <w:spacing w:before="120" w:line="360" w:lineRule="auto"/>
      </w:pPr>
      <w:bookmarkStart w:id="68" w:name="_Toc389208850"/>
      <w:r w:rsidRPr="00616F5E">
        <w:t>Intergenerational Dialogue and Glamourising Violence</w:t>
      </w:r>
      <w:bookmarkEnd w:id="68"/>
    </w:p>
    <w:p w14:paraId="721D538E"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 xml:space="preserve">Before expanding on the impact </w:t>
      </w:r>
      <w:r w:rsidR="007630E3">
        <w:rPr>
          <w:rFonts w:ascii="Times New Roman" w:hAnsi="Times New Roman" w:cs="Times New Roman"/>
        </w:rPr>
        <w:t>that</w:t>
      </w:r>
      <w:r w:rsidRPr="00616F5E">
        <w:rPr>
          <w:rFonts w:ascii="Times New Roman" w:hAnsi="Times New Roman" w:cs="Times New Roman"/>
        </w:rPr>
        <w:t xml:space="preserve"> Coiste’s engagement with young people has</w:t>
      </w:r>
      <w:r w:rsidR="007630E3">
        <w:rPr>
          <w:rFonts w:ascii="Times New Roman" w:hAnsi="Times New Roman" w:cs="Times New Roman"/>
        </w:rPr>
        <w:t xml:space="preserve"> had</w:t>
      </w:r>
      <w:r w:rsidRPr="00616F5E">
        <w:rPr>
          <w:rFonts w:ascii="Times New Roman" w:hAnsi="Times New Roman" w:cs="Times New Roman"/>
        </w:rPr>
        <w:t>, the chapter firstly explores the argument that a lack of intergenerational dialogue has posed problems with regard to de/legitimising violence. Interaction with the first and second type of family and social networks may be the least effective means of diffusion (depending on the specific networks of course).</w:t>
      </w:r>
      <w:r w:rsidR="008E0806" w:rsidRPr="00616F5E">
        <w:rPr>
          <w:rStyle w:val="FootnoteReference"/>
          <w:rFonts w:ascii="Times New Roman" w:hAnsi="Times New Roman" w:cs="Times New Roman"/>
        </w:rPr>
        <w:footnoteReference w:id="578"/>
      </w:r>
      <w:r w:rsidRPr="00616F5E">
        <w:rPr>
          <w:rFonts w:ascii="Times New Roman" w:hAnsi="Times New Roman" w:cs="Times New Roman"/>
        </w:rPr>
        <w:t xml:space="preserve"> With regard to diffusion, the participants below were identifying family and social networks primarily, which exhibited signs of either a lack of dialogue and/or stories of the ‘good times’. However, while there was a limitation in dialogue expressed, some participants were able to interpret the meaning behind this lack of inter-generational dialogue. In the excerpts below, participants were able to identify the negative impact of conflict despite it not being explicitly articulated by family members or friends:</w:t>
      </w:r>
    </w:p>
    <w:p w14:paraId="6A1B52FD" w14:textId="77777777" w:rsidR="00360206" w:rsidRDefault="00360206" w:rsidP="00B57C7F">
      <w:pPr>
        <w:spacing w:line="360" w:lineRule="auto"/>
        <w:ind w:left="567" w:right="567"/>
        <w:jc w:val="both"/>
        <w:rPr>
          <w:rFonts w:ascii="Times New Roman" w:hAnsi="Times New Roman" w:cs="Times New Roman"/>
        </w:rPr>
      </w:pPr>
    </w:p>
    <w:p w14:paraId="354B9D09" w14:textId="77777777" w:rsidR="00655AD6"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 xml:space="preserve">See to be honest...my mother’s brother was murdered in 1971 by the British army and although it was forty-three years ago it still affects my mother in so many ways. And now recently it’s like there are wee surges where you see her fall into the devastation again. And every time she retells the story she relives it. And not only that as well, my youngest brother, he’s nineteen, and he’s sort of similar to my uncle and see now, my mother is looking at him and you know, he is only twenty, and John was twenty when he was murdered. She just has this, and I watch her, and it’s really really sad to watch you know, that was her brother. See if anyone murdered my brother I wouldn’t want them to live, you really really wouldn’t. For me it’s always just been watching her and the </w:t>
      </w:r>
      <w:r w:rsidRPr="00616F5E">
        <w:rPr>
          <w:rFonts w:ascii="Times New Roman" w:hAnsi="Times New Roman" w:cs="Times New Roman"/>
          <w:i/>
          <w:color w:val="000000"/>
        </w:rPr>
        <w:lastRenderedPageBreak/>
        <w:t xml:space="preserve">devastation that ran through that family and to be totally honest I see the trauma that is passed </w:t>
      </w:r>
      <w:r w:rsidR="00360206">
        <w:rPr>
          <w:rFonts w:ascii="Times New Roman" w:hAnsi="Times New Roman" w:cs="Times New Roman"/>
          <w:i/>
          <w:color w:val="000000"/>
        </w:rPr>
        <w:t>down do you know, and it’s sad.</w:t>
      </w:r>
      <w:r w:rsidR="00360206">
        <w:rPr>
          <w:rStyle w:val="FootnoteReference"/>
          <w:rFonts w:ascii="Times New Roman" w:hAnsi="Times New Roman" w:cs="Times New Roman"/>
          <w:i/>
          <w:color w:val="000000"/>
        </w:rPr>
        <w:footnoteReference w:id="579"/>
      </w:r>
      <w:r w:rsidR="00360206">
        <w:rPr>
          <w:rFonts w:ascii="Times New Roman" w:hAnsi="Times New Roman" w:cs="Times New Roman"/>
          <w:i/>
          <w:color w:val="000000"/>
        </w:rPr>
        <w:t xml:space="preserve"> </w:t>
      </w:r>
    </w:p>
    <w:p w14:paraId="30D4360A" w14:textId="77777777" w:rsidR="00360206" w:rsidRDefault="00360206" w:rsidP="00B57C7F">
      <w:pPr>
        <w:spacing w:line="360" w:lineRule="auto"/>
        <w:ind w:left="567" w:right="567"/>
        <w:jc w:val="both"/>
        <w:rPr>
          <w:rFonts w:ascii="Times New Roman" w:hAnsi="Times New Roman" w:cs="Times New Roman"/>
          <w:i/>
          <w:color w:val="000000"/>
        </w:rPr>
      </w:pPr>
    </w:p>
    <w:p w14:paraId="5829FA51"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I think a lot of people still have, still find what they have been through as traumatic and hard to deal with. They don’t like to talk about the negativity side because it affects them. More so, I have, a family friend of ours sits with us...and you would laugh the whole night, the stuff that he’d tell you about being in jail and all the good bits and pieces of it but he would never talk about the negative sides of things. But you could see that that fella, deep down, has a lot of issues; I just think its people’s way of coping is by talking about the good times</w:t>
      </w:r>
      <w:r w:rsidR="00360206">
        <w:rPr>
          <w:rFonts w:ascii="Times New Roman" w:hAnsi="Times New Roman" w:cs="Times New Roman"/>
          <w:i/>
          <w:color w:val="000000"/>
        </w:rPr>
        <w:t>.</w:t>
      </w:r>
      <w:r w:rsidR="00360206">
        <w:rPr>
          <w:rStyle w:val="FootnoteReference"/>
          <w:rFonts w:ascii="Times New Roman" w:hAnsi="Times New Roman" w:cs="Times New Roman"/>
          <w:i/>
          <w:color w:val="000000"/>
        </w:rPr>
        <w:footnoteReference w:id="580"/>
      </w:r>
      <w:r w:rsidRPr="00616F5E">
        <w:rPr>
          <w:rFonts w:ascii="Times New Roman" w:hAnsi="Times New Roman" w:cs="Times New Roman"/>
          <w:i/>
          <w:color w:val="000000"/>
        </w:rPr>
        <w:t xml:space="preserve"> </w:t>
      </w:r>
    </w:p>
    <w:p w14:paraId="5D74E9B7" w14:textId="77777777" w:rsidR="00655AD6" w:rsidRPr="00616F5E" w:rsidRDefault="00655AD6" w:rsidP="00B57C7F">
      <w:pPr>
        <w:spacing w:line="360" w:lineRule="auto"/>
        <w:ind w:firstLine="567"/>
        <w:jc w:val="both"/>
        <w:rPr>
          <w:rFonts w:ascii="Times New Roman" w:hAnsi="Times New Roman" w:cs="Times New Roman"/>
        </w:rPr>
      </w:pPr>
    </w:p>
    <w:p w14:paraId="6936E7B9"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Subsequently, while limited intergenerational dialogue may create problems with ambiguity, young people embedded within more dense networks can perhaps read between the lines.</w:t>
      </w:r>
      <w:r w:rsidR="007630E3">
        <w:rPr>
          <w:rFonts w:ascii="Times New Roman" w:hAnsi="Times New Roman" w:cs="Times New Roman"/>
        </w:rPr>
        <w:t xml:space="preserve"> </w:t>
      </w:r>
      <w:r w:rsidRPr="00616F5E">
        <w:rPr>
          <w:rFonts w:ascii="Times New Roman" w:hAnsi="Times New Roman" w:cs="Times New Roman"/>
        </w:rPr>
        <w:t>Therefore, even in such cases, the participant was able to identify that there were negative aspects that showed violence to be less glamorous, even if this was not articulated through interaction with family and social networks.</w:t>
      </w:r>
      <w:r w:rsidR="007630E3">
        <w:rPr>
          <w:rFonts w:ascii="Times New Roman" w:hAnsi="Times New Roman" w:cs="Times New Roman"/>
        </w:rPr>
        <w:t xml:space="preserve"> McEvoy argues that more experience with the conflict provides young people with a deeper understanding of peace and a greater inclination to being involved in peacebuilding; the thesis’ findings suggest a similar effect with regard to perceptions of violence.</w:t>
      </w:r>
      <w:r w:rsidRPr="00616F5E">
        <w:rPr>
          <w:rFonts w:ascii="Times New Roman" w:hAnsi="Times New Roman" w:cs="Times New Roman"/>
        </w:rPr>
        <w:t xml:space="preserve"> Nevertheless, the lack of an explicit dialogue that could frame the stories and grief leaves the recipient to operationalise it: thus, because of the inability to express their views, family and social networks suspend their potential role as credible, normative actors against armed violence. However, the argument that</w:t>
      </w:r>
      <w:r w:rsidR="007630E3">
        <w:rPr>
          <w:rFonts w:ascii="Times New Roman" w:hAnsi="Times New Roman" w:cs="Times New Roman"/>
        </w:rPr>
        <w:t xml:space="preserve"> is presented in</w:t>
      </w:r>
      <w:r w:rsidRPr="00616F5E">
        <w:rPr>
          <w:rFonts w:ascii="Times New Roman" w:hAnsi="Times New Roman" w:cs="Times New Roman"/>
        </w:rPr>
        <w:t xml:space="preserve"> the first quote</w:t>
      </w:r>
      <w:r w:rsidR="007630E3">
        <w:rPr>
          <w:rFonts w:ascii="Times New Roman" w:hAnsi="Times New Roman" w:cs="Times New Roman"/>
        </w:rPr>
        <w:t xml:space="preserve"> (above) -</w:t>
      </w:r>
      <w:r w:rsidRPr="00616F5E">
        <w:rPr>
          <w:rFonts w:ascii="Times New Roman" w:hAnsi="Times New Roman" w:cs="Times New Roman"/>
        </w:rPr>
        <w:t xml:space="preserve"> referring </w:t>
      </w:r>
      <w:r w:rsidR="007630E3">
        <w:rPr>
          <w:rFonts w:ascii="Times New Roman" w:hAnsi="Times New Roman" w:cs="Times New Roman"/>
        </w:rPr>
        <w:t>to ‘</w:t>
      </w:r>
      <w:r w:rsidR="004053FA">
        <w:rPr>
          <w:rFonts w:ascii="Times New Roman" w:hAnsi="Times New Roman" w:cs="Times New Roman"/>
        </w:rPr>
        <w:t xml:space="preserve">I </w:t>
      </w:r>
      <w:r w:rsidR="007630E3">
        <w:rPr>
          <w:rFonts w:ascii="Times New Roman" w:hAnsi="Times New Roman" w:cs="Times New Roman"/>
        </w:rPr>
        <w:t>wouldn’t want them to live’ -</w:t>
      </w:r>
      <w:r w:rsidRPr="00616F5E">
        <w:rPr>
          <w:rFonts w:ascii="Times New Roman" w:hAnsi="Times New Roman" w:cs="Times New Roman"/>
        </w:rPr>
        <w:t xml:space="preserve"> is demonstrative of </w:t>
      </w:r>
      <w:r w:rsidR="004053FA">
        <w:rPr>
          <w:rFonts w:ascii="Times New Roman" w:hAnsi="Times New Roman" w:cs="Times New Roman"/>
        </w:rPr>
        <w:t xml:space="preserve">how </w:t>
      </w:r>
      <w:r w:rsidRPr="00616F5E">
        <w:rPr>
          <w:rFonts w:ascii="Times New Roman" w:hAnsi="Times New Roman" w:cs="Times New Roman"/>
        </w:rPr>
        <w:t xml:space="preserve"> unrealistic </w:t>
      </w:r>
      <w:r w:rsidR="004053FA">
        <w:rPr>
          <w:rFonts w:ascii="Times New Roman" w:hAnsi="Times New Roman" w:cs="Times New Roman"/>
        </w:rPr>
        <w:t>expectations of de-radicalisation are</w:t>
      </w:r>
      <w:r w:rsidRPr="00616F5E">
        <w:rPr>
          <w:rFonts w:ascii="Times New Roman" w:hAnsi="Times New Roman" w:cs="Times New Roman"/>
        </w:rPr>
        <w:t>: the quote is to an extent legitimising violence but this should be contextualised in every-day reactions to the [potential] loss of a loved one.</w:t>
      </w:r>
      <w:r w:rsidR="004053FA">
        <w:rPr>
          <w:rFonts w:ascii="Times New Roman" w:hAnsi="Times New Roman" w:cs="Times New Roman"/>
        </w:rPr>
        <w:t xml:space="preserve"> The legitimisation of violence through a desire for revenge tends to be a short-term gut reaction and it requires this attitude to be placed in a political frame for it to sustain long-term mobilisation, as one </w:t>
      </w:r>
      <w:r w:rsidR="004053FA">
        <w:rPr>
          <w:rFonts w:ascii="Times New Roman" w:hAnsi="Times New Roman" w:cs="Times New Roman"/>
        </w:rPr>
        <w:lastRenderedPageBreak/>
        <w:t>Provisional IRA member suggested</w:t>
      </w:r>
      <w:r w:rsidR="008E0806">
        <w:rPr>
          <w:rFonts w:ascii="Times New Roman" w:hAnsi="Times New Roman" w:cs="Times New Roman"/>
        </w:rPr>
        <w:t>.</w:t>
      </w:r>
      <w:r w:rsidR="004053FA">
        <w:rPr>
          <w:rStyle w:val="FootnoteReference"/>
          <w:rFonts w:ascii="Times New Roman" w:hAnsi="Times New Roman" w:cs="Times New Roman"/>
        </w:rPr>
        <w:footnoteReference w:id="581"/>
      </w:r>
      <w:r w:rsidRPr="00616F5E">
        <w:rPr>
          <w:rFonts w:ascii="Times New Roman" w:hAnsi="Times New Roman" w:cs="Times New Roman"/>
        </w:rPr>
        <w:t xml:space="preserve"> </w:t>
      </w:r>
      <w:r w:rsidR="004053FA">
        <w:rPr>
          <w:rFonts w:ascii="Times New Roman" w:hAnsi="Times New Roman" w:cs="Times New Roman"/>
        </w:rPr>
        <w:t xml:space="preserve">Equally so, such grief placed in a disengagement frame may help to de-politicise the feeling for revenge. </w:t>
      </w:r>
      <w:r w:rsidRPr="00616F5E">
        <w:rPr>
          <w:rFonts w:ascii="Times New Roman" w:hAnsi="Times New Roman" w:cs="Times New Roman"/>
        </w:rPr>
        <w:t>Yet, interaction with the mother does lead the participant to imagine (political) contexts in which violence would be legitimate, which is loosely framed in a political context. Therefore, the role of family and social networks as a conduit for diffusion of di</w:t>
      </w:r>
      <w:r w:rsidR="004053FA">
        <w:rPr>
          <w:rFonts w:ascii="Times New Roman" w:hAnsi="Times New Roman" w:cs="Times New Roman"/>
        </w:rPr>
        <w:t>sengagement frames is limited</w:t>
      </w:r>
      <w:r w:rsidRPr="00616F5E">
        <w:rPr>
          <w:rFonts w:ascii="Times New Roman" w:hAnsi="Times New Roman" w:cs="Times New Roman"/>
        </w:rPr>
        <w:t>. Also, despite the mixed signals from intergenerational dialogue seemingly legitimising violence, there are indications that the more explicit the dialogue is then young people will view armed violence as not being glamorous:</w:t>
      </w:r>
    </w:p>
    <w:p w14:paraId="7A6480AA" w14:textId="77777777" w:rsidR="00655AD6" w:rsidRPr="00616F5E" w:rsidRDefault="00655AD6" w:rsidP="00B57C7F">
      <w:pPr>
        <w:spacing w:line="360" w:lineRule="auto"/>
        <w:ind w:firstLine="567"/>
        <w:jc w:val="both"/>
        <w:rPr>
          <w:rFonts w:ascii="Times New Roman" w:hAnsi="Times New Roman" w:cs="Times New Roman"/>
        </w:rPr>
      </w:pPr>
    </w:p>
    <w:p w14:paraId="7CA8FF80" w14:textId="77777777" w:rsidR="00655AD6" w:rsidRPr="00616F5E" w:rsidRDefault="00655AD6" w:rsidP="00B57C7F">
      <w:pPr>
        <w:spacing w:line="360" w:lineRule="auto"/>
        <w:ind w:left="567" w:right="567"/>
        <w:jc w:val="both"/>
        <w:rPr>
          <w:rFonts w:ascii="Times New Roman" w:hAnsi="Times New Roman" w:cs="Times New Roman"/>
          <w:i/>
        </w:rPr>
      </w:pPr>
      <w:r w:rsidRPr="00616F5E">
        <w:rPr>
          <w:rFonts w:ascii="Times New Roman" w:hAnsi="Times New Roman" w:cs="Times New Roman"/>
          <w:i/>
          <w:color w:val="000000"/>
        </w:rPr>
        <w:t>Friends of the family and stuff lost loved ones and listening to their stories it makes you realise it wasn’t just going out, picking a weapon up and, its happy days, go back to your house and that’s it. There’s actually one fella, he’s an ex-POW</w:t>
      </w:r>
      <w:r w:rsidR="0086387B">
        <w:rPr>
          <w:rFonts w:ascii="Times New Roman" w:hAnsi="Times New Roman" w:cs="Times New Roman"/>
          <w:i/>
          <w:color w:val="000000"/>
        </w:rPr>
        <w:t xml:space="preserve"> [Prisoners of War]</w:t>
      </w:r>
      <w:r w:rsidRPr="00616F5E">
        <w:rPr>
          <w:rFonts w:ascii="Times New Roman" w:hAnsi="Times New Roman" w:cs="Times New Roman"/>
          <w:i/>
          <w:color w:val="000000"/>
        </w:rPr>
        <w:t>, he’s actually dead now, but his wife says some days he would wake up in the night. He used to see people walking at the bottom of the bed, so obviously regardless, if he’s even seen them as legitimate targe</w:t>
      </w:r>
      <w:r w:rsidR="00360206">
        <w:rPr>
          <w:rFonts w:ascii="Times New Roman" w:hAnsi="Times New Roman" w:cs="Times New Roman"/>
          <w:i/>
          <w:color w:val="000000"/>
        </w:rPr>
        <w:t>ts it’s still on his conscience.</w:t>
      </w:r>
      <w:r w:rsidR="00360206">
        <w:rPr>
          <w:rStyle w:val="FootnoteReference"/>
          <w:rFonts w:ascii="Times New Roman" w:hAnsi="Times New Roman" w:cs="Times New Roman"/>
          <w:i/>
          <w:color w:val="000000"/>
        </w:rPr>
        <w:footnoteReference w:id="582"/>
      </w:r>
    </w:p>
    <w:p w14:paraId="7A5EDA8A" w14:textId="77777777" w:rsidR="00655AD6" w:rsidRPr="00616F5E" w:rsidRDefault="00655AD6" w:rsidP="00B57C7F">
      <w:pPr>
        <w:spacing w:line="360" w:lineRule="auto"/>
        <w:ind w:firstLine="567"/>
        <w:jc w:val="both"/>
        <w:rPr>
          <w:rFonts w:ascii="Times New Roman" w:hAnsi="Times New Roman" w:cs="Times New Roman"/>
        </w:rPr>
      </w:pPr>
    </w:p>
    <w:p w14:paraId="23F2E8E1"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From this quote, it was difficult to ascertain to what extent the participant had been exposed to family and social networks, or whether this interaction emerged from exposure to political networks. Nevertheless, the distinction is often intertwined, yet what it suggests is that greater exposure to the past, stories and the disengagement frame, the participant is more likely to be able to de-glamourise armed violence themselves. A crucial factor is the role of political networks insofar as they provide a more coherent story, integrating these with the disengagement frame</w:t>
      </w:r>
      <w:r w:rsidR="00DF3B6D">
        <w:rPr>
          <w:rFonts w:ascii="Times New Roman" w:hAnsi="Times New Roman" w:cs="Times New Roman"/>
        </w:rPr>
        <w:t xml:space="preserve"> which, for example, could help contextualise the experiences of personal loss that may motivate mobilisation</w:t>
      </w:r>
      <w:r w:rsidRPr="00616F5E">
        <w:rPr>
          <w:rFonts w:ascii="Times New Roman" w:hAnsi="Times New Roman" w:cs="Times New Roman"/>
        </w:rPr>
        <w:t xml:space="preserve">. Specifically in the case of the Provisional IRA, they are in a strong position to do this because they are seen to have credibility. While this credibility is gained through appeals to the legitimacy of past violence, the </w:t>
      </w:r>
      <w:r w:rsidRPr="00616F5E">
        <w:rPr>
          <w:rFonts w:ascii="Times New Roman" w:hAnsi="Times New Roman" w:cs="Times New Roman"/>
        </w:rPr>
        <w:lastRenderedPageBreak/>
        <w:t>young people are able to distinguish between the legitimacy of past violence and the illegitimacy of current violence.</w:t>
      </w:r>
    </w:p>
    <w:p w14:paraId="38DCC63F" w14:textId="77777777" w:rsidR="00655AD6" w:rsidRPr="00616F5E" w:rsidRDefault="00655AD6" w:rsidP="00B57C7F">
      <w:pPr>
        <w:spacing w:line="360" w:lineRule="auto"/>
        <w:ind w:firstLine="567"/>
        <w:jc w:val="both"/>
        <w:rPr>
          <w:rFonts w:ascii="Times New Roman" w:hAnsi="Times New Roman" w:cs="Times New Roman"/>
        </w:rPr>
      </w:pPr>
    </w:p>
    <w:p w14:paraId="08AE35CF" w14:textId="77777777" w:rsidR="00655AD6" w:rsidRPr="00616F5E" w:rsidRDefault="00655AD6" w:rsidP="00B57C7F">
      <w:pPr>
        <w:pStyle w:val="Heading4"/>
        <w:spacing w:before="120" w:line="360" w:lineRule="auto"/>
      </w:pPr>
      <w:bookmarkStart w:id="69" w:name="_Toc389208851"/>
      <w:r w:rsidRPr="00616F5E">
        <w:t>Frame Resonance: Credibility and De-Legitimising (Current) Violence</w:t>
      </w:r>
      <w:bookmarkEnd w:id="69"/>
    </w:p>
    <w:p w14:paraId="1E52EE4A" w14:textId="77777777" w:rsidR="00655AD6" w:rsidRPr="00616F5E"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A fundamental aspect of frame resonance is the perception that the person espousing the frame is a credible</w:t>
      </w:r>
      <w:r w:rsidR="00827816">
        <w:rPr>
          <w:rFonts w:ascii="Times New Roman" w:hAnsi="Times New Roman" w:cs="Times New Roman"/>
        </w:rPr>
        <w:t xml:space="preserve"> figure</w:t>
      </w:r>
      <w:r w:rsidRPr="00616F5E">
        <w:rPr>
          <w:rFonts w:ascii="Times New Roman" w:hAnsi="Times New Roman" w:cs="Times New Roman"/>
        </w:rPr>
        <w:t>.</w:t>
      </w:r>
      <w:r w:rsidR="00827816">
        <w:rPr>
          <w:rFonts w:ascii="Times New Roman" w:hAnsi="Times New Roman" w:cs="Times New Roman"/>
        </w:rPr>
        <w:t xml:space="preserve"> In Chapter Four, it was demonstrated how people considered to be credible, often gained by their experience in prisons, were actively utilised when the internal discussions took place – it was shown how this was crucial in ensuring the disengagement frame resonated with Provisional IRA members. The credibility of former combatants also helped the frame to resonate with young people, particularly for those embedded within political networks.</w:t>
      </w:r>
      <w:r w:rsidRPr="00616F5E">
        <w:rPr>
          <w:rFonts w:ascii="Times New Roman" w:hAnsi="Times New Roman" w:cs="Times New Roman"/>
        </w:rPr>
        <w:t xml:space="preserve"> When asked why former combatants have credibility, participants in the focus group stated:</w:t>
      </w:r>
    </w:p>
    <w:p w14:paraId="6E8C472D" w14:textId="77777777" w:rsidR="00655AD6" w:rsidRPr="00616F5E" w:rsidRDefault="00655AD6" w:rsidP="00B57C7F">
      <w:pPr>
        <w:spacing w:line="360" w:lineRule="auto"/>
        <w:ind w:firstLine="567"/>
        <w:jc w:val="both"/>
        <w:rPr>
          <w:rFonts w:ascii="Times New Roman" w:hAnsi="Times New Roman" w:cs="Times New Roman"/>
        </w:rPr>
      </w:pPr>
    </w:p>
    <w:p w14:paraId="16936F54"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Ex-combatants are the ones that young people will listen to. Also because our elected representatives are ex-combatants, I think we have more respect for our elected representatives than in Unionist communities because...ours are on the ground, they are there when something is going to happen. Our ex-combatants are on the ground and</w:t>
      </w:r>
      <w:r w:rsidR="00360206">
        <w:rPr>
          <w:rFonts w:ascii="Times New Roman" w:hAnsi="Times New Roman" w:cs="Times New Roman"/>
          <w:i/>
          <w:color w:val="000000"/>
        </w:rPr>
        <w:t xml:space="preserve"> are stopping things happening</w:t>
      </w:r>
      <w:r w:rsidRPr="00616F5E">
        <w:rPr>
          <w:rFonts w:ascii="Times New Roman" w:hAnsi="Times New Roman" w:cs="Times New Roman"/>
          <w:i/>
          <w:color w:val="000000"/>
        </w:rPr>
        <w:t>.</w:t>
      </w:r>
      <w:r w:rsidR="00360206">
        <w:rPr>
          <w:rStyle w:val="FootnoteReference"/>
          <w:rFonts w:ascii="Times New Roman" w:hAnsi="Times New Roman" w:cs="Times New Roman"/>
          <w:i/>
          <w:color w:val="000000"/>
        </w:rPr>
        <w:footnoteReference w:id="583"/>
      </w:r>
      <w:r w:rsidRPr="00616F5E">
        <w:rPr>
          <w:rFonts w:ascii="Times New Roman" w:hAnsi="Times New Roman" w:cs="Times New Roman"/>
          <w:i/>
          <w:color w:val="000000"/>
        </w:rPr>
        <w:t xml:space="preserve">  </w:t>
      </w:r>
    </w:p>
    <w:p w14:paraId="3122A53C" w14:textId="77777777" w:rsidR="00655AD6" w:rsidRPr="00616F5E" w:rsidRDefault="00655AD6" w:rsidP="00B57C7F">
      <w:pPr>
        <w:spacing w:line="360" w:lineRule="auto"/>
        <w:ind w:left="567" w:right="567" w:firstLine="567"/>
        <w:jc w:val="both"/>
        <w:rPr>
          <w:rFonts w:ascii="Times New Roman" w:hAnsi="Times New Roman" w:cs="Times New Roman"/>
          <w:i/>
        </w:rPr>
      </w:pPr>
    </w:p>
    <w:p w14:paraId="1929BFB9" w14:textId="77777777" w:rsidR="00655AD6" w:rsidRPr="00616F5E" w:rsidRDefault="00827816" w:rsidP="00B57C7F">
      <w:pPr>
        <w:spacing w:line="360" w:lineRule="auto"/>
        <w:ind w:firstLine="567"/>
        <w:jc w:val="both"/>
        <w:rPr>
          <w:rFonts w:ascii="Times New Roman" w:hAnsi="Times New Roman" w:cs="Times New Roman"/>
        </w:rPr>
      </w:pPr>
      <w:r>
        <w:rPr>
          <w:rFonts w:ascii="Times New Roman" w:hAnsi="Times New Roman" w:cs="Times New Roman"/>
        </w:rPr>
        <w:t xml:space="preserve">The quote above also demonstrates that the credibility also derives from their </w:t>
      </w:r>
      <w:r w:rsidR="007F6BDE">
        <w:rPr>
          <w:rFonts w:ascii="Times New Roman" w:hAnsi="Times New Roman" w:cs="Times New Roman"/>
        </w:rPr>
        <w:t xml:space="preserve">role in disengagement, which differs from the findings of Chapter Four. Whereas credibility was based on the role in the armed struggle for the previous generation, the younger generation are also basing it on </w:t>
      </w:r>
      <w:r w:rsidR="00072D67">
        <w:rPr>
          <w:rFonts w:ascii="Times New Roman" w:hAnsi="Times New Roman" w:cs="Times New Roman"/>
        </w:rPr>
        <w:t>former combatants’</w:t>
      </w:r>
      <w:r w:rsidR="007F6BDE">
        <w:rPr>
          <w:rFonts w:ascii="Times New Roman" w:hAnsi="Times New Roman" w:cs="Times New Roman"/>
        </w:rPr>
        <w:t xml:space="preserve"> role in peace-work</w:t>
      </w:r>
      <w:r w:rsidR="00072D67">
        <w:rPr>
          <w:rFonts w:ascii="Times New Roman" w:hAnsi="Times New Roman" w:cs="Times New Roman"/>
        </w:rPr>
        <w:t xml:space="preserve"> and the respect they have in the community</w:t>
      </w:r>
      <w:r w:rsidR="007F6BDE">
        <w:rPr>
          <w:rFonts w:ascii="Times New Roman" w:hAnsi="Times New Roman" w:cs="Times New Roman"/>
        </w:rPr>
        <w:t>.</w:t>
      </w:r>
      <w:r w:rsidR="00072D67">
        <w:rPr>
          <w:rFonts w:ascii="Times New Roman" w:hAnsi="Times New Roman" w:cs="Times New Roman"/>
        </w:rPr>
        <w:t xml:space="preserve"> </w:t>
      </w:r>
      <w:r w:rsidR="00655AD6" w:rsidRPr="00616F5E">
        <w:rPr>
          <w:rFonts w:ascii="Times New Roman" w:hAnsi="Times New Roman" w:cs="Times New Roman"/>
        </w:rPr>
        <w:t>Rather than glorifying or encouraging support for violence, the stories that former combatants told, and the fact they were involved in the conflict, boosted the credibility and respect the young participants had for them:</w:t>
      </w:r>
    </w:p>
    <w:p w14:paraId="71ACD646" w14:textId="77777777" w:rsidR="00655AD6" w:rsidRPr="00616F5E" w:rsidRDefault="00655AD6" w:rsidP="00B57C7F">
      <w:pPr>
        <w:spacing w:line="360" w:lineRule="auto"/>
        <w:ind w:firstLine="567"/>
        <w:jc w:val="both"/>
        <w:rPr>
          <w:rFonts w:ascii="Times New Roman" w:hAnsi="Times New Roman" w:cs="Times New Roman"/>
        </w:rPr>
      </w:pPr>
    </w:p>
    <w:p w14:paraId="0EA532DE" w14:textId="77777777" w:rsidR="00072D67"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lastRenderedPageBreak/>
        <w:t>As young Republicans, we would have more respect for those dead and alive who devoted their lives to achieve a united Ireland and achieve where we are today, you know, living in a society that is equal for Catholics and Nationalists to live in. To be honest, I love sitting down and listening to the stories, like the ‘Great Escape’ and loads of different things. And you just sit in admiration you know. Yes, we would all be devoted Republicans, but they gave so much and to have them spend life in jail as well. And they did it for us; they did it for this generatio</w:t>
      </w:r>
      <w:r w:rsidR="00360206">
        <w:rPr>
          <w:rFonts w:ascii="Times New Roman" w:hAnsi="Times New Roman" w:cs="Times New Roman"/>
          <w:i/>
          <w:color w:val="000000"/>
        </w:rPr>
        <w:t>n to live in a peaceful society.</w:t>
      </w:r>
      <w:r w:rsidR="00360206">
        <w:rPr>
          <w:rStyle w:val="FootnoteReference"/>
          <w:rFonts w:ascii="Times New Roman" w:hAnsi="Times New Roman" w:cs="Times New Roman"/>
          <w:i/>
          <w:color w:val="000000"/>
        </w:rPr>
        <w:footnoteReference w:id="584"/>
      </w:r>
    </w:p>
    <w:p w14:paraId="729D36CD"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    </w:t>
      </w:r>
    </w:p>
    <w:p w14:paraId="144C539B"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It’s respect, you are looking upwards to them. You want to be in their boots, you want be in their shoes, take on what they’ve done, obviously not in a war situation. We are not looking up to terrorist</w:t>
      </w:r>
      <w:r w:rsidR="00984005">
        <w:rPr>
          <w:rFonts w:ascii="Times New Roman" w:hAnsi="Times New Roman" w:cs="Times New Roman"/>
          <w:i/>
          <w:color w:val="000000"/>
        </w:rPr>
        <w:t>s</w:t>
      </w:r>
      <w:r w:rsidRPr="00616F5E">
        <w:rPr>
          <w:rFonts w:ascii="Times New Roman" w:hAnsi="Times New Roman" w:cs="Times New Roman"/>
          <w:i/>
          <w:color w:val="000000"/>
        </w:rPr>
        <w:t xml:space="preserve">, we are not looking up to murderers, we are looking up to soldiers. They were in a war, they weren’t getting a pay cheque, they weren’t doing it for their own doing. They were in it just to bring civil rights and to bring common courtesy to all citizens...So there is so much admiration for those </w:t>
      </w:r>
      <w:r w:rsidR="00984005">
        <w:rPr>
          <w:rFonts w:ascii="Times New Roman" w:hAnsi="Times New Roman" w:cs="Times New Roman"/>
          <w:i/>
          <w:color w:val="000000"/>
        </w:rPr>
        <w:t xml:space="preserve">who </w:t>
      </w:r>
      <w:r w:rsidR="00360206">
        <w:rPr>
          <w:rFonts w:ascii="Times New Roman" w:hAnsi="Times New Roman" w:cs="Times New Roman"/>
          <w:i/>
          <w:color w:val="000000"/>
        </w:rPr>
        <w:t>were involved in the campaign.</w:t>
      </w:r>
      <w:r w:rsidR="00360206">
        <w:rPr>
          <w:rStyle w:val="FootnoteReference"/>
          <w:rFonts w:ascii="Times New Roman" w:hAnsi="Times New Roman" w:cs="Times New Roman"/>
          <w:i/>
          <w:color w:val="000000"/>
        </w:rPr>
        <w:footnoteReference w:id="585"/>
      </w:r>
    </w:p>
    <w:p w14:paraId="4F3021F9" w14:textId="77777777" w:rsidR="00655AD6" w:rsidRPr="00616F5E" w:rsidRDefault="00655AD6" w:rsidP="00B57C7F">
      <w:pPr>
        <w:spacing w:line="360" w:lineRule="auto"/>
        <w:ind w:firstLine="720"/>
        <w:jc w:val="both"/>
        <w:rPr>
          <w:rFonts w:ascii="Times New Roman" w:hAnsi="Times New Roman" w:cs="Times New Roman"/>
        </w:rPr>
      </w:pPr>
    </w:p>
    <w:p w14:paraId="04941DEF"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The participants were quite clear that these stories or commemoration events, such as at Castlederg, do not glorify violence or encourage people to engage in armed violence. Instead, the purpose they tend to serve is, in addition to establishing credibility, to incentivise collective participation within Sinn Fein:</w:t>
      </w:r>
    </w:p>
    <w:p w14:paraId="414D1072" w14:textId="77777777" w:rsidR="00655AD6" w:rsidRPr="00616F5E" w:rsidRDefault="00655AD6" w:rsidP="00B57C7F">
      <w:pPr>
        <w:spacing w:line="360" w:lineRule="auto"/>
        <w:ind w:firstLine="720"/>
        <w:jc w:val="both"/>
        <w:rPr>
          <w:rFonts w:ascii="Times New Roman" w:hAnsi="Times New Roman" w:cs="Times New Roman"/>
        </w:rPr>
      </w:pPr>
    </w:p>
    <w:p w14:paraId="447CCF36" w14:textId="77777777" w:rsidR="00655AD6" w:rsidRPr="00422CB4" w:rsidRDefault="00655AD6" w:rsidP="00B57C7F">
      <w:pPr>
        <w:spacing w:line="360" w:lineRule="auto"/>
        <w:ind w:left="567" w:right="567"/>
        <w:jc w:val="both"/>
        <w:rPr>
          <w:rFonts w:ascii="Times New Roman" w:eastAsia="Times New Roman" w:hAnsi="Times New Roman" w:cs="Times New Roman"/>
          <w:i/>
        </w:rPr>
      </w:pPr>
      <w:r w:rsidRPr="00422CB4">
        <w:rPr>
          <w:rFonts w:ascii="Times New Roman" w:eastAsia="Times New Roman" w:hAnsi="Times New Roman" w:cs="Times New Roman"/>
          <w:i/>
          <w:color w:val="000000"/>
        </w:rPr>
        <w:t>We’ve all been there, we’ve all heard stories like the ‘great escape’ and it hasn’t motivated any of us, if it motivated any of us we wouldn’t be sitting in this room. It</w:t>
      </w:r>
      <w:r w:rsidRPr="00616F5E">
        <w:rPr>
          <w:rFonts w:ascii="Times New Roman" w:eastAsia="Times New Roman" w:hAnsi="Times New Roman" w:cs="Times New Roman"/>
          <w:i/>
          <w:color w:val="000000"/>
        </w:rPr>
        <w:t>’</w:t>
      </w:r>
      <w:r w:rsidRPr="00422CB4">
        <w:rPr>
          <w:rFonts w:ascii="Times New Roman" w:eastAsia="Times New Roman" w:hAnsi="Times New Roman" w:cs="Times New Roman"/>
          <w:i/>
          <w:color w:val="000000"/>
        </w:rPr>
        <w:t>s motivated us politically and that</w:t>
      </w:r>
      <w:r w:rsidRPr="00616F5E">
        <w:rPr>
          <w:rFonts w:ascii="Times New Roman" w:eastAsia="Times New Roman" w:hAnsi="Times New Roman" w:cs="Times New Roman"/>
          <w:i/>
          <w:color w:val="000000"/>
        </w:rPr>
        <w:t>’</w:t>
      </w:r>
      <w:r w:rsidRPr="00422CB4">
        <w:rPr>
          <w:rFonts w:ascii="Times New Roman" w:eastAsia="Times New Roman" w:hAnsi="Times New Roman" w:cs="Times New Roman"/>
          <w:i/>
          <w:color w:val="000000"/>
        </w:rPr>
        <w:t>s why we joined Sinn Fein. We hear their stories, and there is a peace process now and if it</w:t>
      </w:r>
      <w:r w:rsidRPr="00616F5E">
        <w:rPr>
          <w:rFonts w:ascii="Times New Roman" w:eastAsia="Times New Roman" w:hAnsi="Times New Roman" w:cs="Times New Roman"/>
          <w:i/>
          <w:color w:val="000000"/>
        </w:rPr>
        <w:t>’</w:t>
      </w:r>
      <w:r w:rsidRPr="00422CB4">
        <w:rPr>
          <w:rFonts w:ascii="Times New Roman" w:eastAsia="Times New Roman" w:hAnsi="Times New Roman" w:cs="Times New Roman"/>
          <w:i/>
          <w:color w:val="000000"/>
        </w:rPr>
        <w:t xml:space="preserve">s good enough for ex-prisoners after the stories they tell us and what </w:t>
      </w:r>
      <w:r w:rsidRPr="00422CB4">
        <w:rPr>
          <w:rFonts w:ascii="Times New Roman" w:eastAsia="Times New Roman" w:hAnsi="Times New Roman" w:cs="Times New Roman"/>
          <w:i/>
          <w:color w:val="000000"/>
        </w:rPr>
        <w:lastRenderedPageBreak/>
        <w:t>they had to go through, and if that</w:t>
      </w:r>
      <w:r w:rsidRPr="00616F5E">
        <w:rPr>
          <w:rFonts w:ascii="Times New Roman" w:eastAsia="Times New Roman" w:hAnsi="Times New Roman" w:cs="Times New Roman"/>
          <w:i/>
          <w:color w:val="000000"/>
        </w:rPr>
        <w:t>’</w:t>
      </w:r>
      <w:r w:rsidRPr="00422CB4">
        <w:rPr>
          <w:rFonts w:ascii="Times New Roman" w:eastAsia="Times New Roman" w:hAnsi="Times New Roman" w:cs="Times New Roman"/>
          <w:i/>
          <w:color w:val="000000"/>
        </w:rPr>
        <w:t>s good enough for them, then it</w:t>
      </w:r>
      <w:r w:rsidRPr="00616F5E">
        <w:rPr>
          <w:rFonts w:ascii="Times New Roman" w:eastAsia="Times New Roman" w:hAnsi="Times New Roman" w:cs="Times New Roman"/>
          <w:i/>
          <w:color w:val="000000"/>
        </w:rPr>
        <w:t>’</w:t>
      </w:r>
      <w:r w:rsidRPr="00422CB4">
        <w:rPr>
          <w:rFonts w:ascii="Times New Roman" w:eastAsia="Times New Roman" w:hAnsi="Times New Roman" w:cs="Times New Roman"/>
          <w:i/>
          <w:color w:val="000000"/>
        </w:rPr>
        <w:t>s good enough for every</w:t>
      </w:r>
      <w:r w:rsidRPr="00616F5E">
        <w:rPr>
          <w:rFonts w:ascii="Times New Roman" w:eastAsia="Times New Roman" w:hAnsi="Times New Roman" w:cs="Times New Roman"/>
          <w:i/>
          <w:color w:val="000000"/>
        </w:rPr>
        <w:t xml:space="preserve"> </w:t>
      </w:r>
      <w:r w:rsidRPr="00422CB4">
        <w:rPr>
          <w:rFonts w:ascii="Times New Roman" w:eastAsia="Times New Roman" w:hAnsi="Times New Roman" w:cs="Times New Roman"/>
          <w:i/>
          <w:color w:val="000000"/>
        </w:rPr>
        <w:t>one of us sitting in this room</w:t>
      </w:r>
      <w:r w:rsidR="00360206">
        <w:rPr>
          <w:rFonts w:ascii="Times New Roman" w:eastAsia="Times New Roman" w:hAnsi="Times New Roman" w:cs="Times New Roman"/>
          <w:i/>
          <w:color w:val="000000"/>
        </w:rPr>
        <w:t>.</w:t>
      </w:r>
      <w:r w:rsidR="00360206">
        <w:rPr>
          <w:rStyle w:val="FootnoteReference"/>
          <w:rFonts w:ascii="Times New Roman" w:eastAsia="Times New Roman" w:hAnsi="Times New Roman" w:cs="Times New Roman"/>
          <w:i/>
          <w:color w:val="000000"/>
        </w:rPr>
        <w:footnoteReference w:id="586"/>
      </w:r>
    </w:p>
    <w:p w14:paraId="032636BE" w14:textId="77777777" w:rsidR="00655AD6" w:rsidRPr="00616F5E" w:rsidRDefault="00655AD6" w:rsidP="00B57C7F">
      <w:pPr>
        <w:spacing w:line="360" w:lineRule="auto"/>
        <w:ind w:firstLine="720"/>
        <w:jc w:val="both"/>
        <w:rPr>
          <w:rFonts w:ascii="Times New Roman" w:hAnsi="Times New Roman" w:cs="Times New Roman"/>
        </w:rPr>
      </w:pPr>
    </w:p>
    <w:p w14:paraId="6C0ECE9E" w14:textId="77777777" w:rsidR="00655AD6" w:rsidRPr="00616F5E" w:rsidRDefault="000A022B" w:rsidP="00B57C7F">
      <w:pPr>
        <w:spacing w:line="360" w:lineRule="auto"/>
        <w:ind w:firstLine="567"/>
        <w:jc w:val="both"/>
        <w:rPr>
          <w:rFonts w:ascii="Times New Roman" w:hAnsi="Times New Roman" w:cs="Times New Roman"/>
        </w:rPr>
      </w:pPr>
      <w:r>
        <w:rPr>
          <w:rFonts w:ascii="Times New Roman" w:hAnsi="Times New Roman" w:cs="Times New Roman"/>
        </w:rPr>
        <w:t>Thus, the experience of former combatants is used to legitimise the peace process.  Furthermore</w:t>
      </w:r>
      <w:r w:rsidR="00655AD6" w:rsidRPr="00616F5E">
        <w:rPr>
          <w:rFonts w:ascii="Times New Roman" w:hAnsi="Times New Roman" w:cs="Times New Roman"/>
        </w:rPr>
        <w:t xml:space="preserve">, contrary to the arguments with regard to the stories glamourising violence, young people perceived these as actually de-legitimising and de-glamourising violence. </w:t>
      </w:r>
    </w:p>
    <w:p w14:paraId="0F197B11" w14:textId="77777777" w:rsidR="00655AD6" w:rsidRPr="00616F5E" w:rsidRDefault="00655AD6" w:rsidP="00B57C7F">
      <w:pPr>
        <w:spacing w:line="360" w:lineRule="auto"/>
        <w:ind w:firstLine="567"/>
        <w:jc w:val="both"/>
        <w:rPr>
          <w:rFonts w:ascii="Times New Roman" w:hAnsi="Times New Roman" w:cs="Times New Roman"/>
        </w:rPr>
      </w:pPr>
    </w:p>
    <w:p w14:paraId="5F92E25D" w14:textId="77777777" w:rsidR="00655AD6" w:rsidRPr="00616F5E" w:rsidRDefault="00655AD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A lot of time when it comes to positive stories on the past, its nothing really about going out and killing someone, it was stuff like...like the prisoner issue, and you always hear about the issues there, it was madness, people were living in their own filth, getting kicked to death every day, getting no visits. And they’d come to the positive sides like at night they’d have a sing-song about Irish folk and stuff, and that was the positive stuff coming from the past. When you do hear stories about the past, it’s not so much about glorifying what was going on, but taking positive points out of it and how they actually got through it…But because of that I can’t sympathise now with anyone rioting or attacking the police now…In telling stories about the past, the negative stories you see how much they have changed and you listen to some ex-prisoners and it’s just madness...they make you feel so lucky that you are living in a non-violent place now. But obviously they do tell you about the positive stuff from the past, but it’s not about killing people it’s about the craic that t</w:t>
      </w:r>
      <w:r w:rsidR="00360206">
        <w:rPr>
          <w:rFonts w:ascii="Times New Roman" w:hAnsi="Times New Roman" w:cs="Times New Roman"/>
          <w:i/>
          <w:color w:val="000000"/>
        </w:rPr>
        <w:t>hey had when they were in jail.</w:t>
      </w:r>
      <w:r w:rsidR="00360206">
        <w:rPr>
          <w:rStyle w:val="FootnoteReference"/>
          <w:rFonts w:ascii="Times New Roman" w:hAnsi="Times New Roman" w:cs="Times New Roman"/>
          <w:i/>
          <w:color w:val="000000"/>
        </w:rPr>
        <w:footnoteReference w:id="587"/>
      </w:r>
      <w:r w:rsidRPr="00616F5E">
        <w:rPr>
          <w:rFonts w:ascii="Times New Roman" w:hAnsi="Times New Roman" w:cs="Times New Roman"/>
          <w:i/>
          <w:color w:val="000000"/>
        </w:rPr>
        <w:t xml:space="preserve"> </w:t>
      </w:r>
    </w:p>
    <w:p w14:paraId="2102E38D" w14:textId="77777777" w:rsidR="00655AD6" w:rsidRPr="00616F5E" w:rsidRDefault="00655AD6" w:rsidP="00B57C7F">
      <w:pPr>
        <w:spacing w:line="360" w:lineRule="auto"/>
        <w:ind w:left="567" w:right="567" w:firstLine="720"/>
        <w:jc w:val="both"/>
        <w:rPr>
          <w:rFonts w:ascii="Times New Roman" w:hAnsi="Times New Roman" w:cs="Times New Roman"/>
          <w:i/>
          <w:color w:val="000000"/>
        </w:rPr>
      </w:pPr>
    </w:p>
    <w:p w14:paraId="06E062EE" w14:textId="77777777" w:rsidR="00655AD6" w:rsidRPr="00984005" w:rsidRDefault="000A022B" w:rsidP="00A66A78">
      <w:pPr>
        <w:spacing w:line="360" w:lineRule="auto"/>
        <w:ind w:firstLine="567"/>
        <w:jc w:val="both"/>
        <w:rPr>
          <w:rFonts w:ascii="Times New Roman" w:hAnsi="Times New Roman" w:cs="Times New Roman"/>
          <w:iCs/>
          <w:color w:val="000000"/>
        </w:rPr>
      </w:pPr>
      <w:r>
        <w:rPr>
          <w:rFonts w:ascii="Times New Roman" w:hAnsi="Times New Roman" w:cs="Times New Roman"/>
        </w:rPr>
        <w:t>Therefore, talking about past violence helps to draw parallels to the current use of violence</w:t>
      </w:r>
      <w:r w:rsidR="006911CD">
        <w:rPr>
          <w:rFonts w:ascii="Times New Roman" w:hAnsi="Times New Roman" w:cs="Times New Roman"/>
        </w:rPr>
        <w:t xml:space="preserve">, de-legitimising those who use it in the contemporary setting. </w:t>
      </w:r>
      <w:r>
        <w:rPr>
          <w:rFonts w:ascii="Times New Roman" w:hAnsi="Times New Roman" w:cs="Times New Roman"/>
        </w:rPr>
        <w:t xml:space="preserve">Certainly after former combatants realised that they may have been glamourising violence, they began to more overtly discourage violence young people from engaging in </w:t>
      </w:r>
      <w:r>
        <w:rPr>
          <w:rFonts w:ascii="Times New Roman" w:hAnsi="Times New Roman" w:cs="Times New Roman"/>
        </w:rPr>
        <w:lastRenderedPageBreak/>
        <w:t>violence</w:t>
      </w:r>
      <w:r w:rsidR="00655AD6" w:rsidRPr="00616F5E">
        <w:rPr>
          <w:rFonts w:ascii="Times New Roman" w:hAnsi="Times New Roman" w:cs="Times New Roman"/>
        </w:rPr>
        <w:t>:</w:t>
      </w:r>
      <w:r w:rsidR="00984005">
        <w:rPr>
          <w:rFonts w:ascii="Times New Roman" w:hAnsi="Times New Roman" w:cs="Times New Roman"/>
        </w:rPr>
        <w:t xml:space="preserve"> ‘</w:t>
      </w:r>
      <w:r w:rsidR="00655AD6" w:rsidRPr="00984005">
        <w:rPr>
          <w:rFonts w:ascii="Times New Roman" w:hAnsi="Times New Roman" w:cs="Times New Roman"/>
          <w:iCs/>
          <w:color w:val="000000"/>
        </w:rPr>
        <w:t xml:space="preserve">When ex-prisoners are telling </w:t>
      </w:r>
      <w:r w:rsidR="00984005">
        <w:rPr>
          <w:rFonts w:ascii="Times New Roman" w:hAnsi="Times New Roman" w:cs="Times New Roman"/>
          <w:iCs/>
          <w:color w:val="000000"/>
        </w:rPr>
        <w:t>us the stories, they are going “this was the only option then”</w:t>
      </w:r>
      <w:r w:rsidR="00655AD6" w:rsidRPr="00984005">
        <w:rPr>
          <w:rFonts w:ascii="Times New Roman" w:hAnsi="Times New Roman" w:cs="Times New Roman"/>
          <w:iCs/>
          <w:color w:val="000000"/>
        </w:rPr>
        <w:t xml:space="preserve"> and whenever you hear these kind of stories you always hear them saying </w:t>
      </w:r>
      <w:r w:rsidR="00984005">
        <w:rPr>
          <w:rFonts w:ascii="Times New Roman" w:hAnsi="Times New Roman" w:cs="Times New Roman"/>
          <w:iCs/>
          <w:color w:val="000000"/>
        </w:rPr>
        <w:t>“</w:t>
      </w:r>
      <w:r w:rsidR="00655AD6" w:rsidRPr="00984005">
        <w:rPr>
          <w:rFonts w:ascii="Times New Roman" w:hAnsi="Times New Roman" w:cs="Times New Roman"/>
          <w:iCs/>
          <w:color w:val="000000"/>
        </w:rPr>
        <w:t>we are just so glad that you don</w:t>
      </w:r>
      <w:r w:rsidR="00984005">
        <w:rPr>
          <w:rFonts w:ascii="Times New Roman" w:hAnsi="Times New Roman" w:cs="Times New Roman"/>
          <w:iCs/>
          <w:color w:val="000000"/>
        </w:rPr>
        <w:t>’t have to go through any of it”</w:t>
      </w:r>
      <w:r w:rsidR="00655AD6" w:rsidRPr="00984005">
        <w:rPr>
          <w:rFonts w:ascii="Times New Roman" w:hAnsi="Times New Roman" w:cs="Times New Roman"/>
          <w:iCs/>
          <w:color w:val="000000"/>
        </w:rPr>
        <w:t>. Every time that’s what they will say to us</w:t>
      </w:r>
      <w:r w:rsidR="00984005">
        <w:rPr>
          <w:rFonts w:ascii="Times New Roman" w:hAnsi="Times New Roman" w:cs="Times New Roman"/>
          <w:iCs/>
          <w:color w:val="000000"/>
        </w:rPr>
        <w:t>’</w:t>
      </w:r>
      <w:r w:rsidR="00360206">
        <w:rPr>
          <w:rFonts w:ascii="Times New Roman" w:hAnsi="Times New Roman" w:cs="Times New Roman"/>
          <w:iCs/>
          <w:color w:val="000000"/>
        </w:rPr>
        <w:t>.</w:t>
      </w:r>
      <w:r w:rsidR="00360206">
        <w:rPr>
          <w:rStyle w:val="FootnoteReference"/>
          <w:rFonts w:ascii="Times New Roman" w:hAnsi="Times New Roman" w:cs="Times New Roman"/>
          <w:iCs/>
          <w:color w:val="000000"/>
        </w:rPr>
        <w:footnoteReference w:id="588"/>
      </w:r>
    </w:p>
    <w:p w14:paraId="693FFB9B"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 xml:space="preserve">Therefore, the building of the credibility of former combatants through stories of the past, and through commemorative events honouring Republican dead, provides a basis for the Provisional IRA’s disengagement frame to be diffused and resonate successfully. As discussed in the previous chapter, this frame states that the previous armed struggle was necessary because of discrimination against Nationalists. The conditions now have changed because there is parity of esteem between Nationalists and Unionists, British soldiers are no longer on the street, and there is a political route toward a united Ireland. The armed struggle was fought so the younger generation do not have to experience discrimination or conflict. As the conditions have changed so much now, there is no justification for armed struggle as a) tactically it is ineffective; b) there are better alternatives; and c) the perpetrators are criminals, drug dealers, and are heavily infiltrated. This frame still identifies the problem being partition, seeking to establish a united Ireland, yet it completely delegitimises Republican violence from 1998 onwards, based on the conditions having changed </w:t>
      </w:r>
      <w:r w:rsidRPr="00616F5E">
        <w:rPr>
          <w:rFonts w:ascii="Times New Roman" w:hAnsi="Times New Roman" w:cs="Times New Roman"/>
          <w:i/>
        </w:rPr>
        <w:t>and remaining changed</w:t>
      </w:r>
      <w:r w:rsidRPr="00616F5E">
        <w:rPr>
          <w:rFonts w:ascii="Times New Roman" w:hAnsi="Times New Roman" w:cs="Times New Roman"/>
        </w:rPr>
        <w:t>. Thus, relating to different typologies of disengagement and de-radicalisation, the motivation for being disengaged and remaining disengaged is conditional</w:t>
      </w:r>
      <w:r w:rsidR="006911CD">
        <w:rPr>
          <w:rFonts w:ascii="Times New Roman" w:hAnsi="Times New Roman" w:cs="Times New Roman"/>
        </w:rPr>
        <w:t xml:space="preserve"> </w:t>
      </w:r>
      <w:r w:rsidRPr="00616F5E">
        <w:rPr>
          <w:rFonts w:ascii="Times New Roman" w:hAnsi="Times New Roman" w:cs="Times New Roman"/>
        </w:rPr>
        <w:t xml:space="preserve">on the political </w:t>
      </w:r>
      <w:r w:rsidR="006911CD">
        <w:rPr>
          <w:rFonts w:ascii="Times New Roman" w:hAnsi="Times New Roman" w:cs="Times New Roman"/>
        </w:rPr>
        <w:t xml:space="preserve">system providing incentives. </w:t>
      </w:r>
      <w:r w:rsidR="00BA6363">
        <w:rPr>
          <w:rFonts w:ascii="Times New Roman" w:hAnsi="Times New Roman" w:cs="Times New Roman"/>
        </w:rPr>
        <w:t>Yet, while the Provisional IRA’s disengagement frame initially based this conditionality on short-term processes (the negotiations) or unproven structures in their infancy (Stormont), in engaging with young people the conditions being emphasised are far more durable. Rather than basing arguments for an end to violence on conditions which may easily be revered (thus justifying recidivism), the unique conditions of the 1960s are being emphasised to demonstrate how there is a substantial difference between ‘then and now’</w:t>
      </w:r>
      <w:r w:rsidR="008E0806">
        <w:rPr>
          <w:rFonts w:ascii="Times New Roman" w:hAnsi="Times New Roman" w:cs="Times New Roman"/>
        </w:rPr>
        <w:t>.</w:t>
      </w:r>
      <w:r w:rsidR="00BA6363">
        <w:rPr>
          <w:rStyle w:val="FootnoteReference"/>
          <w:rFonts w:ascii="Times New Roman" w:hAnsi="Times New Roman" w:cs="Times New Roman"/>
        </w:rPr>
        <w:footnoteReference w:id="589"/>
      </w:r>
      <w:r w:rsidR="00BA6363">
        <w:rPr>
          <w:rFonts w:ascii="Times New Roman" w:hAnsi="Times New Roman" w:cs="Times New Roman"/>
        </w:rPr>
        <w:t xml:space="preserve"> </w:t>
      </w:r>
    </w:p>
    <w:p w14:paraId="56A45D85" w14:textId="77777777" w:rsidR="00655AD6" w:rsidRPr="00616F5E" w:rsidRDefault="00655AD6" w:rsidP="00B57C7F">
      <w:pPr>
        <w:spacing w:line="360" w:lineRule="auto"/>
        <w:ind w:firstLine="720"/>
        <w:jc w:val="both"/>
        <w:rPr>
          <w:rFonts w:ascii="Times New Roman" w:hAnsi="Times New Roman" w:cs="Times New Roman"/>
        </w:rPr>
      </w:pPr>
      <w:r w:rsidRPr="00616F5E">
        <w:rPr>
          <w:rFonts w:ascii="Times New Roman" w:hAnsi="Times New Roman" w:cs="Times New Roman"/>
        </w:rPr>
        <w:t xml:space="preserve">The focus group participants were quite familiar with this frame and could clearly articulate how the circumstances have changed. While for them it was an </w:t>
      </w:r>
      <w:r w:rsidRPr="00616F5E">
        <w:rPr>
          <w:rFonts w:ascii="Times New Roman" w:hAnsi="Times New Roman" w:cs="Times New Roman"/>
        </w:rPr>
        <w:lastRenderedPageBreak/>
        <w:t>obvious change, the continuing sectarian divisions and the fact that partition remains the constitutional arrangement has led other young people to feel there has been no change</w:t>
      </w:r>
      <w:r w:rsidR="008E0806">
        <w:rPr>
          <w:rFonts w:ascii="Times New Roman" w:hAnsi="Times New Roman" w:cs="Times New Roman"/>
        </w:rPr>
        <w:t>.</w:t>
      </w:r>
      <w:r w:rsidRPr="00616F5E">
        <w:rPr>
          <w:rFonts w:ascii="Times New Roman" w:hAnsi="Times New Roman" w:cs="Times New Roman"/>
        </w:rPr>
        <w:t xml:space="preserve"> Nevertheless, there are indications that greater interaction with disengaged militants</w:t>
      </w:r>
      <w:r w:rsidR="00BA6363">
        <w:rPr>
          <w:rFonts w:ascii="Times New Roman" w:hAnsi="Times New Roman" w:cs="Times New Roman"/>
        </w:rPr>
        <w:t xml:space="preserve"> (at least in West Belfast)</w:t>
      </w:r>
      <w:r w:rsidRPr="00616F5E">
        <w:rPr>
          <w:rFonts w:ascii="Times New Roman" w:hAnsi="Times New Roman" w:cs="Times New Roman"/>
        </w:rPr>
        <w:t xml:space="preserve"> leads to a diffusion of the frame that justified the end to the campaign. The participants had a strong understanding of the reasons behind disengagement, and while this was tied up with claims to the legitimacy of past violence, they perceive the absence of conflict as a positive thing, as expressed by the following participant:  </w:t>
      </w:r>
    </w:p>
    <w:p w14:paraId="7AA4ACF3" w14:textId="77777777" w:rsidR="00655AD6" w:rsidRPr="00616F5E" w:rsidRDefault="00655AD6" w:rsidP="00B57C7F">
      <w:pPr>
        <w:spacing w:line="360" w:lineRule="auto"/>
        <w:ind w:firstLine="720"/>
        <w:jc w:val="both"/>
        <w:rPr>
          <w:rFonts w:ascii="Times New Roman" w:hAnsi="Times New Roman" w:cs="Times New Roman"/>
        </w:rPr>
      </w:pPr>
    </w:p>
    <w:p w14:paraId="1A8BED3A" w14:textId="77777777" w:rsidR="00655AD6" w:rsidRPr="00616F5E" w:rsidRDefault="00655AD6" w:rsidP="00B57C7F">
      <w:pPr>
        <w:spacing w:line="360" w:lineRule="auto"/>
        <w:ind w:left="567" w:right="567"/>
        <w:jc w:val="both"/>
        <w:rPr>
          <w:rFonts w:ascii="Times New Roman" w:hAnsi="Times New Roman" w:cs="Times New Roman"/>
          <w:i/>
        </w:rPr>
      </w:pPr>
      <w:r w:rsidRPr="00616F5E">
        <w:rPr>
          <w:rFonts w:ascii="Times New Roman" w:hAnsi="Times New Roman" w:cs="Times New Roman"/>
          <w:i/>
          <w:color w:val="000000"/>
        </w:rPr>
        <w:t>I wouldn’t see myself as having missed out on the war, I just feel lucky. I was born just two days after the ceasefire was called, in ‘94. I consider myself so so lucky that I am not in a war. I come to meetings where I do canvassing, I don’t have to put a gun in my hand or bring violence. I think that I am so, so lucky I don’t have to live in the past. It’s a peaceful strategy, I have civil rights, and I can walk down the street without being harassed, I can go to a police station, I can get a job. So obviously it’s very exciting knowing what they went through, but they went through that brought us to a completely different place. For me there isn’t any romance in it. It was a hard, bloody campaign...and they say they wouldn’t want anyone to go through it. They had to, they had no other choice</w:t>
      </w:r>
      <w:r w:rsidR="00360206">
        <w:rPr>
          <w:rFonts w:ascii="Times New Roman" w:hAnsi="Times New Roman" w:cs="Times New Roman"/>
          <w:i/>
          <w:color w:val="000000"/>
        </w:rPr>
        <w:t>.</w:t>
      </w:r>
      <w:r w:rsidR="00360206">
        <w:rPr>
          <w:rStyle w:val="FootnoteReference"/>
          <w:rFonts w:ascii="Times New Roman" w:hAnsi="Times New Roman" w:cs="Times New Roman"/>
          <w:i/>
          <w:color w:val="000000"/>
        </w:rPr>
        <w:footnoteReference w:id="590"/>
      </w:r>
      <w:r w:rsidRPr="00616F5E">
        <w:rPr>
          <w:rFonts w:ascii="Times New Roman" w:hAnsi="Times New Roman" w:cs="Times New Roman"/>
          <w:i/>
          <w:color w:val="000000"/>
        </w:rPr>
        <w:t xml:space="preserve"> </w:t>
      </w:r>
    </w:p>
    <w:p w14:paraId="051882CC" w14:textId="77777777" w:rsidR="00655AD6" w:rsidRPr="00616F5E" w:rsidRDefault="00655AD6" w:rsidP="00B57C7F">
      <w:pPr>
        <w:spacing w:line="360" w:lineRule="auto"/>
        <w:jc w:val="both"/>
        <w:rPr>
          <w:rFonts w:ascii="Times New Roman" w:hAnsi="Times New Roman" w:cs="Times New Roman"/>
        </w:rPr>
      </w:pPr>
      <w:r w:rsidRPr="00616F5E">
        <w:rPr>
          <w:rFonts w:ascii="Times New Roman" w:hAnsi="Times New Roman" w:cs="Times New Roman"/>
        </w:rPr>
        <w:tab/>
      </w:r>
    </w:p>
    <w:p w14:paraId="185E6C7B" w14:textId="2CD31CE1" w:rsidR="00360206"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 xml:space="preserve">Compared to the narratives of former combatants (see Chapter </w:t>
      </w:r>
      <w:r w:rsidR="00BA6363">
        <w:rPr>
          <w:rFonts w:ascii="Times New Roman" w:hAnsi="Times New Roman" w:cs="Times New Roman"/>
        </w:rPr>
        <w:t>Four)</w:t>
      </w:r>
      <w:r w:rsidRPr="00616F5E">
        <w:rPr>
          <w:rFonts w:ascii="Times New Roman" w:hAnsi="Times New Roman" w:cs="Times New Roman"/>
        </w:rPr>
        <w:t>, the focus group generally saw armed struggle in negative, sometimes bewildering, terms. Thus, intergenerational interaction through political networks facilitated the diffusion of the Provisional IRA’s disengagement frame, though of course the primary motivation is to mobilise youngsters into the organisation and fight off potential competition from other Republican groups.</w:t>
      </w:r>
      <w:r w:rsidR="008E0D86">
        <w:rPr>
          <w:rFonts w:ascii="Times New Roman" w:hAnsi="Times New Roman" w:cs="Times New Roman"/>
        </w:rPr>
        <w:t xml:space="preserve"> This may explain why one Sinn Fein party officer was opposed to the group being described as de-radicalised as it wished to still be seen as a radical organisation, albeit not in terms of violence.</w:t>
      </w:r>
      <w:r w:rsidRPr="00616F5E">
        <w:rPr>
          <w:rFonts w:ascii="Times New Roman" w:hAnsi="Times New Roman" w:cs="Times New Roman"/>
        </w:rPr>
        <w:t xml:space="preserve"> While there </w:t>
      </w:r>
      <w:r w:rsidRPr="00616F5E">
        <w:rPr>
          <w:rFonts w:ascii="Times New Roman" w:hAnsi="Times New Roman" w:cs="Times New Roman"/>
        </w:rPr>
        <w:lastRenderedPageBreak/>
        <w:t xml:space="preserve">may be criticisms against their appeals to the past, commemoration of dead members, or stories that talk positively about the past, </w:t>
      </w:r>
      <w:r w:rsidR="00A66A78" w:rsidRPr="00616F5E">
        <w:rPr>
          <w:rFonts w:ascii="Times New Roman" w:hAnsi="Times New Roman" w:cs="Times New Roman"/>
        </w:rPr>
        <w:t>this function</w:t>
      </w:r>
      <w:r w:rsidRPr="00616F5E">
        <w:rPr>
          <w:rFonts w:ascii="Times New Roman" w:hAnsi="Times New Roman" w:cs="Times New Roman"/>
        </w:rPr>
        <w:t xml:space="preserve"> to establish their credibility. In some cases, these stories are accompanied explicitly by a de-legitimisation of (current) violence, but when this is absent, the young people are able to draw similar conclusions through implicit interaction with the movement, as the disengagement frame has been integrated into their own frames.</w:t>
      </w:r>
      <w:r w:rsidR="00BA6363">
        <w:rPr>
          <w:rFonts w:ascii="Times New Roman" w:hAnsi="Times New Roman" w:cs="Times New Roman"/>
        </w:rPr>
        <w:t xml:space="preserve"> </w:t>
      </w:r>
    </w:p>
    <w:p w14:paraId="79747024" w14:textId="5184696C" w:rsidR="00360206" w:rsidRDefault="008E0D86" w:rsidP="00B57C7F">
      <w:pPr>
        <w:spacing w:line="360" w:lineRule="auto"/>
        <w:ind w:firstLine="567"/>
        <w:jc w:val="both"/>
        <w:rPr>
          <w:rFonts w:ascii="Times New Roman" w:hAnsi="Times New Roman" w:cs="Times New Roman"/>
        </w:rPr>
      </w:pPr>
      <w:r>
        <w:rPr>
          <w:rFonts w:ascii="Times New Roman" w:hAnsi="Times New Roman" w:cs="Times New Roman"/>
        </w:rPr>
        <w:t>O</w:t>
      </w:r>
      <w:r w:rsidR="00655AD6" w:rsidRPr="00616F5E">
        <w:rPr>
          <w:rFonts w:ascii="Times New Roman" w:hAnsi="Times New Roman" w:cs="Times New Roman"/>
        </w:rPr>
        <w:t xml:space="preserve">thers might contend that the exact same stories and </w:t>
      </w:r>
      <w:r w:rsidR="005E6892">
        <w:rPr>
          <w:rFonts w:ascii="Times New Roman" w:hAnsi="Times New Roman" w:cs="Times New Roman"/>
        </w:rPr>
        <w:t>glamourisation</w:t>
      </w:r>
      <w:r w:rsidR="00655AD6" w:rsidRPr="00616F5E">
        <w:rPr>
          <w:rFonts w:ascii="Times New Roman" w:hAnsi="Times New Roman" w:cs="Times New Roman"/>
        </w:rPr>
        <w:t xml:space="preserve"> of violence are used to mobilise young people into armed groups.</w:t>
      </w:r>
      <w:r w:rsidR="00A66A78" w:rsidRPr="00616F5E">
        <w:rPr>
          <w:rStyle w:val="FootnoteReference"/>
          <w:rFonts w:ascii="Times New Roman" w:hAnsi="Times New Roman" w:cs="Times New Roman"/>
        </w:rPr>
        <w:footnoteReference w:id="591"/>
      </w:r>
      <w:r>
        <w:rPr>
          <w:rFonts w:ascii="Times New Roman" w:hAnsi="Times New Roman" w:cs="Times New Roman"/>
        </w:rPr>
        <w:t xml:space="preserve"> However, glamourisation functions as a small part of a frame to provide motivation, therefore as the Provisional IRA had not modified this part of their frame, it could help dissident Republicans as both were glamourising violence, albeit to different ends. Nevertheless, exposure to the Provisional IRA’s disengagement frame contextualised</w:t>
      </w:r>
      <w:r w:rsidR="000D31AA">
        <w:rPr>
          <w:rFonts w:ascii="Times New Roman" w:hAnsi="Times New Roman" w:cs="Times New Roman"/>
        </w:rPr>
        <w:t xml:space="preserve"> the glamourisation of violence for Sinn Fein Youth members. </w:t>
      </w:r>
      <w:r w:rsidR="00360206">
        <w:rPr>
          <w:rFonts w:ascii="Times New Roman" w:hAnsi="Times New Roman" w:cs="Times New Roman"/>
        </w:rPr>
        <w:t>For example, one participant commented on the relationship between commemorations and support for dissidents: ‘</w:t>
      </w:r>
      <w:r w:rsidR="00360206" w:rsidRPr="00360206">
        <w:rPr>
          <w:rFonts w:ascii="Times New Roman" w:hAnsi="Times New Roman" w:cs="Times New Roman"/>
        </w:rPr>
        <w:t>It wouldn’t make me join the dissidents. I think the stories, telling them stories, to teach us that they did it as a sacrifice for us to join politics, without having to go down that route, not using a gun. So I think the stories are about educating us and teaching us that we don’t need to go back to the past</w:t>
      </w:r>
      <w:r w:rsidR="00360206">
        <w:rPr>
          <w:rFonts w:ascii="Times New Roman" w:hAnsi="Times New Roman" w:cs="Times New Roman"/>
        </w:rPr>
        <w:t>’</w:t>
      </w:r>
      <w:r w:rsidR="00360206" w:rsidRPr="00360206">
        <w:rPr>
          <w:rFonts w:ascii="Times New Roman" w:hAnsi="Times New Roman" w:cs="Times New Roman"/>
        </w:rPr>
        <w:t>.</w:t>
      </w:r>
      <w:r w:rsidR="00360206">
        <w:rPr>
          <w:rStyle w:val="FootnoteReference"/>
          <w:rFonts w:ascii="Times New Roman" w:hAnsi="Times New Roman" w:cs="Times New Roman"/>
        </w:rPr>
        <w:footnoteReference w:id="592"/>
      </w:r>
      <w:r w:rsidR="00360206">
        <w:t xml:space="preserve">        </w:t>
      </w:r>
    </w:p>
    <w:p w14:paraId="02FEFD88" w14:textId="77777777" w:rsidR="008253EA" w:rsidRDefault="000D31AA" w:rsidP="00B57C7F">
      <w:pPr>
        <w:spacing w:line="360" w:lineRule="auto"/>
        <w:ind w:firstLine="567"/>
        <w:jc w:val="both"/>
        <w:rPr>
          <w:rFonts w:ascii="Times New Roman" w:hAnsi="Times New Roman" w:cs="Times New Roman"/>
        </w:rPr>
      </w:pPr>
      <w:r>
        <w:rPr>
          <w:rFonts w:ascii="Times New Roman" w:hAnsi="Times New Roman" w:cs="Times New Roman"/>
        </w:rPr>
        <w:t xml:space="preserve">As the narratives that glamourise violence can provide credibility to both combatants and former combatants, and that these attitudes among young people are informed prior to involvement in political networks, it becomes more important to contextualise the glamourisation of violence in a coherent frame. Interaction between young people and the Provisional IRA’s disengagement frame helps to link the glamourisation of past violence to an end to violence.  Furthermore, </w:t>
      </w:r>
      <w:r w:rsidR="008E0D86">
        <w:rPr>
          <w:rFonts w:ascii="Times New Roman" w:hAnsi="Times New Roman" w:cs="Times New Roman"/>
        </w:rPr>
        <w:t>as will be discussed below, the</w:t>
      </w:r>
      <w:r>
        <w:rPr>
          <w:rFonts w:ascii="Times New Roman" w:hAnsi="Times New Roman" w:cs="Times New Roman"/>
        </w:rPr>
        <w:t xml:space="preserve"> Provisional IRA’s</w:t>
      </w:r>
      <w:r w:rsidR="008E0D86">
        <w:rPr>
          <w:rFonts w:ascii="Times New Roman" w:hAnsi="Times New Roman" w:cs="Times New Roman"/>
        </w:rPr>
        <w:t xml:space="preserve"> frame was modified to de-glamourise violence to help prevent a move to violence among young people</w:t>
      </w:r>
      <w:r>
        <w:rPr>
          <w:rFonts w:ascii="Times New Roman" w:hAnsi="Times New Roman" w:cs="Times New Roman"/>
        </w:rPr>
        <w:t xml:space="preserve"> who may not have had the same understanding of the conflict that Sinn Fein Youth members have</w:t>
      </w:r>
      <w:r w:rsidR="008E0D86">
        <w:rPr>
          <w:rFonts w:ascii="Times New Roman" w:hAnsi="Times New Roman" w:cs="Times New Roman"/>
        </w:rPr>
        <w:t>.</w:t>
      </w:r>
      <w:r w:rsidR="00655AD6" w:rsidRPr="00616F5E">
        <w:rPr>
          <w:rFonts w:ascii="Times New Roman" w:hAnsi="Times New Roman" w:cs="Times New Roman"/>
        </w:rPr>
        <w:t xml:space="preserve"> </w:t>
      </w:r>
    </w:p>
    <w:p w14:paraId="0B5105FA" w14:textId="77777777" w:rsidR="00984005"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 xml:space="preserve">To conclude this section, the dominant perspective has been that the combination of mixed signals and a lack of dialogue leave young people confused with regard to the process of disengagement, potentially leading them to sympathise </w:t>
      </w:r>
      <w:r w:rsidRPr="00616F5E">
        <w:rPr>
          <w:rFonts w:ascii="Times New Roman" w:hAnsi="Times New Roman" w:cs="Times New Roman"/>
        </w:rPr>
        <w:lastRenderedPageBreak/>
        <w:t xml:space="preserve">or support </w:t>
      </w:r>
      <w:r w:rsidR="002E3338">
        <w:rPr>
          <w:rFonts w:ascii="Times New Roman" w:hAnsi="Times New Roman" w:cs="Times New Roman"/>
        </w:rPr>
        <w:t>dissident</w:t>
      </w:r>
      <w:r w:rsidRPr="00616F5E">
        <w:rPr>
          <w:rFonts w:ascii="Times New Roman" w:hAnsi="Times New Roman" w:cs="Times New Roman"/>
        </w:rPr>
        <w:t xml:space="preserve"> Republican groups</w:t>
      </w:r>
      <w:r w:rsidR="008E0806">
        <w:rPr>
          <w:rFonts w:ascii="Times New Roman" w:hAnsi="Times New Roman" w:cs="Times New Roman"/>
        </w:rPr>
        <w:t>.</w:t>
      </w:r>
      <w:r w:rsidR="002E3338">
        <w:rPr>
          <w:rStyle w:val="FootnoteReference"/>
          <w:rFonts w:ascii="Times New Roman" w:hAnsi="Times New Roman" w:cs="Times New Roman"/>
        </w:rPr>
        <w:footnoteReference w:id="593"/>
      </w:r>
      <w:r w:rsidRPr="00616F5E">
        <w:rPr>
          <w:rFonts w:ascii="Times New Roman" w:hAnsi="Times New Roman" w:cs="Times New Roman"/>
        </w:rPr>
        <w:t xml:space="preserve"> However, while the thesis accepts that this may be the case </w:t>
      </w:r>
      <w:r w:rsidR="00984005">
        <w:rPr>
          <w:rFonts w:ascii="Times New Roman" w:hAnsi="Times New Roman" w:cs="Times New Roman"/>
        </w:rPr>
        <w:t>in some circumstances</w:t>
      </w:r>
      <w:r w:rsidRPr="00616F5E">
        <w:rPr>
          <w:rFonts w:ascii="Times New Roman" w:hAnsi="Times New Roman" w:cs="Times New Roman"/>
        </w:rPr>
        <w:t>, interaction with former combatants can overcome this confusion as they can o</w:t>
      </w:r>
      <w:r w:rsidR="00984005">
        <w:rPr>
          <w:rFonts w:ascii="Times New Roman" w:hAnsi="Times New Roman" w:cs="Times New Roman"/>
        </w:rPr>
        <w:t>rder</w:t>
      </w:r>
      <w:r w:rsidRPr="00616F5E">
        <w:rPr>
          <w:rFonts w:ascii="Times New Roman" w:hAnsi="Times New Roman" w:cs="Times New Roman"/>
        </w:rPr>
        <w:t xml:space="preserve"> these conf</w:t>
      </w:r>
      <w:r w:rsidR="00984005">
        <w:rPr>
          <w:rFonts w:ascii="Times New Roman" w:hAnsi="Times New Roman" w:cs="Times New Roman"/>
        </w:rPr>
        <w:t xml:space="preserve">licting </w:t>
      </w:r>
      <w:r w:rsidRPr="00616F5E">
        <w:rPr>
          <w:rFonts w:ascii="Times New Roman" w:hAnsi="Times New Roman" w:cs="Times New Roman"/>
        </w:rPr>
        <w:t>signals</w:t>
      </w:r>
      <w:r w:rsidR="002E3338">
        <w:rPr>
          <w:rFonts w:ascii="Times New Roman" w:hAnsi="Times New Roman" w:cs="Times New Roman"/>
        </w:rPr>
        <w:t xml:space="preserve"> and attitudes</w:t>
      </w:r>
      <w:r w:rsidRPr="00616F5E">
        <w:rPr>
          <w:rFonts w:ascii="Times New Roman" w:hAnsi="Times New Roman" w:cs="Times New Roman"/>
        </w:rPr>
        <w:t xml:space="preserve"> into a frame which, for them, makes sense, and de-legitimises violence. On the basis of the Sinn Fein Youth focus group, the thesis concludes the following points: a) previous arguments on the lack of dialogue do not take into account the observational aspect, which removes some of the ambiguity for young people; b) increased interaction with disengaged militants not only enables the diffusion of the disengagement frame, this has transformed into a </w:t>
      </w:r>
      <w:r w:rsidR="002E3338">
        <w:rPr>
          <w:rFonts w:ascii="Times New Roman" w:hAnsi="Times New Roman" w:cs="Times New Roman"/>
        </w:rPr>
        <w:t xml:space="preserve">deeper </w:t>
      </w:r>
      <w:r w:rsidRPr="00616F5E">
        <w:rPr>
          <w:rFonts w:ascii="Times New Roman" w:hAnsi="Times New Roman" w:cs="Times New Roman"/>
        </w:rPr>
        <w:t>form of de-radicalisation; c) there is a contradiction within the disengagement frame that does risk glorifying violence, yet interaction with the frame means young people are able to place it in context and use it to strengthen their arguments against armed struggle.</w:t>
      </w:r>
      <w:r w:rsidR="008E0D86">
        <w:rPr>
          <w:rFonts w:ascii="Times New Roman" w:hAnsi="Times New Roman" w:cs="Times New Roman"/>
        </w:rPr>
        <w:t xml:space="preserve"> </w:t>
      </w:r>
      <w:r w:rsidRPr="00616F5E">
        <w:rPr>
          <w:rFonts w:ascii="Times New Roman" w:hAnsi="Times New Roman" w:cs="Times New Roman"/>
        </w:rPr>
        <w:t xml:space="preserve">Therefore, where there has been a small level of attitude-change (or de-radicalisation), as was the case with the Provisional IRA, interaction with the younger generation diffuses this frame. </w:t>
      </w:r>
    </w:p>
    <w:p w14:paraId="3E5F0ACF" w14:textId="77777777" w:rsidR="00984005" w:rsidRDefault="00655AD6" w:rsidP="00B57C7F">
      <w:pPr>
        <w:spacing w:line="360" w:lineRule="auto"/>
        <w:ind w:firstLine="567"/>
        <w:jc w:val="both"/>
        <w:rPr>
          <w:rFonts w:ascii="Times New Roman" w:hAnsi="Times New Roman" w:cs="Times New Roman"/>
        </w:rPr>
      </w:pPr>
      <w:r w:rsidRPr="00616F5E">
        <w:rPr>
          <w:rFonts w:ascii="Times New Roman" w:hAnsi="Times New Roman" w:cs="Times New Roman"/>
        </w:rPr>
        <w:t xml:space="preserve">Yet their adoption of it brings slight transformations, whereby they </w:t>
      </w:r>
      <w:r w:rsidR="002E3338">
        <w:rPr>
          <w:rFonts w:ascii="Times New Roman" w:hAnsi="Times New Roman" w:cs="Times New Roman"/>
        </w:rPr>
        <w:t>emphasise more de-radicalising</w:t>
      </w:r>
      <w:r w:rsidRPr="00616F5E">
        <w:rPr>
          <w:rFonts w:ascii="Times New Roman" w:hAnsi="Times New Roman" w:cs="Times New Roman"/>
        </w:rPr>
        <w:t xml:space="preserve"> aspects of the frame – for example, much softer language or a clearer rejection of armed struggle. The thesis contends that the main driver toward greater de-radicalisation is the changed social environment young people are conditioned within, which is the central part of the Provisional IRA disengagement frame. Thus increased interaction brings young people into close contact with the main motivations behind disengagement, and that they can observe changes which strengthens the validity of the frame. The observation of these structural changes can take place prior to their interaction with former combatants, but interaction clarifies and makes it clearer.</w:t>
      </w:r>
      <w:r w:rsidR="002E3338">
        <w:rPr>
          <w:rFonts w:ascii="Times New Roman" w:hAnsi="Times New Roman" w:cs="Times New Roman"/>
        </w:rPr>
        <w:t xml:space="preserve"> The disengagement frame becomes transformed into a more stable and durable form of conditional de-radicalisation. There is less likelihood of a return to violence or young people engaging in violence because the social change underpinning their perception of violence is not likely to be reversed. </w:t>
      </w:r>
    </w:p>
    <w:p w14:paraId="5F2E8081" w14:textId="77777777" w:rsidR="00655AD6" w:rsidRPr="00616F5E" w:rsidRDefault="002E3338" w:rsidP="00B57C7F">
      <w:pPr>
        <w:spacing w:line="360" w:lineRule="auto"/>
        <w:ind w:firstLine="567"/>
        <w:jc w:val="both"/>
        <w:rPr>
          <w:rFonts w:ascii="Times New Roman" w:hAnsi="Times New Roman" w:cs="Times New Roman"/>
        </w:rPr>
      </w:pPr>
      <w:r>
        <w:rPr>
          <w:rFonts w:ascii="Times New Roman" w:hAnsi="Times New Roman" w:cs="Times New Roman"/>
        </w:rPr>
        <w:lastRenderedPageBreak/>
        <w:t xml:space="preserve">As the conditions for justifying armed violence become more and more abstract, the attitudes of the young Sinn Fein members exhibits </w:t>
      </w:r>
      <w:r w:rsidR="00856195">
        <w:rPr>
          <w:rFonts w:ascii="Times New Roman" w:hAnsi="Times New Roman" w:cs="Times New Roman"/>
        </w:rPr>
        <w:t xml:space="preserve">some </w:t>
      </w:r>
      <w:r>
        <w:rPr>
          <w:rFonts w:ascii="Times New Roman" w:hAnsi="Times New Roman" w:cs="Times New Roman"/>
        </w:rPr>
        <w:t>signs of unconditional de-radic</w:t>
      </w:r>
      <w:r w:rsidR="00856195">
        <w:rPr>
          <w:rFonts w:ascii="Times New Roman" w:hAnsi="Times New Roman" w:cs="Times New Roman"/>
        </w:rPr>
        <w:t>alisation, with past violence being de-glamourised and being used to justify peace</w:t>
      </w:r>
      <w:r>
        <w:rPr>
          <w:rFonts w:ascii="Times New Roman" w:hAnsi="Times New Roman" w:cs="Times New Roman"/>
        </w:rPr>
        <w:t>.</w:t>
      </w:r>
      <w:r w:rsidR="00856195">
        <w:rPr>
          <w:rFonts w:ascii="Times New Roman" w:hAnsi="Times New Roman" w:cs="Times New Roman"/>
        </w:rPr>
        <w:t xml:space="preserve"> This can be seen in that the credibility of former combatants is associated with their peaceful role, as well as their role as former combatants.</w:t>
      </w:r>
      <w:r w:rsidR="00655AD6" w:rsidRPr="00616F5E">
        <w:rPr>
          <w:rFonts w:ascii="Times New Roman" w:hAnsi="Times New Roman" w:cs="Times New Roman"/>
        </w:rPr>
        <w:t xml:space="preserve"> Having discussed the impact of intergenerational diffusion on the Sinn Fein Youth focus group, the chapter now looks slightly more broadly at the interaction between former combatants and young people within a school setting</w:t>
      </w:r>
      <w:r w:rsidR="00095502">
        <w:rPr>
          <w:rFonts w:ascii="Times New Roman" w:hAnsi="Times New Roman" w:cs="Times New Roman"/>
        </w:rPr>
        <w:t xml:space="preserve"> as part of the Prisoner to Peace Programme – an initiative by former combatants to engage with young people about the conflict</w:t>
      </w:r>
      <w:r w:rsidR="00655AD6" w:rsidRPr="00616F5E">
        <w:rPr>
          <w:rFonts w:ascii="Times New Roman" w:hAnsi="Times New Roman" w:cs="Times New Roman"/>
        </w:rPr>
        <w:t>.</w:t>
      </w:r>
      <w:r w:rsidR="00095502">
        <w:rPr>
          <w:rFonts w:ascii="Times New Roman" w:hAnsi="Times New Roman" w:cs="Times New Roman"/>
        </w:rPr>
        <w:t xml:space="preserve">  </w:t>
      </w:r>
    </w:p>
    <w:p w14:paraId="1604B333" w14:textId="77777777" w:rsidR="00655AD6" w:rsidRPr="00616F5E" w:rsidRDefault="00655AD6" w:rsidP="00B57C7F">
      <w:pPr>
        <w:spacing w:line="360" w:lineRule="auto"/>
        <w:jc w:val="both"/>
        <w:rPr>
          <w:rFonts w:ascii="Times New Roman" w:hAnsi="Times New Roman" w:cs="Times New Roman"/>
        </w:rPr>
      </w:pPr>
    </w:p>
    <w:p w14:paraId="4D5B794D" w14:textId="77777777" w:rsidR="00655AD6" w:rsidRPr="00616F5E" w:rsidRDefault="00655AD6" w:rsidP="00B57C7F">
      <w:pPr>
        <w:pStyle w:val="Heading3"/>
        <w:spacing w:before="120" w:line="360" w:lineRule="auto"/>
      </w:pPr>
      <w:bookmarkStart w:id="70" w:name="_Toc389208852"/>
      <w:r w:rsidRPr="00616F5E">
        <w:t>Former Combatants in</w:t>
      </w:r>
      <w:r w:rsidR="00320C5A">
        <w:t xml:space="preserve"> </w:t>
      </w:r>
      <w:r w:rsidRPr="00616F5E">
        <w:t>Schools</w:t>
      </w:r>
      <w:bookmarkEnd w:id="70"/>
      <w:r w:rsidRPr="00616F5E">
        <w:t xml:space="preserve"> </w:t>
      </w:r>
    </w:p>
    <w:p w14:paraId="49496DA4" w14:textId="77777777" w:rsidR="00655AD6" w:rsidRPr="00616F5E" w:rsidRDefault="00CB0467" w:rsidP="00B57C7F">
      <w:pPr>
        <w:spacing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case-study above sought to outline how members of Sinn Fein youth, who interact regularly with former combatants, interpret and adopt the disengagement frame. Of course, as the participants said themselves, they would not be in Sinn Fein if they supported violence. While this does not detract from the findings, it </w:t>
      </w:r>
      <w:r w:rsidR="00984005">
        <w:rPr>
          <w:rFonts w:ascii="Times New Roman" w:eastAsia="Times New Roman" w:hAnsi="Times New Roman" w:cs="Times New Roman"/>
          <w:color w:val="000000"/>
        </w:rPr>
        <w:t>says</w:t>
      </w:r>
      <w:r>
        <w:rPr>
          <w:rFonts w:ascii="Times New Roman" w:eastAsia="Times New Roman" w:hAnsi="Times New Roman" w:cs="Times New Roman"/>
          <w:color w:val="000000"/>
        </w:rPr>
        <w:t xml:space="preserve"> little about how successful the disengagement frame has </w:t>
      </w:r>
      <w:r w:rsidR="00984005">
        <w:rPr>
          <w:rFonts w:ascii="Times New Roman" w:eastAsia="Times New Roman" w:hAnsi="Times New Roman" w:cs="Times New Roman"/>
          <w:color w:val="000000"/>
        </w:rPr>
        <w:t>resonated</w:t>
      </w:r>
      <w:r>
        <w:rPr>
          <w:rFonts w:ascii="Times New Roman" w:eastAsia="Times New Roman" w:hAnsi="Times New Roman" w:cs="Times New Roman"/>
          <w:color w:val="000000"/>
        </w:rPr>
        <w:t xml:space="preserve"> at the community level, particularly among the small percentage of young people who are sympathetic to dissident Republicans</w:t>
      </w:r>
      <w:r w:rsidR="008E0806">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594"/>
      </w:r>
      <w:r w:rsidR="00320C5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Most conflict transformation projects and youth projects will have a selection bias insofar as the participants will be there voluntarily (in most cases) and so </w:t>
      </w:r>
      <w:r w:rsidR="00984005">
        <w:rPr>
          <w:rFonts w:ascii="Times New Roman" w:eastAsia="Times New Roman" w:hAnsi="Times New Roman" w:cs="Times New Roman"/>
          <w:color w:val="000000"/>
        </w:rPr>
        <w:t>may already oppose violence.</w:t>
      </w:r>
      <w:r w:rsidR="002911C3">
        <w:rPr>
          <w:rFonts w:ascii="Times New Roman" w:eastAsia="Times New Roman" w:hAnsi="Times New Roman" w:cs="Times New Roman"/>
          <w:color w:val="000000"/>
        </w:rPr>
        <w:t xml:space="preserve"> </w:t>
      </w:r>
      <w:r w:rsidR="00984005">
        <w:rPr>
          <w:rFonts w:ascii="Times New Roman" w:eastAsia="Times New Roman" w:hAnsi="Times New Roman" w:cs="Times New Roman"/>
          <w:color w:val="000000"/>
        </w:rPr>
        <w:t>Y</w:t>
      </w:r>
      <w:r w:rsidR="00E604BD">
        <w:rPr>
          <w:rFonts w:ascii="Times New Roman" w:eastAsia="Times New Roman" w:hAnsi="Times New Roman" w:cs="Times New Roman"/>
          <w:color w:val="000000"/>
        </w:rPr>
        <w:t>et projects involving former combatants have been successful in reaching a broader audience of young people</w:t>
      </w:r>
      <w:r w:rsidR="002911C3">
        <w:rPr>
          <w:rFonts w:ascii="Times New Roman" w:eastAsia="Times New Roman" w:hAnsi="Times New Roman" w:cs="Times New Roman"/>
          <w:color w:val="000000"/>
        </w:rPr>
        <w:t xml:space="preserve">. </w:t>
      </w:r>
      <w:r w:rsidR="007016DA">
        <w:rPr>
          <w:rFonts w:ascii="Times New Roman" w:eastAsia="Times New Roman" w:hAnsi="Times New Roman" w:cs="Times New Roman"/>
          <w:color w:val="000000"/>
        </w:rPr>
        <w:t>An unexplored linkage to a broader audience of young people has been schools, which can provide access to young people who may be inclined to join militant groups but cannot be reached through networks such as the one discussed above. The thesis’ f</w:t>
      </w:r>
      <w:r w:rsidR="00655AD6" w:rsidRPr="00616F5E">
        <w:rPr>
          <w:rFonts w:ascii="Times New Roman" w:eastAsia="Times New Roman" w:hAnsi="Times New Roman" w:cs="Times New Roman"/>
          <w:color w:val="000000"/>
        </w:rPr>
        <w:t xml:space="preserve">ieldwork highlighted attempts by one project </w:t>
      </w:r>
      <w:r w:rsidR="00E604BD">
        <w:rPr>
          <w:rFonts w:ascii="Times New Roman" w:eastAsia="Times New Roman" w:hAnsi="Times New Roman" w:cs="Times New Roman"/>
          <w:color w:val="000000"/>
        </w:rPr>
        <w:t xml:space="preserve">– the Prisoner to Peace project - </w:t>
      </w:r>
      <w:r w:rsidR="00655AD6" w:rsidRPr="00616F5E">
        <w:rPr>
          <w:rFonts w:ascii="Times New Roman" w:eastAsia="Times New Roman" w:hAnsi="Times New Roman" w:cs="Times New Roman"/>
          <w:color w:val="000000"/>
        </w:rPr>
        <w:t>in Northern Ireland to introduce former combatants into schools to increase interaction and resolve the problems of glamourising violence.</w:t>
      </w:r>
      <w:r w:rsidR="00E604BD">
        <w:rPr>
          <w:rFonts w:ascii="Times New Roman" w:eastAsia="Times New Roman" w:hAnsi="Times New Roman" w:cs="Times New Roman"/>
          <w:color w:val="000000"/>
        </w:rPr>
        <w:t xml:space="preserve"> The Prisoner to Peace project</w:t>
      </w:r>
      <w:r w:rsidR="00655AD6" w:rsidRPr="00616F5E">
        <w:rPr>
          <w:rFonts w:ascii="Times New Roman" w:eastAsia="Times New Roman" w:hAnsi="Times New Roman" w:cs="Times New Roman"/>
          <w:color w:val="000000"/>
        </w:rPr>
        <w:t xml:space="preserve"> </w:t>
      </w:r>
      <w:r w:rsidR="00E604BD">
        <w:rPr>
          <w:rFonts w:ascii="Times New Roman" w:eastAsia="Times New Roman" w:hAnsi="Times New Roman" w:cs="Times New Roman"/>
          <w:color w:val="000000"/>
        </w:rPr>
        <w:t>has a broader remit where it has also organised youth conferences and events,</w:t>
      </w:r>
      <w:r w:rsidR="007016DA">
        <w:rPr>
          <w:rFonts w:ascii="Times New Roman" w:eastAsia="Times New Roman" w:hAnsi="Times New Roman" w:cs="Times New Roman"/>
          <w:color w:val="000000"/>
        </w:rPr>
        <w:t xml:space="preserve"> and Coiste – the Provisional IRA ex-prisoner group – has actively engaged young </w:t>
      </w:r>
      <w:r w:rsidR="007016DA">
        <w:rPr>
          <w:rFonts w:ascii="Times New Roman" w:eastAsia="Times New Roman" w:hAnsi="Times New Roman" w:cs="Times New Roman"/>
          <w:color w:val="000000"/>
        </w:rPr>
        <w:lastRenderedPageBreak/>
        <w:t>people</w:t>
      </w:r>
      <w:r w:rsidR="004A0238">
        <w:rPr>
          <w:rFonts w:ascii="Times New Roman" w:eastAsia="Times New Roman" w:hAnsi="Times New Roman" w:cs="Times New Roman"/>
          <w:color w:val="000000"/>
        </w:rPr>
        <w:t xml:space="preserve">. </w:t>
      </w:r>
      <w:r w:rsidR="007016DA">
        <w:rPr>
          <w:rFonts w:ascii="Times New Roman" w:eastAsia="Times New Roman" w:hAnsi="Times New Roman" w:cs="Times New Roman"/>
          <w:color w:val="000000"/>
        </w:rPr>
        <w:t>The school</w:t>
      </w:r>
      <w:r w:rsidR="00655AD6" w:rsidRPr="00616F5E">
        <w:rPr>
          <w:rFonts w:ascii="Times New Roman" w:eastAsia="Times New Roman" w:hAnsi="Times New Roman" w:cs="Times New Roman"/>
          <w:color w:val="000000"/>
        </w:rPr>
        <w:t xml:space="preserve"> project has been included in the thesis because there is no identifiable research that has looked at de-radicalisation and counter-radicalisation attempts within schools</w:t>
      </w:r>
      <w:r w:rsidR="003434D2">
        <w:rPr>
          <w:rFonts w:ascii="Times New Roman" w:eastAsia="Times New Roman" w:hAnsi="Times New Roman" w:cs="Times New Roman"/>
          <w:color w:val="000000"/>
        </w:rPr>
        <w:t>:</w:t>
      </w:r>
      <w:r w:rsidR="00655AD6" w:rsidRPr="00616F5E">
        <w:rPr>
          <w:rFonts w:ascii="Times New Roman" w:eastAsia="Times New Roman" w:hAnsi="Times New Roman" w:cs="Times New Roman"/>
          <w:color w:val="000000"/>
        </w:rPr>
        <w:t xml:space="preserve"> while the project is discussed in two academic publications</w:t>
      </w:r>
      <w:r w:rsidR="008E0806">
        <w:rPr>
          <w:rFonts w:ascii="Times New Roman" w:eastAsia="Times New Roman" w:hAnsi="Times New Roman" w:cs="Times New Roman"/>
          <w:color w:val="000000"/>
        </w:rPr>
        <w:t>,</w:t>
      </w:r>
      <w:r w:rsidR="00655AD6" w:rsidRPr="00616F5E">
        <w:rPr>
          <w:rStyle w:val="FootnoteReference"/>
          <w:rFonts w:ascii="Times New Roman" w:eastAsia="Times New Roman" w:hAnsi="Times New Roman" w:cs="Times New Roman"/>
          <w:color w:val="000000"/>
        </w:rPr>
        <w:footnoteReference w:id="595"/>
      </w:r>
      <w:r w:rsidR="00655AD6" w:rsidRPr="00616F5E">
        <w:rPr>
          <w:rFonts w:ascii="Times New Roman" w:eastAsia="Times New Roman" w:hAnsi="Times New Roman" w:cs="Times New Roman"/>
          <w:color w:val="000000"/>
        </w:rPr>
        <w:t xml:space="preserve"> this is within the discipline of Education. Therefore, before linking the project back to Norther</w:t>
      </w:r>
      <w:r w:rsidR="00984005">
        <w:rPr>
          <w:rFonts w:ascii="Times New Roman" w:eastAsia="Times New Roman" w:hAnsi="Times New Roman" w:cs="Times New Roman"/>
          <w:color w:val="000000"/>
        </w:rPr>
        <w:t xml:space="preserve">n Ireland, the chapter relates </w:t>
      </w:r>
      <w:r w:rsidR="00655AD6" w:rsidRPr="00616F5E">
        <w:rPr>
          <w:rFonts w:ascii="Times New Roman" w:eastAsia="Times New Roman" w:hAnsi="Times New Roman" w:cs="Times New Roman"/>
          <w:color w:val="000000"/>
        </w:rPr>
        <w:t xml:space="preserve">how the UK Home Office has begun to engage schools in their counter-terrorism strategy. Both of these programmes mark a significant shift in terms of recognising, albeit implicitly, that </w:t>
      </w:r>
      <w:r w:rsidR="004A0238" w:rsidRPr="004A0238">
        <w:rPr>
          <w:rFonts w:ascii="Times New Roman" w:eastAsia="Times New Roman" w:hAnsi="Times New Roman" w:cs="Times New Roman"/>
          <w:i/>
          <w:iCs/>
          <w:color w:val="000000"/>
        </w:rPr>
        <w:t>conditional</w:t>
      </w:r>
      <w:r w:rsidR="004A0238">
        <w:rPr>
          <w:rFonts w:ascii="Times New Roman" w:eastAsia="Times New Roman" w:hAnsi="Times New Roman" w:cs="Times New Roman"/>
          <w:color w:val="000000"/>
        </w:rPr>
        <w:t xml:space="preserve"> </w:t>
      </w:r>
      <w:r w:rsidR="00655AD6" w:rsidRPr="00616F5E">
        <w:rPr>
          <w:rFonts w:ascii="Times New Roman" w:eastAsia="Times New Roman" w:hAnsi="Times New Roman" w:cs="Times New Roman"/>
          <w:color w:val="000000"/>
        </w:rPr>
        <w:t>de-radicalisation is more effective at challenging attitudes to armed violence, an</w:t>
      </w:r>
      <w:r w:rsidR="004A0238">
        <w:rPr>
          <w:rFonts w:ascii="Times New Roman" w:eastAsia="Times New Roman" w:hAnsi="Times New Roman" w:cs="Times New Roman"/>
          <w:color w:val="000000"/>
        </w:rPr>
        <w:t>d that ideological change or unconditional de-radicalisation</w:t>
      </w:r>
      <w:r w:rsidR="00655AD6" w:rsidRPr="00616F5E">
        <w:rPr>
          <w:rFonts w:ascii="Times New Roman" w:eastAsia="Times New Roman" w:hAnsi="Times New Roman" w:cs="Times New Roman"/>
          <w:color w:val="000000"/>
        </w:rPr>
        <w:t xml:space="preserve"> is not necessarily integral to this process</w:t>
      </w:r>
      <w:r w:rsidR="008E0806">
        <w:rPr>
          <w:rFonts w:ascii="Times New Roman" w:eastAsia="Times New Roman" w:hAnsi="Times New Roman" w:cs="Times New Roman"/>
          <w:color w:val="000000"/>
        </w:rPr>
        <w:t>.</w:t>
      </w:r>
      <w:r w:rsidR="00655AD6" w:rsidRPr="00616F5E">
        <w:rPr>
          <w:rFonts w:ascii="Times New Roman" w:eastAsia="Times New Roman" w:hAnsi="Times New Roman" w:cs="Times New Roman"/>
          <w:color w:val="000000"/>
        </w:rPr>
        <w:t xml:space="preserve">  </w:t>
      </w:r>
    </w:p>
    <w:p w14:paraId="21001149" w14:textId="77777777" w:rsidR="008B08C6" w:rsidRDefault="00655AD6" w:rsidP="00B57C7F">
      <w:pPr>
        <w:spacing w:line="360" w:lineRule="auto"/>
        <w:ind w:firstLine="567"/>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Terrorism research on schools has primarily focused on the role of religious schools as sites of extremism and radicalisation</w:t>
      </w:r>
      <w:r w:rsidRPr="00616F5E">
        <w:rPr>
          <w:rStyle w:val="FootnoteReference"/>
          <w:rFonts w:ascii="Times New Roman" w:eastAsia="Times New Roman" w:hAnsi="Times New Roman" w:cs="Times New Roman"/>
          <w:color w:val="000000"/>
        </w:rPr>
        <w:footnoteReference w:id="596"/>
      </w:r>
      <w:r w:rsidR="00A61AA9">
        <w:rPr>
          <w:rFonts w:ascii="Times New Roman" w:eastAsia="Times New Roman" w:hAnsi="Times New Roman" w:cs="Times New Roman"/>
          <w:color w:val="000000"/>
        </w:rPr>
        <w:t>, how terrorism is taught,</w:t>
      </w:r>
      <w:r w:rsidR="00A61AA9">
        <w:rPr>
          <w:rStyle w:val="FootnoteReference"/>
          <w:rFonts w:ascii="Times New Roman" w:eastAsia="Times New Roman" w:hAnsi="Times New Roman" w:cs="Times New Roman"/>
          <w:color w:val="000000"/>
        </w:rPr>
        <w:footnoteReference w:id="597"/>
      </w:r>
      <w:r w:rsidR="00A61AA9">
        <w:rPr>
          <w:rFonts w:ascii="Times New Roman" w:eastAsia="Times New Roman" w:hAnsi="Times New Roman" w:cs="Times New Roman"/>
          <w:color w:val="000000"/>
        </w:rPr>
        <w:t xml:space="preserve"> school-children who are victims of terrorism,</w:t>
      </w:r>
      <w:r w:rsidR="00A61AA9">
        <w:rPr>
          <w:rStyle w:val="FootnoteReference"/>
          <w:rFonts w:ascii="Times New Roman" w:eastAsia="Times New Roman" w:hAnsi="Times New Roman" w:cs="Times New Roman"/>
          <w:color w:val="000000"/>
        </w:rPr>
        <w:footnoteReference w:id="598"/>
      </w:r>
      <w:r w:rsidRPr="00616F5E">
        <w:rPr>
          <w:rFonts w:ascii="Times New Roman" w:eastAsia="Times New Roman" w:hAnsi="Times New Roman" w:cs="Times New Roman"/>
          <w:color w:val="000000"/>
        </w:rPr>
        <w:t xml:space="preserve"> or the lack of education as a cause of terrorism</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599"/>
      </w:r>
      <w:r w:rsidRPr="00616F5E">
        <w:rPr>
          <w:rFonts w:ascii="Times New Roman" w:eastAsia="Times New Roman" w:hAnsi="Times New Roman" w:cs="Times New Roman"/>
          <w:color w:val="000000"/>
        </w:rPr>
        <w:t xml:space="preserve"> Yet there has been no research on the role of schools in the context of de-radicalisation and counter-radicalisation. This area was highlighted as a significant research gap by </w:t>
      </w:r>
      <w:r w:rsidR="0086387B">
        <w:rPr>
          <w:rFonts w:ascii="Times New Roman" w:eastAsia="Times New Roman" w:hAnsi="Times New Roman" w:cs="Times New Roman"/>
          <w:color w:val="000000"/>
        </w:rPr>
        <w:t xml:space="preserve">an </w:t>
      </w:r>
      <w:r w:rsidRPr="00616F5E">
        <w:rPr>
          <w:rFonts w:ascii="Times New Roman" w:eastAsia="Times New Roman" w:hAnsi="Times New Roman" w:cs="Times New Roman"/>
          <w:color w:val="000000"/>
        </w:rPr>
        <w:t>official at the Office for Security and Counter-Terrorism. The UK Home Office has been inviting schools in London to have their students’ debate political violence (significantly, not Islam or radicalism), leading to an organic de-legitimisation of al-Qaeda-style violence</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00"/>
      </w:r>
      <w:r w:rsidRPr="00616F5E">
        <w:rPr>
          <w:rFonts w:ascii="Times New Roman" w:eastAsia="Times New Roman" w:hAnsi="Times New Roman" w:cs="Times New Roman"/>
          <w:color w:val="000000"/>
        </w:rPr>
        <w:t xml:space="preserve"> In addition to accepting that ideology should not be the focus of discussion, the programme accepts conditionality: ‘[the students] don’t really challenge [the Home Office’s] position on </w:t>
      </w:r>
      <w:r w:rsidRPr="00616F5E">
        <w:rPr>
          <w:rFonts w:ascii="Times New Roman" w:eastAsia="Times New Roman" w:hAnsi="Times New Roman" w:cs="Times New Roman"/>
          <w:color w:val="000000"/>
        </w:rPr>
        <w:lastRenderedPageBreak/>
        <w:t>al-Qaeda but they do…challenge our position on Hamas. But for our policy that is fine’</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01"/>
      </w:r>
      <w:r w:rsidRPr="00616F5E">
        <w:rPr>
          <w:rFonts w:ascii="Times New Roman" w:eastAsia="Times New Roman" w:hAnsi="Times New Roman" w:cs="Times New Roman"/>
          <w:color w:val="000000"/>
        </w:rPr>
        <w:t xml:space="preserve"> The Home Office’s programme is primarily concerned with counter-radicalisation, yet it represents a shift toward challenging attitudes toward violence rather than primarily challenging ideology and accepting that some forms of violence will still retain support.</w:t>
      </w:r>
      <w:r w:rsidR="004A0238">
        <w:rPr>
          <w:rFonts w:ascii="Times New Roman" w:eastAsia="Times New Roman" w:hAnsi="Times New Roman" w:cs="Times New Roman"/>
          <w:color w:val="000000"/>
        </w:rPr>
        <w:t xml:space="preserve"> The Home Office would not be able to use former combatants in this context, and while the interviewee acknowledged this may be useful, this has not happened because of government interests in not promoting Islamist views that contradict its views on, for example, gender</w:t>
      </w:r>
      <w:r w:rsidR="008E0806">
        <w:rPr>
          <w:rFonts w:ascii="Times New Roman" w:eastAsia="Times New Roman" w:hAnsi="Times New Roman" w:cs="Times New Roman"/>
          <w:color w:val="000000"/>
        </w:rPr>
        <w:t>.</w:t>
      </w:r>
      <w:r w:rsidR="004A0238">
        <w:rPr>
          <w:rStyle w:val="FootnoteReference"/>
          <w:rFonts w:ascii="Times New Roman" w:eastAsia="Times New Roman" w:hAnsi="Times New Roman" w:cs="Times New Roman"/>
          <w:color w:val="000000"/>
        </w:rPr>
        <w:footnoteReference w:id="602"/>
      </w:r>
      <w:r w:rsidR="004A0238">
        <w:rPr>
          <w:rFonts w:ascii="Times New Roman" w:eastAsia="Times New Roman" w:hAnsi="Times New Roman" w:cs="Times New Roman"/>
          <w:color w:val="000000"/>
        </w:rPr>
        <w:t xml:space="preserve"> In Northern Ireland, the broad support that the militant groups had</w:t>
      </w:r>
      <w:r w:rsidR="00A07EFA">
        <w:rPr>
          <w:rFonts w:ascii="Times New Roman" w:eastAsia="Times New Roman" w:hAnsi="Times New Roman" w:cs="Times New Roman"/>
          <w:color w:val="000000"/>
        </w:rPr>
        <w:t xml:space="preserve"> </w:t>
      </w:r>
      <w:r w:rsidR="004A0238">
        <w:rPr>
          <w:rFonts w:ascii="Times New Roman" w:eastAsia="Times New Roman" w:hAnsi="Times New Roman" w:cs="Times New Roman"/>
          <w:color w:val="000000"/>
        </w:rPr>
        <w:t>and the greater overlap in identity led to a completely different dynamic for former combatants, whereby it is more politically acceptable to give them a role in schools and the community</w:t>
      </w:r>
      <w:r w:rsidR="008E0806">
        <w:rPr>
          <w:rFonts w:ascii="Times New Roman" w:eastAsia="Times New Roman" w:hAnsi="Times New Roman" w:cs="Times New Roman"/>
          <w:color w:val="000000"/>
        </w:rPr>
        <w:t>.</w:t>
      </w:r>
      <w:r w:rsidR="00A07EFA">
        <w:rPr>
          <w:rStyle w:val="FootnoteReference"/>
          <w:rFonts w:ascii="Times New Roman" w:eastAsia="Times New Roman" w:hAnsi="Times New Roman" w:cs="Times New Roman"/>
          <w:color w:val="000000"/>
        </w:rPr>
        <w:footnoteReference w:id="603"/>
      </w:r>
      <w:r w:rsidR="008B08C6">
        <w:rPr>
          <w:rFonts w:ascii="Times New Roman" w:eastAsia="Times New Roman" w:hAnsi="Times New Roman" w:cs="Times New Roman"/>
          <w:color w:val="000000"/>
        </w:rPr>
        <w:t xml:space="preserve"> </w:t>
      </w:r>
    </w:p>
    <w:p w14:paraId="071A17CD" w14:textId="33EC48DB" w:rsidR="008D57DC" w:rsidRPr="00EC108B" w:rsidRDefault="008D57DC" w:rsidP="008D57DC">
      <w:pPr>
        <w:spacing w:line="360" w:lineRule="auto"/>
        <w:ind w:firstLine="567"/>
        <w:jc w:val="both"/>
        <w:rPr>
          <w:rFonts w:ascii="Times New Roman" w:hAnsi="Times New Roman" w:cs="Times New Roman"/>
        </w:rPr>
      </w:pPr>
      <w:r>
        <w:rPr>
          <w:rFonts w:ascii="Times New Roman" w:eastAsia="Times New Roman" w:hAnsi="Times New Roman" w:cs="Times New Roman"/>
          <w:color w:val="000000"/>
        </w:rPr>
        <w:t>The project the thesis focuses on is the Prison to Peace project, and while it will focus primarily on its activities in schools, the chapter will firstly set out the broader context of the project</w:t>
      </w:r>
      <w:r w:rsidRPr="00616F5E">
        <w:rPr>
          <w:rFonts w:ascii="Times New Roman" w:eastAsia="Times New Roman" w:hAnsi="Times New Roman" w:cs="Times New Roman"/>
          <w:color w:val="000000"/>
        </w:rPr>
        <w:t xml:space="preserve">. The </w:t>
      </w:r>
      <w:r>
        <w:rPr>
          <w:rFonts w:ascii="Times New Roman" w:eastAsia="Times New Roman" w:hAnsi="Times New Roman" w:cs="Times New Roman"/>
          <w:color w:val="000000"/>
        </w:rPr>
        <w:t xml:space="preserve">Prison to Peace </w:t>
      </w:r>
      <w:r w:rsidRPr="00616F5E">
        <w:rPr>
          <w:rFonts w:ascii="Times New Roman" w:eastAsia="Times New Roman" w:hAnsi="Times New Roman" w:cs="Times New Roman"/>
          <w:color w:val="000000"/>
        </w:rPr>
        <w:t xml:space="preserve">project </w:t>
      </w:r>
      <w:r>
        <w:rPr>
          <w:rFonts w:ascii="Times New Roman" w:eastAsia="Times New Roman" w:hAnsi="Times New Roman" w:cs="Times New Roman"/>
          <w:color w:val="000000"/>
        </w:rPr>
        <w:t>has been funded by the EU PEACE III funding and has been the outcome of the mobile phone network as discussed in Chapter Five; the school-specific aspect of the project has been</w:t>
      </w:r>
      <w:r w:rsidRPr="00616F5E">
        <w:rPr>
          <w:rFonts w:ascii="Times New Roman" w:eastAsia="Times New Roman" w:hAnsi="Times New Roman" w:cs="Times New Roman"/>
          <w:color w:val="000000"/>
        </w:rPr>
        <w:t xml:space="preserve"> funded by the </w:t>
      </w:r>
      <w:r>
        <w:rPr>
          <w:rFonts w:ascii="Times New Roman" w:eastAsia="Times New Roman" w:hAnsi="Times New Roman" w:cs="Times New Roman"/>
          <w:color w:val="000000"/>
        </w:rPr>
        <w:t>Office for the First Minister and Deputy First Minister (</w:t>
      </w:r>
      <w:r w:rsidRPr="00616F5E">
        <w:rPr>
          <w:rFonts w:ascii="Times New Roman" w:eastAsia="Times New Roman" w:hAnsi="Times New Roman" w:cs="Times New Roman"/>
          <w:color w:val="000000"/>
        </w:rPr>
        <w:t>OFMDFM</w:t>
      </w:r>
      <w:r>
        <w:rPr>
          <w:rFonts w:ascii="Times New Roman" w:eastAsia="Times New Roman" w:hAnsi="Times New Roman" w:cs="Times New Roman"/>
          <w:color w:val="000000"/>
        </w:rPr>
        <w:t xml:space="preserve">). This suggests that, while international organisations may be best placed to fund projects to facilitate disengagement in the early stages, the state can play a role without undermining the legitimacy of disengaged groups in the latter stages. </w:t>
      </w:r>
      <w:r w:rsidRPr="00616F5E">
        <w:rPr>
          <w:rFonts w:ascii="Times New Roman" w:eastAsia="Times New Roman" w:hAnsi="Times New Roman" w:cs="Times New Roman"/>
          <w:color w:val="000000"/>
        </w:rPr>
        <w:t>The project, led by Community Foundation for Northern Ireland, involves a number of ex-prisoner organisations such as Coiste na n-larchimi, Teach na Failte, Lisburn Prisoners’ Support Project, An Eochair, and EPIC. These organisations represent, respectively, the Provisional IRA, the INLA, the UDA and U</w:t>
      </w:r>
      <w:r>
        <w:rPr>
          <w:rFonts w:ascii="Times New Roman" w:eastAsia="Times New Roman" w:hAnsi="Times New Roman" w:cs="Times New Roman"/>
          <w:color w:val="000000"/>
        </w:rPr>
        <w:t xml:space="preserve">lster </w:t>
      </w:r>
      <w:r w:rsidRPr="00616F5E">
        <w:rPr>
          <w:rFonts w:ascii="Times New Roman" w:eastAsia="Times New Roman" w:hAnsi="Times New Roman" w:cs="Times New Roman"/>
          <w:color w:val="000000"/>
        </w:rPr>
        <w:t>F</w:t>
      </w:r>
      <w:r>
        <w:rPr>
          <w:rFonts w:ascii="Times New Roman" w:eastAsia="Times New Roman" w:hAnsi="Times New Roman" w:cs="Times New Roman"/>
          <w:color w:val="000000"/>
        </w:rPr>
        <w:t xml:space="preserve">reedom </w:t>
      </w:r>
      <w:r w:rsidRPr="00616F5E">
        <w:rPr>
          <w:rFonts w:ascii="Times New Roman" w:eastAsia="Times New Roman" w:hAnsi="Times New Roman" w:cs="Times New Roman"/>
          <w:color w:val="000000"/>
        </w:rPr>
        <w:t>F</w:t>
      </w:r>
      <w:r>
        <w:rPr>
          <w:rFonts w:ascii="Times New Roman" w:eastAsia="Times New Roman" w:hAnsi="Times New Roman" w:cs="Times New Roman"/>
          <w:color w:val="000000"/>
        </w:rPr>
        <w:t>ighters (UFF)</w:t>
      </w:r>
      <w:r w:rsidRPr="00616F5E">
        <w:rPr>
          <w:rFonts w:ascii="Times New Roman" w:eastAsia="Times New Roman" w:hAnsi="Times New Roman" w:cs="Times New Roman"/>
          <w:color w:val="000000"/>
        </w:rPr>
        <w:t>, the Official IRA, and the UVF.</w:t>
      </w:r>
      <w:r>
        <w:rPr>
          <w:rFonts w:ascii="Times New Roman" w:eastAsia="Times New Roman" w:hAnsi="Times New Roman" w:cs="Times New Roman"/>
          <w:color w:val="000000"/>
        </w:rPr>
        <w:t xml:space="preserve"> </w:t>
      </w:r>
      <w:r>
        <w:rPr>
          <w:rFonts w:ascii="Times New Roman" w:hAnsi="Times New Roman" w:cs="Times New Roman"/>
        </w:rPr>
        <w:t>The programme involved 864 young people aged 14-17 years old, most from 14 post-primary school settings across Northern Ireland. Schools selected in the programme were broadly representative, from urban, rural, mixed schools, Catholic schools, in rich and poor areas.</w:t>
      </w:r>
      <w:r>
        <w:rPr>
          <w:rStyle w:val="FootnoteReference"/>
          <w:rFonts w:ascii="Times New Roman" w:hAnsi="Times New Roman" w:cs="Times New Roman"/>
        </w:rPr>
        <w:footnoteReference w:id="604"/>
      </w:r>
      <w:r>
        <w:rPr>
          <w:rFonts w:ascii="Times New Roman" w:hAnsi="Times New Roman" w:cs="Times New Roman"/>
        </w:rPr>
        <w:t xml:space="preserve"> </w:t>
      </w:r>
      <w:r>
        <w:rPr>
          <w:rFonts w:ascii="Times New Roman" w:eastAsia="Times New Roman" w:hAnsi="Times New Roman" w:cs="Times New Roman"/>
          <w:color w:val="000000"/>
        </w:rPr>
        <w:t xml:space="preserve">The project has other </w:t>
      </w:r>
      <w:r>
        <w:rPr>
          <w:rFonts w:ascii="Times New Roman" w:eastAsia="Times New Roman" w:hAnsi="Times New Roman" w:cs="Times New Roman"/>
          <w:color w:val="000000"/>
        </w:rPr>
        <w:lastRenderedPageBreak/>
        <w:t>functions or there have been other complementary projects ran by the individual groups, such as increasing inter-community dialogue, conflict transformation and creating social change at the community level. Under the Prisoner to Peace Project, former combatants have been engaging with young people in the community and in schools. For example, the Coiste youth worker discussed events here organised which allowed young people to meet former British soldiers and PSNI officers. At the meeting with the PSNI, the 102 young people from both communities who had attended reported a substantial increase in respect of police. At such events, former combatants challenged young people on attacking police and have sought to help the PSNI improve policing with young people to prevent them pushing them toward dissident groups.</w:t>
      </w:r>
      <w:r>
        <w:rPr>
          <w:rStyle w:val="FootnoteReference"/>
          <w:rFonts w:ascii="Times New Roman" w:eastAsia="Times New Roman" w:hAnsi="Times New Roman" w:cs="Times New Roman"/>
          <w:color w:val="000000"/>
        </w:rPr>
        <w:footnoteReference w:id="605"/>
      </w:r>
      <w:r>
        <w:rPr>
          <w:rFonts w:ascii="Times New Roman" w:eastAsia="Times New Roman" w:hAnsi="Times New Roman" w:cs="Times New Roman"/>
          <w:color w:val="000000"/>
        </w:rPr>
        <w:t xml:space="preserve"> Within this broader interaction between former combatants and the younger generation, the chapter will explore the project’s impact in schools. </w:t>
      </w:r>
    </w:p>
    <w:p w14:paraId="1A4D9009" w14:textId="77777777" w:rsidR="0086387B" w:rsidRDefault="0086387B" w:rsidP="00B57C7F">
      <w:pPr>
        <w:spacing w:line="360" w:lineRule="auto"/>
        <w:ind w:firstLine="567"/>
        <w:jc w:val="both"/>
        <w:rPr>
          <w:rFonts w:ascii="Times New Roman" w:eastAsia="Times New Roman" w:hAnsi="Times New Roman" w:cs="Times New Roman"/>
          <w:color w:val="000000"/>
        </w:rPr>
      </w:pPr>
    </w:p>
    <w:p w14:paraId="2C9B6118" w14:textId="77777777" w:rsidR="007C095A" w:rsidRDefault="004F6FCD" w:rsidP="00B57C7F">
      <w:pPr>
        <w:pStyle w:val="Heading4"/>
        <w:spacing w:before="120" w:line="360" w:lineRule="auto"/>
      </w:pPr>
      <w:bookmarkStart w:id="71" w:name="_Toc389208853"/>
      <w:r>
        <w:t>Prisoner to Peace Project in</w:t>
      </w:r>
      <w:r w:rsidR="00022BEE">
        <w:t xml:space="preserve"> Schools</w:t>
      </w:r>
      <w:bookmarkEnd w:id="71"/>
    </w:p>
    <w:p w14:paraId="5FE8958E" w14:textId="77777777" w:rsidR="006470CD" w:rsidRPr="00616F5E" w:rsidRDefault="007C095A" w:rsidP="00B57C7F">
      <w:pPr>
        <w:spacing w:line="360" w:lineRule="auto"/>
        <w:ind w:firstLine="720"/>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 xml:space="preserve">In Northern Ireland, schools have also been recognised as a potential site for attitudinal transformation (or to prevent certain attitudes from developing), but the key difference has been the central role of former combatants in the programme. Similar to the Home Office programme, school engagement does not seek to de-legitimise Republicanism or Loyalism; it seeks to facilitate a narrow and contextualised de-legitimisation of violence. The key difference is it reproduces a frame that legitimises </w:t>
      </w:r>
      <w:r w:rsidRPr="00616F5E">
        <w:rPr>
          <w:rFonts w:ascii="Times New Roman" w:eastAsia="Times New Roman" w:hAnsi="Times New Roman" w:cs="Times New Roman"/>
          <w:i/>
          <w:color w:val="000000"/>
        </w:rPr>
        <w:t>past</w:t>
      </w:r>
      <w:r w:rsidRPr="00616F5E">
        <w:rPr>
          <w:rFonts w:ascii="Times New Roman" w:eastAsia="Times New Roman" w:hAnsi="Times New Roman" w:cs="Times New Roman"/>
          <w:color w:val="000000"/>
        </w:rPr>
        <w:t xml:space="preserve"> violence, but this provides credibility for a non-violent form of Republican (and Loyalist) identity. While the previous section did not explore interaction with the ‘other’, Sinn Fein Youth participants were encouraged by former combatants to engage with Loyalist youths. Where this project differs, however, is how the interaction with the ‘other’ is between former combatants, replicating the process which led them to disengage, in front of the school children.</w:t>
      </w:r>
      <w:r w:rsidR="006470CD">
        <w:rPr>
          <w:rFonts w:ascii="Times New Roman" w:eastAsia="Times New Roman" w:hAnsi="Times New Roman" w:cs="Times New Roman"/>
          <w:color w:val="000000"/>
        </w:rPr>
        <w:t xml:space="preserve"> While other militant groups, especially the Loyalists, may frame disengagement differently</w:t>
      </w:r>
      <w:r w:rsidR="006470CD">
        <w:rPr>
          <w:rStyle w:val="FootnoteReference"/>
          <w:rFonts w:ascii="Times New Roman" w:eastAsia="Times New Roman" w:hAnsi="Times New Roman" w:cs="Times New Roman"/>
          <w:color w:val="000000"/>
        </w:rPr>
        <w:footnoteReference w:id="606"/>
      </w:r>
      <w:r w:rsidR="006470CD">
        <w:rPr>
          <w:rFonts w:ascii="Times New Roman" w:eastAsia="Times New Roman" w:hAnsi="Times New Roman" w:cs="Times New Roman"/>
          <w:color w:val="000000"/>
        </w:rPr>
        <w:t xml:space="preserve">, the most important aspect is that they too seek to de-glamourise </w:t>
      </w:r>
      <w:r w:rsidR="006470CD">
        <w:rPr>
          <w:rFonts w:ascii="Times New Roman" w:eastAsia="Times New Roman" w:hAnsi="Times New Roman" w:cs="Times New Roman"/>
          <w:color w:val="000000"/>
        </w:rPr>
        <w:lastRenderedPageBreak/>
        <w:t xml:space="preserve">violence and the prison experience, thus complementing the Provisional IRA disengagement frame. Therefore, the chapter refers to a singular disengagement frame but it is still referring to the Provisional IRA’s frame.  </w:t>
      </w:r>
      <w:r w:rsidR="006470CD" w:rsidRPr="00616F5E">
        <w:rPr>
          <w:rFonts w:ascii="Times New Roman" w:eastAsia="Times New Roman" w:hAnsi="Times New Roman" w:cs="Times New Roman"/>
          <w:color w:val="000000"/>
        </w:rPr>
        <w:t xml:space="preserve">     </w:t>
      </w:r>
    </w:p>
    <w:p w14:paraId="78BE5F7E" w14:textId="77777777" w:rsidR="00E927E9" w:rsidRPr="00616F5E" w:rsidRDefault="004F6FCD" w:rsidP="00B57C7F">
      <w:pPr>
        <w:spacing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E927E9">
        <w:rPr>
          <w:rFonts w:ascii="Times New Roman" w:eastAsia="Times New Roman" w:hAnsi="Times New Roman" w:cs="Times New Roman"/>
          <w:color w:val="000000"/>
        </w:rPr>
        <w:t xml:space="preserve">The project emerged in response to the recognition of </w:t>
      </w:r>
      <w:r w:rsidR="00E927E9" w:rsidRPr="00616F5E">
        <w:rPr>
          <w:rFonts w:ascii="Times New Roman" w:eastAsia="Times New Roman" w:hAnsi="Times New Roman" w:cs="Times New Roman"/>
          <w:color w:val="000000"/>
        </w:rPr>
        <w:t>the problem of a lack of intergenerational dialogue</w:t>
      </w:r>
      <w:r w:rsidR="00E927E9">
        <w:rPr>
          <w:rFonts w:ascii="Times New Roman" w:eastAsia="Times New Roman" w:hAnsi="Times New Roman" w:cs="Times New Roman"/>
          <w:color w:val="000000"/>
        </w:rPr>
        <w:t>,</w:t>
      </w:r>
      <w:r w:rsidR="00E927E9" w:rsidRPr="00616F5E">
        <w:rPr>
          <w:rFonts w:ascii="Times New Roman" w:eastAsia="Times New Roman" w:hAnsi="Times New Roman" w:cs="Times New Roman"/>
          <w:color w:val="000000"/>
        </w:rPr>
        <w:t xml:space="preserve"> </w:t>
      </w:r>
      <w:r w:rsidR="00E927E9">
        <w:rPr>
          <w:rFonts w:ascii="Times New Roman" w:eastAsia="Times New Roman" w:hAnsi="Times New Roman" w:cs="Times New Roman"/>
          <w:color w:val="000000"/>
        </w:rPr>
        <w:t>as discussed above.</w:t>
      </w:r>
      <w:r w:rsidR="00E927E9" w:rsidRPr="00616F5E">
        <w:rPr>
          <w:rFonts w:ascii="Times New Roman" w:eastAsia="Times New Roman" w:hAnsi="Times New Roman" w:cs="Times New Roman"/>
          <w:color w:val="000000"/>
        </w:rPr>
        <w:t xml:space="preserve"> </w:t>
      </w:r>
      <w:r w:rsidR="00E927E9">
        <w:rPr>
          <w:rFonts w:ascii="Times New Roman" w:eastAsia="Times New Roman" w:hAnsi="Times New Roman" w:cs="Times New Roman"/>
          <w:color w:val="000000"/>
        </w:rPr>
        <w:t>T</w:t>
      </w:r>
      <w:r w:rsidR="00E927E9" w:rsidRPr="00616F5E">
        <w:rPr>
          <w:rFonts w:ascii="Times New Roman" w:eastAsia="Times New Roman" w:hAnsi="Times New Roman" w:cs="Times New Roman"/>
          <w:color w:val="000000"/>
        </w:rPr>
        <w:t>he project emerged in a context where children at school have previously had little exposure to the conflict. As stated by a key participant in the project:</w:t>
      </w:r>
    </w:p>
    <w:p w14:paraId="3A626F17" w14:textId="77777777" w:rsidR="00E927E9" w:rsidRPr="00616F5E" w:rsidRDefault="00E927E9" w:rsidP="00B57C7F">
      <w:pPr>
        <w:spacing w:line="360" w:lineRule="auto"/>
        <w:ind w:firstLine="567"/>
        <w:jc w:val="both"/>
        <w:rPr>
          <w:rFonts w:ascii="Times New Roman" w:eastAsia="Times New Roman" w:hAnsi="Times New Roman" w:cs="Times New Roman"/>
          <w:color w:val="000000"/>
        </w:rPr>
      </w:pPr>
    </w:p>
    <w:p w14:paraId="6D4CAB2E" w14:textId="77777777" w:rsidR="00E927E9" w:rsidRPr="00616F5E" w:rsidRDefault="00E927E9" w:rsidP="00B57C7F">
      <w:pPr>
        <w:spacing w:line="360" w:lineRule="auto"/>
        <w:ind w:left="567" w:right="567"/>
        <w:jc w:val="both"/>
        <w:rPr>
          <w:rFonts w:ascii="Times New Roman" w:eastAsia="Times New Roman" w:hAnsi="Times New Roman" w:cs="Times New Roman"/>
          <w:i/>
          <w:color w:val="000000"/>
        </w:rPr>
      </w:pPr>
      <w:r w:rsidRPr="00616F5E">
        <w:rPr>
          <w:rFonts w:ascii="Times New Roman" w:hAnsi="Times New Roman" w:cs="Times New Roman"/>
          <w:i/>
          <w:color w:val="000000"/>
        </w:rPr>
        <w:t>A number of schools don’t really cover the Troubles; sometimes they only look at it in the last few weeks. This is because the teachers either don’t feel comfortable or they think it is better to keep it in the past instead of risking bringing it back up and it happening again.</w:t>
      </w:r>
      <w:r w:rsidRPr="00616F5E">
        <w:rPr>
          <w:rStyle w:val="FootnoteReference"/>
          <w:rFonts w:ascii="Times New Roman" w:hAnsi="Times New Roman" w:cs="Times New Roman"/>
          <w:i/>
          <w:color w:val="000000"/>
        </w:rPr>
        <w:footnoteReference w:id="607"/>
      </w:r>
    </w:p>
    <w:p w14:paraId="314FFE25" w14:textId="77777777" w:rsidR="00E927E9" w:rsidRPr="00616F5E" w:rsidRDefault="00E927E9" w:rsidP="00B57C7F">
      <w:pPr>
        <w:spacing w:line="360" w:lineRule="auto"/>
        <w:ind w:left="567" w:right="567"/>
        <w:jc w:val="both"/>
        <w:rPr>
          <w:rFonts w:ascii="Times New Roman" w:eastAsia="Times New Roman" w:hAnsi="Times New Roman" w:cs="Times New Roman"/>
          <w:i/>
          <w:color w:val="000000"/>
        </w:rPr>
      </w:pPr>
    </w:p>
    <w:p w14:paraId="64D5A3C9" w14:textId="151F1062" w:rsidR="00E927E9" w:rsidRDefault="00E927E9" w:rsidP="00B57C7F">
      <w:pPr>
        <w:spacing w:line="360" w:lineRule="auto"/>
        <w:ind w:firstLine="567"/>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Therefore, a limited engagement with the past in schools means there is a mixed and simplistic understanding of the conflict among younger people. The lack of inter-generational dialogue is further exacerbated by the lack of dialogue between youths and their parents</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08"/>
      </w:r>
      <w:r w:rsidRPr="00616F5E">
        <w:rPr>
          <w:rFonts w:ascii="Times New Roman" w:eastAsia="Times New Roman" w:hAnsi="Times New Roman" w:cs="Times New Roman"/>
          <w:color w:val="000000"/>
        </w:rPr>
        <w:t xml:space="preserve"> Further, the project</w:t>
      </w:r>
      <w:r w:rsidR="0080620D">
        <w:rPr>
          <w:rStyle w:val="FootnoteReference"/>
          <w:rFonts w:ascii="Times New Roman" w:eastAsia="Times New Roman" w:hAnsi="Times New Roman" w:cs="Times New Roman"/>
          <w:color w:val="000000"/>
        </w:rPr>
        <w:footnoteReference w:id="609"/>
      </w:r>
      <w:r w:rsidRPr="00616F5E">
        <w:rPr>
          <w:rFonts w:ascii="Times New Roman" w:eastAsia="Times New Roman" w:hAnsi="Times New Roman" w:cs="Times New Roman"/>
          <w:color w:val="000000"/>
        </w:rPr>
        <w:t xml:space="preserve"> partly emerged from recognition by former combatants who were engaging with young people that the stories they would tell tended to glamorise the conflict</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10"/>
      </w:r>
      <w:r w:rsidRPr="00616F5E">
        <w:rPr>
          <w:rFonts w:ascii="Times New Roman" w:eastAsia="Times New Roman" w:hAnsi="Times New Roman" w:cs="Times New Roman"/>
          <w:color w:val="000000"/>
        </w:rPr>
        <w:t xml:space="preserve"> Subsequently, the Prison to Peace </w:t>
      </w:r>
      <w:r>
        <w:rPr>
          <w:rFonts w:ascii="Times New Roman" w:eastAsia="Times New Roman" w:hAnsi="Times New Roman" w:cs="Times New Roman"/>
          <w:color w:val="000000"/>
        </w:rPr>
        <w:t xml:space="preserve">school </w:t>
      </w:r>
      <w:r w:rsidRPr="00616F5E">
        <w:rPr>
          <w:rFonts w:ascii="Times New Roman" w:eastAsia="Times New Roman" w:hAnsi="Times New Roman" w:cs="Times New Roman"/>
          <w:color w:val="000000"/>
        </w:rPr>
        <w:t>programme emerged from a determination by ex-prisoners to share their experiences with young people, to show that there ‘is no sense of glamour in their stories nor any sense of self-aggrandisement’</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i/>
          <w:color w:val="000000"/>
        </w:rPr>
        <w:footnoteReference w:id="611"/>
      </w:r>
      <w:r>
        <w:rPr>
          <w:rFonts w:ascii="Times New Roman" w:eastAsia="Times New Roman" w:hAnsi="Times New Roman" w:cs="Times New Roman"/>
          <w:color w:val="000000"/>
        </w:rPr>
        <w:t xml:space="preserve"> </w:t>
      </w:r>
      <w:r w:rsidRPr="00616F5E">
        <w:rPr>
          <w:rFonts w:ascii="Times New Roman" w:eastAsia="Times New Roman" w:hAnsi="Times New Roman" w:cs="Times New Roman"/>
          <w:color w:val="000000"/>
        </w:rPr>
        <w:t xml:space="preserve">The project involves the participation of former combatants in school discussions which takes place within a two-week course, outlined in a learning resource for teachers. </w:t>
      </w:r>
      <w:r>
        <w:rPr>
          <w:rFonts w:ascii="Times New Roman" w:eastAsia="Times New Roman" w:hAnsi="Times New Roman" w:cs="Times New Roman"/>
          <w:color w:val="000000"/>
        </w:rPr>
        <w:t xml:space="preserve">The schools targeted in the pilot project </w:t>
      </w:r>
      <w:r>
        <w:rPr>
          <w:rFonts w:ascii="Times New Roman" w:eastAsia="Times New Roman" w:hAnsi="Times New Roman" w:cs="Times New Roman"/>
          <w:color w:val="000000"/>
        </w:rPr>
        <w:lastRenderedPageBreak/>
        <w:t>included Catholic, Protestant, upper-class, middle-class and working-class</w:t>
      </w:r>
      <w:r w:rsidR="008E0806">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612"/>
      </w:r>
      <w:r>
        <w:rPr>
          <w:rFonts w:ascii="Times New Roman" w:eastAsia="Times New Roman" w:hAnsi="Times New Roman" w:cs="Times New Roman"/>
          <w:color w:val="000000"/>
        </w:rPr>
        <w:t xml:space="preserve"> W</w:t>
      </w:r>
      <w:r w:rsidRPr="00616F5E">
        <w:rPr>
          <w:rFonts w:ascii="Times New Roman" w:eastAsia="Times New Roman" w:hAnsi="Times New Roman" w:cs="Times New Roman"/>
          <w:color w:val="000000"/>
        </w:rPr>
        <w:t>hile it may not be implemented in every school, a key project participant was optimistic that it will become included in the school curriculum in Northern Ireland</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13"/>
      </w:r>
    </w:p>
    <w:p w14:paraId="5FCD3484" w14:textId="77777777" w:rsidR="00A66A78" w:rsidRDefault="004F6FCD" w:rsidP="00B57C7F">
      <w:pPr>
        <w:spacing w:line="360" w:lineRule="auto"/>
        <w:ind w:firstLine="567"/>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Prior to the participation of the former combatants, the students have two weeks to prepare for the session, which leads them to explore issues in greater depth</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14"/>
      </w:r>
      <w:r w:rsidRPr="00616F5E">
        <w:rPr>
          <w:rFonts w:ascii="Times New Roman" w:eastAsia="Times New Roman" w:hAnsi="Times New Roman" w:cs="Times New Roman"/>
          <w:color w:val="000000"/>
        </w:rPr>
        <w:t xml:space="preserve"> Previously, when students would engage with former combatants without preparation the initial questions would revolve around issues like the type of guns, therefore inviting an answer that would focus on superficial and more glamorous aspects of the conflict. Having given the students the time to study the conflict prior to the engagement, it was possible to have a dialogue that emphasised the less exciting aspects of being a combatant. The learning resource, building around the former combatants’ session, involves nine sessions for students to engage with. The first sessions introduces the students to the term ‘political ex-prisoners’, emphasising the continuation of their political identity as Republican or Loyalist, whilst differentiating them from ‘ordinary criminals’ or paramilitaries (which is associated with gangs). In the second session, students engage with a number of ex-prisoner narratives for becoming involved in the conflict and are encouraged to discuss the context in which conflict was viewed as legitimate. The third session then presents a number of narratives from Loyalist and Republican ex-prisoners which seek to delegitimise current violence and participation in militant groups, encouraging students to juxtapose the conditions in which the conflict emerged with the conditions in Northern Ireland now.</w:t>
      </w:r>
      <w:r w:rsidR="007E3F34">
        <w:rPr>
          <w:rFonts w:ascii="Times New Roman" w:eastAsia="Times New Roman" w:hAnsi="Times New Roman" w:cs="Times New Roman"/>
          <w:color w:val="000000"/>
        </w:rPr>
        <w:t xml:space="preserve"> </w:t>
      </w:r>
    </w:p>
    <w:p w14:paraId="72F947C2" w14:textId="5E649573" w:rsidR="004F6FCD" w:rsidRDefault="007E3F34" w:rsidP="00B57C7F">
      <w:pPr>
        <w:spacing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school programme therefore provides linkages for the disengagement frame to be diffused, but these very linkages shape the frame - just as the Provisional IRA’s organisational structure and mobile phone network did for the disengagement frame. Furthe</w:t>
      </w:r>
      <w:r w:rsidR="00406829">
        <w:rPr>
          <w:rFonts w:ascii="Times New Roman" w:eastAsia="Times New Roman" w:hAnsi="Times New Roman" w:cs="Times New Roman"/>
          <w:color w:val="000000"/>
        </w:rPr>
        <w:t>rmore, for linkages to work toward diffusing a frame, the messenger at one end of the frame needs to be seen as credible by the audience – hence why former combatants were utilised.</w:t>
      </w:r>
      <w:r w:rsidR="00E927E9">
        <w:rPr>
          <w:rFonts w:ascii="Times New Roman" w:eastAsia="Times New Roman" w:hAnsi="Times New Roman" w:cs="Times New Roman"/>
          <w:color w:val="000000"/>
        </w:rPr>
        <w:t xml:space="preserve"> </w:t>
      </w:r>
      <w:r w:rsidR="00406829">
        <w:rPr>
          <w:rFonts w:ascii="Times New Roman" w:eastAsia="Times New Roman" w:hAnsi="Times New Roman" w:cs="Times New Roman"/>
          <w:color w:val="000000"/>
        </w:rPr>
        <w:t>As will be shown, the shape of the linkages and interaction with the audience induced former combatants to de-glamourise violence.</w:t>
      </w:r>
    </w:p>
    <w:p w14:paraId="7EB27FCD" w14:textId="77777777" w:rsidR="007E3F34" w:rsidRDefault="007E3F34" w:rsidP="00B57C7F">
      <w:pPr>
        <w:pStyle w:val="Heading4"/>
        <w:spacing w:before="120" w:line="360" w:lineRule="auto"/>
      </w:pPr>
      <w:bookmarkStart w:id="72" w:name="_Toc389208854"/>
      <w:r>
        <w:lastRenderedPageBreak/>
        <w:t>Credibility</w:t>
      </w:r>
      <w:r w:rsidR="00544CBF">
        <w:t>, Linkages</w:t>
      </w:r>
      <w:r w:rsidR="00406829">
        <w:t xml:space="preserve"> and De-Glamourising Violence</w:t>
      </w:r>
      <w:bookmarkEnd w:id="72"/>
    </w:p>
    <w:p w14:paraId="20DDDB74" w14:textId="77777777" w:rsidR="00544CBF" w:rsidRDefault="00406829" w:rsidP="00B57C7F">
      <w:pPr>
        <w:spacing w:line="360" w:lineRule="auto"/>
        <w:ind w:firstLine="720"/>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 xml:space="preserve">One </w:t>
      </w:r>
      <w:r>
        <w:rPr>
          <w:rFonts w:ascii="Times New Roman" w:eastAsia="Times New Roman" w:hAnsi="Times New Roman" w:cs="Times New Roman"/>
          <w:color w:val="000000"/>
        </w:rPr>
        <w:t xml:space="preserve">potential </w:t>
      </w:r>
      <w:r w:rsidRPr="00616F5E">
        <w:rPr>
          <w:rFonts w:ascii="Times New Roman" w:eastAsia="Times New Roman" w:hAnsi="Times New Roman" w:cs="Times New Roman"/>
          <w:color w:val="000000"/>
        </w:rPr>
        <w:t>criticism is this process tends to strengthen the Provisional IRA’s disengagement frame and marginalising narratives which denounc</w:t>
      </w:r>
      <w:r>
        <w:rPr>
          <w:rFonts w:ascii="Times New Roman" w:eastAsia="Times New Roman" w:hAnsi="Times New Roman" w:cs="Times New Roman"/>
          <w:color w:val="000000"/>
        </w:rPr>
        <w:t>e and delegitimise all violence</w:t>
      </w:r>
      <w:r w:rsidR="006A6306">
        <w:rPr>
          <w:rFonts w:ascii="Times New Roman" w:eastAsia="Times New Roman" w:hAnsi="Times New Roman" w:cs="Times New Roman"/>
          <w:color w:val="000000"/>
        </w:rPr>
        <w:t>, as the main Nationalist and Unionist parties would</w:t>
      </w:r>
      <w:r w:rsidR="008E0806">
        <w:rPr>
          <w:rFonts w:ascii="Times New Roman" w:eastAsia="Times New Roman" w:hAnsi="Times New Roman" w:cs="Times New Roman"/>
          <w:color w:val="000000"/>
        </w:rPr>
        <w:t>.</w:t>
      </w:r>
      <w:r w:rsidR="006A6306">
        <w:rPr>
          <w:rStyle w:val="FootnoteReference"/>
          <w:rFonts w:ascii="Times New Roman" w:eastAsia="Times New Roman" w:hAnsi="Times New Roman" w:cs="Times New Roman"/>
          <w:color w:val="000000"/>
        </w:rPr>
        <w:footnoteReference w:id="615"/>
      </w:r>
      <w:r w:rsidR="006A6306">
        <w:rPr>
          <w:rFonts w:ascii="Times New Roman" w:eastAsia="Times New Roman" w:hAnsi="Times New Roman" w:cs="Times New Roman"/>
          <w:color w:val="000000"/>
        </w:rPr>
        <w:t xml:space="preserve"> When engaging with young people in the school programme, the conditional de-radicalisat</w:t>
      </w:r>
      <w:r w:rsidR="00544CBF">
        <w:rPr>
          <w:rFonts w:ascii="Times New Roman" w:eastAsia="Times New Roman" w:hAnsi="Times New Roman" w:cs="Times New Roman"/>
          <w:color w:val="000000"/>
        </w:rPr>
        <w:t>ion still underpinned the narratives the former combatants used to frame disengagement</w:t>
      </w:r>
      <w:r w:rsidR="00984005">
        <w:rPr>
          <w:rFonts w:ascii="Times New Roman" w:eastAsia="Times New Roman" w:hAnsi="Times New Roman" w:cs="Times New Roman"/>
          <w:color w:val="000000"/>
        </w:rPr>
        <w:t>:</w:t>
      </w:r>
    </w:p>
    <w:p w14:paraId="7A38ADE7" w14:textId="77777777" w:rsidR="006A6306" w:rsidRDefault="006A6306" w:rsidP="00B57C7F">
      <w:pPr>
        <w:spacing w:line="360" w:lineRule="auto"/>
        <w:ind w:firstLine="720"/>
        <w:jc w:val="both"/>
        <w:rPr>
          <w:rFonts w:ascii="Times New Roman" w:eastAsia="Times New Roman" w:hAnsi="Times New Roman" w:cs="Times New Roman"/>
          <w:color w:val="000000"/>
        </w:rPr>
      </w:pPr>
    </w:p>
    <w:p w14:paraId="6B748308" w14:textId="77777777" w:rsidR="006A6306" w:rsidRDefault="006A6306" w:rsidP="00B57C7F">
      <w:pPr>
        <w:spacing w:line="360" w:lineRule="auto"/>
        <w:ind w:left="567" w:right="567"/>
        <w:jc w:val="both"/>
        <w:rPr>
          <w:rFonts w:ascii="Times New Roman" w:hAnsi="Times New Roman" w:cs="Times New Roman"/>
          <w:i/>
          <w:color w:val="000000"/>
        </w:rPr>
      </w:pPr>
      <w:r w:rsidRPr="00616F5E">
        <w:rPr>
          <w:rFonts w:ascii="Times New Roman" w:hAnsi="Times New Roman" w:cs="Times New Roman"/>
          <w:i/>
          <w:color w:val="000000"/>
        </w:rPr>
        <w:t>The narratives used by the ex-combatants do not delegitimise violence in the past. When the students ask if the ex-combatant would do it again, they say ‘yes’; the circumstances were entirely different then. So the narratives are trying to emphasise the differences between then and now, which is built on identifying things like the presence of the army on the streets. They also identify how suspicion was a big factor that differentiated the context from now, and that now there is no need for violence.</w:t>
      </w:r>
      <w:r w:rsidRPr="00616F5E">
        <w:rPr>
          <w:rStyle w:val="FootnoteReference"/>
          <w:rFonts w:ascii="Times New Roman" w:hAnsi="Times New Roman" w:cs="Times New Roman"/>
          <w:i/>
          <w:color w:val="000000"/>
        </w:rPr>
        <w:footnoteReference w:id="616"/>
      </w:r>
    </w:p>
    <w:p w14:paraId="6FD3BD85" w14:textId="77777777" w:rsidR="006A6306" w:rsidRDefault="006A6306" w:rsidP="00B57C7F">
      <w:pPr>
        <w:spacing w:line="360" w:lineRule="auto"/>
        <w:ind w:firstLine="567"/>
        <w:jc w:val="both"/>
        <w:rPr>
          <w:rFonts w:ascii="Times New Roman" w:hAnsi="Times New Roman" w:cs="Times New Roman"/>
          <w:i/>
          <w:color w:val="000000"/>
        </w:rPr>
      </w:pPr>
    </w:p>
    <w:p w14:paraId="291A7BA6" w14:textId="77777777" w:rsidR="00406829" w:rsidRDefault="00406829" w:rsidP="00B57C7F">
      <w:pPr>
        <w:spacing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However, as argued in Chapter Four, the de-legitimisation of all violence would not be supported by many former combatants and it would not be as credible among the (Republican) community who have been broadly supportive </w:t>
      </w:r>
      <w:r w:rsidR="006A6306">
        <w:rPr>
          <w:rFonts w:ascii="Times New Roman" w:eastAsia="Times New Roman" w:hAnsi="Times New Roman" w:cs="Times New Roman"/>
          <w:color w:val="000000"/>
        </w:rPr>
        <w:t>of or sympathetic to</w:t>
      </w:r>
      <w:r>
        <w:rPr>
          <w:rFonts w:ascii="Times New Roman" w:eastAsia="Times New Roman" w:hAnsi="Times New Roman" w:cs="Times New Roman"/>
          <w:color w:val="000000"/>
        </w:rPr>
        <w:t xml:space="preserve"> past violence</w:t>
      </w:r>
      <w:r w:rsidR="008E0806">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617"/>
      </w:r>
      <w:r w:rsidRPr="00616F5E">
        <w:rPr>
          <w:rFonts w:ascii="Times New Roman" w:eastAsia="Times New Roman" w:hAnsi="Times New Roman" w:cs="Times New Roman"/>
          <w:color w:val="000000"/>
        </w:rPr>
        <w:t xml:space="preserve"> A key part of successful frame resonance is for it to be delivered by someone who is seen as credible and who has authority within society</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18"/>
      </w:r>
      <w:r>
        <w:rPr>
          <w:rFonts w:ascii="Times New Roman" w:eastAsia="Times New Roman" w:hAnsi="Times New Roman" w:cs="Times New Roman"/>
          <w:color w:val="000000"/>
        </w:rPr>
        <w:t xml:space="preserve"> and this applies to young people too</w:t>
      </w:r>
      <w:r w:rsidRPr="00616F5E">
        <w:rPr>
          <w:rFonts w:ascii="Times New Roman" w:eastAsia="Times New Roman" w:hAnsi="Times New Roman" w:cs="Times New Roman"/>
          <w:color w:val="000000"/>
        </w:rPr>
        <w:t xml:space="preserve">. When young people in a survey were asked ‘who had the most authority in their community’, only one per cent said ‘teachers’, as opposed to nine per cent who said youth workers, thirty-four per cent who said paramilitaries, and thirty-nine per cent who said police had most </w:t>
      </w:r>
      <w:r w:rsidRPr="00616F5E">
        <w:rPr>
          <w:rFonts w:ascii="Times New Roman" w:eastAsia="Times New Roman" w:hAnsi="Times New Roman" w:cs="Times New Roman"/>
          <w:color w:val="000000"/>
        </w:rPr>
        <w:lastRenderedPageBreak/>
        <w:t>authority</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19"/>
      </w:r>
      <w:r w:rsidRPr="00616F5E">
        <w:rPr>
          <w:rFonts w:ascii="Times New Roman" w:eastAsia="Times New Roman" w:hAnsi="Times New Roman" w:cs="Times New Roman"/>
          <w:color w:val="000000"/>
        </w:rPr>
        <w:t xml:space="preserve"> Especially in the Republican community, former combatants are recognised as having significant credibility and influence within their communities</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20"/>
      </w:r>
      <w:r w:rsidR="00544CBF">
        <w:rPr>
          <w:rFonts w:ascii="Times New Roman" w:eastAsia="Times New Roman" w:hAnsi="Times New Roman" w:cs="Times New Roman"/>
          <w:color w:val="000000"/>
        </w:rPr>
        <w:t xml:space="preserve"> Nevertheless, it is unclear whether narrative fidelity is important for the credibility of the frame for young people, or whether it is more important for maintaining the cohesion of former combatant networks by ‘being honest with’ themselves</w:t>
      </w:r>
      <w:r w:rsidR="008E0806">
        <w:rPr>
          <w:rFonts w:ascii="Times New Roman" w:eastAsia="Times New Roman" w:hAnsi="Times New Roman" w:cs="Times New Roman"/>
          <w:color w:val="000000"/>
        </w:rPr>
        <w:t>.</w:t>
      </w:r>
      <w:r w:rsidR="00544CBF">
        <w:rPr>
          <w:rStyle w:val="FootnoteReference"/>
          <w:rFonts w:ascii="Times New Roman" w:eastAsia="Times New Roman" w:hAnsi="Times New Roman" w:cs="Times New Roman"/>
          <w:color w:val="000000"/>
        </w:rPr>
        <w:footnoteReference w:id="621"/>
      </w:r>
      <w:r w:rsidR="00544CBF">
        <w:rPr>
          <w:rFonts w:ascii="Times New Roman" w:eastAsia="Times New Roman" w:hAnsi="Times New Roman" w:cs="Times New Roman"/>
          <w:color w:val="000000"/>
        </w:rPr>
        <w:t xml:space="preserve"> The school programme takes a pragmatic perspective insofar as former combatants will not de-legitimise past violence and that it would be counter-productive for them to do so, but it does emphasise de-glamourising aspects of the conflict. The design of the programme functions, which acts as a linkage to diffuse the disengagement frame, incentivises and structures behaviour that de-glamourises the conflict.</w:t>
      </w:r>
    </w:p>
    <w:p w14:paraId="78064B2B" w14:textId="77777777" w:rsidR="007E3F34" w:rsidRPr="00616F5E" w:rsidRDefault="007E3F34" w:rsidP="00B57C7F">
      <w:pPr>
        <w:spacing w:line="360" w:lineRule="auto"/>
        <w:ind w:firstLine="567"/>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With regard to the nature of interaction</w:t>
      </w:r>
      <w:r w:rsidR="006A6306">
        <w:rPr>
          <w:rFonts w:ascii="Times New Roman" w:eastAsia="Times New Roman" w:hAnsi="Times New Roman" w:cs="Times New Roman"/>
          <w:color w:val="000000"/>
        </w:rPr>
        <w:t xml:space="preserve"> between students and former combatants</w:t>
      </w:r>
      <w:r w:rsidRPr="00616F5E">
        <w:rPr>
          <w:rFonts w:ascii="Times New Roman" w:eastAsia="Times New Roman" w:hAnsi="Times New Roman" w:cs="Times New Roman"/>
          <w:color w:val="000000"/>
        </w:rPr>
        <w:t xml:space="preserve">, the project involves bringing two former political prisoners into schools to speak to youths. Two prisoners attend from ‘each side’ – Republican and Loyalist, who are trained prior to being included in the project and are encouraged to not glorify violence. The ex-prisoner groups put forward one of their members to participate in the programme, which tends to incentivise groups to send the most suitable person. The strong organisational ability of the Provisional IRA group means their members tend to get selected, creating competition from among other Republicans to get their perspective put to young people. Participants who tend to glorify violence too much tend to be not invited back, thus not only acting to screen out types of attitudes but it also amplifies narratives that de-glamourise past violence. The very process of interaction has also led former combatants to rethink how they ‘tell’ the conflict upon realising its negative impact upon young people, and while some of these combatants may not be de-radicalised themselves – for example, one called for the execution of the ‘capitalist class’ – the fact they don’t want the next generation to experience conflict means they filter some attitudes. Thus, structured inter-generational interaction between former combatants and school children strengthens voices that delegitimise present violence and deglamourises past </w:t>
      </w:r>
      <w:r w:rsidRPr="00616F5E">
        <w:rPr>
          <w:rFonts w:ascii="Times New Roman" w:eastAsia="Times New Roman" w:hAnsi="Times New Roman" w:cs="Times New Roman"/>
          <w:color w:val="000000"/>
        </w:rPr>
        <w:lastRenderedPageBreak/>
        <w:t>violence, which can also lead to small changes in the attitudes of former combatants, too.</w:t>
      </w:r>
      <w:r w:rsidR="00316750">
        <w:rPr>
          <w:rFonts w:ascii="Times New Roman" w:eastAsia="Times New Roman" w:hAnsi="Times New Roman" w:cs="Times New Roman"/>
          <w:color w:val="000000"/>
        </w:rPr>
        <w:t xml:space="preserve"> To demonstrate how the former combatants de-glamourise violence, the chapter will outline the narratives used extensively.</w:t>
      </w:r>
      <w:r w:rsidR="006A6306">
        <w:rPr>
          <w:rFonts w:ascii="Times New Roman" w:eastAsia="Times New Roman" w:hAnsi="Times New Roman" w:cs="Times New Roman"/>
          <w:color w:val="000000"/>
        </w:rPr>
        <w:t xml:space="preserve"> </w:t>
      </w:r>
      <w:r w:rsidRPr="00616F5E">
        <w:rPr>
          <w:rFonts w:ascii="Times New Roman" w:eastAsia="Times New Roman" w:hAnsi="Times New Roman" w:cs="Times New Roman"/>
          <w:color w:val="000000"/>
        </w:rPr>
        <w:t xml:space="preserve"> </w:t>
      </w:r>
    </w:p>
    <w:p w14:paraId="247EB5D8" w14:textId="77777777" w:rsidR="00544CBF" w:rsidRDefault="00544CBF" w:rsidP="00B57C7F">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One of the participants, a former member of the Provisional IRA, outlined the type of narrative he would use when talking to young people in the project. He sought to de-glamourise the use of violence in the following terms:</w:t>
      </w:r>
    </w:p>
    <w:p w14:paraId="2C12F7D0" w14:textId="77777777" w:rsidR="00316750" w:rsidRDefault="00316750" w:rsidP="00B57C7F">
      <w:pPr>
        <w:spacing w:line="360" w:lineRule="auto"/>
        <w:ind w:firstLine="720"/>
        <w:jc w:val="both"/>
        <w:rPr>
          <w:rFonts w:ascii="Times New Roman" w:eastAsia="Times New Roman" w:hAnsi="Times New Roman" w:cs="Times New Roman"/>
          <w:color w:val="000000"/>
        </w:rPr>
      </w:pPr>
    </w:p>
    <w:p w14:paraId="6EB99FF4" w14:textId="77777777" w:rsidR="00544CBF" w:rsidRPr="003D71D9" w:rsidRDefault="00544CBF" w:rsidP="00B57C7F">
      <w:pPr>
        <w:spacing w:line="360" w:lineRule="auto"/>
        <w:ind w:left="567" w:right="567"/>
        <w:jc w:val="both"/>
        <w:rPr>
          <w:rFonts w:ascii="Times New Roman" w:hAnsi="Times New Roman" w:cs="Times New Roman"/>
          <w:i/>
          <w:iCs/>
        </w:rPr>
      </w:pPr>
      <w:r w:rsidRPr="003D71D9">
        <w:rPr>
          <w:rFonts w:ascii="Times New Roman" w:hAnsi="Times New Roman" w:cs="Times New Roman"/>
          <w:i/>
          <w:iCs/>
        </w:rPr>
        <w:t>One of the sharp points I make to young people, even when speaking to young Protestants...What I say is: pick just one member of your family that you don’t want to have here. Pick one member of your family that you don’t want to have, that doesn’t exist no more’. ‘You can’t do that’. So I start to push them on it and say ‘listen, what about your Dad, he must be a grumpy right bugger, get rid of him’. ‘I’m not getting rid of him’. ‘What about your sister or your brother, beating you up all the time, get rid of them. Pick somebody.’ And a lot of them think about it for a few minutes and I come back to them and say ‘alright have you picked anybody’. Not one of them had picked anybody out. And I said, ‘right okay,</w:t>
      </w:r>
      <w:r>
        <w:rPr>
          <w:rFonts w:ascii="Times New Roman" w:hAnsi="Times New Roman" w:cs="Times New Roman"/>
          <w:i/>
          <w:iCs/>
        </w:rPr>
        <w:t xml:space="preserve"> </w:t>
      </w:r>
      <w:r w:rsidRPr="003D71D9">
        <w:rPr>
          <w:rFonts w:ascii="Times New Roman" w:hAnsi="Times New Roman" w:cs="Times New Roman"/>
          <w:i/>
          <w:iCs/>
        </w:rPr>
        <w:t>why did you not pick anybody’. ‘Well it</w:t>
      </w:r>
      <w:r>
        <w:rPr>
          <w:rFonts w:ascii="Times New Roman" w:hAnsi="Times New Roman" w:cs="Times New Roman"/>
          <w:i/>
          <w:iCs/>
        </w:rPr>
        <w:t>’</w:t>
      </w:r>
      <w:r w:rsidRPr="003D71D9">
        <w:rPr>
          <w:rFonts w:ascii="Times New Roman" w:hAnsi="Times New Roman" w:cs="Times New Roman"/>
          <w:i/>
          <w:iCs/>
        </w:rPr>
        <w:t>s my family</w:t>
      </w:r>
      <w:r>
        <w:rPr>
          <w:rFonts w:ascii="Times New Roman" w:hAnsi="Times New Roman" w:cs="Times New Roman"/>
          <w:i/>
          <w:iCs/>
        </w:rPr>
        <w:t>,</w:t>
      </w:r>
      <w:r w:rsidRPr="003D71D9">
        <w:rPr>
          <w:rFonts w:ascii="Times New Roman" w:hAnsi="Times New Roman" w:cs="Times New Roman"/>
          <w:i/>
          <w:iCs/>
        </w:rPr>
        <w:t xml:space="preserve"> it</w:t>
      </w:r>
      <w:r>
        <w:rPr>
          <w:rFonts w:ascii="Times New Roman" w:hAnsi="Times New Roman" w:cs="Times New Roman"/>
          <w:i/>
          <w:iCs/>
        </w:rPr>
        <w:t>’</w:t>
      </w:r>
      <w:r w:rsidRPr="003D71D9">
        <w:rPr>
          <w:rFonts w:ascii="Times New Roman" w:hAnsi="Times New Roman" w:cs="Times New Roman"/>
          <w:i/>
          <w:iCs/>
        </w:rPr>
        <w:t>s my sister, I love them’. And I say ‘Well every family is the same. When you shoot somebody, when you go blow somebody up, you are making that choice for that family’. Now the reality of armed conflict and the reality of war, shooting and bombing and blowing people up, do not kid yourself for one split second that that is a nice thing to do. And even in my years back involved, it was never a glorified thing, it was never a nice thing  in any shape or form to see happen. I’ve seen quite a bit happen...and when that hits home, reality, you have to take the consequences of what you’ve done, and you have to live with it...</w:t>
      </w:r>
      <w:r w:rsidR="00316750">
        <w:rPr>
          <w:rStyle w:val="FootnoteReference"/>
          <w:rFonts w:ascii="Times New Roman" w:hAnsi="Times New Roman" w:cs="Times New Roman"/>
          <w:i/>
          <w:iCs/>
        </w:rPr>
        <w:footnoteReference w:id="622"/>
      </w:r>
      <w:r w:rsidRPr="003D71D9">
        <w:rPr>
          <w:rFonts w:ascii="Times New Roman" w:hAnsi="Times New Roman" w:cs="Times New Roman"/>
          <w:i/>
          <w:iCs/>
        </w:rPr>
        <w:t xml:space="preserve">      </w:t>
      </w:r>
    </w:p>
    <w:p w14:paraId="623A5916" w14:textId="77777777" w:rsidR="00544CBF" w:rsidRDefault="00544CBF" w:rsidP="00B57C7F">
      <w:pPr>
        <w:spacing w:line="360" w:lineRule="auto"/>
        <w:jc w:val="both"/>
        <w:rPr>
          <w:rFonts w:ascii="Times New Roman" w:hAnsi="Times New Roman" w:cs="Times New Roman"/>
        </w:rPr>
      </w:pPr>
      <w:r w:rsidRPr="003D71D9">
        <w:rPr>
          <w:rFonts w:ascii="Times New Roman" w:hAnsi="Times New Roman" w:cs="Times New Roman"/>
        </w:rPr>
        <w:tab/>
      </w:r>
    </w:p>
    <w:p w14:paraId="73788E29" w14:textId="77777777" w:rsidR="00544CBF" w:rsidRDefault="00544CBF" w:rsidP="00B57C7F">
      <w:pPr>
        <w:spacing w:line="360" w:lineRule="auto"/>
        <w:ind w:firstLine="567"/>
        <w:jc w:val="both"/>
        <w:rPr>
          <w:rFonts w:ascii="Times New Roman" w:hAnsi="Times New Roman" w:cs="Times New Roman"/>
        </w:rPr>
      </w:pPr>
      <w:r>
        <w:rPr>
          <w:rFonts w:ascii="Times New Roman" w:hAnsi="Times New Roman" w:cs="Times New Roman"/>
        </w:rPr>
        <w:t>Then</w:t>
      </w:r>
      <w:r w:rsidRPr="003D71D9">
        <w:rPr>
          <w:rFonts w:ascii="Times New Roman" w:hAnsi="Times New Roman" w:cs="Times New Roman"/>
        </w:rPr>
        <w:t>, the interviewee relayed the type of personal story that he would tell young people</w:t>
      </w:r>
      <w:r>
        <w:rPr>
          <w:rFonts w:ascii="Times New Roman" w:hAnsi="Times New Roman" w:cs="Times New Roman"/>
        </w:rPr>
        <w:t xml:space="preserve"> to de-glamourise prison</w:t>
      </w:r>
      <w:r w:rsidRPr="003D71D9">
        <w:rPr>
          <w:rFonts w:ascii="Times New Roman" w:hAnsi="Times New Roman" w:cs="Times New Roman"/>
        </w:rPr>
        <w:t xml:space="preserve">. After a female Provisional IRA volunteer was </w:t>
      </w:r>
      <w:r w:rsidRPr="003D71D9">
        <w:rPr>
          <w:rFonts w:ascii="Times New Roman" w:hAnsi="Times New Roman" w:cs="Times New Roman"/>
        </w:rPr>
        <w:lastRenderedPageBreak/>
        <w:t xml:space="preserve">put in prison, her daughters were put into care where they were sexually abused, told they had been abandoned by their mother, and one of the daughters committed suicide. The interviewee then would tell the students: </w:t>
      </w:r>
    </w:p>
    <w:p w14:paraId="72F2ADAF" w14:textId="77777777" w:rsidR="00544CBF" w:rsidRPr="003D71D9" w:rsidRDefault="00544CBF" w:rsidP="00B57C7F">
      <w:pPr>
        <w:spacing w:line="360" w:lineRule="auto"/>
        <w:rPr>
          <w:rFonts w:ascii="Times New Roman" w:hAnsi="Times New Roman" w:cs="Times New Roman"/>
        </w:rPr>
      </w:pPr>
    </w:p>
    <w:p w14:paraId="62FDF6E7" w14:textId="77777777" w:rsidR="00544CBF" w:rsidRPr="003D71D9" w:rsidRDefault="00544CBF" w:rsidP="00B57C7F">
      <w:pPr>
        <w:spacing w:line="360" w:lineRule="auto"/>
        <w:ind w:left="567" w:right="567"/>
        <w:jc w:val="both"/>
        <w:rPr>
          <w:rFonts w:ascii="Times New Roman" w:hAnsi="Times New Roman" w:cs="Times New Roman"/>
          <w:i/>
          <w:iCs/>
        </w:rPr>
      </w:pPr>
      <w:r w:rsidRPr="003D71D9">
        <w:rPr>
          <w:rFonts w:ascii="Times New Roman" w:hAnsi="Times New Roman" w:cs="Times New Roman"/>
          <w:i/>
          <w:iCs/>
        </w:rPr>
        <w:t xml:space="preserve">“Go down to her, to the woman whose girl killed herself, go down and ask her, does she feel proud and happy? That’s the reality of jail.” And that is what we try to explain to young people. “Get it out of your head that jail is a glorifying place. I can sit here and tell you funny stories about jail till the day I die, and you will laugh at them, and the craic was brilliant and everything else. It doesn’t take away from the reality of being in jail”. We try to impress on young people that that is the scenario of being in jail: it’s not a nice place to be; it’s not something to brag and boast about. And when you do get out of jail, you are discriminated against. You can’t get a job, you can’t go to certain countries in the world...a lot of ex-prisoners have left jail and hit the drink and hit the drugs. I see ex-prisoners walking up the Falls Road every day, pathetic, black, drunk and it’s a sad sight to see. These guys, best guys in the world and put their lives on the line, and look at them now, they are down and outs. Guys have died alone in a wee room. Pat McGeown, a hunger striker, with a family and everything else: family disintegrated, found dead in a flat in Newtonards Road.         </w:t>
      </w:r>
    </w:p>
    <w:p w14:paraId="43F5DE26" w14:textId="77777777" w:rsidR="00544CBF" w:rsidRDefault="00544CBF" w:rsidP="00B57C7F">
      <w:pPr>
        <w:spacing w:line="360" w:lineRule="auto"/>
        <w:ind w:firstLine="720"/>
        <w:jc w:val="both"/>
        <w:rPr>
          <w:rFonts w:ascii="Times New Roman" w:eastAsia="Times New Roman" w:hAnsi="Times New Roman" w:cs="Times New Roman"/>
          <w:i/>
          <w:iCs/>
          <w:color w:val="000000"/>
        </w:rPr>
      </w:pPr>
    </w:p>
    <w:p w14:paraId="4A5836AA" w14:textId="088AA049" w:rsidR="00544CBF" w:rsidRDefault="00544CBF" w:rsidP="00B57C7F">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crucial part of this narrative is it seeks to challenge the notion prevalent among young people that ‘when they grow up, they want to be ex-prisoners’</w:t>
      </w:r>
      <w:r w:rsidR="008E0806">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623"/>
      </w:r>
      <w:r>
        <w:rPr>
          <w:rFonts w:ascii="Times New Roman" w:eastAsia="Times New Roman" w:hAnsi="Times New Roman" w:cs="Times New Roman"/>
          <w:color w:val="000000"/>
        </w:rPr>
        <w:t xml:space="preserve"> While this is perceived as a result of young people ‘wanting their day in the cell’</w:t>
      </w:r>
      <w:r w:rsidR="008E0806">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624"/>
      </w:r>
      <w:r>
        <w:rPr>
          <w:rFonts w:ascii="Times New Roman" w:eastAsia="Times New Roman" w:hAnsi="Times New Roman" w:cs="Times New Roman"/>
          <w:color w:val="000000"/>
        </w:rPr>
        <w:t xml:space="preserve"> it can also be a side-effect of the former combatants working in the community being aspiring role models as peace-workers. Thus, the narrative presented above seeks to implicitly distinguish between the two roles. </w:t>
      </w:r>
      <w:r w:rsidR="00400CF1">
        <w:rPr>
          <w:rFonts w:ascii="Times New Roman" w:eastAsia="Times New Roman" w:hAnsi="Times New Roman" w:cs="Times New Roman"/>
          <w:color w:val="000000"/>
        </w:rPr>
        <w:t>A fundamental aspect of frames is ensuring that they resonate,</w:t>
      </w:r>
      <w:r w:rsidR="00400CF1">
        <w:rPr>
          <w:rStyle w:val="FootnoteReference"/>
          <w:rFonts w:ascii="Times New Roman" w:eastAsia="Times New Roman" w:hAnsi="Times New Roman" w:cs="Times New Roman"/>
          <w:color w:val="000000"/>
        </w:rPr>
        <w:footnoteReference w:id="625"/>
      </w:r>
      <w:r w:rsidR="00400CF1">
        <w:rPr>
          <w:rFonts w:ascii="Times New Roman" w:eastAsia="Times New Roman" w:hAnsi="Times New Roman" w:cs="Times New Roman"/>
          <w:color w:val="000000"/>
        </w:rPr>
        <w:t xml:space="preserve"> and the narrative above seeks to do this by linking to </w:t>
      </w:r>
      <w:r w:rsidR="00400CF1">
        <w:rPr>
          <w:rFonts w:ascii="Times New Roman" w:eastAsia="Times New Roman" w:hAnsi="Times New Roman" w:cs="Times New Roman"/>
          <w:color w:val="000000"/>
        </w:rPr>
        <w:lastRenderedPageBreak/>
        <w:t>the hunger strikers who are often lionised in Republican communities. Yet for one key participant in the programme, the argument with regard to not being able to travel (specifically to the USA) does not resonate in working class communities.</w:t>
      </w:r>
      <w:r w:rsidR="00400CF1">
        <w:rPr>
          <w:rStyle w:val="FootnoteReference"/>
          <w:rFonts w:ascii="Times New Roman" w:eastAsia="Times New Roman" w:hAnsi="Times New Roman" w:cs="Times New Roman"/>
          <w:color w:val="000000"/>
        </w:rPr>
        <w:footnoteReference w:id="626"/>
      </w:r>
      <w:r w:rsidR="00400CF1">
        <w:rPr>
          <w:rFonts w:ascii="Times New Roman" w:eastAsia="Times New Roman" w:hAnsi="Times New Roman" w:cs="Times New Roman"/>
          <w:color w:val="000000"/>
        </w:rPr>
        <w:t xml:space="preserve"> Nevertheless, the data is indicative of how nuanced frames can be developed to target specific attitudes and behaviour to discourage support for violence, whilst not making reference to Republican or Loyalist ideology, much unlike previous approaches to de-radicalisation.</w:t>
      </w:r>
      <w:r w:rsidR="00400CF1">
        <w:rPr>
          <w:rStyle w:val="FootnoteReference"/>
          <w:rFonts w:ascii="Times New Roman" w:eastAsia="Times New Roman" w:hAnsi="Times New Roman" w:cs="Times New Roman"/>
          <w:color w:val="000000"/>
        </w:rPr>
        <w:footnoteReference w:id="627"/>
      </w:r>
      <w:r w:rsidR="00400CF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narratives presented in the Prison to Peace teaching pack also seeks to de-glamourise violence:</w:t>
      </w:r>
      <w:r w:rsidR="00316750">
        <w:rPr>
          <w:rFonts w:ascii="Times New Roman" w:eastAsia="Times New Roman" w:hAnsi="Times New Roman" w:cs="Times New Roman"/>
          <w:color w:val="000000"/>
        </w:rPr>
        <w:t xml:space="preserve"> </w:t>
      </w:r>
    </w:p>
    <w:p w14:paraId="3535EFF3" w14:textId="77777777" w:rsidR="00544CBF" w:rsidRDefault="00544CBF" w:rsidP="00B57C7F">
      <w:pPr>
        <w:spacing w:line="360" w:lineRule="auto"/>
        <w:ind w:firstLine="720"/>
        <w:jc w:val="both"/>
        <w:rPr>
          <w:rFonts w:ascii="Times New Roman" w:eastAsia="Times New Roman" w:hAnsi="Times New Roman" w:cs="Times New Roman"/>
          <w:color w:val="000000"/>
        </w:rPr>
      </w:pPr>
    </w:p>
    <w:p w14:paraId="71430F19" w14:textId="77777777" w:rsidR="00544CBF" w:rsidRPr="00F27B42" w:rsidRDefault="00544CBF" w:rsidP="00B57C7F">
      <w:pPr>
        <w:spacing w:line="360" w:lineRule="auto"/>
        <w:ind w:left="567" w:right="567"/>
        <w:jc w:val="both"/>
        <w:rPr>
          <w:rFonts w:ascii="Times New Roman" w:eastAsia="Times New Roman" w:hAnsi="Times New Roman" w:cs="Times New Roman"/>
          <w:i/>
          <w:iCs/>
          <w:color w:val="000000"/>
        </w:rPr>
      </w:pPr>
      <w:r w:rsidRPr="00F27B42">
        <w:rPr>
          <w:rFonts w:ascii="Times New Roman" w:eastAsia="Times New Roman" w:hAnsi="Times New Roman" w:cs="Times New Roman"/>
          <w:i/>
          <w:iCs/>
          <w:color w:val="000000"/>
        </w:rPr>
        <w:t>…At the time there was a glamour involved in it. If they just knew what it’s actually like in being involved in killing someone. It’s not like the movies. If they see the result they leave on the family left behind and the result on their own family and their own mind. I did it a few times and it felt worse each time. It was something you felt had to be done but you didn’t like it. [Loyalist ex-prisoner]</w:t>
      </w:r>
    </w:p>
    <w:p w14:paraId="34A71969" w14:textId="77777777" w:rsidR="00A360A7" w:rsidRDefault="00A360A7" w:rsidP="00B57C7F">
      <w:pPr>
        <w:spacing w:line="360" w:lineRule="auto"/>
        <w:ind w:left="567" w:right="567"/>
        <w:jc w:val="both"/>
        <w:rPr>
          <w:rFonts w:ascii="Times New Roman" w:eastAsia="Times New Roman" w:hAnsi="Times New Roman" w:cs="Times New Roman"/>
          <w:i/>
          <w:iCs/>
          <w:color w:val="000000"/>
        </w:rPr>
      </w:pPr>
    </w:p>
    <w:p w14:paraId="09869735" w14:textId="77777777" w:rsidR="00544CBF" w:rsidRDefault="00544CBF" w:rsidP="00B57C7F">
      <w:pPr>
        <w:spacing w:line="360" w:lineRule="auto"/>
        <w:ind w:left="567" w:right="567"/>
        <w:jc w:val="both"/>
        <w:rPr>
          <w:rFonts w:ascii="Times New Roman" w:eastAsia="Times New Roman" w:hAnsi="Times New Roman" w:cs="Times New Roman"/>
          <w:i/>
          <w:iCs/>
          <w:color w:val="000000"/>
        </w:rPr>
      </w:pPr>
      <w:r w:rsidRPr="00F27B42">
        <w:rPr>
          <w:rFonts w:ascii="Times New Roman" w:eastAsia="Times New Roman" w:hAnsi="Times New Roman" w:cs="Times New Roman"/>
          <w:i/>
          <w:iCs/>
          <w:color w:val="000000"/>
        </w:rPr>
        <w:t>…The killing of people was easily justifiable. The act itself. But how heavily it sat on your shoulders was another thing. There’s a lot of things you look back on and realise how callous you were playing God with someone’s life, to being about to be killed and thinking ‘so what –no big deal’ to the jubilation of not being killed</w:t>
      </w:r>
      <w:r w:rsidR="00577B14">
        <w:rPr>
          <w:rFonts w:ascii="Times New Roman" w:eastAsia="Times New Roman" w:hAnsi="Times New Roman" w:cs="Times New Roman"/>
          <w:i/>
          <w:iCs/>
          <w:color w:val="000000"/>
        </w:rPr>
        <w:t xml:space="preserve"> </w:t>
      </w:r>
      <w:r w:rsidRPr="00F27B42">
        <w:rPr>
          <w:rFonts w:ascii="Times New Roman" w:eastAsia="Times New Roman" w:hAnsi="Times New Roman" w:cs="Times New Roman"/>
          <w:i/>
          <w:iCs/>
          <w:color w:val="000000"/>
        </w:rPr>
        <w:t>[Republican ex-prisoner]</w:t>
      </w:r>
      <w:r>
        <w:rPr>
          <w:rStyle w:val="FootnoteReference"/>
          <w:rFonts w:ascii="Times New Roman" w:eastAsia="Times New Roman" w:hAnsi="Times New Roman" w:cs="Times New Roman"/>
          <w:i/>
          <w:iCs/>
          <w:color w:val="000000"/>
        </w:rPr>
        <w:footnoteReference w:id="628"/>
      </w:r>
    </w:p>
    <w:p w14:paraId="0B63795D" w14:textId="77777777" w:rsidR="00544CBF" w:rsidRPr="00F27B42" w:rsidRDefault="00544CBF" w:rsidP="00B57C7F">
      <w:pPr>
        <w:spacing w:line="360" w:lineRule="auto"/>
        <w:ind w:left="567" w:right="567" w:firstLine="720"/>
        <w:jc w:val="both"/>
        <w:rPr>
          <w:rFonts w:ascii="Times New Roman" w:eastAsia="Times New Roman" w:hAnsi="Times New Roman" w:cs="Times New Roman"/>
          <w:i/>
          <w:iCs/>
          <w:color w:val="000000"/>
        </w:rPr>
      </w:pPr>
    </w:p>
    <w:p w14:paraId="32C7AC8C" w14:textId="383C9FF8" w:rsidR="00400CF1" w:rsidRDefault="00400CF1" w:rsidP="00B57C7F">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Crucially, much of the de-radicalisation literature focuses on de-legitimisation,</w:t>
      </w:r>
      <w:r>
        <w:rPr>
          <w:rStyle w:val="FootnoteReference"/>
          <w:rFonts w:ascii="Times New Roman" w:eastAsia="Times New Roman" w:hAnsi="Times New Roman" w:cs="Times New Roman"/>
          <w:color w:val="000000"/>
        </w:rPr>
        <w:footnoteReference w:id="629"/>
      </w:r>
      <w:r>
        <w:rPr>
          <w:rFonts w:ascii="Times New Roman" w:eastAsia="Times New Roman" w:hAnsi="Times New Roman" w:cs="Times New Roman"/>
          <w:color w:val="000000"/>
        </w:rPr>
        <w:t xml:space="preserve"> yet it has said nothing with regard to the de-glamourisation of violence and where this ought to fit within the de-radicalisation process. A frame espoused by former combatants which seeks to de-glamourise violence can resonate because the former combatant provides credibility for the statement, and therefore </w:t>
      </w:r>
      <w:r>
        <w:rPr>
          <w:rFonts w:ascii="Times New Roman" w:eastAsia="Times New Roman" w:hAnsi="Times New Roman" w:cs="Times New Roman"/>
          <w:color w:val="000000"/>
        </w:rPr>
        <w:lastRenderedPageBreak/>
        <w:t>they can seek to make aspects of violence or involvement in a militant group unappealing and unattractive to young people. In terms of the Reasoned Action Model which classifies how attitudes inform behaviour,</w:t>
      </w:r>
      <w:r>
        <w:rPr>
          <w:rStyle w:val="FootnoteReference"/>
          <w:rFonts w:ascii="Times New Roman" w:eastAsia="Times New Roman" w:hAnsi="Times New Roman" w:cs="Times New Roman"/>
          <w:color w:val="000000"/>
        </w:rPr>
        <w:footnoteReference w:id="630"/>
      </w:r>
      <w:r>
        <w:rPr>
          <w:rFonts w:ascii="Times New Roman" w:eastAsia="Times New Roman" w:hAnsi="Times New Roman" w:cs="Times New Roman"/>
          <w:color w:val="000000"/>
        </w:rPr>
        <w:t xml:space="preserve"> a frame which de-glamourises violence can still affect perceived norms (just as de-legitimisation can) and it can affect the perception of violence. While a de-glamourising frame may be ‘softer’ in denouncing violence than a frame which seeks to de-legitimise it, the former has the benefit of maintaining narrative fidelity: the interviewee above quite clearly did not de-legitimise past violence, but he did de-glamourise it. The evaluation of the school programme has clearly shown that it has led to a reduction in support for violence among young people.</w:t>
      </w:r>
      <w:r>
        <w:rPr>
          <w:rStyle w:val="FootnoteReference"/>
          <w:rFonts w:ascii="Times New Roman" w:eastAsia="Times New Roman" w:hAnsi="Times New Roman" w:cs="Times New Roman"/>
          <w:color w:val="000000"/>
        </w:rPr>
        <w:footnoteReference w:id="631"/>
      </w:r>
      <w:r>
        <w:rPr>
          <w:rFonts w:ascii="Times New Roman" w:eastAsia="Times New Roman" w:hAnsi="Times New Roman" w:cs="Times New Roman"/>
          <w:color w:val="000000"/>
        </w:rPr>
        <w:t xml:space="preserve"> By utilising a frames analysis to demonstrate the nuance of de-radicalisation, the thesis provides a substantial challenge to assumptions held in the literature that focus on behavioural change or ideological change. Interaction with the younger generation in a structured programme has led to frame transformation among Provisional IRA members, and while this may not be uniform, the results suggest that incentivising de-glamourisation may be sufficient when unconditional de-radicalisation may be problematic.      </w:t>
      </w:r>
    </w:p>
    <w:p w14:paraId="0233A59A" w14:textId="77777777" w:rsidR="00544CBF" w:rsidRPr="00A52FFB" w:rsidRDefault="00316750" w:rsidP="00B57C7F">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Finally, t</w:t>
      </w:r>
      <w:r w:rsidR="00544CBF">
        <w:rPr>
          <w:rFonts w:ascii="Times New Roman" w:eastAsia="Times New Roman" w:hAnsi="Times New Roman" w:cs="Times New Roman"/>
          <w:color w:val="000000"/>
        </w:rPr>
        <w:t xml:space="preserve">he teaching pack also contains narratives on the impact of prison. The themes they touch upon include: 1) difficulties in re-integrating into society; 2) negative impact on family relationships and ability to interact with </w:t>
      </w:r>
      <w:r w:rsidR="00984005">
        <w:rPr>
          <w:rFonts w:ascii="Times New Roman" w:eastAsia="Times New Roman" w:hAnsi="Times New Roman" w:cs="Times New Roman"/>
          <w:color w:val="000000"/>
        </w:rPr>
        <w:t xml:space="preserve">the </w:t>
      </w:r>
      <w:r w:rsidR="00544CBF">
        <w:rPr>
          <w:rFonts w:ascii="Times New Roman" w:eastAsia="Times New Roman" w:hAnsi="Times New Roman" w:cs="Times New Roman"/>
          <w:color w:val="000000"/>
        </w:rPr>
        <w:t xml:space="preserve">opposite sex; and 3) the psychological impact. By far, the greatest impact the narratives get across is the devastating effect the prison experience had on their families, which made some realise how selfish they had been. </w:t>
      </w:r>
      <w:r w:rsidR="00577B14">
        <w:rPr>
          <w:rFonts w:ascii="Times New Roman" w:eastAsia="Times New Roman" w:hAnsi="Times New Roman" w:cs="Times New Roman"/>
          <w:color w:val="000000"/>
        </w:rPr>
        <w:t xml:space="preserve">Therefore, </w:t>
      </w:r>
      <w:r w:rsidR="00D02C9C">
        <w:rPr>
          <w:rFonts w:ascii="Times New Roman" w:eastAsia="Times New Roman" w:hAnsi="Times New Roman" w:cs="Times New Roman"/>
          <w:color w:val="000000"/>
        </w:rPr>
        <w:t xml:space="preserve">while conditional de-radicalisation had helped former combatants maintain credibility, it glamourised violence for young people, who had not adequately understood the conflict. The programme provided linkages into schools to diffuse the frame, underpinned by conditional de-radicalisation, but these linkages helped to put forward narratives that de-glamourised violence. There are two outcomes from this project which are relevant to the thesis: firstly, the disengagement frame resonated with participants and has helped to challenge their attitudes toward </w:t>
      </w:r>
      <w:r w:rsidR="00984005">
        <w:rPr>
          <w:rFonts w:ascii="Times New Roman" w:eastAsia="Times New Roman" w:hAnsi="Times New Roman" w:cs="Times New Roman"/>
          <w:color w:val="000000"/>
        </w:rPr>
        <w:t>conflict</w:t>
      </w:r>
      <w:r w:rsidR="00D02C9C">
        <w:rPr>
          <w:rFonts w:ascii="Times New Roman" w:eastAsia="Times New Roman" w:hAnsi="Times New Roman" w:cs="Times New Roman"/>
          <w:color w:val="000000"/>
        </w:rPr>
        <w:t xml:space="preserve"> and prevent them from participating in violence; secondly, involvement in the programme has prompted </w:t>
      </w:r>
      <w:r w:rsidR="00D02C9C">
        <w:rPr>
          <w:rFonts w:ascii="Times New Roman" w:eastAsia="Times New Roman" w:hAnsi="Times New Roman" w:cs="Times New Roman"/>
          <w:color w:val="000000"/>
        </w:rPr>
        <w:lastRenderedPageBreak/>
        <w:t>another change in the disengagement frame, moving it from conditional de-radicalisation to a hybrid form of unconditional de-radicalisation.</w:t>
      </w:r>
      <w:r w:rsidR="00FE0159">
        <w:rPr>
          <w:rFonts w:ascii="Times New Roman" w:eastAsia="Times New Roman" w:hAnsi="Times New Roman" w:cs="Times New Roman"/>
          <w:color w:val="000000"/>
        </w:rPr>
        <w:t xml:space="preserve"> While the further change in attitudes among former combatants may have little effect on the risk of recidivism, it does help to challenge such attitudes among the next generation. </w:t>
      </w:r>
      <w:r w:rsidR="00D02C9C">
        <w:rPr>
          <w:rFonts w:ascii="Times New Roman" w:eastAsia="Times New Roman" w:hAnsi="Times New Roman" w:cs="Times New Roman"/>
          <w:color w:val="000000"/>
        </w:rPr>
        <w:t xml:space="preserve"> </w:t>
      </w:r>
      <w:r w:rsidR="00577B14">
        <w:rPr>
          <w:rFonts w:ascii="Times New Roman" w:eastAsia="Times New Roman" w:hAnsi="Times New Roman" w:cs="Times New Roman"/>
          <w:color w:val="000000"/>
        </w:rPr>
        <w:t xml:space="preserve"> </w:t>
      </w:r>
    </w:p>
    <w:p w14:paraId="1264BCFF" w14:textId="77777777" w:rsidR="007E3F34" w:rsidRDefault="007E3F34" w:rsidP="00B57C7F">
      <w:pPr>
        <w:spacing w:line="360" w:lineRule="auto"/>
        <w:jc w:val="both"/>
        <w:rPr>
          <w:rFonts w:ascii="Times New Roman" w:eastAsia="Times New Roman" w:hAnsi="Times New Roman" w:cs="Times New Roman"/>
          <w:color w:val="000000"/>
        </w:rPr>
      </w:pPr>
    </w:p>
    <w:p w14:paraId="3DB33105" w14:textId="77777777" w:rsidR="00406829" w:rsidRDefault="00406829" w:rsidP="00B57C7F">
      <w:pPr>
        <w:pStyle w:val="Heading4"/>
        <w:spacing w:before="120" w:line="360" w:lineRule="auto"/>
      </w:pPr>
      <w:bookmarkStart w:id="73" w:name="_Toc389208855"/>
      <w:r>
        <w:t>Fr</w:t>
      </w:r>
      <w:r w:rsidR="00FE0159">
        <w:t>ame Resonance and Unconditional De-Radicalisation</w:t>
      </w:r>
      <w:bookmarkEnd w:id="73"/>
    </w:p>
    <w:p w14:paraId="1E6C6802" w14:textId="092BE29F" w:rsidR="003F1356" w:rsidRPr="00616F5E" w:rsidRDefault="00FE0159" w:rsidP="00B57C7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2B3CA9">
        <w:rPr>
          <w:rFonts w:ascii="Times New Roman" w:eastAsia="Times New Roman" w:hAnsi="Times New Roman" w:cs="Times New Roman"/>
          <w:color w:val="000000"/>
        </w:rPr>
        <w:t>A review of the programme has</w:t>
      </w:r>
      <w:r>
        <w:rPr>
          <w:rFonts w:ascii="Times New Roman" w:eastAsia="Times New Roman" w:hAnsi="Times New Roman" w:cs="Times New Roman"/>
          <w:color w:val="000000"/>
        </w:rPr>
        <w:t xml:space="preserve"> suggest</w:t>
      </w:r>
      <w:r w:rsidR="002B3CA9">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that it has boosted young people’s understanding of the peace process,</w:t>
      </w:r>
      <w:r w:rsidR="002B3CA9">
        <w:rPr>
          <w:rFonts w:ascii="Times New Roman" w:eastAsia="Times New Roman" w:hAnsi="Times New Roman" w:cs="Times New Roman"/>
          <w:color w:val="000000"/>
        </w:rPr>
        <w:t xml:space="preserve"> opposition to violence,</w:t>
      </w:r>
      <w:r>
        <w:rPr>
          <w:rFonts w:ascii="Times New Roman" w:eastAsia="Times New Roman" w:hAnsi="Times New Roman" w:cs="Times New Roman"/>
          <w:color w:val="000000"/>
        </w:rPr>
        <w:t xml:space="preserve"> increased inter-generational dialogue, and in one reported incident, discouraged one student who was supportive of paramilitary activity.</w:t>
      </w:r>
      <w:r w:rsidR="003F1356">
        <w:rPr>
          <w:rFonts w:ascii="Times New Roman" w:eastAsia="Times New Roman" w:hAnsi="Times New Roman" w:cs="Times New Roman"/>
          <w:color w:val="000000"/>
        </w:rPr>
        <w:t xml:space="preserve"> McEvoy’s study argued that greater experience of the conflict among young people meant they were more inclined to be involved in peacebuilding</w:t>
      </w:r>
      <w:r w:rsidR="008E0806">
        <w:rPr>
          <w:rFonts w:ascii="Times New Roman" w:eastAsia="Times New Roman" w:hAnsi="Times New Roman" w:cs="Times New Roman"/>
          <w:color w:val="000000"/>
        </w:rPr>
        <w:t>,</w:t>
      </w:r>
      <w:r w:rsidR="003F1356">
        <w:rPr>
          <w:rStyle w:val="FootnoteReference"/>
          <w:rFonts w:ascii="Times New Roman" w:eastAsia="Times New Roman" w:hAnsi="Times New Roman" w:cs="Times New Roman"/>
          <w:color w:val="000000"/>
        </w:rPr>
        <w:footnoteReference w:id="632"/>
      </w:r>
      <w:r w:rsidR="003F1356">
        <w:rPr>
          <w:rFonts w:ascii="Times New Roman" w:eastAsia="Times New Roman" w:hAnsi="Times New Roman" w:cs="Times New Roman"/>
          <w:color w:val="000000"/>
        </w:rPr>
        <w:t xml:space="preserve"> and the school programme helps to expand this beyond areas such as West Belfast which McEvoy’s research was based on. Greater support for the peace process through more experience with th</w:t>
      </w:r>
      <w:r w:rsidR="00984005">
        <w:rPr>
          <w:rFonts w:ascii="Times New Roman" w:eastAsia="Times New Roman" w:hAnsi="Times New Roman" w:cs="Times New Roman"/>
          <w:color w:val="000000"/>
        </w:rPr>
        <w:t>e conflict is important because</w:t>
      </w:r>
      <w:r w:rsidR="003F1356">
        <w:rPr>
          <w:rFonts w:ascii="Times New Roman" w:eastAsia="Times New Roman" w:hAnsi="Times New Roman" w:cs="Times New Roman"/>
          <w:color w:val="000000"/>
        </w:rPr>
        <w:t xml:space="preserve"> </w:t>
      </w:r>
      <w:r w:rsidR="00984005">
        <w:rPr>
          <w:rFonts w:ascii="Times New Roman" w:eastAsia="Times New Roman" w:hAnsi="Times New Roman" w:cs="Times New Roman"/>
          <w:color w:val="000000"/>
        </w:rPr>
        <w:t xml:space="preserve">of </w:t>
      </w:r>
      <w:r w:rsidR="003F1356" w:rsidRPr="003F1356">
        <w:rPr>
          <w:rFonts w:ascii="Times New Roman" w:hAnsi="Times New Roman" w:cs="Times New Roman"/>
        </w:rPr>
        <w:t>the degree of investment in the process among young people, and perception of political efficacy, will influence whether they will use the ballot box or whether they will turn to violence (political or otherwise)</w:t>
      </w:r>
      <w:r w:rsidR="008E0806">
        <w:rPr>
          <w:rFonts w:ascii="Times New Roman" w:hAnsi="Times New Roman" w:cs="Times New Roman"/>
        </w:rPr>
        <w:t>.</w:t>
      </w:r>
      <w:r w:rsidR="003F1356">
        <w:rPr>
          <w:rStyle w:val="FootnoteReference"/>
          <w:rFonts w:ascii="Times New Roman" w:hAnsi="Times New Roman" w:cs="Times New Roman"/>
        </w:rPr>
        <w:footnoteReference w:id="633"/>
      </w:r>
      <w:r w:rsidR="003F1356">
        <w:rPr>
          <w:rFonts w:ascii="Times New Roman" w:hAnsi="Times New Roman" w:cs="Times New Roman"/>
        </w:rPr>
        <w:t xml:space="preserve"> </w:t>
      </w:r>
      <w:r w:rsidR="003F1356">
        <w:rPr>
          <w:rFonts w:ascii="Times New Roman" w:eastAsia="Times New Roman" w:hAnsi="Times New Roman" w:cs="Times New Roman"/>
          <w:color w:val="000000"/>
        </w:rPr>
        <w:t xml:space="preserve">In addition to increasing their knowledge of the conflict, the narrative fidelity to ‘being Loyalist and Republican’, which is maintained through the disengagement frame, resonates with the identities of the students:  </w:t>
      </w:r>
      <w:r w:rsidR="003F1356" w:rsidRPr="00616F5E">
        <w:rPr>
          <w:rFonts w:ascii="Times New Roman" w:eastAsia="Times New Roman" w:hAnsi="Times New Roman" w:cs="Times New Roman"/>
          <w:color w:val="000000"/>
        </w:rPr>
        <w:t xml:space="preserve">  </w:t>
      </w:r>
    </w:p>
    <w:p w14:paraId="3FDECA60" w14:textId="77777777" w:rsidR="003F1356" w:rsidRPr="00616F5E" w:rsidRDefault="003F1356" w:rsidP="00B57C7F">
      <w:pPr>
        <w:spacing w:line="360" w:lineRule="auto"/>
        <w:rPr>
          <w:rFonts w:ascii="Times New Roman" w:eastAsia="Times New Roman" w:hAnsi="Times New Roman" w:cs="Times New Roman"/>
          <w:i/>
          <w:color w:val="000000"/>
        </w:rPr>
      </w:pPr>
    </w:p>
    <w:p w14:paraId="6106A0CF" w14:textId="77777777" w:rsidR="003F1356" w:rsidRPr="00616F5E" w:rsidRDefault="003F1356" w:rsidP="00B57C7F">
      <w:pPr>
        <w:pStyle w:val="NormalWeb"/>
        <w:spacing w:line="360" w:lineRule="auto"/>
        <w:ind w:left="567" w:right="567"/>
        <w:jc w:val="both"/>
        <w:rPr>
          <w:rFonts w:ascii="Times New Roman" w:eastAsia="Times New Roman" w:hAnsi="Times New Roman"/>
          <w:i/>
        </w:rPr>
      </w:pPr>
      <w:r w:rsidRPr="00616F5E">
        <w:rPr>
          <w:rFonts w:ascii="Times New Roman" w:eastAsia="Times New Roman" w:hAnsi="Times New Roman"/>
          <w:i/>
          <w:color w:val="000000"/>
        </w:rPr>
        <w:t xml:space="preserve">The findings from the project suggest that children are responding positvely. They are coming out more hopeful and more confident about the peace process because of the discussion with combatants. The reason why is the children can see that they are still Loyalists and Republicans despite opposing violence. They also recognise that you can still maintain the same goals of the identity. It is more realistic because the </w:t>
      </w:r>
      <w:r w:rsidR="00B21054" w:rsidRPr="00616F5E">
        <w:rPr>
          <w:rFonts w:ascii="Times New Roman" w:eastAsia="Times New Roman" w:hAnsi="Times New Roman"/>
          <w:i/>
          <w:color w:val="000000"/>
        </w:rPr>
        <w:t>project acknowledges</w:t>
      </w:r>
      <w:r w:rsidRPr="00616F5E">
        <w:rPr>
          <w:rFonts w:ascii="Times New Roman" w:eastAsia="Times New Roman" w:hAnsi="Times New Roman"/>
          <w:i/>
          <w:color w:val="000000"/>
        </w:rPr>
        <w:t xml:space="preserve"> identities and perspectives, rather than trying to impose a middle-class ‘Northern Irish’ identity on somewhere it doesn’t </w:t>
      </w:r>
      <w:r w:rsidRPr="00616F5E">
        <w:rPr>
          <w:rFonts w:ascii="Times New Roman" w:eastAsia="Times New Roman" w:hAnsi="Times New Roman"/>
          <w:i/>
          <w:color w:val="000000"/>
        </w:rPr>
        <w:lastRenderedPageBreak/>
        <w:t>exist. The current school policy legitimises some political identities and delegitimises others - Loyalists and Republicans are portrayed as sectarian, which marginalises the working class.</w:t>
      </w:r>
      <w:r w:rsidRPr="00616F5E">
        <w:rPr>
          <w:rStyle w:val="FootnoteReference"/>
          <w:rFonts w:ascii="Times New Roman" w:eastAsia="Times New Roman" w:hAnsi="Times New Roman"/>
          <w:i/>
          <w:color w:val="000000"/>
        </w:rPr>
        <w:footnoteReference w:id="634"/>
      </w:r>
    </w:p>
    <w:p w14:paraId="56542088" w14:textId="77777777" w:rsidR="00B21054" w:rsidRDefault="00B21054" w:rsidP="00B57C7F">
      <w:pPr>
        <w:spacing w:line="360" w:lineRule="auto"/>
        <w:ind w:firstLine="567"/>
        <w:jc w:val="both"/>
        <w:rPr>
          <w:rFonts w:ascii="Times New Roman" w:eastAsia="Times New Roman" w:hAnsi="Times New Roman" w:cs="Times New Roman"/>
          <w:color w:val="000000"/>
        </w:rPr>
      </w:pPr>
    </w:p>
    <w:p w14:paraId="461B882C" w14:textId="24318648" w:rsidR="00597AE6" w:rsidRDefault="00597AE6" w:rsidP="00B57C7F">
      <w:pPr>
        <w:spacing w:line="36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The programme recently released a report, which reviewed the effects of the Prison to Peace programme on the attitudes of young people. The findings of the study compares the schools pre-test and post-test with a control group which was not involved in the programme. The programme led to a ten percent increase in those who believed there will be a permanent peace in Northern Ireland. Crucially, the programme also led to an increase in trust for the police by 10% among the students involved in the programme, while the control group experienced a small decline in trust. The programme results show that young people in the programme have a much greater understanding of the causes of the conflict, which resonates with the Provisional IRA’s disengagement frame’s emphasis on civil rights (3.3% to 10% increase) and disagreement over politics and national identity (11.6% to 22.5%), while blaming the other side for causing the conflict declined from 15.3 to 7.1%. Finally, the report shows that students in the programme are more likely to support non-violence and the qualitative feedback corroborates the argument that exposure to former combatants’ de-glamourising their own involvement led young people to understand the consequences of becoming involved in dissident groups.</w:t>
      </w:r>
      <w:r>
        <w:rPr>
          <w:rStyle w:val="FootnoteReference"/>
          <w:rFonts w:ascii="Times New Roman" w:eastAsia="Times New Roman" w:hAnsi="Times New Roman" w:cs="Times New Roman"/>
          <w:color w:val="000000"/>
        </w:rPr>
        <w:footnoteReference w:id="635"/>
      </w:r>
      <w:r>
        <w:rPr>
          <w:rFonts w:ascii="Times New Roman" w:eastAsia="Times New Roman" w:hAnsi="Times New Roman" w:cs="Times New Roman"/>
          <w:color w:val="000000"/>
        </w:rPr>
        <w:t xml:space="preserve">  </w:t>
      </w:r>
    </w:p>
    <w:p w14:paraId="7470DA7E" w14:textId="2943D88D" w:rsidR="00B21054" w:rsidRDefault="00B21054" w:rsidP="00B57C7F">
      <w:pPr>
        <w:spacing w:line="360" w:lineRule="auto"/>
        <w:ind w:firstLine="567"/>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The successful resonance of this narrative is based upon believing that the conditions have changed, something which the younger generation may not instantly appreciate. Therefore, their patch-work knowledge of the conflict, as discussed above, poses problems for the frame resonating. Within this context, through interaction with former combatants within a school setting, students are able to build a much more coherent frame with regard to the conflict, meaning that afterwards the</w:t>
      </w:r>
      <w:r w:rsidRPr="0054627B">
        <w:rPr>
          <w:rFonts w:ascii="Times New Roman" w:eastAsia="Times New Roman" w:hAnsi="Times New Roman" w:cs="Times New Roman"/>
          <w:color w:val="000000"/>
        </w:rPr>
        <w:t xml:space="preserve"> </w:t>
      </w:r>
      <w:r w:rsidRPr="00616F5E">
        <w:rPr>
          <w:rFonts w:ascii="Times New Roman" w:eastAsia="Times New Roman" w:hAnsi="Times New Roman" w:cs="Times New Roman"/>
          <w:color w:val="000000"/>
        </w:rPr>
        <w:t>‘</w:t>
      </w:r>
      <w:r w:rsidRPr="0054627B">
        <w:rPr>
          <w:rFonts w:ascii="Times New Roman" w:eastAsia="Times New Roman" w:hAnsi="Times New Roman" w:cs="Times New Roman"/>
          <w:color w:val="000000"/>
        </w:rPr>
        <w:t>students are able to recognise the complexity of the conflict and what others think</w:t>
      </w:r>
      <w:r w:rsidRPr="00616F5E">
        <w:rPr>
          <w:rFonts w:ascii="Times New Roman" w:eastAsia="Times New Roman" w:hAnsi="Times New Roman" w:cs="Times New Roman"/>
          <w:color w:val="000000"/>
        </w:rPr>
        <w:t>’</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36"/>
      </w:r>
      <w:r>
        <w:rPr>
          <w:rFonts w:ascii="Times New Roman" w:eastAsia="Times New Roman" w:hAnsi="Times New Roman" w:cs="Times New Roman"/>
          <w:color w:val="000000"/>
        </w:rPr>
        <w:t xml:space="preserve"> Buttressing this improvement of understanding among the younger </w:t>
      </w:r>
      <w:r>
        <w:rPr>
          <w:rFonts w:ascii="Times New Roman" w:eastAsia="Times New Roman" w:hAnsi="Times New Roman" w:cs="Times New Roman"/>
          <w:color w:val="000000"/>
        </w:rPr>
        <w:lastRenderedPageBreak/>
        <w:t>generation, the school project has motivated parents to discuss their experience of the conflict:</w:t>
      </w:r>
    </w:p>
    <w:p w14:paraId="287B12DB" w14:textId="77777777" w:rsidR="00B21054" w:rsidRPr="00616F5E" w:rsidRDefault="00B21054" w:rsidP="00B57C7F">
      <w:pPr>
        <w:spacing w:line="360" w:lineRule="auto"/>
        <w:ind w:firstLine="567"/>
        <w:jc w:val="both"/>
        <w:rPr>
          <w:rFonts w:ascii="Times New Roman" w:eastAsia="Times New Roman" w:hAnsi="Times New Roman" w:cs="Times New Roman"/>
          <w:color w:val="000000"/>
        </w:rPr>
      </w:pPr>
    </w:p>
    <w:p w14:paraId="148F116F" w14:textId="77777777" w:rsidR="00B21054" w:rsidRDefault="00B21054" w:rsidP="00B57C7F">
      <w:pPr>
        <w:spacing w:line="360" w:lineRule="auto"/>
        <w:ind w:left="567" w:right="567"/>
        <w:jc w:val="both"/>
        <w:rPr>
          <w:rFonts w:ascii="Times New Roman" w:eastAsia="Times New Roman" w:hAnsi="Times New Roman" w:cs="Times New Roman"/>
          <w:color w:val="000000"/>
        </w:rPr>
      </w:pPr>
      <w:r w:rsidRPr="0054627B">
        <w:rPr>
          <w:rFonts w:ascii="Times New Roman" w:eastAsia="Times New Roman" w:hAnsi="Times New Roman" w:cs="Times New Roman"/>
          <w:i/>
          <w:color w:val="000000"/>
        </w:rPr>
        <w:t>An outcome of the project is it is leading to intergenerational conversation on the conflict and about experiences between the students and their families, and this is helping to de</w:t>
      </w:r>
      <w:r>
        <w:rPr>
          <w:rFonts w:ascii="Times New Roman" w:eastAsia="Times New Roman" w:hAnsi="Times New Roman" w:cs="Times New Roman"/>
          <w:i/>
          <w:color w:val="000000"/>
        </w:rPr>
        <w:t>-</w:t>
      </w:r>
      <w:r w:rsidRPr="0054627B">
        <w:rPr>
          <w:rFonts w:ascii="Times New Roman" w:eastAsia="Times New Roman" w:hAnsi="Times New Roman" w:cs="Times New Roman"/>
          <w:i/>
          <w:color w:val="000000"/>
        </w:rPr>
        <w:t>glamourise it.</w:t>
      </w:r>
      <w:r w:rsidRPr="00616F5E">
        <w:rPr>
          <w:rStyle w:val="FootnoteReference"/>
          <w:rFonts w:ascii="Times New Roman" w:eastAsia="Times New Roman" w:hAnsi="Times New Roman" w:cs="Times New Roman"/>
          <w:i/>
          <w:color w:val="000000"/>
        </w:rPr>
        <w:footnoteReference w:id="637"/>
      </w:r>
      <w:r w:rsidRPr="0054627B">
        <w:rPr>
          <w:rFonts w:ascii="Times New Roman" w:eastAsia="Times New Roman" w:hAnsi="Times New Roman" w:cs="Times New Roman"/>
          <w:color w:val="000000"/>
        </w:rPr>
        <w:t xml:space="preserve"> </w:t>
      </w:r>
    </w:p>
    <w:p w14:paraId="4F9C99CD" w14:textId="77777777" w:rsidR="008D3F2B" w:rsidRPr="00616F5E" w:rsidRDefault="008D3F2B" w:rsidP="00B57C7F">
      <w:pPr>
        <w:spacing w:line="360" w:lineRule="auto"/>
        <w:ind w:left="567" w:right="567"/>
        <w:jc w:val="both"/>
        <w:rPr>
          <w:rFonts w:ascii="Times New Roman" w:eastAsia="Times New Roman" w:hAnsi="Times New Roman" w:cs="Times New Roman"/>
          <w:color w:val="000000"/>
        </w:rPr>
      </w:pPr>
    </w:p>
    <w:p w14:paraId="45C53C71" w14:textId="77777777" w:rsidR="00406829" w:rsidRDefault="00B21054" w:rsidP="00B57C7F">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And where attempts to de-glamourise violence may not work, the credibility and authority that former combatants have places them in a unique position to de-legitimise engagement in violence by young people. One teacher in the programme explained how the programme helped to prevent one student becoming involved in paramilitary organisations following the upsurge in dissident Republican attacks in 2011:</w:t>
      </w:r>
    </w:p>
    <w:p w14:paraId="3AAC9544" w14:textId="77777777" w:rsidR="00B21054" w:rsidRPr="00616F5E" w:rsidRDefault="00B21054" w:rsidP="00B57C7F">
      <w:pPr>
        <w:spacing w:line="360" w:lineRule="auto"/>
        <w:jc w:val="both"/>
        <w:rPr>
          <w:rFonts w:ascii="Times New Roman" w:eastAsia="Times New Roman" w:hAnsi="Times New Roman" w:cs="Times New Roman"/>
          <w:color w:val="000000"/>
        </w:rPr>
      </w:pPr>
    </w:p>
    <w:p w14:paraId="09E71FDB" w14:textId="77777777" w:rsidR="00B21054" w:rsidRPr="00616F5E" w:rsidRDefault="00B21054" w:rsidP="00B57C7F">
      <w:pPr>
        <w:spacing w:line="360" w:lineRule="auto"/>
        <w:ind w:left="567" w:right="567"/>
        <w:jc w:val="both"/>
        <w:rPr>
          <w:rFonts w:ascii="Times New Roman" w:eastAsia="Times New Roman" w:hAnsi="Times New Roman" w:cs="Times New Roman"/>
          <w:i/>
        </w:rPr>
      </w:pPr>
      <w:r w:rsidRPr="00616F5E">
        <w:rPr>
          <w:rFonts w:ascii="Times New Roman" w:eastAsia="Times New Roman" w:hAnsi="Times New Roman" w:cs="Times New Roman"/>
          <w:i/>
          <w:color w:val="000000"/>
        </w:rPr>
        <w:t>There was one incident when a teacher said that one student was on the edge of getting involved in paramilitaries. He asked [the Loyalist ex-prisoner] about recent dissident attacks and what the Loyalist was going to do about it. [The Loyalist] defused the situation by, in a very clear and simple way, highlighting the differences with the Republican movement and how it is dissidents, not Republicans in general, doing the attacks. He then stated that the police and army would deal with it, and said ‘I’m not going to do anything, and you are not gonna do nothing about it’. And from that point the student sat down and took it in.</w:t>
      </w:r>
      <w:r w:rsidRPr="00616F5E">
        <w:rPr>
          <w:rStyle w:val="FootnoteReference"/>
          <w:rFonts w:ascii="Times New Roman" w:eastAsia="Times New Roman" w:hAnsi="Times New Roman" w:cs="Times New Roman"/>
          <w:i/>
          <w:color w:val="000000"/>
        </w:rPr>
        <w:footnoteReference w:id="638"/>
      </w:r>
      <w:r w:rsidRPr="00616F5E">
        <w:rPr>
          <w:rFonts w:ascii="Times New Roman" w:eastAsia="Times New Roman" w:hAnsi="Times New Roman" w:cs="Times New Roman"/>
          <w:i/>
          <w:color w:val="000000"/>
        </w:rPr>
        <w:t xml:space="preserve"> </w:t>
      </w:r>
    </w:p>
    <w:p w14:paraId="02BDD959" w14:textId="77777777" w:rsidR="00B21054" w:rsidRPr="00616F5E" w:rsidRDefault="00B21054" w:rsidP="00B57C7F">
      <w:pPr>
        <w:spacing w:line="360" w:lineRule="auto"/>
        <w:ind w:firstLine="567"/>
        <w:jc w:val="both"/>
        <w:rPr>
          <w:rFonts w:ascii="Times New Roman" w:eastAsia="Times New Roman" w:hAnsi="Times New Roman" w:cs="Times New Roman"/>
          <w:color w:val="000000"/>
        </w:rPr>
      </w:pPr>
    </w:p>
    <w:p w14:paraId="4847D511" w14:textId="77777777" w:rsidR="00F96A7E" w:rsidRDefault="00B21054" w:rsidP="00B57C7F">
      <w:pPr>
        <w:spacing w:line="360" w:lineRule="auto"/>
        <w:ind w:firstLine="567"/>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Thus, former combatants have greater credibility and the structured interaction amplifies more de-radicalised</w:t>
      </w:r>
      <w:r>
        <w:rPr>
          <w:rFonts w:ascii="Times New Roman" w:eastAsia="Times New Roman" w:hAnsi="Times New Roman" w:cs="Times New Roman"/>
          <w:color w:val="000000"/>
        </w:rPr>
        <w:t xml:space="preserve"> voices which can resonate with young people more likely to join paramilitary</w:t>
      </w:r>
      <w:r w:rsidR="00F96A7E">
        <w:rPr>
          <w:rFonts w:ascii="Times New Roman" w:eastAsia="Times New Roman" w:hAnsi="Times New Roman" w:cs="Times New Roman"/>
          <w:color w:val="000000"/>
        </w:rPr>
        <w:t xml:space="preserve"> and dissident</w:t>
      </w:r>
      <w:r>
        <w:rPr>
          <w:rFonts w:ascii="Times New Roman" w:eastAsia="Times New Roman" w:hAnsi="Times New Roman" w:cs="Times New Roman"/>
          <w:color w:val="000000"/>
        </w:rPr>
        <w:t xml:space="preserve"> groups. In the case above, the interviewee </w:t>
      </w:r>
      <w:r>
        <w:rPr>
          <w:rFonts w:ascii="Times New Roman" w:eastAsia="Times New Roman" w:hAnsi="Times New Roman" w:cs="Times New Roman"/>
          <w:color w:val="000000"/>
        </w:rPr>
        <w:lastRenderedPageBreak/>
        <w:t>demonstrated how the interaction can help to discourage young people</w:t>
      </w:r>
      <w:r w:rsidR="00F96A7E">
        <w:rPr>
          <w:rFonts w:ascii="Times New Roman" w:eastAsia="Times New Roman" w:hAnsi="Times New Roman" w:cs="Times New Roman"/>
          <w:color w:val="000000"/>
        </w:rPr>
        <w:t>, but the interaction also encourages further attitudinal change among former combatants</w:t>
      </w:r>
      <w:r>
        <w:rPr>
          <w:rFonts w:ascii="Times New Roman" w:eastAsia="Times New Roman" w:hAnsi="Times New Roman" w:cs="Times New Roman"/>
          <w:color w:val="000000"/>
        </w:rPr>
        <w:t>.</w:t>
      </w:r>
      <w:r w:rsidRPr="00616F5E">
        <w:rPr>
          <w:rFonts w:ascii="Times New Roman" w:eastAsia="Times New Roman" w:hAnsi="Times New Roman" w:cs="Times New Roman"/>
          <w:color w:val="000000"/>
        </w:rPr>
        <w:t xml:space="preserve"> </w:t>
      </w:r>
    </w:p>
    <w:p w14:paraId="06C5CDB1" w14:textId="77777777" w:rsidR="00F96A7E" w:rsidRPr="00616F5E" w:rsidRDefault="00F96A7E" w:rsidP="00B57C7F">
      <w:pPr>
        <w:spacing w:line="360" w:lineRule="auto"/>
        <w:ind w:firstLine="720"/>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t xml:space="preserve">Therefore, interaction with young people through such a school programme enables the disengagement frame to be </w:t>
      </w:r>
      <w:r>
        <w:rPr>
          <w:rFonts w:ascii="Times New Roman" w:eastAsia="Times New Roman" w:hAnsi="Times New Roman" w:cs="Times New Roman"/>
          <w:color w:val="000000"/>
        </w:rPr>
        <w:t>diffused</w:t>
      </w:r>
      <w:r w:rsidRPr="00616F5E">
        <w:rPr>
          <w:rFonts w:ascii="Times New Roman" w:eastAsia="Times New Roman" w:hAnsi="Times New Roman" w:cs="Times New Roman"/>
          <w:color w:val="000000"/>
        </w:rPr>
        <w:t xml:space="preserve"> – but crucially it provides space for the ‘other’ in the respective identities</w:t>
      </w:r>
      <w:r w:rsidR="00984005">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39"/>
      </w:r>
      <w:r w:rsidRPr="00616F5E">
        <w:rPr>
          <w:rFonts w:ascii="Times New Roman" w:eastAsia="Times New Roman" w:hAnsi="Times New Roman" w:cs="Times New Roman"/>
          <w:color w:val="000000"/>
        </w:rPr>
        <w:t xml:space="preserve"> The structure of the programme fosters a sense of competition between groups and incentivises narratives which deglamourise violence. However, the nature of the programme also incentivises and reproduces the broadly Sinn Fein and Provisional IRA narrative of conditional disengagement. Yet, this narrative is, in most cases, a genuine reflection of attitudes among Republicans, therefore its reproduction in the class room boosts the credibility of the message, which enables it to resonate with the younger generation. Firstly, having ex-prisoners as the </w:t>
      </w:r>
      <w:r>
        <w:rPr>
          <w:rFonts w:ascii="Times New Roman" w:eastAsia="Times New Roman" w:hAnsi="Times New Roman" w:cs="Times New Roman"/>
          <w:color w:val="000000"/>
        </w:rPr>
        <w:t>messengers</w:t>
      </w:r>
      <w:r w:rsidRPr="00616F5E">
        <w:rPr>
          <w:rFonts w:ascii="Times New Roman" w:eastAsia="Times New Roman" w:hAnsi="Times New Roman" w:cs="Times New Roman"/>
          <w:color w:val="000000"/>
        </w:rPr>
        <w:t xml:space="preserve"> provides credibility, as they have ‘been there and done that’ and they, or the group they are implicitly associated with, have authority within the community</w:t>
      </w:r>
      <w:r w:rsidR="008E0806">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40"/>
      </w:r>
      <w:r w:rsidRPr="00616F5E">
        <w:rPr>
          <w:rFonts w:ascii="Times New Roman" w:eastAsia="Times New Roman" w:hAnsi="Times New Roman" w:cs="Times New Roman"/>
          <w:color w:val="000000"/>
        </w:rPr>
        <w:t xml:space="preserve"> Yet to maintain credibility they have to maintain narrative fidelity, which the conditional disengagement narrative allows them to do, therefore ensuring frame consistency. The programme demonstrates that despite no longer supporting violence that the beliefs of the movement are still consistent; it is possible to still have a Republican identity and a Republican frame (of achieving a united Ireland), while opposing violence. Of course, some young people will continue to view participants in the programme as having ‘sold out’ and this seems to be more the case where there is less of a Provisional IRA and Sinn Fein presence in specific areas like Ardoyne, which would suggest that interaction is </w:t>
      </w:r>
      <w:r>
        <w:rPr>
          <w:rFonts w:ascii="Times New Roman" w:eastAsia="Times New Roman" w:hAnsi="Times New Roman" w:cs="Times New Roman"/>
          <w:color w:val="000000"/>
        </w:rPr>
        <w:t xml:space="preserve">still </w:t>
      </w:r>
      <w:r w:rsidRPr="00616F5E">
        <w:rPr>
          <w:rFonts w:ascii="Times New Roman" w:eastAsia="Times New Roman" w:hAnsi="Times New Roman" w:cs="Times New Roman"/>
          <w:color w:val="000000"/>
        </w:rPr>
        <w:t>an important factor. With regard to the empirical credibility of the message, young people from the nationalist community cannot necessarily verify the claim that there has been a real change unless they engage with the past</w:t>
      </w:r>
      <w:r>
        <w:rPr>
          <w:rFonts w:ascii="Times New Roman" w:eastAsia="Times New Roman" w:hAnsi="Times New Roman" w:cs="Times New Roman"/>
          <w:color w:val="000000"/>
        </w:rPr>
        <w:t>, and the school programme allows this</w:t>
      </w:r>
      <w:r w:rsidRPr="00616F5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While t</w:t>
      </w:r>
      <w:r w:rsidRPr="00616F5E">
        <w:rPr>
          <w:rFonts w:ascii="Times New Roman" w:eastAsia="Times New Roman" w:hAnsi="Times New Roman" w:cs="Times New Roman"/>
          <w:color w:val="000000"/>
        </w:rPr>
        <w:t>he thesis was not able to explore the specific attitudes to the Provisional IRA’s disengagement frame, there was a general increasing confidence in the peace process</w:t>
      </w:r>
      <w:r w:rsidR="00691187">
        <w:rPr>
          <w:rFonts w:ascii="Times New Roman" w:eastAsia="Times New Roman" w:hAnsi="Times New Roman" w:cs="Times New Roman"/>
          <w:color w:val="000000"/>
        </w:rPr>
        <w:t>,</w:t>
      </w:r>
      <w:r w:rsidRPr="00616F5E">
        <w:rPr>
          <w:rStyle w:val="FootnoteReference"/>
          <w:rFonts w:ascii="Times New Roman" w:eastAsia="Times New Roman" w:hAnsi="Times New Roman" w:cs="Times New Roman"/>
          <w:color w:val="000000"/>
        </w:rPr>
        <w:footnoteReference w:id="641"/>
      </w:r>
      <w:r>
        <w:rPr>
          <w:rFonts w:ascii="Times New Roman" w:eastAsia="Times New Roman" w:hAnsi="Times New Roman" w:cs="Times New Roman"/>
          <w:color w:val="000000"/>
        </w:rPr>
        <w:t xml:space="preserve"> and this is a key part underpinning conditional de-radicalisation</w:t>
      </w:r>
      <w:r w:rsidRPr="00616F5E">
        <w:rPr>
          <w:rFonts w:ascii="Times New Roman" w:eastAsia="Times New Roman" w:hAnsi="Times New Roman" w:cs="Times New Roman"/>
          <w:color w:val="000000"/>
        </w:rPr>
        <w:t xml:space="preserve">.  </w:t>
      </w:r>
    </w:p>
    <w:p w14:paraId="6D70A19E" w14:textId="77777777" w:rsidR="00F96A7E" w:rsidRDefault="00F96A7E" w:rsidP="00B57C7F">
      <w:pPr>
        <w:spacing w:line="360" w:lineRule="auto"/>
        <w:ind w:firstLine="720"/>
        <w:jc w:val="both"/>
        <w:rPr>
          <w:rFonts w:ascii="Times New Roman" w:eastAsia="Times New Roman" w:hAnsi="Times New Roman" w:cs="Times New Roman"/>
          <w:color w:val="000000"/>
        </w:rPr>
      </w:pPr>
      <w:r w:rsidRPr="00616F5E">
        <w:rPr>
          <w:rFonts w:ascii="Times New Roman" w:eastAsia="Times New Roman" w:hAnsi="Times New Roman" w:cs="Times New Roman"/>
          <w:color w:val="000000"/>
        </w:rPr>
        <w:lastRenderedPageBreak/>
        <w:t xml:space="preserve">Crucially, analysis of this project has shown that the diffusion of disengagement frame is not a one-way process. By engaging with young people, in and out of the programme, former combatants have recognised how their day-to-day discussion of the conflict can glamorise the conflict and contradict the disengagement </w:t>
      </w:r>
      <w:r>
        <w:rPr>
          <w:rFonts w:ascii="Times New Roman" w:eastAsia="Times New Roman" w:hAnsi="Times New Roman" w:cs="Times New Roman"/>
          <w:color w:val="000000"/>
        </w:rPr>
        <w:t>frame</w:t>
      </w:r>
      <w:r w:rsidRPr="00616F5E">
        <w:rPr>
          <w:rFonts w:ascii="Times New Roman" w:eastAsia="Times New Roman" w:hAnsi="Times New Roman" w:cs="Times New Roman"/>
          <w:color w:val="000000"/>
        </w:rPr>
        <w:t xml:space="preserve"> somewhat. The glamorisation of violence is understandable as it is mainly the source of their credibility and provides them with respect in the community. The Prisoner to Peace programme was very successful at framing this attitudinal shift, creating an informal process of selecting the ‘correct’ narratives and incentivising others to adopt a similar disposition. </w:t>
      </w:r>
      <w:r w:rsidR="001C2368">
        <w:rPr>
          <w:rFonts w:ascii="Times New Roman" w:eastAsia="Times New Roman" w:hAnsi="Times New Roman" w:cs="Times New Roman"/>
          <w:color w:val="000000"/>
        </w:rPr>
        <w:t xml:space="preserve">In terms of de-radicalisation, the thesis argues that this represents a substantial shift. While the Provisional IRA’s disengagement was guided by initially tactical disengagement and then conditional de-radicalisation, the success of the frame was contingent on maintaining narrative fidelity by legitimising past violence and commemorating dead volunteers. </w:t>
      </w:r>
      <w:r w:rsidR="00482198">
        <w:rPr>
          <w:rFonts w:ascii="Times New Roman" w:eastAsia="Times New Roman" w:hAnsi="Times New Roman" w:cs="Times New Roman"/>
          <w:color w:val="000000"/>
        </w:rPr>
        <w:t>While this frame made sense for Provisional IRA members, the hitherto lack of intergenerational dialogue potentially caused problems insofar as it may glamourise violence for young people</w:t>
      </w:r>
      <w:r>
        <w:rPr>
          <w:rFonts w:ascii="Times New Roman" w:eastAsia="Times New Roman" w:hAnsi="Times New Roman" w:cs="Times New Roman"/>
          <w:color w:val="000000"/>
        </w:rPr>
        <w:t>, which dissident Republicans may exploit</w:t>
      </w:r>
      <w:r w:rsidR="00482198">
        <w:rPr>
          <w:rFonts w:ascii="Times New Roman" w:eastAsia="Times New Roman" w:hAnsi="Times New Roman" w:cs="Times New Roman"/>
          <w:color w:val="000000"/>
        </w:rPr>
        <w:t>. Therefore, attempts by former combatants to de-glamourise past violence acts as a compromised version of unconditional de-radicalisation. Thus, the Provisional IRA disengagement frame has shifted toward de-legitimising violence in the current context, which is based on durable conditions, and while it still legitimises past violence, this is now framed more negatively as part of a sacrifice for the next generation to live in peace.</w:t>
      </w:r>
      <w:r>
        <w:rPr>
          <w:rFonts w:ascii="Times New Roman" w:eastAsia="Times New Roman" w:hAnsi="Times New Roman" w:cs="Times New Roman"/>
          <w:color w:val="000000"/>
        </w:rPr>
        <w:t xml:space="preserve"> </w:t>
      </w:r>
      <w:r w:rsidR="00482198">
        <w:rPr>
          <w:rFonts w:ascii="Times New Roman" w:eastAsia="Times New Roman" w:hAnsi="Times New Roman" w:cs="Times New Roman"/>
          <w:color w:val="000000"/>
        </w:rPr>
        <w:t xml:space="preserve"> </w:t>
      </w:r>
    </w:p>
    <w:p w14:paraId="14F50B95" w14:textId="77777777" w:rsidR="00F96A7E" w:rsidRDefault="00F96A7E" w:rsidP="00B57C7F">
      <w:pPr>
        <w:spacing w:line="360" w:lineRule="auto"/>
        <w:ind w:firstLine="720"/>
        <w:jc w:val="both"/>
        <w:rPr>
          <w:rFonts w:ascii="Times New Roman" w:eastAsia="Times New Roman" w:hAnsi="Times New Roman" w:cs="Times New Roman"/>
          <w:color w:val="000000"/>
        </w:rPr>
      </w:pPr>
    </w:p>
    <w:p w14:paraId="17CA1D3C" w14:textId="77777777" w:rsidR="00D41B62" w:rsidRDefault="006D3099" w:rsidP="00B57C7F">
      <w:pPr>
        <w:pStyle w:val="Heading3"/>
        <w:spacing w:before="120" w:line="360" w:lineRule="auto"/>
      </w:pPr>
      <w:bookmarkStart w:id="74" w:name="_Toc389208856"/>
      <w:r>
        <w:t>Conclusion</w:t>
      </w:r>
      <w:bookmarkEnd w:id="74"/>
    </w:p>
    <w:p w14:paraId="3FD052ED" w14:textId="326A0AA0" w:rsidR="00BD580B" w:rsidRDefault="003F1FE6" w:rsidP="00B57C7F">
      <w:pPr>
        <w:spacing w:line="360" w:lineRule="auto"/>
        <w:jc w:val="both"/>
        <w:rPr>
          <w:rFonts w:ascii="Times New Roman" w:hAnsi="Times New Roman" w:cs="Times New Roman"/>
        </w:rPr>
      </w:pPr>
      <w:r>
        <w:rPr>
          <w:rFonts w:ascii="Times New Roman" w:hAnsi="Times New Roman" w:cs="Times New Roman"/>
        </w:rPr>
        <w:tab/>
        <w:t xml:space="preserve">Ending campaigns of terrorism and political violence requires a break in support to occur between generations. While this did not happen substantially in the 1960s, large swathes of Provisional IRA volunteers have </w:t>
      </w:r>
      <w:r w:rsidR="00BD580B">
        <w:rPr>
          <w:rFonts w:ascii="Times New Roman" w:hAnsi="Times New Roman" w:cs="Times New Roman"/>
        </w:rPr>
        <w:t xml:space="preserve">left violence behind and are passing on the justifications for disengagement to the next generation. The type of frame that underpins disengagement, however, matter in terms of what message is being passed on to the next generation. Frames informed by tactical disengagement – as had been the case in previous IRA disengagement processes – encourage the next generation to look for opportunities to engage and expand the armed struggle. The crucial difference from these failed attempts at disengagement is the Provisional </w:t>
      </w:r>
      <w:r w:rsidR="00BD580B">
        <w:rPr>
          <w:rFonts w:ascii="Times New Roman" w:hAnsi="Times New Roman" w:cs="Times New Roman"/>
        </w:rPr>
        <w:lastRenderedPageBreak/>
        <w:t xml:space="preserve">IRA’s disengagement frame was informed by conditional de-radicalisation. However, the next generation either did not comprehend this frame or they were confused by the mixed signals they were receiving as former combatants often glamourised violence. While the disengagement frame was, of course, aimed to justify the Provisional IRA’s end to </w:t>
      </w:r>
      <w:r w:rsidR="00A66A78">
        <w:rPr>
          <w:rFonts w:ascii="Times New Roman" w:hAnsi="Times New Roman" w:cs="Times New Roman"/>
        </w:rPr>
        <w:t xml:space="preserve">the armed struggle, there was </w:t>
      </w:r>
      <w:r w:rsidR="00BD580B">
        <w:rPr>
          <w:rFonts w:ascii="Times New Roman" w:hAnsi="Times New Roman" w:cs="Times New Roman"/>
        </w:rPr>
        <w:t xml:space="preserve">recognition that not only did the frame have to be diffused throughout the social movement, it had to be diffused to the next generation. </w:t>
      </w:r>
    </w:p>
    <w:p w14:paraId="360A168E" w14:textId="77777777" w:rsidR="00A5441B" w:rsidRDefault="00BD580B" w:rsidP="00B57C7F">
      <w:pPr>
        <w:spacing w:line="360" w:lineRule="auto"/>
        <w:jc w:val="both"/>
        <w:rPr>
          <w:rFonts w:ascii="Times New Roman" w:hAnsi="Times New Roman" w:cs="Times New Roman"/>
        </w:rPr>
      </w:pPr>
      <w:r>
        <w:rPr>
          <w:rFonts w:ascii="Times New Roman" w:hAnsi="Times New Roman" w:cs="Times New Roman"/>
        </w:rPr>
        <w:tab/>
        <w:t>Firstly, the chapter showed</w:t>
      </w:r>
      <w:r w:rsidR="005B1E2E">
        <w:rPr>
          <w:rFonts w:ascii="Times New Roman" w:hAnsi="Times New Roman" w:cs="Times New Roman"/>
        </w:rPr>
        <w:t xml:space="preserve"> that the type of networks that the disengagement frame was diffused through influenced how young people interpreted the frame. As may be expected, involvement in political</w:t>
      </w:r>
      <w:r w:rsidR="00691187">
        <w:rPr>
          <w:rFonts w:ascii="Times New Roman" w:hAnsi="Times New Roman" w:cs="Times New Roman"/>
        </w:rPr>
        <w:t xml:space="preserve"> (or social)</w:t>
      </w:r>
      <w:r w:rsidR="005B1E2E">
        <w:rPr>
          <w:rFonts w:ascii="Times New Roman" w:hAnsi="Times New Roman" w:cs="Times New Roman"/>
        </w:rPr>
        <w:t xml:space="preserve"> networks and deep interaction with proponents of the disengagement frame provided young people with a strong understanding of the frame. They did not perceive former combatants to be glamourising violence as they could see themselves that it was often to hide the difficult experiences. T</w:t>
      </w:r>
      <w:r w:rsidR="005B1E2E" w:rsidRPr="00616F5E">
        <w:rPr>
          <w:rFonts w:ascii="Times New Roman" w:hAnsi="Times New Roman" w:cs="Times New Roman"/>
        </w:rPr>
        <w:t>he building of the credibility of former combatants through stories of the past, and through commemorative events honouring Republican dead, provides a basis for the Provisional IRA’s disengagement frame to be diffused and resonate successfully.</w:t>
      </w:r>
      <w:r w:rsidR="00A5441B">
        <w:rPr>
          <w:rFonts w:ascii="Times New Roman" w:hAnsi="Times New Roman" w:cs="Times New Roman"/>
        </w:rPr>
        <w:t xml:space="preserve"> However, young people adopt a different frame insofar as the credibility of former combatants is based on the sacrifices they made in the armed</w:t>
      </w:r>
      <w:r w:rsidR="00691187">
        <w:rPr>
          <w:rFonts w:ascii="Times New Roman" w:hAnsi="Times New Roman" w:cs="Times New Roman"/>
        </w:rPr>
        <w:t xml:space="preserve"> struggle so they do not</w:t>
      </w:r>
      <w:r w:rsidR="00A5441B">
        <w:rPr>
          <w:rFonts w:ascii="Times New Roman" w:hAnsi="Times New Roman" w:cs="Times New Roman"/>
        </w:rPr>
        <w:t xml:space="preserve"> need to engage in violence under the new social conditions. Therefore, young people are not necessarily legitimising past violence but are instead reframing it as something the previous generation did for them, motivating them to ensure against a return to violence.</w:t>
      </w:r>
    </w:p>
    <w:p w14:paraId="3C1011DD" w14:textId="77777777" w:rsidR="00D41B62" w:rsidRDefault="00A5441B" w:rsidP="00B57C7F">
      <w:pPr>
        <w:spacing w:line="360" w:lineRule="auto"/>
        <w:jc w:val="both"/>
        <w:rPr>
          <w:rFonts w:ascii="Times New Roman" w:hAnsi="Times New Roman" w:cs="Times New Roman"/>
        </w:rPr>
      </w:pPr>
      <w:r>
        <w:rPr>
          <w:rFonts w:ascii="Times New Roman" w:hAnsi="Times New Roman" w:cs="Times New Roman"/>
        </w:rPr>
        <w:tab/>
        <w:t>Secondly, where there are fewer linkages to young people, and thus less of an ability to diffuse the frame, the informal network of Provisional IRA activists that organisationally disengaged into community activism have sought to engage with young people more.</w:t>
      </w:r>
      <w:r w:rsidR="00BF625A">
        <w:rPr>
          <w:rFonts w:ascii="Times New Roman" w:hAnsi="Times New Roman" w:cs="Times New Roman"/>
        </w:rPr>
        <w:t xml:space="preserve"> Interaction between former combatants and young people in a school setting has a two-way effect that is salient to disengagement. Firstly, the programme provided young people with a better understanding of the conflict and this increased optimism is central to the conditionality that underpins disengagement. The programme has helped to de-glamourise violence and can deter young people from joining dissident and paramilitary groups by introducing them to credible figures who de-legitimise the violence whilst still maintaining an identity that some young people share. Secondly, the programme has played a part in transforming the </w:t>
      </w:r>
      <w:r w:rsidR="00BF625A">
        <w:rPr>
          <w:rFonts w:ascii="Times New Roman" w:hAnsi="Times New Roman" w:cs="Times New Roman"/>
        </w:rPr>
        <w:lastRenderedPageBreak/>
        <w:t xml:space="preserve">Provisional IRA’s disengagement frame by incentivising narratives that de-glamourise violence. Thus, what was underpinned by conditional de-radicalisation has changed, and while past violence is still legitimised, this is qualified in language that seeks to de-glamourise it, much to the same effect that it had on Sinn Fein Youth members. </w:t>
      </w:r>
      <w:r w:rsidR="00A24864">
        <w:rPr>
          <w:rFonts w:ascii="Times New Roman" w:hAnsi="Times New Roman" w:cs="Times New Roman"/>
        </w:rPr>
        <w:t>Therefore,</w:t>
      </w:r>
      <w:r w:rsidR="0077567D">
        <w:rPr>
          <w:rFonts w:ascii="Times New Roman" w:hAnsi="Times New Roman" w:cs="Times New Roman"/>
        </w:rPr>
        <w:t xml:space="preserve"> when there are sufficient linkages,</w:t>
      </w:r>
      <w:r w:rsidR="00A24864">
        <w:rPr>
          <w:rFonts w:ascii="Times New Roman" w:hAnsi="Times New Roman" w:cs="Times New Roman"/>
        </w:rPr>
        <w:t xml:space="preserve"> </w:t>
      </w:r>
      <w:r w:rsidR="0077567D">
        <w:rPr>
          <w:rFonts w:ascii="Times New Roman" w:hAnsi="Times New Roman" w:cs="Times New Roman"/>
        </w:rPr>
        <w:t>th</w:t>
      </w:r>
      <w:r w:rsidR="00A24864">
        <w:rPr>
          <w:rFonts w:ascii="Times New Roman" w:hAnsi="Times New Roman" w:cs="Times New Roman"/>
        </w:rPr>
        <w:t>e Provisional IRA’</w:t>
      </w:r>
      <w:r w:rsidR="0077567D">
        <w:rPr>
          <w:rFonts w:ascii="Times New Roman" w:hAnsi="Times New Roman" w:cs="Times New Roman"/>
        </w:rPr>
        <w:t>s disengagement frame resonates with</w:t>
      </w:r>
      <w:r w:rsidR="00A24864">
        <w:rPr>
          <w:rFonts w:ascii="Times New Roman" w:hAnsi="Times New Roman" w:cs="Times New Roman"/>
        </w:rPr>
        <w:t xml:space="preserve"> the next generation, albeit changed to suit the new audience, helps to strengthen the support for disengagement, thus weakening the link between the younger generation and dissident Republicans who may seek to mobilise them. </w:t>
      </w:r>
      <w:r w:rsidR="00BF625A">
        <w:rPr>
          <w:rFonts w:ascii="Times New Roman" w:hAnsi="Times New Roman" w:cs="Times New Roman"/>
        </w:rPr>
        <w:t xml:space="preserve">The thesis will now conclude by placing these finding in a conceptual context. </w:t>
      </w:r>
    </w:p>
    <w:p w14:paraId="414C9789" w14:textId="77777777" w:rsidR="008F1DC5" w:rsidRDefault="008F1DC5" w:rsidP="00B57C7F">
      <w:pPr>
        <w:spacing w:line="360" w:lineRule="auto"/>
        <w:jc w:val="both"/>
        <w:rPr>
          <w:rFonts w:ascii="Times New Roman" w:hAnsi="Times New Roman" w:cs="Times New Roman"/>
        </w:rPr>
      </w:pPr>
    </w:p>
    <w:p w14:paraId="325E3B90" w14:textId="77777777" w:rsidR="008F1DC5" w:rsidRDefault="008F1DC5" w:rsidP="00B57C7F">
      <w:pPr>
        <w:spacing w:line="360" w:lineRule="auto"/>
        <w:jc w:val="both"/>
        <w:rPr>
          <w:rFonts w:ascii="Times New Roman" w:hAnsi="Times New Roman" w:cs="Times New Roman"/>
        </w:rPr>
      </w:pPr>
    </w:p>
    <w:p w14:paraId="641FC027" w14:textId="77777777" w:rsidR="008F1DC5" w:rsidRDefault="008F1DC5" w:rsidP="00B57C7F">
      <w:pPr>
        <w:spacing w:line="360" w:lineRule="auto"/>
        <w:jc w:val="both"/>
        <w:rPr>
          <w:rFonts w:ascii="Times New Roman" w:hAnsi="Times New Roman" w:cs="Times New Roman"/>
        </w:rPr>
      </w:pPr>
    </w:p>
    <w:p w14:paraId="311B84E4" w14:textId="77777777" w:rsidR="008F1DC5" w:rsidRDefault="008F1DC5" w:rsidP="00B57C7F">
      <w:pPr>
        <w:spacing w:line="360" w:lineRule="auto"/>
        <w:jc w:val="both"/>
        <w:rPr>
          <w:rFonts w:ascii="Times New Roman" w:hAnsi="Times New Roman" w:cs="Times New Roman"/>
        </w:rPr>
      </w:pPr>
    </w:p>
    <w:p w14:paraId="07C5E7D0" w14:textId="77777777" w:rsidR="008F1DC5" w:rsidRDefault="008F1DC5" w:rsidP="00B57C7F">
      <w:pPr>
        <w:spacing w:line="360" w:lineRule="auto"/>
        <w:jc w:val="both"/>
        <w:rPr>
          <w:rFonts w:ascii="Times New Roman" w:hAnsi="Times New Roman" w:cs="Times New Roman"/>
        </w:rPr>
      </w:pPr>
    </w:p>
    <w:p w14:paraId="4E5AC6E4" w14:textId="77777777" w:rsidR="008F1DC5" w:rsidRDefault="008F1DC5" w:rsidP="00B57C7F">
      <w:pPr>
        <w:spacing w:line="360" w:lineRule="auto"/>
        <w:jc w:val="both"/>
        <w:rPr>
          <w:rFonts w:ascii="Times New Roman" w:hAnsi="Times New Roman" w:cs="Times New Roman"/>
        </w:rPr>
      </w:pPr>
    </w:p>
    <w:p w14:paraId="0B8CF8BD" w14:textId="77777777" w:rsidR="008F1DC5" w:rsidRDefault="008F1DC5" w:rsidP="00B57C7F">
      <w:pPr>
        <w:spacing w:line="360" w:lineRule="auto"/>
        <w:jc w:val="both"/>
        <w:rPr>
          <w:rFonts w:ascii="Times New Roman" w:hAnsi="Times New Roman" w:cs="Times New Roman"/>
        </w:rPr>
      </w:pPr>
    </w:p>
    <w:p w14:paraId="3A2F3151" w14:textId="77777777" w:rsidR="008F1DC5" w:rsidRDefault="008F1DC5" w:rsidP="00B57C7F">
      <w:pPr>
        <w:spacing w:line="360" w:lineRule="auto"/>
        <w:jc w:val="both"/>
        <w:rPr>
          <w:rFonts w:ascii="Times New Roman" w:hAnsi="Times New Roman" w:cs="Times New Roman"/>
        </w:rPr>
      </w:pPr>
    </w:p>
    <w:p w14:paraId="3F83D548" w14:textId="77777777" w:rsidR="008F1DC5" w:rsidRDefault="008F1DC5" w:rsidP="00B57C7F">
      <w:pPr>
        <w:spacing w:line="360" w:lineRule="auto"/>
        <w:jc w:val="both"/>
        <w:rPr>
          <w:rFonts w:ascii="Times New Roman" w:hAnsi="Times New Roman" w:cs="Times New Roman"/>
        </w:rPr>
      </w:pPr>
    </w:p>
    <w:p w14:paraId="3F99F15D" w14:textId="77777777" w:rsidR="008F1DC5" w:rsidRDefault="008F1DC5" w:rsidP="00B57C7F">
      <w:pPr>
        <w:spacing w:line="360" w:lineRule="auto"/>
        <w:jc w:val="both"/>
        <w:rPr>
          <w:rFonts w:ascii="Times New Roman" w:hAnsi="Times New Roman" w:cs="Times New Roman"/>
        </w:rPr>
      </w:pPr>
    </w:p>
    <w:p w14:paraId="0FCD5E32" w14:textId="77777777" w:rsidR="008F1DC5" w:rsidRDefault="008F1DC5" w:rsidP="00B57C7F">
      <w:pPr>
        <w:spacing w:line="360" w:lineRule="auto"/>
        <w:jc w:val="both"/>
        <w:rPr>
          <w:rFonts w:ascii="Times New Roman" w:hAnsi="Times New Roman" w:cs="Times New Roman"/>
        </w:rPr>
      </w:pPr>
    </w:p>
    <w:p w14:paraId="54A35CBC" w14:textId="77777777" w:rsidR="008F1DC5" w:rsidRDefault="008F1DC5" w:rsidP="00B57C7F">
      <w:pPr>
        <w:spacing w:line="360" w:lineRule="auto"/>
        <w:jc w:val="both"/>
        <w:rPr>
          <w:rFonts w:ascii="Times New Roman" w:hAnsi="Times New Roman" w:cs="Times New Roman"/>
        </w:rPr>
      </w:pPr>
    </w:p>
    <w:p w14:paraId="1A297775" w14:textId="77777777" w:rsidR="008F1DC5" w:rsidRDefault="008F1DC5" w:rsidP="00B57C7F">
      <w:pPr>
        <w:spacing w:line="360" w:lineRule="auto"/>
        <w:jc w:val="both"/>
        <w:rPr>
          <w:rFonts w:ascii="Times New Roman" w:hAnsi="Times New Roman" w:cs="Times New Roman"/>
        </w:rPr>
      </w:pPr>
    </w:p>
    <w:p w14:paraId="43D89134" w14:textId="77777777" w:rsidR="008F1DC5" w:rsidRDefault="008F1DC5" w:rsidP="00B57C7F">
      <w:pPr>
        <w:spacing w:line="360" w:lineRule="auto"/>
        <w:jc w:val="both"/>
        <w:rPr>
          <w:rFonts w:ascii="Times New Roman" w:hAnsi="Times New Roman" w:cs="Times New Roman"/>
        </w:rPr>
      </w:pPr>
    </w:p>
    <w:p w14:paraId="66475F97" w14:textId="77777777" w:rsidR="008F1DC5" w:rsidRDefault="008F1DC5" w:rsidP="00B57C7F">
      <w:pPr>
        <w:spacing w:line="360" w:lineRule="auto"/>
        <w:jc w:val="both"/>
        <w:rPr>
          <w:rFonts w:ascii="Times New Roman" w:hAnsi="Times New Roman" w:cs="Times New Roman"/>
        </w:rPr>
      </w:pPr>
    </w:p>
    <w:p w14:paraId="5B2B0CAE" w14:textId="77777777" w:rsidR="008F1DC5" w:rsidRDefault="008F1DC5" w:rsidP="00B57C7F">
      <w:pPr>
        <w:spacing w:line="360" w:lineRule="auto"/>
        <w:jc w:val="both"/>
        <w:rPr>
          <w:rFonts w:ascii="Times New Roman" w:hAnsi="Times New Roman" w:cs="Times New Roman"/>
        </w:rPr>
      </w:pPr>
    </w:p>
    <w:p w14:paraId="1D924D79" w14:textId="77777777" w:rsidR="008F1DC5" w:rsidRDefault="008F1DC5" w:rsidP="00B57C7F">
      <w:pPr>
        <w:spacing w:line="360" w:lineRule="auto"/>
        <w:jc w:val="both"/>
        <w:rPr>
          <w:rFonts w:ascii="Times New Roman" w:hAnsi="Times New Roman" w:cs="Times New Roman"/>
        </w:rPr>
      </w:pPr>
    </w:p>
    <w:p w14:paraId="10B2E1C4" w14:textId="77777777" w:rsidR="008F1DC5" w:rsidRDefault="008F1DC5" w:rsidP="00B57C7F">
      <w:pPr>
        <w:spacing w:line="360" w:lineRule="auto"/>
        <w:jc w:val="both"/>
        <w:rPr>
          <w:rFonts w:ascii="Times New Roman" w:hAnsi="Times New Roman" w:cs="Times New Roman"/>
        </w:rPr>
      </w:pPr>
    </w:p>
    <w:p w14:paraId="4E9B9A25" w14:textId="77777777" w:rsidR="00D41B62" w:rsidRDefault="009E3DF5" w:rsidP="00B57C7F">
      <w:pPr>
        <w:pStyle w:val="Heading2"/>
        <w:spacing w:before="120" w:line="360" w:lineRule="auto"/>
      </w:pPr>
      <w:bookmarkStart w:id="75" w:name="_Toc389208857"/>
      <w:r>
        <w:lastRenderedPageBreak/>
        <w:t>CONCLUSION</w:t>
      </w:r>
      <w:bookmarkEnd w:id="75"/>
    </w:p>
    <w:p w14:paraId="42756A8A" w14:textId="77777777" w:rsidR="00D807B4" w:rsidRDefault="00D807B4" w:rsidP="00B57C7F">
      <w:pPr>
        <w:spacing w:line="360" w:lineRule="auto"/>
        <w:sectPr w:rsidR="00D807B4" w:rsidSect="00BE3349">
          <w:footnotePr>
            <w:numRestart w:val="eachSect"/>
          </w:footnotePr>
          <w:type w:val="continuous"/>
          <w:pgSz w:w="11906" w:h="16838"/>
          <w:pgMar w:top="1440" w:right="1440" w:bottom="1440" w:left="2268" w:header="709" w:footer="709" w:gutter="0"/>
          <w:cols w:space="708"/>
          <w:docGrid w:linePitch="360"/>
        </w:sectPr>
      </w:pPr>
    </w:p>
    <w:p w14:paraId="2D84F598" w14:textId="77777777" w:rsidR="00521615" w:rsidRDefault="00521615" w:rsidP="00B57C7F">
      <w:pPr>
        <w:spacing w:line="360" w:lineRule="auto"/>
        <w:ind w:right="1701"/>
        <w:rPr>
          <w:b/>
          <w:sz w:val="40"/>
          <w:szCs w:val="40"/>
        </w:rPr>
      </w:pPr>
      <w:r>
        <w:rPr>
          <w:b/>
          <w:sz w:val="40"/>
          <w:szCs w:val="40"/>
        </w:rPr>
        <w:lastRenderedPageBreak/>
        <w:t xml:space="preserve">The </w:t>
      </w:r>
      <w:r w:rsidR="006248DE">
        <w:rPr>
          <w:b/>
          <w:sz w:val="40"/>
          <w:szCs w:val="40"/>
        </w:rPr>
        <w:t xml:space="preserve">De-Radicalisation </w:t>
      </w:r>
      <w:r>
        <w:rPr>
          <w:b/>
          <w:sz w:val="40"/>
          <w:szCs w:val="40"/>
        </w:rPr>
        <w:t>of the Irish Re</w:t>
      </w:r>
      <w:r w:rsidR="0065027E">
        <w:rPr>
          <w:b/>
          <w:sz w:val="40"/>
          <w:szCs w:val="40"/>
        </w:rPr>
        <w:t>publican Movement</w:t>
      </w:r>
    </w:p>
    <w:p w14:paraId="60CE8A4E" w14:textId="77777777" w:rsidR="00521615" w:rsidRPr="00521615" w:rsidRDefault="00521615" w:rsidP="00B57C7F">
      <w:pPr>
        <w:spacing w:line="360" w:lineRule="auto"/>
        <w:ind w:right="1701"/>
        <w:rPr>
          <w:b/>
        </w:rPr>
      </w:pPr>
    </w:p>
    <w:p w14:paraId="6E9CB41D" w14:textId="487E9BDF" w:rsidR="0065027E" w:rsidRDefault="00521615" w:rsidP="00B57C7F">
      <w:pPr>
        <w:spacing w:line="360" w:lineRule="auto"/>
        <w:jc w:val="both"/>
        <w:rPr>
          <w:rFonts w:ascii="Times New Roman" w:hAnsi="Times New Roman" w:cs="Times New Roman"/>
          <w:bCs/>
          <w:color w:val="000000" w:themeColor="text1"/>
        </w:rPr>
      </w:pPr>
      <w:r>
        <w:rPr>
          <w:rFonts w:ascii="Times New Roman" w:hAnsi="Times New Roman" w:cs="Times New Roman"/>
          <w:bCs/>
        </w:rPr>
        <w:tab/>
      </w:r>
      <w:r w:rsidR="006248DE">
        <w:rPr>
          <w:rFonts w:ascii="Times New Roman" w:hAnsi="Times New Roman" w:cs="Times New Roman"/>
          <w:bCs/>
          <w:color w:val="000000" w:themeColor="text1"/>
        </w:rPr>
        <w:t xml:space="preserve">The Provisional IRA’s disengagement process has had such a substantial </w:t>
      </w:r>
      <w:r w:rsidR="00241CA3">
        <w:rPr>
          <w:rFonts w:ascii="Times New Roman" w:hAnsi="Times New Roman" w:cs="Times New Roman"/>
          <w:bCs/>
          <w:color w:val="000000" w:themeColor="text1"/>
        </w:rPr>
        <w:t>impact on the Irish Republican m</w:t>
      </w:r>
      <w:r w:rsidR="006248DE">
        <w:rPr>
          <w:rFonts w:ascii="Times New Roman" w:hAnsi="Times New Roman" w:cs="Times New Roman"/>
          <w:bCs/>
          <w:color w:val="000000" w:themeColor="text1"/>
        </w:rPr>
        <w:t>ovement that it may succeed where previous attempts at disengagement have failed</w:t>
      </w:r>
      <w:r w:rsidR="00F04DF7">
        <w:rPr>
          <w:rFonts w:ascii="Times New Roman" w:hAnsi="Times New Roman" w:cs="Times New Roman"/>
          <w:bCs/>
          <w:color w:val="000000" w:themeColor="text1"/>
        </w:rPr>
        <w:t xml:space="preserve">: the movement has </w:t>
      </w:r>
      <w:r w:rsidR="009B37AD">
        <w:rPr>
          <w:rFonts w:ascii="Times New Roman" w:hAnsi="Times New Roman" w:cs="Times New Roman"/>
          <w:bCs/>
          <w:color w:val="000000" w:themeColor="text1"/>
        </w:rPr>
        <w:t>shown signs of de-radicalisation that make a return to Republican violence unlikely</w:t>
      </w:r>
      <w:r w:rsidR="00F04DF7">
        <w:rPr>
          <w:rFonts w:ascii="Times New Roman" w:hAnsi="Times New Roman" w:cs="Times New Roman"/>
          <w:bCs/>
          <w:color w:val="000000" w:themeColor="text1"/>
        </w:rPr>
        <w:t xml:space="preserve">. Despite numerous defeats and lulls in activity, the IRA has been able to continue in one form or another for a century, returning to violence when the opportunity arose. Whenever it disengaged in the past, it was on the basis of tactical disengagement, therefore there was no substantial opposition to using terrorism and political violence. When the opportunity arose, following the repression of the 1960s civil rights movement, the Provisional IRA </w:t>
      </w:r>
      <w:r w:rsidR="00BE6880">
        <w:rPr>
          <w:rFonts w:ascii="Times New Roman" w:hAnsi="Times New Roman" w:cs="Times New Roman"/>
          <w:bCs/>
          <w:color w:val="000000" w:themeColor="text1"/>
        </w:rPr>
        <w:t>embarked on an armed campaign against the British state that would be responsible for claiming the lives of thousands. Now the Provisional IRA’s campaign is over and with dissident Republicans weakened but still active, Republicans</w:t>
      </w:r>
      <w:r w:rsidR="009B37AD">
        <w:rPr>
          <w:rFonts w:ascii="Times New Roman" w:hAnsi="Times New Roman" w:cs="Times New Roman"/>
          <w:bCs/>
          <w:color w:val="000000" w:themeColor="text1"/>
        </w:rPr>
        <w:t xml:space="preserve"> both</w:t>
      </w:r>
      <w:r w:rsidR="00BE6880">
        <w:rPr>
          <w:rFonts w:ascii="Times New Roman" w:hAnsi="Times New Roman" w:cs="Times New Roman"/>
          <w:bCs/>
          <w:color w:val="000000" w:themeColor="text1"/>
        </w:rPr>
        <w:t xml:space="preserve"> hope and fear that history will repeat itself: as the commitment to armed struggle still remains, the IRA will re-emerge when the opportunity presents itself.</w:t>
      </w:r>
      <w:r w:rsidR="006248DE">
        <w:rPr>
          <w:rFonts w:ascii="Times New Roman" w:hAnsi="Times New Roman" w:cs="Times New Roman"/>
          <w:bCs/>
          <w:color w:val="000000" w:themeColor="text1"/>
        </w:rPr>
        <w:t xml:space="preserve"> </w:t>
      </w:r>
      <w:r w:rsidR="00BE6880">
        <w:rPr>
          <w:rFonts w:ascii="Times New Roman" w:hAnsi="Times New Roman" w:cs="Times New Roman"/>
          <w:bCs/>
          <w:color w:val="000000" w:themeColor="text1"/>
        </w:rPr>
        <w:t xml:space="preserve">In such a mind-set, claims that terrorism has ended in Ireland may seem like a hollow conclusion to draw. </w:t>
      </w:r>
    </w:p>
    <w:p w14:paraId="0CB6BE50" w14:textId="30D6E2AD" w:rsidR="00521615" w:rsidRDefault="00BE6880" w:rsidP="00B57C7F">
      <w:pPr>
        <w:spacing w:line="360" w:lineRule="auto"/>
        <w:ind w:firstLine="720"/>
        <w:jc w:val="both"/>
        <w:rPr>
          <w:rFonts w:ascii="Times New Roman" w:hAnsi="Times New Roman" w:cs="Times New Roman"/>
          <w:bCs/>
          <w:color w:val="000000" w:themeColor="text1"/>
        </w:rPr>
      </w:pPr>
      <w:r>
        <w:rPr>
          <w:rFonts w:ascii="Times New Roman" w:hAnsi="Times New Roman" w:cs="Times New Roman"/>
          <w:bCs/>
          <w:color w:val="000000" w:themeColor="text1"/>
        </w:rPr>
        <w:t>However, the thesis has argued that the Provisional IRA’s disengagement has led to substantial change that gives optimism when stating that terrorism has ended and that the likelihood of a return of violence is substantially lower than it was any time in the last one hundred</w:t>
      </w:r>
      <w:r w:rsidR="009B37AD">
        <w:rPr>
          <w:rFonts w:ascii="Times New Roman" w:hAnsi="Times New Roman" w:cs="Times New Roman"/>
          <w:bCs/>
          <w:color w:val="000000" w:themeColor="text1"/>
        </w:rPr>
        <w:t xml:space="preserve"> years of the Irish Republican m</w:t>
      </w:r>
      <w:r>
        <w:rPr>
          <w:rFonts w:ascii="Times New Roman" w:hAnsi="Times New Roman" w:cs="Times New Roman"/>
          <w:bCs/>
          <w:color w:val="000000" w:themeColor="text1"/>
        </w:rPr>
        <w:t xml:space="preserve">ovement. </w:t>
      </w:r>
      <w:r w:rsidR="004622A7">
        <w:rPr>
          <w:rFonts w:ascii="Times New Roman" w:hAnsi="Times New Roman" w:cs="Times New Roman"/>
          <w:bCs/>
          <w:color w:val="000000" w:themeColor="text1"/>
        </w:rPr>
        <w:t>A successful framing of disengagement underpinned the organisational disbandment of the Provisional IRA, which acted to not only bring along most of its members but also large swathes of society. The political system that emerged following disengagement, despite</w:t>
      </w:r>
      <w:r w:rsidR="009B37AD">
        <w:rPr>
          <w:rFonts w:ascii="Times New Roman" w:hAnsi="Times New Roman" w:cs="Times New Roman"/>
          <w:bCs/>
          <w:color w:val="000000" w:themeColor="text1"/>
        </w:rPr>
        <w:t xml:space="preserve"> being</w:t>
      </w:r>
      <w:r w:rsidR="004622A7">
        <w:rPr>
          <w:rFonts w:ascii="Times New Roman" w:hAnsi="Times New Roman" w:cs="Times New Roman"/>
          <w:bCs/>
          <w:color w:val="000000" w:themeColor="text1"/>
        </w:rPr>
        <w:t xml:space="preserve"> fraught with problems, is durable enough to continue legitimising the disengagement frame and acts as a mechanism to approach constitutional and identity issues. Finally, there is optimism for further durable change insofar as attitudes have been transformed gradually </w:t>
      </w:r>
      <w:r w:rsidR="0065027E">
        <w:rPr>
          <w:rFonts w:ascii="Times New Roman" w:hAnsi="Times New Roman" w:cs="Times New Roman"/>
          <w:bCs/>
          <w:color w:val="000000" w:themeColor="text1"/>
        </w:rPr>
        <w:t xml:space="preserve">to the point that armed violence has little </w:t>
      </w:r>
      <w:r w:rsidR="0065027E">
        <w:rPr>
          <w:rFonts w:ascii="Times New Roman" w:hAnsi="Times New Roman" w:cs="Times New Roman"/>
          <w:bCs/>
          <w:color w:val="000000" w:themeColor="text1"/>
        </w:rPr>
        <w:lastRenderedPageBreak/>
        <w:t>legitimacy. In contradistinction to periods in the past, the younger generation have incorporated these views and the previous inter-generational networks that passed on the armed struggle in the past have been broken up and need to compete with a Republican identity that de-legitimises armed struggle. Thus, over a long process of at least twenty years, these three factors have led to the de-radicali</w:t>
      </w:r>
      <w:r w:rsidR="009E4DA1">
        <w:rPr>
          <w:rFonts w:ascii="Times New Roman" w:hAnsi="Times New Roman" w:cs="Times New Roman"/>
          <w:bCs/>
          <w:color w:val="000000" w:themeColor="text1"/>
        </w:rPr>
        <w:t>sation of the Irish Republican m</w:t>
      </w:r>
      <w:r w:rsidR="0065027E">
        <w:rPr>
          <w:rFonts w:ascii="Times New Roman" w:hAnsi="Times New Roman" w:cs="Times New Roman"/>
          <w:bCs/>
          <w:color w:val="000000" w:themeColor="text1"/>
        </w:rPr>
        <w:t xml:space="preserve">ovement.  </w:t>
      </w:r>
    </w:p>
    <w:p w14:paraId="59AFCD9D" w14:textId="2AAC5C5D" w:rsidR="009E4DA1" w:rsidRPr="00521615" w:rsidRDefault="009E4DA1" w:rsidP="00B57C7F">
      <w:pPr>
        <w:spacing w:line="360" w:lineRule="auto"/>
        <w:ind w:firstLine="720"/>
        <w:jc w:val="both"/>
        <w:rPr>
          <w:rFonts w:ascii="Times New Roman" w:hAnsi="Times New Roman" w:cs="Times New Roman"/>
          <w:bCs/>
        </w:rPr>
      </w:pPr>
      <w:r>
        <w:rPr>
          <w:rFonts w:ascii="Times New Roman" w:hAnsi="Times New Roman" w:cs="Times New Roman"/>
          <w:bCs/>
          <w:color w:val="000000" w:themeColor="text1"/>
        </w:rPr>
        <w:t xml:space="preserve">With regard to the question of ‘how terrorism ends’ in the Irish Republican movement the thesis had a long history of attempts at disengagement </w:t>
      </w:r>
      <w:r w:rsidR="00567E2E">
        <w:rPr>
          <w:rFonts w:ascii="Times New Roman" w:hAnsi="Times New Roman" w:cs="Times New Roman"/>
          <w:bCs/>
          <w:color w:val="000000" w:themeColor="text1"/>
        </w:rPr>
        <w:t>upon which to build an analysis</w:t>
      </w:r>
      <w:r>
        <w:rPr>
          <w:rFonts w:ascii="Times New Roman" w:hAnsi="Times New Roman" w:cs="Times New Roman"/>
          <w:bCs/>
          <w:color w:val="000000" w:themeColor="text1"/>
        </w:rPr>
        <w:t xml:space="preserve">. When militant groups disengage in the Irish Republican movement, there are three types of frame which can guide their change in behaviour. A tactical disengagement frame has often been the most unreliable with regard to reducing the risk of recidivism. It is often driven by recognition that the conditions are not appropriate for an armed struggle. The factors that can lead to this frame emerging include internal frustration or burnout, state repression, and a lack of normative support. The IRA tactically disengaged in the 1920s and the 1960s but their re-emergence soon after each of these periods demonstrates how violence can re-emerge once the opportunities arise. In both of these cases of tactical disengagement, a lack of substantive political change meant that grievances were </w:t>
      </w:r>
      <w:r w:rsidR="001F1BAF">
        <w:rPr>
          <w:rFonts w:ascii="Times New Roman" w:hAnsi="Times New Roman" w:cs="Times New Roman"/>
          <w:bCs/>
          <w:color w:val="000000" w:themeColor="text1"/>
        </w:rPr>
        <w:t xml:space="preserve">internalised and postponed and a lack of change with regard to how violence was perceived meant that the networks </w:t>
      </w:r>
      <w:r w:rsidR="00567E2E">
        <w:rPr>
          <w:rFonts w:ascii="Times New Roman" w:hAnsi="Times New Roman" w:cs="Times New Roman"/>
          <w:bCs/>
          <w:color w:val="000000" w:themeColor="text1"/>
        </w:rPr>
        <w:t xml:space="preserve">through which </w:t>
      </w:r>
      <w:r w:rsidR="001F1BAF">
        <w:rPr>
          <w:rFonts w:ascii="Times New Roman" w:hAnsi="Times New Roman" w:cs="Times New Roman"/>
          <w:bCs/>
          <w:color w:val="000000" w:themeColor="text1"/>
        </w:rPr>
        <w:t>the IRA existed could continue the struggle. The abortive 1975 disengagement showed other weaknesses with the tactical disengagement frame, namely that it will not be successful when the opportunities for violence still present themselves and that members will need to be brought along on the process if it is to progress to a more substantive form of disengagement.</w:t>
      </w:r>
      <w:r w:rsidR="00B200C7">
        <w:rPr>
          <w:rFonts w:ascii="Times New Roman" w:hAnsi="Times New Roman" w:cs="Times New Roman"/>
          <w:bCs/>
          <w:color w:val="000000" w:themeColor="text1"/>
        </w:rPr>
        <w:t xml:space="preserve"> </w:t>
      </w:r>
      <w:r w:rsidR="009B37AD">
        <w:rPr>
          <w:rFonts w:ascii="Times New Roman" w:hAnsi="Times New Roman" w:cs="Times New Roman"/>
          <w:bCs/>
          <w:color w:val="000000" w:themeColor="text1"/>
        </w:rPr>
        <w:t xml:space="preserve">The Provisional IRA’s disengagement was different insofar as it developed a frame that set out conditions in which armed violence would end, and while this may have included aspects of the tactical disengagement frame, since conditionality underpinned it there was a need to de-legitimise violence once these were achieved. While the Provisional IRA’s disengagement frame has not been defined by unconditional de-radicalisation, if it were, then it is likely the frame would not have resonated, thus leading to a breakdown in disengagement. Yet, upon interacting with the next generation, some Provisional IRA members are now past deglamourising </w:t>
      </w:r>
      <w:r w:rsidR="009B37AD">
        <w:rPr>
          <w:rFonts w:ascii="Times New Roman" w:hAnsi="Times New Roman" w:cs="Times New Roman"/>
          <w:bCs/>
          <w:color w:val="000000" w:themeColor="text1"/>
        </w:rPr>
        <w:lastRenderedPageBreak/>
        <w:t>violence, and this should be encouraged more broadly rather than de-legitimising past violence.</w:t>
      </w:r>
      <w:r w:rsidR="001F1BAF">
        <w:rPr>
          <w:rFonts w:ascii="Times New Roman" w:hAnsi="Times New Roman" w:cs="Times New Roman"/>
          <w:bCs/>
          <w:color w:val="000000" w:themeColor="text1"/>
        </w:rPr>
        <w:t xml:space="preserve"> </w:t>
      </w:r>
    </w:p>
    <w:p w14:paraId="486FF5F9" w14:textId="77777777" w:rsidR="00C476EA" w:rsidRDefault="00C476EA" w:rsidP="00B57C7F">
      <w:pPr>
        <w:spacing w:line="360" w:lineRule="auto"/>
        <w:jc w:val="both"/>
        <w:rPr>
          <w:rFonts w:ascii="Times New Roman" w:hAnsi="Times New Roman" w:cs="Times New Roman"/>
        </w:rPr>
      </w:pPr>
    </w:p>
    <w:p w14:paraId="0A3C278E" w14:textId="77777777" w:rsidR="00C476EA" w:rsidRDefault="00C476EA" w:rsidP="00B57C7F">
      <w:pPr>
        <w:pStyle w:val="Heading3"/>
        <w:spacing w:before="120" w:line="360" w:lineRule="auto"/>
      </w:pPr>
      <w:bookmarkStart w:id="76" w:name="_Toc389208858"/>
      <w:r>
        <w:t>How Terrorism Ends</w:t>
      </w:r>
      <w:bookmarkEnd w:id="76"/>
    </w:p>
    <w:p w14:paraId="40C61ABF" w14:textId="77777777" w:rsidR="00C7332A" w:rsidRDefault="00C476EA" w:rsidP="00B57C7F">
      <w:pPr>
        <w:spacing w:line="360" w:lineRule="auto"/>
        <w:ind w:firstLine="720"/>
        <w:jc w:val="both"/>
        <w:rPr>
          <w:rFonts w:ascii="Times New Roman" w:hAnsi="Times New Roman" w:cs="Times New Roman"/>
        </w:rPr>
      </w:pPr>
      <w:r>
        <w:rPr>
          <w:rFonts w:ascii="Times New Roman" w:hAnsi="Times New Roman" w:cs="Times New Roman"/>
        </w:rPr>
        <w:t xml:space="preserve">The question that has driven the thesis has been ‘how does terrorism and political violence </w:t>
      </w:r>
      <w:r w:rsidR="00B375A3">
        <w:rPr>
          <w:rFonts w:ascii="Times New Roman" w:hAnsi="Times New Roman" w:cs="Times New Roman"/>
        </w:rPr>
        <w:t>end’, which is also taken to include how the risk of recidivism is reduced.</w:t>
      </w:r>
      <w:r>
        <w:rPr>
          <w:rFonts w:ascii="Times New Roman" w:hAnsi="Times New Roman" w:cs="Times New Roman"/>
        </w:rPr>
        <w:t xml:space="preserve"> </w:t>
      </w:r>
      <w:r w:rsidR="00B375A3">
        <w:rPr>
          <w:rFonts w:ascii="Times New Roman" w:hAnsi="Times New Roman" w:cs="Times New Roman"/>
        </w:rPr>
        <w:t>H</w:t>
      </w:r>
      <w:r>
        <w:rPr>
          <w:rFonts w:ascii="Times New Roman" w:hAnsi="Times New Roman" w:cs="Times New Roman"/>
        </w:rPr>
        <w:t>owever this has been approached differently from the literature</w:t>
      </w:r>
      <w:r w:rsidR="007140F0">
        <w:rPr>
          <w:rFonts w:ascii="Times New Roman" w:hAnsi="Times New Roman" w:cs="Times New Roman"/>
        </w:rPr>
        <w:t>, which is critiqued</w:t>
      </w:r>
      <w:r>
        <w:rPr>
          <w:rFonts w:ascii="Times New Roman" w:hAnsi="Times New Roman" w:cs="Times New Roman"/>
        </w:rPr>
        <w:t xml:space="preserve"> in two ways</w:t>
      </w:r>
      <w:r w:rsidR="00695607">
        <w:rPr>
          <w:rFonts w:ascii="Times New Roman" w:hAnsi="Times New Roman" w:cs="Times New Roman"/>
        </w:rPr>
        <w:t xml:space="preserve">: 1) in how it has </w:t>
      </w:r>
      <w:r w:rsidR="007140F0">
        <w:rPr>
          <w:rFonts w:ascii="Times New Roman" w:hAnsi="Times New Roman" w:cs="Times New Roman"/>
        </w:rPr>
        <w:t>under-emphasised</w:t>
      </w:r>
      <w:r w:rsidR="00695607">
        <w:rPr>
          <w:rFonts w:ascii="Times New Roman" w:hAnsi="Times New Roman" w:cs="Times New Roman"/>
        </w:rPr>
        <w:t xml:space="preserve"> internal processes in group disengagement; and 2) in how the over-emphasis on the group level of analysis has hindered explanations of how social movement campaigns of terrorism end</w:t>
      </w:r>
      <w:r>
        <w:rPr>
          <w:rFonts w:ascii="Times New Roman" w:hAnsi="Times New Roman" w:cs="Times New Roman"/>
        </w:rPr>
        <w:t xml:space="preserve">. </w:t>
      </w:r>
    </w:p>
    <w:p w14:paraId="0AFCF904" w14:textId="77777777" w:rsidR="00C7332A" w:rsidRDefault="00C7332A" w:rsidP="00B57C7F">
      <w:pPr>
        <w:spacing w:line="360" w:lineRule="auto"/>
        <w:jc w:val="both"/>
        <w:rPr>
          <w:rFonts w:ascii="Times New Roman" w:hAnsi="Times New Roman" w:cs="Times New Roman"/>
        </w:rPr>
      </w:pPr>
    </w:p>
    <w:p w14:paraId="25E9C9F3" w14:textId="77777777" w:rsidR="00C7332A" w:rsidRDefault="00C7332A" w:rsidP="00B57C7F">
      <w:pPr>
        <w:pStyle w:val="Heading4"/>
        <w:spacing w:before="120" w:line="360" w:lineRule="auto"/>
      </w:pPr>
      <w:bookmarkStart w:id="77" w:name="_Toc389208859"/>
      <w:r>
        <w:t>What makes a disengagement process successful?</w:t>
      </w:r>
      <w:bookmarkEnd w:id="77"/>
    </w:p>
    <w:p w14:paraId="14F52B4C" w14:textId="125AD6FC" w:rsidR="006A1F3D" w:rsidRDefault="007140F0" w:rsidP="00B57C7F">
      <w:pPr>
        <w:spacing w:line="360" w:lineRule="auto"/>
        <w:ind w:firstLine="720"/>
        <w:jc w:val="both"/>
        <w:rPr>
          <w:rFonts w:ascii="Times New Roman" w:hAnsi="Times New Roman" w:cs="Times New Roman"/>
        </w:rPr>
      </w:pPr>
      <w:r>
        <w:rPr>
          <w:rFonts w:ascii="Times New Roman" w:hAnsi="Times New Roman" w:cs="Times New Roman"/>
        </w:rPr>
        <w:t>With regard to the first point</w:t>
      </w:r>
      <w:r w:rsidR="000449D3">
        <w:rPr>
          <w:rFonts w:ascii="Times New Roman" w:hAnsi="Times New Roman" w:cs="Times New Roman"/>
        </w:rPr>
        <w:t xml:space="preserve">, the invocation of this question draws it into the debates on the role of factors such as repression, negotiations and popular support in bringing about an end to terrorism campaigns – or more specifically, militant groups. Although the thesis has been </w:t>
      </w:r>
      <w:r w:rsidR="00755468">
        <w:rPr>
          <w:rFonts w:ascii="Times New Roman" w:hAnsi="Times New Roman" w:cs="Times New Roman"/>
        </w:rPr>
        <w:t>highlighted the weaknesses of the</w:t>
      </w:r>
      <w:r w:rsidR="000449D3">
        <w:rPr>
          <w:rFonts w:ascii="Times New Roman" w:hAnsi="Times New Roman" w:cs="Times New Roman"/>
        </w:rPr>
        <w:t xml:space="preserve"> literature’s emphasis on the group level of analysis, it recognises that the disengagement of social movements can be triggered when the largest group in the movement begins to disengage</w:t>
      </w:r>
      <w:r w:rsidR="00695607">
        <w:rPr>
          <w:rFonts w:ascii="Times New Roman" w:hAnsi="Times New Roman" w:cs="Times New Roman"/>
        </w:rPr>
        <w:t xml:space="preserve">. </w:t>
      </w:r>
      <w:r w:rsidR="000449D3">
        <w:rPr>
          <w:rFonts w:ascii="Times New Roman" w:hAnsi="Times New Roman" w:cs="Times New Roman"/>
        </w:rPr>
        <w:t>While the thesis has addressed the significance of the</w:t>
      </w:r>
      <w:r w:rsidR="00695607">
        <w:rPr>
          <w:rFonts w:ascii="Times New Roman" w:hAnsi="Times New Roman" w:cs="Times New Roman"/>
        </w:rPr>
        <w:t xml:space="preserve"> main</w:t>
      </w:r>
      <w:r w:rsidR="000449D3">
        <w:rPr>
          <w:rFonts w:ascii="Times New Roman" w:hAnsi="Times New Roman" w:cs="Times New Roman"/>
        </w:rPr>
        <w:t xml:space="preserve"> factors</w:t>
      </w:r>
      <w:r w:rsidR="00695607">
        <w:rPr>
          <w:rFonts w:ascii="Times New Roman" w:hAnsi="Times New Roman" w:cs="Times New Roman"/>
        </w:rPr>
        <w:t xml:space="preserve"> to explain group disengagement</w:t>
      </w:r>
      <w:r w:rsidR="000449D3">
        <w:rPr>
          <w:rFonts w:ascii="Times New Roman" w:hAnsi="Times New Roman" w:cs="Times New Roman"/>
        </w:rPr>
        <w:t>, it has been more concerned with how interna</w:t>
      </w:r>
      <w:r w:rsidR="00567E2E">
        <w:rPr>
          <w:rFonts w:ascii="Times New Roman" w:hAnsi="Times New Roman" w:cs="Times New Roman"/>
        </w:rPr>
        <w:t>l factors have been underplayed.</w:t>
      </w:r>
      <w:r w:rsidR="000449D3">
        <w:rPr>
          <w:rFonts w:ascii="Times New Roman" w:hAnsi="Times New Roman" w:cs="Times New Roman"/>
        </w:rPr>
        <w:t xml:space="preserve"> </w:t>
      </w:r>
      <w:r w:rsidR="00567E2E">
        <w:rPr>
          <w:rFonts w:ascii="Times New Roman" w:hAnsi="Times New Roman" w:cs="Times New Roman"/>
        </w:rPr>
        <w:t>T</w:t>
      </w:r>
      <w:r w:rsidR="000449D3">
        <w:rPr>
          <w:rFonts w:ascii="Times New Roman" w:hAnsi="Times New Roman" w:cs="Times New Roman"/>
        </w:rPr>
        <w:t xml:space="preserve">herefore the question also refers to the </w:t>
      </w:r>
      <w:r w:rsidR="000449D3" w:rsidRPr="00BE6031">
        <w:rPr>
          <w:rFonts w:ascii="Times New Roman" w:hAnsi="Times New Roman" w:cs="Times New Roman"/>
          <w:i/>
          <w:iCs/>
        </w:rPr>
        <w:t>process</w:t>
      </w:r>
      <w:r w:rsidR="000449D3">
        <w:rPr>
          <w:rFonts w:ascii="Times New Roman" w:hAnsi="Times New Roman" w:cs="Times New Roman"/>
        </w:rPr>
        <w:t xml:space="preserve"> by which the group’s members came to accept and work toward an end to the campaign</w:t>
      </w:r>
      <w:r>
        <w:rPr>
          <w:rFonts w:ascii="Times New Roman" w:hAnsi="Times New Roman" w:cs="Times New Roman"/>
        </w:rPr>
        <w:t>. Of course, the literature has taken into account the role of internal factors in terms of individual disengagement, the structure of the group and ideology, and the role of repression in</w:t>
      </w:r>
      <w:r w:rsidR="00567E2E">
        <w:rPr>
          <w:rFonts w:ascii="Times New Roman" w:hAnsi="Times New Roman" w:cs="Times New Roman"/>
        </w:rPr>
        <w:t xml:space="preserve"> prompting a strategic re-think.</w:t>
      </w:r>
      <w:r>
        <w:rPr>
          <w:rFonts w:ascii="Times New Roman" w:hAnsi="Times New Roman" w:cs="Times New Roman"/>
        </w:rPr>
        <w:t xml:space="preserve"> </w:t>
      </w:r>
      <w:r w:rsidR="00567E2E">
        <w:rPr>
          <w:rFonts w:ascii="Times New Roman" w:hAnsi="Times New Roman" w:cs="Times New Roman"/>
        </w:rPr>
        <w:t>H</w:t>
      </w:r>
      <w:r>
        <w:rPr>
          <w:rFonts w:ascii="Times New Roman" w:hAnsi="Times New Roman" w:cs="Times New Roman"/>
        </w:rPr>
        <w:t xml:space="preserve">owever, the Provisional IRA did not agree to disengage at the same time as one homogenous block. </w:t>
      </w:r>
      <w:r w:rsidR="00EE75BA">
        <w:rPr>
          <w:rFonts w:ascii="Times New Roman" w:hAnsi="Times New Roman" w:cs="Times New Roman"/>
        </w:rPr>
        <w:t xml:space="preserve">While negotiations through a peace process can provide strong incentives to end violence, these first of all need to be reconstructed to be perceived by the group as an incentive. Furthermore, state repression can only work up to a point, and while it may prompt the leadership to consider a change in strategy, there is still much to be done from this point to the point where a group disengages. </w:t>
      </w:r>
      <w:r>
        <w:rPr>
          <w:rFonts w:ascii="Times New Roman" w:hAnsi="Times New Roman" w:cs="Times New Roman"/>
        </w:rPr>
        <w:t xml:space="preserve">Indeed, despite many of the factors that apparently lead terrorism campaigns to end being present, many members of the </w:t>
      </w:r>
      <w:r>
        <w:rPr>
          <w:rFonts w:ascii="Times New Roman" w:hAnsi="Times New Roman" w:cs="Times New Roman"/>
        </w:rPr>
        <w:lastRenderedPageBreak/>
        <w:t xml:space="preserve">Provisional IRA wanted to continue to the armed campaign, and without bringing these members along with the process then disengagement would never have begun or a substantial split would have occurred. </w:t>
      </w:r>
      <w:r w:rsidR="006A1F3D">
        <w:rPr>
          <w:rFonts w:ascii="Times New Roman" w:hAnsi="Times New Roman" w:cs="Times New Roman"/>
        </w:rPr>
        <w:t xml:space="preserve">Therefore, the thesis has argued that analysing the process of attitudinal change is important to explain successful disengagement, whereby group campaigns end with bringing along most of their members and supporters rather than dividing. </w:t>
      </w:r>
      <w:r>
        <w:rPr>
          <w:rFonts w:ascii="Times New Roman" w:hAnsi="Times New Roman" w:cs="Times New Roman"/>
        </w:rPr>
        <w:t xml:space="preserve">One study that does seek to explain this </w:t>
      </w:r>
      <w:r w:rsidR="006A1F3D">
        <w:rPr>
          <w:rFonts w:ascii="Times New Roman" w:hAnsi="Times New Roman" w:cs="Times New Roman"/>
        </w:rPr>
        <w:t xml:space="preserve">collective </w:t>
      </w:r>
      <w:r w:rsidRPr="006A1F3D">
        <w:rPr>
          <w:rFonts w:ascii="Times New Roman" w:hAnsi="Times New Roman" w:cs="Times New Roman"/>
        </w:rPr>
        <w:t>process</w:t>
      </w:r>
      <w:r w:rsidRPr="007140F0">
        <w:rPr>
          <w:rFonts w:ascii="Times New Roman" w:hAnsi="Times New Roman" w:cs="Times New Roman"/>
          <w:i/>
          <w:iCs/>
        </w:rPr>
        <w:t xml:space="preserve"> </w:t>
      </w:r>
      <w:r>
        <w:rPr>
          <w:rFonts w:ascii="Times New Roman" w:hAnsi="Times New Roman" w:cs="Times New Roman"/>
        </w:rPr>
        <w:t xml:space="preserve">of </w:t>
      </w:r>
      <w:r w:rsidR="006A1F3D">
        <w:rPr>
          <w:rFonts w:ascii="Times New Roman" w:hAnsi="Times New Roman" w:cs="Times New Roman"/>
        </w:rPr>
        <w:t>attitudinal change – which he refers to as de-radicalisation -</w:t>
      </w:r>
      <w:r>
        <w:rPr>
          <w:rFonts w:ascii="Times New Roman" w:hAnsi="Times New Roman" w:cs="Times New Roman"/>
        </w:rPr>
        <w:t xml:space="preserve"> </w:t>
      </w:r>
      <w:r w:rsidR="006A1F3D">
        <w:rPr>
          <w:rFonts w:ascii="Times New Roman" w:hAnsi="Times New Roman" w:cs="Times New Roman"/>
        </w:rPr>
        <w:t>identifies four factors to be important in its successful completion: repression; (charismatic) leadership; incentives; and interaction</w:t>
      </w:r>
      <w:r w:rsidR="008E0806">
        <w:rPr>
          <w:rFonts w:ascii="Times New Roman" w:hAnsi="Times New Roman" w:cs="Times New Roman"/>
        </w:rPr>
        <w:t>.</w:t>
      </w:r>
      <w:r w:rsidR="006A1F3D">
        <w:rPr>
          <w:rStyle w:val="FootnoteReference"/>
          <w:rFonts w:ascii="Times New Roman" w:hAnsi="Times New Roman" w:cs="Times New Roman"/>
        </w:rPr>
        <w:footnoteReference w:id="642"/>
      </w:r>
      <w:r w:rsidR="006A1F3D">
        <w:rPr>
          <w:rFonts w:ascii="Times New Roman" w:hAnsi="Times New Roman" w:cs="Times New Roman"/>
        </w:rPr>
        <w:t xml:space="preserve"> The thesis built on this argument and applied it to the Provisional IRA’s disengagement from 1994 onwards.</w:t>
      </w:r>
    </w:p>
    <w:p w14:paraId="1C8AC90B" w14:textId="1DF27221" w:rsidR="006A5615" w:rsidRDefault="00C7332A" w:rsidP="00B57C7F">
      <w:pPr>
        <w:spacing w:line="360" w:lineRule="auto"/>
        <w:ind w:firstLine="720"/>
        <w:jc w:val="both"/>
        <w:rPr>
          <w:rFonts w:ascii="Times New Roman" w:hAnsi="Times New Roman" w:cs="Times New Roman"/>
        </w:rPr>
      </w:pPr>
      <w:r>
        <w:rPr>
          <w:rFonts w:ascii="Times New Roman" w:hAnsi="Times New Roman" w:cs="Times New Roman"/>
        </w:rPr>
        <w:t>The thesis argued that just as political entrepreneurs construct a frame to mobilise the population to engage in terrorism and political violence, they also construct a disengagement frame to bring this aspect of the campaign to a conclusion. The purpose of this frame is to convince m</w:t>
      </w:r>
      <w:r w:rsidR="00EE75BA">
        <w:rPr>
          <w:rFonts w:ascii="Times New Roman" w:hAnsi="Times New Roman" w:cs="Times New Roman"/>
        </w:rPr>
        <w:t xml:space="preserve">embers of the need to disengage and it may involve adding new dimensions to the mobilising frame and amplifying some aspects of the mobilising frame over others. Therefore, the success of disengagement can be determined by the extent to which a frame resonates, whether this means the attitudes </w:t>
      </w:r>
      <w:r w:rsidR="00C537A2">
        <w:rPr>
          <w:rFonts w:ascii="Times New Roman" w:hAnsi="Times New Roman" w:cs="Times New Roman"/>
        </w:rPr>
        <w:t xml:space="preserve">of members are changed or whether they simply comply with it, because frames have a conditioning and normative function in addition to being an emergent property of attitudes within the group. </w:t>
      </w:r>
      <w:r w:rsidR="00B40211">
        <w:rPr>
          <w:rFonts w:ascii="Times New Roman" w:hAnsi="Times New Roman" w:cs="Times New Roman"/>
        </w:rPr>
        <w:t xml:space="preserve">As will be discussed below, the thesis has argued that frames can be underpinned by different types of attitudinal change, known as de-radicalisation. </w:t>
      </w:r>
      <w:r w:rsidR="00C537A2">
        <w:rPr>
          <w:rFonts w:ascii="Times New Roman" w:hAnsi="Times New Roman" w:cs="Times New Roman"/>
        </w:rPr>
        <w:t>A frames analysis approach explains how a disengagement frame emerges and how it resonates with the movement, and the thesis has argued that frame resonance has been a substantial factor in the disengagement of the Provisional IRA.</w:t>
      </w:r>
      <w:r w:rsidR="00B40211">
        <w:rPr>
          <w:rFonts w:ascii="Times New Roman" w:hAnsi="Times New Roman" w:cs="Times New Roman"/>
        </w:rPr>
        <w:t xml:space="preserve"> The Provisional IRA’s disengagement frame has undergone three stages: in the 1990s, disengagement was presented as a tactic for achieving political objectives</w:t>
      </w:r>
      <w:r w:rsidR="00755468">
        <w:rPr>
          <w:rFonts w:ascii="Times New Roman" w:hAnsi="Times New Roman" w:cs="Times New Roman"/>
        </w:rPr>
        <w:t>, whereby (realistic) conditions in which violence would end were articulated</w:t>
      </w:r>
      <w:r w:rsidR="00B40211">
        <w:rPr>
          <w:rFonts w:ascii="Times New Roman" w:hAnsi="Times New Roman" w:cs="Times New Roman"/>
        </w:rPr>
        <w:t>; as the peace process developed institutions in the 2000s, the frame emphasised the changed conditions as de-legitimising the use of violence now, whilst still claiming that past violence was legitimate; from around 2010 onwards, past violence has, to an extent, become de-glamourised.</w:t>
      </w:r>
      <w:r w:rsidR="006A5615">
        <w:rPr>
          <w:rFonts w:ascii="Times New Roman" w:hAnsi="Times New Roman" w:cs="Times New Roman"/>
        </w:rPr>
        <w:t xml:space="preserve"> The thesis argues </w:t>
      </w:r>
      <w:r w:rsidR="006A5615">
        <w:rPr>
          <w:rFonts w:ascii="Times New Roman" w:hAnsi="Times New Roman" w:cs="Times New Roman"/>
        </w:rPr>
        <w:lastRenderedPageBreak/>
        <w:t>that the first stage was crucial for the Provisional IRA’s disengagement, the second stage was crucial for reducing the risk of recidivism, and the third stage has been important for discouraging the next generation from becoming involved in armed violence. The first two stages will be addressed here.</w:t>
      </w:r>
    </w:p>
    <w:p w14:paraId="29266542" w14:textId="77777777" w:rsidR="00A66A78" w:rsidRDefault="006A5615" w:rsidP="00B57C7F">
      <w:pPr>
        <w:spacing w:line="360" w:lineRule="auto"/>
        <w:ind w:firstLine="720"/>
        <w:jc w:val="both"/>
        <w:rPr>
          <w:rFonts w:ascii="Times New Roman" w:hAnsi="Times New Roman" w:cs="Times New Roman"/>
        </w:rPr>
      </w:pPr>
      <w:r>
        <w:rPr>
          <w:rFonts w:ascii="Times New Roman" w:hAnsi="Times New Roman" w:cs="Times New Roman"/>
        </w:rPr>
        <w:t xml:space="preserve">The leadership were able to construct this frame by reconstructing armed struggle as a tactic and amplifying the grievances of the 1960s to establish a new set of conditions for which armed struggle should be judged against – rather than, say, the need for a united Ireland. The successful resonance of the disengagement frame was because of three intertwined reasons: narrative fidelity; credibility; and linkages. The disengagement frame maintained narrative fidelity because much of the generation who had joined the Provisional IRA in the late 1960s onwards had been motivated by the conditions that gave rise to the civil rights movement. While the older generation had fused these grievances with a Republican frame – emphasising armed struggle against the British presence – the latent difference provided a bridge to a disengagement frame based on those conditions, thus allowing it to question the utility of the armed struggle. The establishment of a generational hegemony in the group, followed by the older generation and its supporters leaving in 1986, helped to establish a degree of congruence, but it also provided the leadership with linkages to diffuse the disengagement frame. </w:t>
      </w:r>
    </w:p>
    <w:p w14:paraId="134F7AF3" w14:textId="4107533E" w:rsidR="006A5615" w:rsidRDefault="006A5615" w:rsidP="00B57C7F">
      <w:pPr>
        <w:spacing w:line="360" w:lineRule="auto"/>
        <w:ind w:firstLine="720"/>
        <w:jc w:val="both"/>
        <w:rPr>
          <w:rFonts w:ascii="Times New Roman" w:hAnsi="Times New Roman" w:cs="Times New Roman"/>
        </w:rPr>
      </w:pPr>
      <w:r>
        <w:rPr>
          <w:rFonts w:ascii="Times New Roman" w:hAnsi="Times New Roman" w:cs="Times New Roman"/>
        </w:rPr>
        <w:t xml:space="preserve">The organisational restructuring had put the leadership in a stronger position of control, in contrast to the 1975 disengagement, and the structure of prisons aided this control, which would also provide credibility to the process. Intense discussions and debates between members helped to construct a credible frame which could bring along the majority of its members, referred to as ‘rubber-band diplomacy’. Prisoners, mid-ranking leaders, and external figures were utilised to provide credibility to the frame too. The linkages by which the frame was diffused were also utilised by the leadership to guide the direction of discussions. Mid-ranking figures in favour of the disengagement process would be sent in to other areas to challenge commanders opposed to the process, personal ties could be used to help bring along people not entirely convinced of the direction, and there are some claims that interaction was managed in a way to marginalise dissenting voices. Finally, the manner in which the process developed in stages, and the flexible nature of the frame, also helped to marginalise dissenting voices or counter-frames: members who could </w:t>
      </w:r>
      <w:r>
        <w:rPr>
          <w:rFonts w:ascii="Times New Roman" w:hAnsi="Times New Roman" w:cs="Times New Roman"/>
        </w:rPr>
        <w:lastRenderedPageBreak/>
        <w:t xml:space="preserve">not accept the process at least accepted that the tactical opportunities for an armed struggle no longer existed.  </w:t>
      </w:r>
    </w:p>
    <w:p w14:paraId="6B2C687C" w14:textId="7C481DDC" w:rsidR="006A5615" w:rsidRDefault="006A5615" w:rsidP="00B57C7F">
      <w:pPr>
        <w:spacing w:line="360" w:lineRule="auto"/>
        <w:ind w:firstLine="720"/>
        <w:jc w:val="both"/>
        <w:rPr>
          <w:rFonts w:ascii="Times New Roman" w:hAnsi="Times New Roman" w:cs="Times New Roman"/>
        </w:rPr>
      </w:pPr>
      <w:r>
        <w:rPr>
          <w:rFonts w:ascii="Times New Roman" w:hAnsi="Times New Roman" w:cs="Times New Roman"/>
          <w:noProof/>
        </w:rPr>
        <w:t>The Provisional IRA’s attempt to diffuse the disengagement frame was successful in terms of resonance, and this can account for the reduced risk of recidivism – thus, attitudinal change is important, not behavioural constraint as has been suggested</w:t>
      </w:r>
      <w:r w:rsidR="008E0806">
        <w:rPr>
          <w:rFonts w:ascii="Times New Roman" w:hAnsi="Times New Roman" w:cs="Times New Roman"/>
          <w:noProof/>
        </w:rPr>
        <w:t>,</w:t>
      </w:r>
      <w:r>
        <w:rPr>
          <w:rStyle w:val="FootnoteReference"/>
          <w:rFonts w:ascii="Times New Roman" w:hAnsi="Times New Roman" w:cs="Times New Roman"/>
          <w:noProof/>
        </w:rPr>
        <w:footnoteReference w:id="643"/>
      </w:r>
      <w:r>
        <w:rPr>
          <w:rFonts w:ascii="Times New Roman" w:hAnsi="Times New Roman" w:cs="Times New Roman"/>
          <w:noProof/>
        </w:rPr>
        <w:t xml:space="preserve"> and this ocurred without the need for ‘genuine de-radicalisation’. The thesis argues that, ironically, if the Provisional IRA’s disengagement frame was underpinned by unconditional de-radicalisation, the disengagement process would have failed and the risk of recidivism would have been much greater, as it would have had no credibility among large swathes of the group. Furthermore, to describe the process as tactical disengagement underplays the substantial attitudinal change that has occurred in the movement and the extent the frame works to de-legitimise violence in the current conditions. The fact that it is based on conditionality does not detract from the genuine attitudinal change that has occurred and as the conditionality is based on structural change in the political system there is a degree of durability that is far greater than what may occur even in cases of unconditional de-radicalisation. The Provisional IRA, in effect, has transferred the risk of recidivism to the structural conditions, and its members are not waiting for opportunities to return to violence as the concept of tactical disengagement would imply.Thus, through the thesis’ original application </w:t>
      </w:r>
      <w:r w:rsidR="00160215">
        <w:rPr>
          <w:rFonts w:ascii="Times New Roman" w:hAnsi="Times New Roman" w:cs="Times New Roman"/>
          <w:noProof/>
        </w:rPr>
        <w:t xml:space="preserve">of a </w:t>
      </w:r>
      <w:r>
        <w:rPr>
          <w:rFonts w:ascii="Times New Roman" w:hAnsi="Times New Roman" w:cs="Times New Roman"/>
          <w:noProof/>
        </w:rPr>
        <w:t xml:space="preserve">frames analysis to explain disengagement, it has shown how a group constructs and diffuses the arguments for leaving terrorism behind and what ensures this message resonates. The thesis’ conclusions contribute to academic literature on the topic by accounting for the </w:t>
      </w:r>
      <w:r w:rsidR="00993459">
        <w:rPr>
          <w:rFonts w:ascii="Times New Roman" w:hAnsi="Times New Roman" w:cs="Times New Roman"/>
          <w:noProof/>
        </w:rPr>
        <w:t xml:space="preserve">disengagement </w:t>
      </w:r>
      <w:r>
        <w:rPr>
          <w:rFonts w:ascii="Times New Roman" w:hAnsi="Times New Roman" w:cs="Times New Roman"/>
          <w:noProof/>
        </w:rPr>
        <w:t xml:space="preserve">process that exists alongside repression and negotiations. </w:t>
      </w:r>
    </w:p>
    <w:p w14:paraId="21B13D55" w14:textId="77777777" w:rsidR="00695607" w:rsidRDefault="00695607" w:rsidP="00B57C7F">
      <w:pPr>
        <w:spacing w:line="360" w:lineRule="auto"/>
        <w:ind w:firstLine="720"/>
        <w:jc w:val="both"/>
        <w:rPr>
          <w:rFonts w:ascii="Times New Roman" w:hAnsi="Times New Roman" w:cs="Times New Roman"/>
        </w:rPr>
      </w:pPr>
    </w:p>
    <w:p w14:paraId="278AA917" w14:textId="77777777" w:rsidR="00C7332A" w:rsidRPr="00C7332A" w:rsidRDefault="00C7332A" w:rsidP="00B57C7F">
      <w:pPr>
        <w:pStyle w:val="Heading4"/>
        <w:spacing w:before="120" w:line="360" w:lineRule="auto"/>
      </w:pPr>
      <w:bookmarkStart w:id="78" w:name="_Toc389208860"/>
      <w:r w:rsidRPr="00C7332A">
        <w:t>How do social movement terrorism campaigns end and reduce the risk of recidivism?</w:t>
      </w:r>
      <w:bookmarkEnd w:id="78"/>
    </w:p>
    <w:p w14:paraId="0D85AE93" w14:textId="2BAA0347" w:rsidR="00CB318A" w:rsidRDefault="000449D3" w:rsidP="00B57C7F">
      <w:pPr>
        <w:spacing w:line="360" w:lineRule="auto"/>
        <w:ind w:firstLine="720"/>
        <w:jc w:val="both"/>
        <w:rPr>
          <w:rFonts w:ascii="Times New Roman" w:hAnsi="Times New Roman" w:cs="Times New Roman"/>
        </w:rPr>
      </w:pPr>
      <w:r>
        <w:rPr>
          <w:rFonts w:ascii="Times New Roman" w:hAnsi="Times New Roman" w:cs="Times New Roman"/>
        </w:rPr>
        <w:t>Secondly</w:t>
      </w:r>
      <w:r w:rsidR="00C476EA">
        <w:rPr>
          <w:rFonts w:ascii="Times New Roman" w:hAnsi="Times New Roman" w:cs="Times New Roman"/>
        </w:rPr>
        <w:t>, the thesis built upon the observations by Crenshaw, Cronin and Gvineria that the conceptualisation of terrorism ending is difficult to pin-point because of the risk of recidivism and that other actors in a s</w:t>
      </w:r>
      <w:r w:rsidR="00154573">
        <w:rPr>
          <w:rFonts w:ascii="Times New Roman" w:hAnsi="Times New Roman" w:cs="Times New Roman"/>
        </w:rPr>
        <w:t>ocial movement</w:t>
      </w:r>
      <w:r w:rsidR="00C476EA">
        <w:rPr>
          <w:rFonts w:ascii="Times New Roman" w:hAnsi="Times New Roman" w:cs="Times New Roman"/>
        </w:rPr>
        <w:t xml:space="preserve"> can continue from where the previous group ended. A number of studies have </w:t>
      </w:r>
      <w:r w:rsidR="00154573">
        <w:rPr>
          <w:rFonts w:ascii="Times New Roman" w:hAnsi="Times New Roman" w:cs="Times New Roman"/>
        </w:rPr>
        <w:t xml:space="preserve">suggested </w:t>
      </w:r>
      <w:r w:rsidR="00C476EA">
        <w:rPr>
          <w:rFonts w:ascii="Times New Roman" w:hAnsi="Times New Roman" w:cs="Times New Roman"/>
        </w:rPr>
        <w:lastRenderedPageBreak/>
        <w:t>that a solution to this problem is a multi-level analysis, which the thesis sought to address through a social movement approach. Rather than analysing terrorism campaigns as international waves of terrorism bound by a similar ideology and the occasional moments of co-operation, a s</w:t>
      </w:r>
      <w:r w:rsidR="00154573">
        <w:rPr>
          <w:rFonts w:ascii="Times New Roman" w:hAnsi="Times New Roman" w:cs="Times New Roman"/>
        </w:rPr>
        <w:t>ocial movement approach analysed</w:t>
      </w:r>
      <w:r w:rsidR="00C476EA">
        <w:rPr>
          <w:rFonts w:ascii="Times New Roman" w:hAnsi="Times New Roman" w:cs="Times New Roman"/>
        </w:rPr>
        <w:t xml:space="preserve"> multiple actors operating in a similar environment, connected together by networks, institutions and identity. In a sense social movements are more </w:t>
      </w:r>
      <w:r w:rsidR="00567E2E">
        <w:rPr>
          <w:rFonts w:ascii="Times New Roman" w:hAnsi="Times New Roman" w:cs="Times New Roman"/>
        </w:rPr>
        <w:t>contained units of analysis than</w:t>
      </w:r>
      <w:r w:rsidR="00C476EA">
        <w:rPr>
          <w:rFonts w:ascii="Times New Roman" w:hAnsi="Times New Roman" w:cs="Times New Roman"/>
        </w:rPr>
        <w:t xml:space="preserve"> waves of terrorism are and more expansive and inclusive than the group level of analysis. The analysis of social movements, in the context of disengagement and de-radicalisation provides a far broader but focused object for analysing how terrorism and political violence ends. Group disengagement can actually lead to a continuation of violence through splintering, militant groups can be dormant in terms of activity </w:t>
      </w:r>
      <w:r w:rsidR="00567E2E">
        <w:rPr>
          <w:rFonts w:ascii="Times New Roman" w:hAnsi="Times New Roman" w:cs="Times New Roman"/>
        </w:rPr>
        <w:t xml:space="preserve">only </w:t>
      </w:r>
      <w:r w:rsidR="00C476EA">
        <w:rPr>
          <w:rFonts w:ascii="Times New Roman" w:hAnsi="Times New Roman" w:cs="Times New Roman"/>
        </w:rPr>
        <w:t xml:space="preserve">to re-emerge later, and all the factors that drive the continuity of violence in a movement remain unclear and vague when using the main perspectives in the literature. Studies into counter-radicalisation </w:t>
      </w:r>
      <w:r w:rsidR="00492764">
        <w:rPr>
          <w:rFonts w:ascii="Times New Roman" w:hAnsi="Times New Roman" w:cs="Times New Roman"/>
        </w:rPr>
        <w:t>have sought to explain how terrorism campaigns can end more broadly by analysing how countering the causes of violence in society can bring an end to violence.</w:t>
      </w:r>
      <w:r w:rsidR="00C92A2F">
        <w:rPr>
          <w:rFonts w:ascii="Times New Roman" w:hAnsi="Times New Roman" w:cs="Times New Roman"/>
        </w:rPr>
        <w:t xml:space="preserve"> Building on this literature, the thesis argues that there are three factors that account for the how campaigns of terrorism and political violence by social movements draw to an end and reduce the risk of it re-emerging: organisational disengagement; de-radicalisation; and structural change. </w:t>
      </w:r>
    </w:p>
    <w:p w14:paraId="5C87015C" w14:textId="7AC111F0" w:rsidR="00C476EA" w:rsidRDefault="007E085F" w:rsidP="00B57C7F">
      <w:pPr>
        <w:spacing w:line="360" w:lineRule="auto"/>
        <w:ind w:firstLine="720"/>
        <w:jc w:val="both"/>
        <w:rPr>
          <w:rFonts w:ascii="Times New Roman" w:hAnsi="Times New Roman" w:cs="Times New Roman"/>
        </w:rPr>
      </w:pPr>
      <w:r>
        <w:rPr>
          <w:rFonts w:ascii="Times New Roman" w:hAnsi="Times New Roman" w:cs="Times New Roman"/>
        </w:rPr>
        <w:t xml:space="preserve">With regard to organisational disengagement, the thesis argues that while terrorism campaigns obviously end once all or more of the groups active </w:t>
      </w:r>
      <w:r w:rsidR="00EC026C">
        <w:rPr>
          <w:rFonts w:ascii="Times New Roman" w:hAnsi="Times New Roman" w:cs="Times New Roman"/>
        </w:rPr>
        <w:t xml:space="preserve">in the movement </w:t>
      </w:r>
      <w:r>
        <w:rPr>
          <w:rFonts w:ascii="Times New Roman" w:hAnsi="Times New Roman" w:cs="Times New Roman"/>
        </w:rPr>
        <w:t>disengage, it finds that its manifestation is not as obvious</w:t>
      </w:r>
      <w:r w:rsidR="00EC026C">
        <w:rPr>
          <w:rFonts w:ascii="Times New Roman" w:hAnsi="Times New Roman" w:cs="Times New Roman"/>
        </w:rPr>
        <w:t>, particularly when other disengagement routes are analysed</w:t>
      </w:r>
      <w:r>
        <w:rPr>
          <w:rFonts w:ascii="Times New Roman" w:hAnsi="Times New Roman" w:cs="Times New Roman"/>
        </w:rPr>
        <w:t>.</w:t>
      </w:r>
      <w:r w:rsidR="00CB318A">
        <w:rPr>
          <w:rFonts w:ascii="Times New Roman" w:hAnsi="Times New Roman" w:cs="Times New Roman"/>
        </w:rPr>
        <w:t xml:space="preserve"> However, the thesis has challenged two assumptions: firstly, DDR does not necessarily reduce the risk of recidivism - in fact, the actual maintenance of an informal </w:t>
      </w:r>
      <w:r w:rsidR="00154573">
        <w:rPr>
          <w:rFonts w:ascii="Times New Roman" w:hAnsi="Times New Roman" w:cs="Times New Roman"/>
        </w:rPr>
        <w:t>network</w:t>
      </w:r>
      <w:r w:rsidR="00CB318A">
        <w:rPr>
          <w:rFonts w:ascii="Times New Roman" w:hAnsi="Times New Roman" w:cs="Times New Roman"/>
        </w:rPr>
        <w:t xml:space="preserve"> can</w:t>
      </w:r>
      <w:r w:rsidR="00EC026C">
        <w:rPr>
          <w:rFonts w:ascii="Times New Roman" w:hAnsi="Times New Roman" w:cs="Times New Roman"/>
        </w:rPr>
        <w:t xml:space="preserve"> be more effective</w:t>
      </w:r>
      <w:r w:rsidR="00CB318A">
        <w:rPr>
          <w:rFonts w:ascii="Times New Roman" w:hAnsi="Times New Roman" w:cs="Times New Roman"/>
        </w:rPr>
        <w:t xml:space="preserve">; secondly, </w:t>
      </w:r>
      <w:r w:rsidR="0030654D">
        <w:rPr>
          <w:rFonts w:ascii="Times New Roman" w:hAnsi="Times New Roman" w:cs="Times New Roman"/>
        </w:rPr>
        <w:t>organisational disengagement can have a domino-effect, whereby a peculiar situation emerges where so-called ex-terrorists become far more effective at countering terrorism than the state can be.</w:t>
      </w:r>
      <w:r w:rsidR="00CB318A">
        <w:rPr>
          <w:rFonts w:ascii="Times New Roman" w:hAnsi="Times New Roman" w:cs="Times New Roman"/>
        </w:rPr>
        <w:t xml:space="preserve"> </w:t>
      </w:r>
      <w:r w:rsidR="0030654D">
        <w:rPr>
          <w:rFonts w:ascii="Times New Roman" w:hAnsi="Times New Roman" w:cs="Times New Roman"/>
        </w:rPr>
        <w:t>On the first point, t</w:t>
      </w:r>
      <w:r>
        <w:rPr>
          <w:rFonts w:ascii="Times New Roman" w:hAnsi="Times New Roman" w:cs="Times New Roman"/>
        </w:rPr>
        <w:t xml:space="preserve">he Provisional IRA and other militant groups have actually maintained much of their organisational structure, whether formally or informally, when they disengaged into the social route. Organisational disengagement into a social route was not inevitable </w:t>
      </w:r>
      <w:r w:rsidR="00EC026C">
        <w:rPr>
          <w:rFonts w:ascii="Times New Roman" w:hAnsi="Times New Roman" w:cs="Times New Roman"/>
        </w:rPr>
        <w:t>but it occurred because</w:t>
      </w:r>
      <w:r>
        <w:rPr>
          <w:rFonts w:ascii="Times New Roman" w:hAnsi="Times New Roman" w:cs="Times New Roman"/>
        </w:rPr>
        <w:t xml:space="preserve">: a) it emerged through a reluctance or inability to enter political routes; b) </w:t>
      </w:r>
      <w:r w:rsidR="00CB318A">
        <w:rPr>
          <w:rFonts w:ascii="Times New Roman" w:hAnsi="Times New Roman" w:cs="Times New Roman"/>
        </w:rPr>
        <w:lastRenderedPageBreak/>
        <w:t>interface violence and community pressures drew (former) combatants into a social route;</w:t>
      </w:r>
      <w:r w:rsidR="00EC026C">
        <w:rPr>
          <w:rFonts w:ascii="Times New Roman" w:hAnsi="Times New Roman" w:cs="Times New Roman"/>
        </w:rPr>
        <w:t xml:space="preserve"> c) incentives for organisational disengagement came from a number of non-state sources, circumventing the problems that a lack of state legitimacy had and any negative effects state influence would have on the projects; and d</w:t>
      </w:r>
      <w:r w:rsidR="00CB318A">
        <w:rPr>
          <w:rFonts w:ascii="Times New Roman" w:hAnsi="Times New Roman" w:cs="Times New Roman"/>
        </w:rPr>
        <w:t>) a social route helped to provide role-substitution who wished to maintain active in the movement.</w:t>
      </w:r>
      <w:r w:rsidR="00EC026C">
        <w:rPr>
          <w:rFonts w:ascii="Times New Roman" w:hAnsi="Times New Roman" w:cs="Times New Roman"/>
        </w:rPr>
        <w:t xml:space="preserve"> Thus, the social networks that emerged were crucial in containing and preventing violence at trigger areas which could escalate into more wide-spread violence, thus denying opportunities to dissident Republicans. The nature of the social networks locked the militant groups into a co-operative system which built up trust between them, leading them to follow the Provisional IRA’s example by disarming</w:t>
      </w:r>
      <w:r w:rsidR="000449D3">
        <w:rPr>
          <w:rFonts w:ascii="Times New Roman" w:hAnsi="Times New Roman" w:cs="Times New Roman"/>
        </w:rPr>
        <w:t xml:space="preserve"> and work together to diffuse potentially violent situations</w:t>
      </w:r>
      <w:r w:rsidR="00EC026C">
        <w:rPr>
          <w:rFonts w:ascii="Times New Roman" w:hAnsi="Times New Roman" w:cs="Times New Roman"/>
        </w:rPr>
        <w:t>.</w:t>
      </w:r>
      <w:r w:rsidR="000449D3">
        <w:rPr>
          <w:rFonts w:ascii="Times New Roman" w:hAnsi="Times New Roman" w:cs="Times New Roman"/>
        </w:rPr>
        <w:t xml:space="preserve"> The success of organisational disengagement, however, is contingent on attitudinal support for disengagement. While attitudinal change is discussed below</w:t>
      </w:r>
      <w:r w:rsidR="00695607">
        <w:rPr>
          <w:rFonts w:ascii="Times New Roman" w:hAnsi="Times New Roman" w:cs="Times New Roman"/>
        </w:rPr>
        <w:t xml:space="preserve"> as part of discussions on de-radicalisation</w:t>
      </w:r>
      <w:r w:rsidR="000449D3">
        <w:rPr>
          <w:rFonts w:ascii="Times New Roman" w:hAnsi="Times New Roman" w:cs="Times New Roman"/>
        </w:rPr>
        <w:t>, another element that maintains this support is structural change.</w:t>
      </w:r>
    </w:p>
    <w:p w14:paraId="424C1CF5" w14:textId="77777777" w:rsidR="00567E2E" w:rsidRDefault="00695607" w:rsidP="00B57C7F">
      <w:pPr>
        <w:spacing w:line="360" w:lineRule="auto"/>
        <w:ind w:firstLine="720"/>
        <w:jc w:val="both"/>
        <w:rPr>
          <w:rFonts w:ascii="Times New Roman" w:hAnsi="Times New Roman" w:cs="Times New Roman"/>
        </w:rPr>
      </w:pPr>
      <w:r>
        <w:rPr>
          <w:rFonts w:ascii="Times New Roman" w:hAnsi="Times New Roman" w:cs="Times New Roman"/>
        </w:rPr>
        <w:t xml:space="preserve">Just as terrorism campaigns emerge as a result of real and imagined structures and grievances, terrorism campaigns end once these grievances are addressed, whether there has been actual structural change and/or this change has been perceived. </w:t>
      </w:r>
      <w:r w:rsidR="00B375A3">
        <w:rPr>
          <w:rFonts w:ascii="Times New Roman" w:hAnsi="Times New Roman" w:cs="Times New Roman"/>
        </w:rPr>
        <w:t xml:space="preserve">Secondly, structural change which limits the opportunities for mobilisation can prompt disengagement or at least limit the capacity to engage in violence. The thesis demonstrates how the causes of terrorism and political violence can shape how it ends. The Provisional IRA’s campaign was motivated by social grievances that emerged around the 1960s civil rights movement, and while this was subordinated to the traditional Republican master frame of constitutional grievances, structural change that mostly addressed the former led the Provisional IRA to realise that conditions had changed substantially. </w:t>
      </w:r>
    </w:p>
    <w:p w14:paraId="7CFFCA7A" w14:textId="77777777" w:rsidR="00A35017" w:rsidRDefault="00C80679" w:rsidP="00B57C7F">
      <w:pPr>
        <w:spacing w:line="360" w:lineRule="auto"/>
        <w:ind w:firstLine="720"/>
        <w:jc w:val="both"/>
        <w:rPr>
          <w:rFonts w:ascii="Times New Roman" w:hAnsi="Times New Roman" w:cs="Times New Roman"/>
        </w:rPr>
      </w:pPr>
      <w:r>
        <w:rPr>
          <w:rFonts w:ascii="Times New Roman" w:hAnsi="Times New Roman" w:cs="Times New Roman"/>
        </w:rPr>
        <w:t xml:space="preserve">The new political system that emerged after disengagement has ensured that both communities can address their grievances and vetoing any agreements which are unfavourable to them. Progress on constitutional matters require agreement between both communities but can be argued to provide hope to the aspirations of both Republicans and Loyalists. However, the downside of consociationalism is it incentivises both Republican and Unionist/Loyalist parties in Stormont to represent their own community, particularly more radical voices which the parties seek to placate, thus running the risk of alienating the other community. While the </w:t>
      </w:r>
      <w:r>
        <w:rPr>
          <w:rFonts w:ascii="Times New Roman" w:hAnsi="Times New Roman" w:cs="Times New Roman"/>
        </w:rPr>
        <w:lastRenderedPageBreak/>
        <w:t>institutions and social changes that have emerged are mainly durable, thus helping to legitimise the disengagement process, the contradictions outlined above suggest some uncertainty</w:t>
      </w:r>
      <w:r w:rsidR="00567E2E">
        <w:rPr>
          <w:rFonts w:ascii="Times New Roman" w:hAnsi="Times New Roman" w:cs="Times New Roman"/>
        </w:rPr>
        <w:t xml:space="preserve"> as to</w:t>
      </w:r>
      <w:r>
        <w:rPr>
          <w:rFonts w:ascii="Times New Roman" w:hAnsi="Times New Roman" w:cs="Times New Roman"/>
        </w:rPr>
        <w:t xml:space="preserve"> how effective and stable governments will be. Therefore, when consociationalism has worked, it has helped to strengthen disengagement and reduce the opportunities for militants to engage in violence. However, </w:t>
      </w:r>
      <w:r w:rsidR="00500D75">
        <w:rPr>
          <w:rFonts w:ascii="Times New Roman" w:hAnsi="Times New Roman" w:cs="Times New Roman"/>
        </w:rPr>
        <w:t xml:space="preserve">if the community vetoes continue to be exercised, this may undermine the conditions on which Republicans have justified disengagement and provide an opportunity for dissident Republicans. The thesis argues that it is more likely that Republican confidence in the process will be maintained at the expense of Loyalists who may turn to violence again. Firstly, the increased dissident Republican activity in 2011 may not necessarily be indicative of a long-term return to violence, but simply a final reaction the Provisional IRA’s disengagement which has now been contained. </w:t>
      </w:r>
      <w:r w:rsidR="00500D75" w:rsidRPr="00500D75">
        <w:rPr>
          <w:rFonts w:ascii="Times New Roman" w:hAnsi="Times New Roman" w:cs="Times New Roman"/>
        </w:rPr>
        <w:t xml:space="preserve">The thesis has not been able to explore </w:t>
      </w:r>
      <w:r w:rsidR="00500D75">
        <w:rPr>
          <w:rFonts w:ascii="Times New Roman" w:hAnsi="Times New Roman" w:cs="Times New Roman"/>
        </w:rPr>
        <w:t>the issue of Loyalism</w:t>
      </w:r>
      <w:r w:rsidR="00500D75" w:rsidRPr="00500D75">
        <w:rPr>
          <w:rFonts w:ascii="Times New Roman" w:hAnsi="Times New Roman" w:cs="Times New Roman"/>
        </w:rPr>
        <w:t xml:space="preserve">, however, there has been re-armament of the UVF </w:t>
      </w:r>
      <w:r w:rsidR="00500D75">
        <w:rPr>
          <w:rFonts w:ascii="Times New Roman" w:hAnsi="Times New Roman" w:cs="Times New Roman"/>
        </w:rPr>
        <w:t xml:space="preserve">in East Belfast </w:t>
      </w:r>
      <w:r w:rsidR="00500D75" w:rsidRPr="00500D75">
        <w:rPr>
          <w:rFonts w:ascii="Times New Roman" w:hAnsi="Times New Roman" w:cs="Times New Roman"/>
        </w:rPr>
        <w:t>and Loyalists have tried to replicate the 1960s civil rights movement in which the Provisional IRA emerged.</w:t>
      </w:r>
      <w:r w:rsidR="00500D75">
        <w:rPr>
          <w:rFonts w:ascii="Times New Roman" w:hAnsi="Times New Roman" w:cs="Times New Roman"/>
        </w:rPr>
        <w:t xml:space="preserve"> In conclusion, the thesis argues that consociationalism manages to address </w:t>
      </w:r>
      <w:r w:rsidR="00172145">
        <w:rPr>
          <w:rFonts w:ascii="Times New Roman" w:hAnsi="Times New Roman" w:cs="Times New Roman"/>
        </w:rPr>
        <w:t>many grievances that drive t</w:t>
      </w:r>
      <w:r w:rsidR="00567E2E">
        <w:rPr>
          <w:rFonts w:ascii="Times New Roman" w:hAnsi="Times New Roman" w:cs="Times New Roman"/>
        </w:rPr>
        <w:t>errorism and political violence but</w:t>
      </w:r>
      <w:r w:rsidR="00172145">
        <w:rPr>
          <w:rFonts w:ascii="Times New Roman" w:hAnsi="Times New Roman" w:cs="Times New Roman"/>
        </w:rPr>
        <w:t xml:space="preserve"> its inability to co-opt, contain or placate a strong community sphere can damage its long-term legitimacy. </w:t>
      </w:r>
    </w:p>
    <w:p w14:paraId="7C07A49A" w14:textId="77777777" w:rsidR="000449D3" w:rsidRDefault="00A35017" w:rsidP="00B57C7F">
      <w:pPr>
        <w:spacing w:line="360" w:lineRule="auto"/>
        <w:ind w:firstLine="720"/>
        <w:jc w:val="both"/>
        <w:rPr>
          <w:rFonts w:ascii="Times New Roman" w:hAnsi="Times New Roman" w:cs="Times New Roman"/>
        </w:rPr>
      </w:pPr>
      <w:r>
        <w:rPr>
          <w:rFonts w:ascii="Times New Roman" w:hAnsi="Times New Roman" w:cs="Times New Roman"/>
        </w:rPr>
        <w:t xml:space="preserve">Finally, </w:t>
      </w:r>
      <w:r w:rsidR="00021B0B">
        <w:rPr>
          <w:rFonts w:ascii="Times New Roman" w:hAnsi="Times New Roman" w:cs="Times New Roman"/>
        </w:rPr>
        <w:t xml:space="preserve">the end of terrorism campaigns at the level of social movements necessitates a break in links between the generation engaged in violence and the next generation. </w:t>
      </w:r>
      <w:r w:rsidR="00D37FE1" w:rsidRPr="00616F5E">
        <w:rPr>
          <w:rFonts w:ascii="Times New Roman" w:hAnsi="Times New Roman" w:cs="Times New Roman"/>
        </w:rPr>
        <w:t xml:space="preserve">The thesis </w:t>
      </w:r>
      <w:r w:rsidR="00021B0B">
        <w:rPr>
          <w:rFonts w:ascii="Times New Roman" w:hAnsi="Times New Roman" w:cs="Times New Roman"/>
        </w:rPr>
        <w:t>has focused</w:t>
      </w:r>
      <w:r w:rsidR="00D37FE1" w:rsidRPr="00616F5E">
        <w:rPr>
          <w:rFonts w:ascii="Times New Roman" w:hAnsi="Times New Roman" w:cs="Times New Roman"/>
        </w:rPr>
        <w:t xml:space="preserve"> on the younger generation for the reason that militant campaigns end when the next generation no longer support them.</w:t>
      </w:r>
      <w:r w:rsidR="00D37FE1">
        <w:rPr>
          <w:rFonts w:ascii="Times New Roman" w:hAnsi="Times New Roman" w:cs="Times New Roman"/>
        </w:rPr>
        <w:t xml:space="preserve"> </w:t>
      </w:r>
      <w:r w:rsidR="00D37FE1" w:rsidRPr="00616F5E">
        <w:rPr>
          <w:rFonts w:ascii="Times New Roman" w:hAnsi="Times New Roman" w:cs="Times New Roman"/>
        </w:rPr>
        <w:t>Young people may no longer support the use of armed violence because social transformation has removed the drivers of violence for the previous generation; in such a scenario, a durable change of social structures would indicate a decreased likelihood of violence returning. Conversely, there may have been inadequate social transformation so that young people are supportive of using violence; in this scenario, a change in opportunities may increase the likelihood of violence returning</w:t>
      </w:r>
      <w:r w:rsidR="008E0806">
        <w:rPr>
          <w:rFonts w:ascii="Times New Roman" w:hAnsi="Times New Roman" w:cs="Times New Roman"/>
        </w:rPr>
        <w:t>.</w:t>
      </w:r>
      <w:r w:rsidR="00D37FE1">
        <w:rPr>
          <w:rStyle w:val="FootnoteReference"/>
          <w:rFonts w:ascii="Times New Roman" w:hAnsi="Times New Roman" w:cs="Times New Roman"/>
        </w:rPr>
        <w:footnoteReference w:id="644"/>
      </w:r>
      <w:r w:rsidR="00021B0B">
        <w:rPr>
          <w:rFonts w:ascii="Times New Roman" w:hAnsi="Times New Roman" w:cs="Times New Roman"/>
        </w:rPr>
        <w:t xml:space="preserve"> The thesis has contended that a combination of structural change and attitudinal change can break the link between generations, and as will be shown below, the role of frame diffusion by militants has played a substantial role. </w:t>
      </w:r>
    </w:p>
    <w:p w14:paraId="30FDB0CC" w14:textId="77777777" w:rsidR="008F2E7D" w:rsidRPr="008F2E7D" w:rsidRDefault="008F2E7D" w:rsidP="00B57C7F">
      <w:pPr>
        <w:pStyle w:val="Heading3"/>
        <w:spacing w:before="120" w:line="360" w:lineRule="auto"/>
      </w:pPr>
      <w:bookmarkStart w:id="79" w:name="_Toc389208861"/>
      <w:r w:rsidRPr="008F2E7D">
        <w:lastRenderedPageBreak/>
        <w:t>De-Radicalisation</w:t>
      </w:r>
      <w:bookmarkEnd w:id="79"/>
    </w:p>
    <w:p w14:paraId="0F746013" w14:textId="146E1770" w:rsidR="00323FFB" w:rsidRDefault="003E7F9C" w:rsidP="00B57C7F">
      <w:pPr>
        <w:spacing w:line="360" w:lineRule="auto"/>
        <w:ind w:firstLine="720"/>
        <w:jc w:val="both"/>
        <w:rPr>
          <w:rFonts w:ascii="Times New Roman" w:hAnsi="Times New Roman" w:cs="Times New Roman"/>
        </w:rPr>
      </w:pPr>
      <w:r>
        <w:rPr>
          <w:rFonts w:ascii="Times New Roman" w:hAnsi="Times New Roman" w:cs="Times New Roman"/>
        </w:rPr>
        <w:t xml:space="preserve">The thesis has made a substantial contribution to the literature </w:t>
      </w:r>
      <w:r w:rsidR="00154573">
        <w:rPr>
          <w:rFonts w:ascii="Times New Roman" w:hAnsi="Times New Roman" w:cs="Times New Roman"/>
        </w:rPr>
        <w:t xml:space="preserve">on de-radicalisation </w:t>
      </w:r>
      <w:r>
        <w:rPr>
          <w:rFonts w:ascii="Times New Roman" w:hAnsi="Times New Roman" w:cs="Times New Roman"/>
        </w:rPr>
        <w:t xml:space="preserve">by </w:t>
      </w:r>
      <w:r w:rsidR="00154573">
        <w:rPr>
          <w:rFonts w:ascii="Times New Roman" w:hAnsi="Times New Roman" w:cs="Times New Roman"/>
        </w:rPr>
        <w:t>unpacking the concept</w:t>
      </w:r>
      <w:r>
        <w:rPr>
          <w:rFonts w:ascii="Times New Roman" w:hAnsi="Times New Roman" w:cs="Times New Roman"/>
        </w:rPr>
        <w:t>.</w:t>
      </w:r>
      <w:r w:rsidR="00323FFB">
        <w:rPr>
          <w:rFonts w:ascii="Times New Roman" w:hAnsi="Times New Roman" w:cs="Times New Roman"/>
        </w:rPr>
        <w:t xml:space="preserve"> A substantial problem with the concept has been its weak definition </w:t>
      </w:r>
      <w:r w:rsidR="00567E2E">
        <w:rPr>
          <w:rFonts w:ascii="Times New Roman" w:hAnsi="Times New Roman" w:cs="Times New Roman"/>
        </w:rPr>
        <w:t>over</w:t>
      </w:r>
      <w:r w:rsidR="00323FFB">
        <w:rPr>
          <w:rFonts w:ascii="Times New Roman" w:hAnsi="Times New Roman" w:cs="Times New Roman"/>
        </w:rPr>
        <w:t xml:space="preserve"> what de-radicalisation </w:t>
      </w:r>
      <w:r w:rsidR="00567E2E">
        <w:rPr>
          <w:rFonts w:ascii="Times New Roman" w:hAnsi="Times New Roman" w:cs="Times New Roman"/>
        </w:rPr>
        <w:t xml:space="preserve">actually </w:t>
      </w:r>
      <w:r w:rsidR="00323FFB">
        <w:rPr>
          <w:rFonts w:ascii="Times New Roman" w:hAnsi="Times New Roman" w:cs="Times New Roman"/>
        </w:rPr>
        <w:t xml:space="preserve">is. </w:t>
      </w:r>
      <w:r w:rsidR="00111640">
        <w:rPr>
          <w:rFonts w:ascii="Times New Roman" w:hAnsi="Times New Roman" w:cs="Times New Roman"/>
        </w:rPr>
        <w:t xml:space="preserve">By developing de-radicalisation conceptually, the thesis has been able to explain the role attitudinal change has </w:t>
      </w:r>
      <w:r w:rsidR="00567E2E">
        <w:rPr>
          <w:rFonts w:ascii="Times New Roman" w:hAnsi="Times New Roman" w:cs="Times New Roman"/>
        </w:rPr>
        <w:t xml:space="preserve">had </w:t>
      </w:r>
      <w:r w:rsidR="00111640">
        <w:rPr>
          <w:rFonts w:ascii="Times New Roman" w:hAnsi="Times New Roman" w:cs="Times New Roman"/>
        </w:rPr>
        <w:t>in</w:t>
      </w:r>
      <w:r w:rsidR="00567E2E">
        <w:rPr>
          <w:rFonts w:ascii="Times New Roman" w:hAnsi="Times New Roman" w:cs="Times New Roman"/>
        </w:rPr>
        <w:t xml:space="preserve"> </w:t>
      </w:r>
      <w:r w:rsidR="00111640">
        <w:rPr>
          <w:rFonts w:ascii="Times New Roman" w:hAnsi="Times New Roman" w:cs="Times New Roman"/>
        </w:rPr>
        <w:t>end</w:t>
      </w:r>
      <w:r w:rsidR="00567E2E">
        <w:rPr>
          <w:rFonts w:ascii="Times New Roman" w:hAnsi="Times New Roman" w:cs="Times New Roman"/>
        </w:rPr>
        <w:t>ing</w:t>
      </w:r>
      <w:r w:rsidR="00111640">
        <w:rPr>
          <w:rFonts w:ascii="Times New Roman" w:hAnsi="Times New Roman" w:cs="Times New Roman"/>
        </w:rPr>
        <w:t xml:space="preserve"> social movement campaigns of terrorism and political violence, firstly by reducing the risk of recidivism of militants and secondly by helping to prevent the next generation from engaging in violence.</w:t>
      </w:r>
    </w:p>
    <w:p w14:paraId="7E9663D5" w14:textId="77777777" w:rsidR="00323FFB" w:rsidRDefault="00323FFB" w:rsidP="00B57C7F">
      <w:pPr>
        <w:spacing w:line="360" w:lineRule="auto"/>
        <w:jc w:val="both"/>
        <w:rPr>
          <w:rFonts w:ascii="Times New Roman" w:hAnsi="Times New Roman" w:cs="Times New Roman"/>
        </w:rPr>
      </w:pPr>
    </w:p>
    <w:p w14:paraId="6A80E5A7" w14:textId="77777777" w:rsidR="00323FFB" w:rsidRDefault="00323FFB" w:rsidP="00B57C7F">
      <w:pPr>
        <w:pStyle w:val="Heading4"/>
        <w:spacing w:before="120" w:line="360" w:lineRule="auto"/>
      </w:pPr>
      <w:bookmarkStart w:id="80" w:name="_Toc389208862"/>
      <w:r>
        <w:t xml:space="preserve">What is </w:t>
      </w:r>
      <w:r w:rsidR="00D6603D">
        <w:t>d</w:t>
      </w:r>
      <w:r>
        <w:t>e-</w:t>
      </w:r>
      <w:r w:rsidR="00D6603D">
        <w:t>r</w:t>
      </w:r>
      <w:r>
        <w:t>adicalisation?</w:t>
      </w:r>
      <w:bookmarkEnd w:id="80"/>
    </w:p>
    <w:p w14:paraId="6DF71A7F" w14:textId="22BED5AC" w:rsidR="00A35017" w:rsidRDefault="0077162E" w:rsidP="00B57C7F">
      <w:pPr>
        <w:spacing w:line="360" w:lineRule="auto"/>
        <w:ind w:firstLine="720"/>
        <w:jc w:val="both"/>
        <w:rPr>
          <w:rFonts w:ascii="Times New Roman" w:hAnsi="Times New Roman" w:cs="Times New Roman"/>
        </w:rPr>
      </w:pPr>
      <w:r>
        <w:rPr>
          <w:rFonts w:ascii="Times New Roman" w:hAnsi="Times New Roman" w:cs="Times New Roman"/>
        </w:rPr>
        <w:t xml:space="preserve">The thesis </w:t>
      </w:r>
      <w:r w:rsidR="003E7F9C">
        <w:rPr>
          <w:rFonts w:ascii="Times New Roman" w:hAnsi="Times New Roman" w:cs="Times New Roman"/>
        </w:rPr>
        <w:t xml:space="preserve">has argued that at the heart of the concept is the relationship between attitudes and behaviour, which the literature has not substantially </w:t>
      </w:r>
      <w:r w:rsidR="00567E2E">
        <w:rPr>
          <w:rFonts w:ascii="Times New Roman" w:hAnsi="Times New Roman" w:cs="Times New Roman"/>
        </w:rPr>
        <w:t>explored</w:t>
      </w:r>
      <w:r w:rsidR="003E7F9C">
        <w:rPr>
          <w:rFonts w:ascii="Times New Roman" w:hAnsi="Times New Roman" w:cs="Times New Roman"/>
        </w:rPr>
        <w:t xml:space="preserve">. Contrast this with the psychology literature which has </w:t>
      </w:r>
      <w:r w:rsidR="00567E2E">
        <w:rPr>
          <w:rFonts w:ascii="Times New Roman" w:hAnsi="Times New Roman" w:cs="Times New Roman"/>
        </w:rPr>
        <w:t xml:space="preserve">analysed </w:t>
      </w:r>
      <w:r w:rsidR="003E7F9C">
        <w:rPr>
          <w:rFonts w:ascii="Times New Roman" w:hAnsi="Times New Roman" w:cs="Times New Roman"/>
        </w:rPr>
        <w:t xml:space="preserve">the extent </w:t>
      </w:r>
      <w:r w:rsidR="00567E2E">
        <w:rPr>
          <w:rFonts w:ascii="Times New Roman" w:hAnsi="Times New Roman" w:cs="Times New Roman"/>
        </w:rPr>
        <w:t xml:space="preserve">to which </w:t>
      </w:r>
      <w:r w:rsidR="003E7F9C">
        <w:rPr>
          <w:rFonts w:ascii="Times New Roman" w:hAnsi="Times New Roman" w:cs="Times New Roman"/>
        </w:rPr>
        <w:t>attitudes can predict behaviour, which has moved on substantially from the assumptions that have previously underpinned de-radicalisation. The thesis has used the work of Fishbein and Ajzen to suggest how a change in attitudes might lead to disengagement</w:t>
      </w:r>
      <w:r w:rsidR="005E05B2">
        <w:rPr>
          <w:rFonts w:ascii="Times New Roman" w:hAnsi="Times New Roman" w:cs="Times New Roman"/>
        </w:rPr>
        <w:t xml:space="preserve">, identifying three types of attitude that are important: the perceived utility and attraction of the behaviour; the perceived capacity to ‘perform’ the behaviour; and the perceived norms surrounding the behaviour. The extent of change in each of these attitude types can vary, therefore leading to lesser risk of the behaviour being ‘performed’ if all types are affected – otherwise known as de-radicalisation. While this approach is difficult to apply to terrorism studies, the thesis overcomes this problem by analysing these attitudes as emergent properties: that the combination of these types of attitudes in a group constitutes the frames that are constructed. </w:t>
      </w:r>
      <w:r w:rsidR="00A35017">
        <w:rPr>
          <w:rFonts w:ascii="Times New Roman" w:hAnsi="Times New Roman" w:cs="Times New Roman"/>
        </w:rPr>
        <w:t>Since there is an interplay between attitudes and frames, the thesis makes the case that de-radicalisation and counter-terrorism are connected and should be analysed together.</w:t>
      </w:r>
    </w:p>
    <w:p w14:paraId="3BC06A61" w14:textId="77777777" w:rsidR="003E7F9C" w:rsidRDefault="005E05B2" w:rsidP="00B57C7F">
      <w:pPr>
        <w:spacing w:line="360" w:lineRule="auto"/>
        <w:ind w:firstLine="720"/>
        <w:jc w:val="both"/>
        <w:rPr>
          <w:rFonts w:ascii="Times New Roman" w:hAnsi="Times New Roman" w:cs="Times New Roman"/>
        </w:rPr>
      </w:pPr>
      <w:r>
        <w:rPr>
          <w:rFonts w:ascii="Times New Roman" w:hAnsi="Times New Roman" w:cs="Times New Roman"/>
        </w:rPr>
        <w:t xml:space="preserve">In these frames, </w:t>
      </w:r>
      <w:r w:rsidR="006F3CA3">
        <w:rPr>
          <w:rFonts w:ascii="Times New Roman" w:hAnsi="Times New Roman" w:cs="Times New Roman"/>
        </w:rPr>
        <w:t>it is possible</w:t>
      </w:r>
      <w:r w:rsidR="00567E2E">
        <w:rPr>
          <w:rFonts w:ascii="Times New Roman" w:hAnsi="Times New Roman" w:cs="Times New Roman"/>
        </w:rPr>
        <w:t xml:space="preserve"> to</w:t>
      </w:r>
      <w:r w:rsidR="006F3CA3">
        <w:rPr>
          <w:rFonts w:ascii="Times New Roman" w:hAnsi="Times New Roman" w:cs="Times New Roman"/>
        </w:rPr>
        <w:t xml:space="preserve"> ascertain which types of attitude change are dominant, and therefore, the frames are underpinned by different degrees of de-radicalisation: tactical disengagement (tactical efficacy); conditional de-radicalisation (mixed de-legitimisation); unconditional de-radicalisation (de-glamourisation and/or full de-legitimisation). In addition to providing indications of </w:t>
      </w:r>
      <w:r w:rsidR="006F3CA3">
        <w:rPr>
          <w:rFonts w:ascii="Times New Roman" w:hAnsi="Times New Roman" w:cs="Times New Roman"/>
        </w:rPr>
        <w:lastRenderedPageBreak/>
        <w:t xml:space="preserve">the prevalent attitudes within a movement, the purpose of a frame is to </w:t>
      </w:r>
      <w:r w:rsidR="00A51C46">
        <w:rPr>
          <w:rFonts w:ascii="Times New Roman" w:hAnsi="Times New Roman" w:cs="Times New Roman"/>
        </w:rPr>
        <w:t>resonate with others, to either change their attitudes or to make pre-existing attitudes more coherent to guide the desired behaviour. Frames can shape the attitudes that inform behaviour: they can weaken tactical efficacy by highlighting constraints or other options; they can undermine the attractiveness of the behaviour by de-glamourising it; and they can affect the perception of norms through de-legitimisation. The thesis’ reconceptualisation of de-radicalisation through a frames analysis challenges the literature’s assumption of the relationship between de-radicalisation and recidivism: the risk of recidivism is bound by the extent frames resonate. Therefore a frame underpinned by unconditional de-radicalisation may not resonate and can damage disengagement rather than advancing it. This argument has implications for states who seek to encourage groups to disengage because when states make too big a demand on what type of disengagement frame they expect to observ</w:t>
      </w:r>
      <w:r w:rsidR="00323FFB">
        <w:rPr>
          <w:rFonts w:ascii="Times New Roman" w:hAnsi="Times New Roman" w:cs="Times New Roman"/>
        </w:rPr>
        <w:t>e, disengagement processes can stall, break down and lead to more violence. The thesis’ approach provides a means of analysing different nuances of frames and shows how even accepting frames that may be unpalatable to the state can in time lead to frame transformation.</w:t>
      </w:r>
      <w:r w:rsidR="00A51C46">
        <w:rPr>
          <w:rFonts w:ascii="Times New Roman" w:hAnsi="Times New Roman" w:cs="Times New Roman"/>
        </w:rPr>
        <w:t xml:space="preserve"> </w:t>
      </w:r>
      <w:r w:rsidR="00A35017">
        <w:rPr>
          <w:rFonts w:ascii="Times New Roman" w:hAnsi="Times New Roman" w:cs="Times New Roman"/>
        </w:rPr>
        <w:t xml:space="preserve">Finally, the thesis argued that because disengagement frames have a social impact – that is, if the group is diffusing the frame to a broader audience – which places it in a good position to account for the breakdown in support for terrorism and political violence between generations. </w:t>
      </w:r>
      <w:r w:rsidR="00A51C46">
        <w:rPr>
          <w:rFonts w:ascii="Times New Roman" w:hAnsi="Times New Roman" w:cs="Times New Roman"/>
        </w:rPr>
        <w:t xml:space="preserve">  </w:t>
      </w:r>
    </w:p>
    <w:p w14:paraId="5FBDE8F9" w14:textId="77777777" w:rsidR="003E7F9C" w:rsidRDefault="003E7F9C" w:rsidP="00B57C7F">
      <w:pPr>
        <w:spacing w:line="360" w:lineRule="auto"/>
        <w:jc w:val="both"/>
        <w:rPr>
          <w:rFonts w:ascii="Times New Roman" w:hAnsi="Times New Roman" w:cs="Times New Roman"/>
        </w:rPr>
      </w:pPr>
    </w:p>
    <w:p w14:paraId="139F7B37" w14:textId="77777777" w:rsidR="00111640" w:rsidRDefault="00111640" w:rsidP="00B57C7F">
      <w:pPr>
        <w:pStyle w:val="Heading4"/>
        <w:spacing w:before="120" w:line="360" w:lineRule="auto"/>
      </w:pPr>
      <w:bookmarkStart w:id="81" w:name="_Toc389208863"/>
      <w:r>
        <w:t>What role does de-radicalisation play in the ending of terrorism?</w:t>
      </w:r>
      <w:bookmarkEnd w:id="81"/>
      <w:r>
        <w:t xml:space="preserve"> </w:t>
      </w:r>
    </w:p>
    <w:p w14:paraId="6846AFE4" w14:textId="77777777" w:rsidR="00D6603D" w:rsidRDefault="00111640" w:rsidP="00B57C7F">
      <w:pPr>
        <w:spacing w:line="360" w:lineRule="auto"/>
        <w:ind w:firstLine="720"/>
        <w:jc w:val="both"/>
        <w:rPr>
          <w:rFonts w:ascii="Times New Roman" w:hAnsi="Times New Roman" w:cs="Times New Roman"/>
        </w:rPr>
      </w:pPr>
      <w:r>
        <w:rPr>
          <w:rFonts w:ascii="Times New Roman" w:hAnsi="Times New Roman" w:cs="Times New Roman"/>
        </w:rPr>
        <w:t xml:space="preserve">De-radicalisation plays two roles in the end of terrorism campaigns at the level of social movements: firstly, it can provide motivations </w:t>
      </w:r>
      <w:r w:rsidR="00D6603D">
        <w:rPr>
          <w:rFonts w:ascii="Times New Roman" w:hAnsi="Times New Roman" w:cs="Times New Roman"/>
        </w:rPr>
        <w:t>for disengagement and act as a barrier against recidivism; secondly, de-radicalisation can have a domino-effect on the social movement and can discourage the next generation from becoming involved in terrorism and political violence. However, as de-radicalisation is nuanced and bound by the need to resonate, the different types of de-radicalisation can mean it plays a varied role in the end of terrorism.</w:t>
      </w:r>
    </w:p>
    <w:p w14:paraId="7AD69F88" w14:textId="77777777" w:rsidR="00E93E27" w:rsidRDefault="00E13D26" w:rsidP="00B57C7F">
      <w:pPr>
        <w:spacing w:line="360" w:lineRule="auto"/>
        <w:ind w:firstLine="720"/>
        <w:jc w:val="both"/>
        <w:rPr>
          <w:rFonts w:ascii="Times New Roman" w:hAnsi="Times New Roman" w:cs="Times New Roman"/>
        </w:rPr>
      </w:pPr>
      <w:r>
        <w:rPr>
          <w:rFonts w:ascii="Times New Roman" w:hAnsi="Times New Roman" w:cs="Times New Roman"/>
        </w:rPr>
        <w:t xml:space="preserve">The extent that a movement has undertaken de-radicalisation does affect the risk of recidivism but there are different types of de-radicalisation. In tactical disengagement, the risk of recidivism is linked to the presence of opportunities that </w:t>
      </w:r>
      <w:r>
        <w:rPr>
          <w:rFonts w:ascii="Times New Roman" w:hAnsi="Times New Roman" w:cs="Times New Roman"/>
        </w:rPr>
        <w:lastRenderedPageBreak/>
        <w:t xml:space="preserve">will provide gains – structural constraints can mitigate these but the long history of Republicanism raises questions on how long this can be maintained. </w:t>
      </w:r>
      <w:r w:rsidR="002675CC">
        <w:rPr>
          <w:rFonts w:ascii="Times New Roman" w:hAnsi="Times New Roman" w:cs="Times New Roman"/>
        </w:rPr>
        <w:t>In cases where disengagement is guided by conditional de-radicalisation, a re-emergence of the structural conditions that sparked violence or the break-down in institutions that incentivise disengagement can lead to a risk of recidivism. In cases where disengagement is guided by unconditional de-radicalisation, the actors in question see no reasons that could justify a return to violence as it is viewed as illegitimate regardless of the conditions.</w:t>
      </w:r>
      <w:r>
        <w:rPr>
          <w:rFonts w:ascii="Times New Roman" w:hAnsi="Times New Roman" w:cs="Times New Roman"/>
        </w:rPr>
        <w:t xml:space="preserve"> Much of the literature has characterised the Provisional IRA’s disengagement as being underpinned by reasons of tactical efficacy rather than a de-legitimisation of violence. While this is to an extent accurate, the Provisional IRA’s disengagement frame was substantially different from other IRA disengagement frames which were clearly underpinned by tactical efficacy.</w:t>
      </w:r>
      <w:r w:rsidR="002675CC">
        <w:rPr>
          <w:rFonts w:ascii="Times New Roman" w:hAnsi="Times New Roman" w:cs="Times New Roman"/>
        </w:rPr>
        <w:t xml:space="preserve"> The Provisional IRA recognised a change in conditions from the very beginning of the process and as disengagement brought more and more changes to the conditions, distance grew between the conditions in the past that legitimised violence and the conditions now that de-legitimised violence. As stated above, it was crucial for the Provisional IRA to maintain that past violence was legitimate in order to retain credibility and it used this experience in the armed struggle to drive disengagement. If it were to de-legitimise all violence as has been demanded, the disengagement frame would have not resonated as substantially as it did. While the resonance of disengagement frames and de-radicalisation are bound together, thus requiring ‘rubber-band diplomacy’, disengagement frames can also lead to more attitudinal change. </w:t>
      </w:r>
    </w:p>
    <w:p w14:paraId="16B31F37" w14:textId="77777777" w:rsidR="00E93E27" w:rsidRDefault="002675CC" w:rsidP="00B57C7F">
      <w:pPr>
        <w:spacing w:line="360" w:lineRule="auto"/>
        <w:ind w:firstLine="720"/>
        <w:jc w:val="both"/>
        <w:rPr>
          <w:rFonts w:ascii="Times New Roman" w:hAnsi="Times New Roman" w:cs="Times New Roman"/>
        </w:rPr>
      </w:pPr>
      <w:r>
        <w:rPr>
          <w:rFonts w:ascii="Times New Roman" w:hAnsi="Times New Roman" w:cs="Times New Roman"/>
        </w:rPr>
        <w:t>Consequently, it is possible for a group to gradually progress from one end of the spectrum to the other.</w:t>
      </w:r>
      <w:r w:rsidR="00E93E27">
        <w:rPr>
          <w:rFonts w:ascii="Times New Roman" w:hAnsi="Times New Roman" w:cs="Times New Roman"/>
        </w:rPr>
        <w:t xml:space="preserve"> When a disengaged militant group seeks to diffuse its disengagement frame beyond </w:t>
      </w:r>
      <w:r w:rsidR="00567E2E">
        <w:rPr>
          <w:rFonts w:ascii="Times New Roman" w:hAnsi="Times New Roman" w:cs="Times New Roman"/>
        </w:rPr>
        <w:t>itself</w:t>
      </w:r>
      <w:r w:rsidR="00E93E27">
        <w:rPr>
          <w:rFonts w:ascii="Times New Roman" w:hAnsi="Times New Roman" w:cs="Times New Roman"/>
        </w:rPr>
        <w:t xml:space="preserve">, the development of linkages with the new audience can </w:t>
      </w:r>
      <w:r w:rsidR="00567E2E">
        <w:rPr>
          <w:rFonts w:ascii="Times New Roman" w:hAnsi="Times New Roman" w:cs="Times New Roman"/>
        </w:rPr>
        <w:t>result in</w:t>
      </w:r>
      <w:r w:rsidR="00E93E27">
        <w:rPr>
          <w:rFonts w:ascii="Times New Roman" w:hAnsi="Times New Roman" w:cs="Times New Roman"/>
        </w:rPr>
        <w:t xml:space="preserve"> a feedback loop, which modifies the disengagement frame and members of the militant group. The thesis found this occurred when the disengagement frame was extended to the next generation, whereby they recognised the contradictions in their frame and modified it by trying to de-glamourise prison life and terrorism and political violence. Thus, the thesis corroborates Rabasa et al’s assertion that deeper de-radicalisation can occur after disengagement, and while Ashour is correct to observe that interaction drives this, the thesis is closer to </w:t>
      </w:r>
      <w:r w:rsidR="00E93E27">
        <w:rPr>
          <w:rFonts w:ascii="Times New Roman" w:hAnsi="Times New Roman" w:cs="Times New Roman"/>
        </w:rPr>
        <w:lastRenderedPageBreak/>
        <w:t xml:space="preserve">Malthaner’s perspective that it is through attempts at frame diffusion that the feedback occurs. </w:t>
      </w:r>
      <w:r w:rsidR="00E26108">
        <w:rPr>
          <w:rFonts w:ascii="Times New Roman" w:hAnsi="Times New Roman" w:cs="Times New Roman"/>
        </w:rPr>
        <w:t xml:space="preserve">Furthermore, the development of links between groups in a social movement can provide the linkages that facilitate frame diffusion, therefore reproducing the process which occurred within the Provisional IRA: the result of this in the case of the Provisional IRA was their disengagement had a domino-effect on other groups. Finally, the thesis has focused on how de-radicalisation impacts upon the next generation, which has hitherto been a vastly unexplored area of research.  </w:t>
      </w:r>
      <w:r w:rsidR="00E93E27">
        <w:rPr>
          <w:rFonts w:ascii="Times New Roman" w:hAnsi="Times New Roman" w:cs="Times New Roman"/>
        </w:rPr>
        <w:t xml:space="preserve"> </w:t>
      </w:r>
    </w:p>
    <w:p w14:paraId="70C14FBA" w14:textId="1CD0428F" w:rsidR="00E26108" w:rsidRDefault="00E26108" w:rsidP="00B57C7F">
      <w:pPr>
        <w:spacing w:line="360" w:lineRule="auto"/>
        <w:ind w:firstLine="720"/>
        <w:jc w:val="both"/>
        <w:rPr>
          <w:rFonts w:ascii="Times New Roman" w:hAnsi="Times New Roman" w:cs="Times New Roman"/>
        </w:rPr>
      </w:pPr>
      <w:r>
        <w:rPr>
          <w:rFonts w:ascii="Times New Roman" w:hAnsi="Times New Roman" w:cs="Times New Roman"/>
        </w:rPr>
        <w:t>Ending campaigns of terrorism and political violence requires a break in support to occur between generations. While this did not happen substantially in the 1960s, large swathes of Provisional IRA volunteers have left violence behind and are passing on the justifications for disengagement to the next generation. The type of frame that underpins disengagement, however, matters in terms of what message is being passed on. Frames informed by tactical disengagement – as had been the case in previous IRA disengagement processes – encourage the next generation to look for opportunities to engage and expand the armed struggle. The crucial difference from these failed attempts at disengagement is the Provisional IRA’s disengagement frame was informed by conditional de-radicalisation. However, the next generation either did not comprehend this frame or they were confused by the mixed signals they were receiving as former combatants often glamourised violence. While the disengagement frame was, of course, aimed to justify the Provisional IRA’s end to the armed struggle, t</w:t>
      </w:r>
      <w:r w:rsidR="005210A6">
        <w:rPr>
          <w:rFonts w:ascii="Times New Roman" w:hAnsi="Times New Roman" w:cs="Times New Roman"/>
        </w:rPr>
        <w:t xml:space="preserve">here was </w:t>
      </w:r>
      <w:r>
        <w:rPr>
          <w:rFonts w:ascii="Times New Roman" w:hAnsi="Times New Roman" w:cs="Times New Roman"/>
        </w:rPr>
        <w:t xml:space="preserve">recognition that not only did the frame have to be diffused throughout the social movement, it had to be diffused to the next generation. </w:t>
      </w:r>
    </w:p>
    <w:p w14:paraId="431C8F1A" w14:textId="77777777" w:rsidR="00E26108" w:rsidRDefault="00E26108" w:rsidP="00B57C7F">
      <w:pPr>
        <w:spacing w:line="360" w:lineRule="auto"/>
        <w:ind w:firstLine="720"/>
        <w:jc w:val="both"/>
        <w:rPr>
          <w:rFonts w:ascii="Times New Roman" w:hAnsi="Times New Roman" w:cs="Times New Roman"/>
        </w:rPr>
      </w:pPr>
      <w:r>
        <w:rPr>
          <w:rFonts w:ascii="Times New Roman" w:hAnsi="Times New Roman" w:cs="Times New Roman"/>
        </w:rPr>
        <w:t>The thesis found that the type of networks that the disengagement frame was diffused through influenced how young people interpreted the frame. As may be expected, involvement in political networks and deep interaction with proponents of the disengagement frame provided young people with a strong understanding of the frame. They did not perceive former combatants to be glamourising violence as they could see themselves that it was often to hide the difficult experiences. T</w:t>
      </w:r>
      <w:r w:rsidRPr="00616F5E">
        <w:rPr>
          <w:rFonts w:ascii="Times New Roman" w:hAnsi="Times New Roman" w:cs="Times New Roman"/>
        </w:rPr>
        <w:t>he building of the credibility of former combatants through stories of the past, and through commemorative events honouring Republican dead, provides a basis for the Provisional IRA’s disengagement frame to be diffused and resonate successfully.</w:t>
      </w:r>
      <w:r>
        <w:rPr>
          <w:rFonts w:ascii="Times New Roman" w:hAnsi="Times New Roman" w:cs="Times New Roman"/>
        </w:rPr>
        <w:t xml:space="preserve"> However, young people adopt a different frame insofar as the credibility of former combatants is based on the sacrifices they made in the armed struggle so they don’t </w:t>
      </w:r>
      <w:r>
        <w:rPr>
          <w:rFonts w:ascii="Times New Roman" w:hAnsi="Times New Roman" w:cs="Times New Roman"/>
        </w:rPr>
        <w:lastRenderedPageBreak/>
        <w:t>need to engage in violence under the new social conditions. Therefore, young people are not necessarily legitimising past violence but are instead reframing it as something the previous generation did for them, motivating them to ensure against a return to violence.</w:t>
      </w:r>
    </w:p>
    <w:p w14:paraId="39AAAE17" w14:textId="77777777" w:rsidR="00E26108" w:rsidRDefault="00E26108" w:rsidP="00B57C7F">
      <w:pPr>
        <w:spacing w:line="360" w:lineRule="auto"/>
        <w:ind w:firstLine="720"/>
        <w:jc w:val="both"/>
        <w:rPr>
          <w:rFonts w:ascii="Times New Roman" w:hAnsi="Times New Roman" w:cs="Times New Roman"/>
        </w:rPr>
      </w:pPr>
      <w:r>
        <w:rPr>
          <w:rFonts w:ascii="Times New Roman" w:hAnsi="Times New Roman" w:cs="Times New Roman"/>
        </w:rPr>
        <w:t>Secondly, where there are fewer linkages to young people, and thus less of an ability to diffuse the frame, the informal network of Provisional IRA activists that organisationally disengaged into community activism have sought to engage with young people more. Interaction between former combatants and young people in a school setting has a two-way effect that is salient to disengagement. Firstly, the programme provided young people with a better understanding of the conflict and this increased optimism is central to the conditionality that underpins disengagement. The programme has helped to de-glamourise violence and can deter young people from joining dissident and paramilitary groups by introducing them to credible figures who de-legitimise the violence whilst still maintaining an identity that some young people share. Secondly, the programme has played a part in transforming the Provisional IRA’s disengagement frame by incentivising narratives that de-glamourise violence. Thus, what was underpinned by conditional de-radicalisation has changed, and while past violence is still legitimised, this is qualified in language that seeks to de-glamourise it, much to the same effect that it had on Sinn Fein Youth members. Therefore, when there are sufficient linkages, the Provisional IRA’s disengagement frame resonates with the next generation, albeit changed to suit the new audience, helps to strengthe</w:t>
      </w:r>
      <w:r w:rsidR="00567E2E">
        <w:rPr>
          <w:rFonts w:ascii="Times New Roman" w:hAnsi="Times New Roman" w:cs="Times New Roman"/>
        </w:rPr>
        <w:t>n the support for disengagement</w:t>
      </w:r>
      <w:r>
        <w:rPr>
          <w:rFonts w:ascii="Times New Roman" w:hAnsi="Times New Roman" w:cs="Times New Roman"/>
        </w:rPr>
        <w:t xml:space="preserve"> thus weakening the link between the younger generation and dissident Republicans who may seek to mobilise them.</w:t>
      </w:r>
    </w:p>
    <w:p w14:paraId="63E5736F" w14:textId="77777777" w:rsidR="002675CC" w:rsidRDefault="002675CC" w:rsidP="00B57C7F">
      <w:pPr>
        <w:spacing w:line="360" w:lineRule="auto"/>
        <w:jc w:val="both"/>
        <w:rPr>
          <w:rFonts w:ascii="Times New Roman" w:hAnsi="Times New Roman" w:cs="Times New Roman"/>
        </w:rPr>
      </w:pPr>
    </w:p>
    <w:p w14:paraId="748A434F" w14:textId="77777777" w:rsidR="007417C2" w:rsidRDefault="007417C2" w:rsidP="00B57C7F">
      <w:pPr>
        <w:pStyle w:val="Heading3"/>
        <w:spacing w:before="120" w:line="360" w:lineRule="auto"/>
      </w:pPr>
      <w:bookmarkStart w:id="82" w:name="_Toc389208864"/>
      <w:r>
        <w:t>Implications</w:t>
      </w:r>
      <w:bookmarkEnd w:id="82"/>
      <w:r>
        <w:t xml:space="preserve"> </w:t>
      </w:r>
    </w:p>
    <w:p w14:paraId="774533AB" w14:textId="77777777" w:rsidR="007417C2" w:rsidRDefault="007417C2" w:rsidP="00B57C7F">
      <w:pPr>
        <w:spacing w:line="360" w:lineRule="auto"/>
        <w:jc w:val="both"/>
        <w:rPr>
          <w:rFonts w:ascii="Times New Roman" w:hAnsi="Times New Roman" w:cs="Times New Roman"/>
        </w:rPr>
      </w:pPr>
      <w:r>
        <w:rPr>
          <w:rFonts w:ascii="Times New Roman" w:hAnsi="Times New Roman" w:cs="Times New Roman"/>
        </w:rPr>
        <w:tab/>
        <w:t>The findings of the thesis have a number of broader implications academically and on counter-terrorism:</w:t>
      </w:r>
    </w:p>
    <w:p w14:paraId="34DC1EA2" w14:textId="26C82E73" w:rsidR="00993459" w:rsidRDefault="007417C2" w:rsidP="00B57C7F">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 xml:space="preserve">Academics and policy-makers have been too quick to dismiss the concept of de-radicalisation. Its weakness has been derived from a lack of conceptual clarity rather than attitudinal change not being </w:t>
      </w:r>
      <w:r w:rsidR="0077162E">
        <w:rPr>
          <w:rFonts w:ascii="Times New Roman" w:hAnsi="Times New Roman" w:cs="Times New Roman"/>
        </w:rPr>
        <w:t>prevalent</w:t>
      </w:r>
      <w:r>
        <w:rPr>
          <w:rFonts w:ascii="Times New Roman" w:hAnsi="Times New Roman" w:cs="Times New Roman"/>
        </w:rPr>
        <w:t xml:space="preserve">. While the Provisional IRA’s disengagement was largely a self-managed exercise, there </w:t>
      </w:r>
      <w:r>
        <w:rPr>
          <w:rFonts w:ascii="Times New Roman" w:hAnsi="Times New Roman" w:cs="Times New Roman"/>
        </w:rPr>
        <w:lastRenderedPageBreak/>
        <w:t xml:space="preserve">is a role for the state in being able to correctly assess which type of frame underpins this process to facilitate ‘rubber-band diplomacy’, otherwise disengagement will not lead to an end to terrorism in the long-term. </w:t>
      </w:r>
      <w:r w:rsidR="00567E2E">
        <w:rPr>
          <w:rFonts w:ascii="Times New Roman" w:hAnsi="Times New Roman" w:cs="Times New Roman"/>
        </w:rPr>
        <w:t>Furthermore, in the short-term governments</w:t>
      </w:r>
      <w:r>
        <w:rPr>
          <w:rFonts w:ascii="Times New Roman" w:hAnsi="Times New Roman" w:cs="Times New Roman"/>
        </w:rPr>
        <w:t xml:space="preserve"> should be willing to accept that militants will continue to legitimise violence, although preferably this will be conditional and not within the state in question. Groups will also continue to glamourise violence but this is to reduce the risk of recidivism rather than an indication that they are not genuinely committed. Encouraging groups to diffuse their disengagement frame to other audie</w:t>
      </w:r>
      <w:r w:rsidR="00567E2E">
        <w:rPr>
          <w:rFonts w:ascii="Times New Roman" w:hAnsi="Times New Roman" w:cs="Times New Roman"/>
        </w:rPr>
        <w:t>nces, particularly young people</w:t>
      </w:r>
      <w:r>
        <w:rPr>
          <w:rFonts w:ascii="Times New Roman" w:hAnsi="Times New Roman" w:cs="Times New Roman"/>
        </w:rPr>
        <w:t xml:space="preserve"> help</w:t>
      </w:r>
      <w:r w:rsidR="00567E2E">
        <w:rPr>
          <w:rFonts w:ascii="Times New Roman" w:hAnsi="Times New Roman" w:cs="Times New Roman"/>
        </w:rPr>
        <w:t>s</w:t>
      </w:r>
      <w:r>
        <w:rPr>
          <w:rFonts w:ascii="Times New Roman" w:hAnsi="Times New Roman" w:cs="Times New Roman"/>
        </w:rPr>
        <w:t xml:space="preserve"> to transform the need for them to glamourise violence. </w:t>
      </w:r>
    </w:p>
    <w:p w14:paraId="7B8FFBE6" w14:textId="77777777" w:rsidR="007417C2" w:rsidRDefault="007417C2" w:rsidP="00B57C7F">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 xml:space="preserve"> </w:t>
      </w:r>
      <w:r w:rsidR="00993459">
        <w:rPr>
          <w:rFonts w:ascii="Times New Roman" w:hAnsi="Times New Roman" w:cs="Times New Roman"/>
          <w:noProof/>
        </w:rPr>
        <w:t>A decapitation policy against groups, for example in Afghanistan against the Taliban and in Palestine against Hamas may be counter-productive. A network of high-ranking and mid-ranking leaders who have a shared experience of the conflict and have the time to establish generational hegemony in the organisation provides strong foundations for disengagement in the long-term. The network will most likely have experienced a change in attitudes toward violence in response to opportunities and repression, and should they begin to consider another course of action, they are in a stronger position to implement disengagement. While the nature of this disengagement may be tactical, the case of the Provisional IRA demonstrates how the underpinnings of the frame can develop into something more substantial, durable, and something more palatable to the integrating state. Targetting the younger generation can help to reinforce this generational hegemony, yet the main caveat would be that this strategy would only be applicable when the younger generation do not constitute a large proportion of the movement: internment in the 1960s radicalised the younger generation whilst the changing structure of the Provisional IRA ensured that incarcerated younger members were subordinate to the older generation, especially in prisons.</w:t>
      </w:r>
    </w:p>
    <w:p w14:paraId="5DBF9898" w14:textId="77777777" w:rsidR="00993459" w:rsidRDefault="00993459" w:rsidP="00B57C7F">
      <w:pPr>
        <w:pStyle w:val="ListParagraph"/>
        <w:numPr>
          <w:ilvl w:val="0"/>
          <w:numId w:val="19"/>
        </w:numPr>
        <w:spacing w:line="360" w:lineRule="auto"/>
        <w:jc w:val="both"/>
        <w:rPr>
          <w:rFonts w:ascii="Times New Roman" w:hAnsi="Times New Roman" w:cs="Times New Roman"/>
        </w:rPr>
      </w:pPr>
      <w:r>
        <w:rPr>
          <w:rFonts w:ascii="Times New Roman" w:hAnsi="Times New Roman" w:cs="Times New Roman"/>
        </w:rPr>
        <w:t xml:space="preserve">Schools remain a vastly under-researched site for de-radicalisation and counter-radicalisation, and there is a shift among policy-makers to engaging with schools as part of a counter-terrorism strategy. Schools act as a useful site because they provide linkages to young people who may be out of reach by using other types of engagement such as youth centres. The thesis has </w:t>
      </w:r>
      <w:r>
        <w:rPr>
          <w:rFonts w:ascii="Times New Roman" w:hAnsi="Times New Roman" w:cs="Times New Roman"/>
        </w:rPr>
        <w:lastRenderedPageBreak/>
        <w:t xml:space="preserve">shown that carefully managed projects involving former combatants can act as credible voices to discourage young people from engaging in violence where state narratives would not resonate. </w:t>
      </w:r>
    </w:p>
    <w:p w14:paraId="1A4DEABE" w14:textId="77777777" w:rsidR="00AE1CB9" w:rsidRDefault="00AE1CB9" w:rsidP="00B57C7F">
      <w:pPr>
        <w:pStyle w:val="ListParagraph"/>
        <w:spacing w:line="360" w:lineRule="auto"/>
        <w:jc w:val="both"/>
        <w:rPr>
          <w:rFonts w:ascii="Times New Roman" w:hAnsi="Times New Roman" w:cs="Times New Roman"/>
        </w:rPr>
      </w:pPr>
    </w:p>
    <w:p w14:paraId="3A33479A" w14:textId="6D9F8E5A" w:rsidR="00993459" w:rsidRPr="00993459" w:rsidRDefault="00A976B1" w:rsidP="00B57C7F">
      <w:pPr>
        <w:spacing w:line="360" w:lineRule="auto"/>
        <w:ind w:firstLine="360"/>
        <w:jc w:val="both"/>
        <w:rPr>
          <w:rFonts w:ascii="Times New Roman" w:hAnsi="Times New Roman" w:cs="Times New Roman"/>
        </w:rPr>
      </w:pPr>
      <w:r>
        <w:rPr>
          <w:rFonts w:ascii="Times New Roman" w:hAnsi="Times New Roman" w:cs="Times New Roman"/>
        </w:rPr>
        <w:t>To conclude, the Provisional IRA’s disengagement has been markedly different from past attempts, meaning there is an opportunity for the Irish Republican movement to move further away from violence in the near future. The thesis has demonstrated that social movement disengagement requires a degree of pragmatism and, instead of expecting repentance and opposition to all forms of violence, successful disengagement will emerge from a grounded approach which recognises that violence and legitimacy are contested concepts. At the heart of disengagement processes is the effort to construct shared understandings of what these entail and to ensure they produce an end to terrorism, an holistic approach that integrates organisational disengagement, attitudinal change, and political/structural change, can move the Irish Republican movement away from armed violence.</w:t>
      </w:r>
    </w:p>
    <w:p w14:paraId="5C4EAAD9" w14:textId="77777777" w:rsidR="00D6603D" w:rsidRDefault="00E13D26" w:rsidP="00B57C7F">
      <w:pPr>
        <w:spacing w:line="360" w:lineRule="auto"/>
        <w:ind w:firstLine="720"/>
        <w:jc w:val="both"/>
        <w:rPr>
          <w:rFonts w:ascii="Times New Roman" w:hAnsi="Times New Roman" w:cs="Times New Roman"/>
        </w:rPr>
      </w:pPr>
      <w:r>
        <w:rPr>
          <w:rFonts w:ascii="Times New Roman" w:hAnsi="Times New Roman" w:cs="Times New Roman"/>
        </w:rPr>
        <w:t xml:space="preserve">  </w:t>
      </w:r>
    </w:p>
    <w:p w14:paraId="50FD20BF" w14:textId="77777777" w:rsidR="00C7332A" w:rsidRDefault="00C7332A" w:rsidP="00B57C7F">
      <w:pPr>
        <w:spacing w:line="360" w:lineRule="auto"/>
        <w:ind w:firstLine="720"/>
        <w:jc w:val="both"/>
        <w:rPr>
          <w:rFonts w:ascii="Times New Roman" w:hAnsi="Times New Roman" w:cs="Times New Roman"/>
        </w:rPr>
      </w:pPr>
    </w:p>
    <w:p w14:paraId="19DE1808" w14:textId="77777777" w:rsidR="00E354CC" w:rsidRDefault="00E354CC" w:rsidP="00B57C7F">
      <w:pPr>
        <w:spacing w:line="360" w:lineRule="auto"/>
        <w:ind w:firstLine="720"/>
        <w:jc w:val="both"/>
        <w:rPr>
          <w:rFonts w:ascii="Times New Roman" w:hAnsi="Times New Roman" w:cs="Times New Roman"/>
        </w:rPr>
      </w:pPr>
    </w:p>
    <w:p w14:paraId="784C99CF" w14:textId="77777777" w:rsidR="009464BD" w:rsidRDefault="009464BD" w:rsidP="00B57C7F">
      <w:pPr>
        <w:spacing w:line="360" w:lineRule="auto"/>
        <w:jc w:val="both"/>
        <w:rPr>
          <w:rFonts w:ascii="Times New Roman" w:hAnsi="Times New Roman" w:cs="Times New Roman"/>
        </w:rPr>
      </w:pPr>
      <w:r>
        <w:rPr>
          <w:rFonts w:ascii="Times New Roman" w:hAnsi="Times New Roman" w:cs="Times New Roman"/>
        </w:rPr>
        <w:tab/>
      </w:r>
    </w:p>
    <w:p w14:paraId="2DB58F2A" w14:textId="77777777" w:rsidR="00D41B62" w:rsidRDefault="00D41B62" w:rsidP="00B57C7F">
      <w:pPr>
        <w:spacing w:line="360" w:lineRule="auto"/>
        <w:ind w:firstLine="720"/>
        <w:jc w:val="both"/>
        <w:rPr>
          <w:rFonts w:ascii="Times New Roman" w:hAnsi="Times New Roman" w:cs="Times New Roman"/>
        </w:rPr>
      </w:pPr>
    </w:p>
    <w:p w14:paraId="29420691" w14:textId="77777777" w:rsidR="00D41B62" w:rsidRDefault="00D41B62" w:rsidP="00B57C7F">
      <w:pPr>
        <w:spacing w:line="360" w:lineRule="auto"/>
        <w:ind w:firstLine="720"/>
        <w:jc w:val="both"/>
        <w:rPr>
          <w:rFonts w:ascii="Times New Roman" w:hAnsi="Times New Roman" w:cs="Times New Roman"/>
        </w:rPr>
      </w:pPr>
    </w:p>
    <w:p w14:paraId="6502A704" w14:textId="77777777" w:rsidR="00D41B62" w:rsidRDefault="00D41B62" w:rsidP="00B57C7F">
      <w:pPr>
        <w:spacing w:line="360" w:lineRule="auto"/>
        <w:ind w:firstLine="720"/>
        <w:jc w:val="both"/>
        <w:rPr>
          <w:rFonts w:ascii="Times New Roman" w:hAnsi="Times New Roman" w:cs="Times New Roman"/>
        </w:rPr>
      </w:pPr>
    </w:p>
    <w:p w14:paraId="31CE2317" w14:textId="77777777" w:rsidR="00D41B62" w:rsidRDefault="00D41B62" w:rsidP="00B57C7F">
      <w:pPr>
        <w:spacing w:line="360" w:lineRule="auto"/>
        <w:ind w:firstLine="720"/>
        <w:jc w:val="both"/>
        <w:rPr>
          <w:rFonts w:ascii="Times New Roman" w:hAnsi="Times New Roman" w:cs="Times New Roman"/>
        </w:rPr>
      </w:pPr>
    </w:p>
    <w:p w14:paraId="4C24ECA4" w14:textId="77777777" w:rsidR="00D41B62" w:rsidRDefault="00D41B62" w:rsidP="00B57C7F">
      <w:pPr>
        <w:spacing w:line="360" w:lineRule="auto"/>
        <w:ind w:firstLine="720"/>
        <w:jc w:val="both"/>
        <w:rPr>
          <w:rFonts w:ascii="Times New Roman" w:hAnsi="Times New Roman" w:cs="Times New Roman"/>
        </w:rPr>
      </w:pPr>
    </w:p>
    <w:p w14:paraId="3F972DC3" w14:textId="77777777" w:rsidR="00D41B62" w:rsidRDefault="00D41B62" w:rsidP="00B57C7F">
      <w:pPr>
        <w:spacing w:line="360" w:lineRule="auto"/>
        <w:ind w:firstLine="720"/>
        <w:jc w:val="both"/>
        <w:rPr>
          <w:rFonts w:ascii="Times New Roman" w:hAnsi="Times New Roman" w:cs="Times New Roman"/>
        </w:rPr>
      </w:pPr>
    </w:p>
    <w:p w14:paraId="25C3780B" w14:textId="77777777" w:rsidR="00D41B62" w:rsidRDefault="00D41B62" w:rsidP="00B57C7F">
      <w:pPr>
        <w:spacing w:line="360" w:lineRule="auto"/>
        <w:ind w:firstLine="720"/>
        <w:jc w:val="both"/>
        <w:rPr>
          <w:rFonts w:ascii="Times New Roman" w:hAnsi="Times New Roman" w:cs="Times New Roman"/>
        </w:rPr>
      </w:pPr>
    </w:p>
    <w:p w14:paraId="56E10E8B" w14:textId="77777777" w:rsidR="00D41B62" w:rsidRDefault="00D41B62" w:rsidP="00B57C7F">
      <w:pPr>
        <w:spacing w:line="360" w:lineRule="auto"/>
        <w:ind w:firstLine="720"/>
        <w:jc w:val="both"/>
        <w:rPr>
          <w:rFonts w:ascii="Times New Roman" w:hAnsi="Times New Roman" w:cs="Times New Roman"/>
        </w:rPr>
      </w:pPr>
    </w:p>
    <w:p w14:paraId="12F7CE74" w14:textId="77777777" w:rsidR="00D41B62" w:rsidRDefault="00D41B62" w:rsidP="00B57C7F">
      <w:pPr>
        <w:spacing w:line="360" w:lineRule="auto"/>
        <w:ind w:firstLine="720"/>
        <w:jc w:val="both"/>
        <w:rPr>
          <w:rFonts w:ascii="Times New Roman" w:hAnsi="Times New Roman" w:cs="Times New Roman"/>
        </w:rPr>
      </w:pPr>
    </w:p>
    <w:p w14:paraId="4425E6CF" w14:textId="73817EA1" w:rsidR="00D41B62" w:rsidRPr="00B30496" w:rsidRDefault="009E3DF5" w:rsidP="00B57C7F">
      <w:pPr>
        <w:pStyle w:val="Heading2"/>
        <w:spacing w:before="120" w:line="360" w:lineRule="auto"/>
      </w:pPr>
      <w:bookmarkStart w:id="83" w:name="_Toc389208865"/>
      <w:r w:rsidRPr="00B30496">
        <w:lastRenderedPageBreak/>
        <w:t>BIBLIOGRAPHY</w:t>
      </w:r>
      <w:bookmarkEnd w:id="83"/>
    </w:p>
    <w:p w14:paraId="7D1468C4" w14:textId="77777777" w:rsidR="007F3C22" w:rsidRPr="005210A6" w:rsidRDefault="007F3C22" w:rsidP="00B57C7F">
      <w:pPr>
        <w:spacing w:line="360" w:lineRule="auto"/>
        <w:ind w:left="720" w:hanging="720"/>
        <w:rPr>
          <w:rFonts w:ascii="Times New Roman" w:hAnsi="Times New Roman" w:cs="Times New Roman"/>
          <w:b/>
        </w:rPr>
      </w:pPr>
    </w:p>
    <w:p w14:paraId="130411AE" w14:textId="77777777" w:rsidR="007F3C22" w:rsidRPr="005210A6" w:rsidRDefault="007F3C22" w:rsidP="00B57C7F">
      <w:pPr>
        <w:spacing w:line="360" w:lineRule="auto"/>
        <w:ind w:left="720" w:hanging="720"/>
        <w:rPr>
          <w:rFonts w:ascii="Times New Roman" w:hAnsi="Times New Roman" w:cs="Times New Roman"/>
          <w:b/>
          <w:sz w:val="32"/>
          <w:szCs w:val="32"/>
        </w:rPr>
      </w:pPr>
      <w:r w:rsidRPr="005210A6">
        <w:rPr>
          <w:rFonts w:ascii="Times New Roman" w:hAnsi="Times New Roman" w:cs="Times New Roman"/>
          <w:b/>
          <w:sz w:val="32"/>
          <w:szCs w:val="32"/>
        </w:rPr>
        <w:t xml:space="preserve">Interviews </w:t>
      </w:r>
    </w:p>
    <w:p w14:paraId="1E26F809"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32 County Sovereignty Movement Member, Belfast, 15</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5806311B"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Academic/Project Manager, Belfast, 2</w:t>
      </w:r>
      <w:r w:rsidRPr="005210A6">
        <w:rPr>
          <w:rFonts w:ascii="Times New Roman" w:hAnsi="Times New Roman" w:cs="Times New Roman"/>
          <w:vertAlign w:val="superscript"/>
        </w:rPr>
        <w:t>nd</w:t>
      </w:r>
      <w:r w:rsidRPr="005210A6">
        <w:rPr>
          <w:rFonts w:ascii="Times New Roman" w:hAnsi="Times New Roman" w:cs="Times New Roman"/>
        </w:rPr>
        <w:t xml:space="preserve"> September 2013</w:t>
      </w:r>
    </w:p>
    <w:p w14:paraId="0096CFB9"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B, Belfast, 13</w:t>
      </w:r>
      <w:r w:rsidRPr="005210A6">
        <w:rPr>
          <w:rFonts w:ascii="Times New Roman" w:hAnsi="Times New Roman" w:cs="Times New Roman"/>
          <w:vertAlign w:val="superscript"/>
        </w:rPr>
        <w:t>th</w:t>
      </w:r>
      <w:r w:rsidRPr="005210A6">
        <w:rPr>
          <w:rFonts w:ascii="Times New Roman" w:hAnsi="Times New Roman" w:cs="Times New Roman"/>
        </w:rPr>
        <w:t xml:space="preserve"> September 2013</w:t>
      </w:r>
    </w:p>
    <w:p w14:paraId="34ABA9CD"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CA, Belfast, 5</w:t>
      </w:r>
      <w:r w:rsidRPr="005210A6">
        <w:rPr>
          <w:rFonts w:ascii="Times New Roman" w:hAnsi="Times New Roman" w:cs="Times New Roman"/>
          <w:vertAlign w:val="superscript"/>
        </w:rPr>
        <w:t>th</w:t>
      </w:r>
      <w:r w:rsidRPr="005210A6">
        <w:rPr>
          <w:rFonts w:ascii="Times New Roman" w:hAnsi="Times New Roman" w:cs="Times New Roman"/>
        </w:rPr>
        <w:t xml:space="preserve"> September 2013</w:t>
      </w:r>
    </w:p>
    <w:p w14:paraId="389DDCCA"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CH, Belfast, 30</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1B2C0305"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DE, Belfast, 13</w:t>
      </w:r>
      <w:r w:rsidRPr="005210A6">
        <w:rPr>
          <w:rFonts w:ascii="Times New Roman" w:hAnsi="Times New Roman" w:cs="Times New Roman"/>
          <w:vertAlign w:val="superscript"/>
        </w:rPr>
        <w:t xml:space="preserve">th </w:t>
      </w:r>
      <w:r w:rsidRPr="005210A6">
        <w:rPr>
          <w:rFonts w:ascii="Times New Roman" w:hAnsi="Times New Roman" w:cs="Times New Roman"/>
        </w:rPr>
        <w:t>September 2013</w:t>
      </w:r>
    </w:p>
    <w:p w14:paraId="027C9982"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GN, Belfast, 14</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0119B6AB" w14:textId="77777777" w:rsidR="00747C17" w:rsidRPr="005210A6" w:rsidRDefault="00747C17"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JEB, Belfast, 14</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52817891"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J</w:t>
      </w:r>
      <w:r w:rsidR="00747C17" w:rsidRPr="005210A6">
        <w:rPr>
          <w:rFonts w:ascii="Times New Roman" w:hAnsi="Times New Roman" w:cs="Times New Roman"/>
        </w:rPr>
        <w:t>O</w:t>
      </w:r>
      <w:r w:rsidRPr="005210A6">
        <w:rPr>
          <w:rFonts w:ascii="Times New Roman" w:hAnsi="Times New Roman" w:cs="Times New Roman"/>
        </w:rPr>
        <w:t>, Belfast, 12</w:t>
      </w:r>
      <w:r w:rsidRPr="005210A6">
        <w:rPr>
          <w:rFonts w:ascii="Times New Roman" w:hAnsi="Times New Roman" w:cs="Times New Roman"/>
          <w:vertAlign w:val="superscript"/>
        </w:rPr>
        <w:t>th</w:t>
      </w:r>
      <w:r w:rsidRPr="005210A6">
        <w:rPr>
          <w:rFonts w:ascii="Times New Roman" w:hAnsi="Times New Roman" w:cs="Times New Roman"/>
        </w:rPr>
        <w:t xml:space="preserve"> September 2013</w:t>
      </w:r>
    </w:p>
    <w:p w14:paraId="4BFB3739"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JC, Belfast, 14</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7F8269A8"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JD, Belfast, 30</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491C5E12"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Community Worker SA, Belfast, 2</w:t>
      </w:r>
      <w:r w:rsidRPr="005210A6">
        <w:rPr>
          <w:rFonts w:ascii="Times New Roman" w:hAnsi="Times New Roman" w:cs="Times New Roman"/>
          <w:vertAlign w:val="superscript"/>
        </w:rPr>
        <w:t>nd</w:t>
      </w:r>
      <w:r w:rsidRPr="005210A6">
        <w:rPr>
          <w:rFonts w:ascii="Times New Roman" w:hAnsi="Times New Roman" w:cs="Times New Roman"/>
        </w:rPr>
        <w:t xml:space="preserve"> September 2013</w:t>
      </w:r>
    </w:p>
    <w:p w14:paraId="6051C51C"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Irish National Liberation Army member, Belfast, 26</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3C03A494"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Provisional Irish Republican Army member 1, Belfast, 22</w:t>
      </w:r>
      <w:r w:rsidRPr="005210A6">
        <w:rPr>
          <w:rFonts w:ascii="Times New Roman" w:hAnsi="Times New Roman" w:cs="Times New Roman"/>
          <w:vertAlign w:val="superscript"/>
        </w:rPr>
        <w:t>nd</w:t>
      </w:r>
      <w:r w:rsidRPr="005210A6">
        <w:rPr>
          <w:rFonts w:ascii="Times New Roman" w:hAnsi="Times New Roman" w:cs="Times New Roman"/>
        </w:rPr>
        <w:t xml:space="preserve"> August 2013</w:t>
      </w:r>
    </w:p>
    <w:p w14:paraId="72CDA0B2"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Provisional Irish Republican Army member 2, Belfast, 2</w:t>
      </w:r>
      <w:r w:rsidRPr="005210A6">
        <w:rPr>
          <w:rFonts w:ascii="Times New Roman" w:hAnsi="Times New Roman" w:cs="Times New Roman"/>
          <w:vertAlign w:val="superscript"/>
        </w:rPr>
        <w:t>nd</w:t>
      </w:r>
      <w:r w:rsidRPr="005210A6">
        <w:rPr>
          <w:rFonts w:ascii="Times New Roman" w:hAnsi="Times New Roman" w:cs="Times New Roman"/>
        </w:rPr>
        <w:t xml:space="preserve"> September 2013</w:t>
      </w:r>
    </w:p>
    <w:p w14:paraId="559AD22F"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Provisional Irish Republican Army member 3, Belfast, 3</w:t>
      </w:r>
      <w:r w:rsidRPr="005210A6">
        <w:rPr>
          <w:rFonts w:ascii="Times New Roman" w:hAnsi="Times New Roman" w:cs="Times New Roman"/>
          <w:vertAlign w:val="superscript"/>
        </w:rPr>
        <w:t>rd</w:t>
      </w:r>
      <w:r w:rsidRPr="005210A6">
        <w:rPr>
          <w:rFonts w:ascii="Times New Roman" w:hAnsi="Times New Roman" w:cs="Times New Roman"/>
        </w:rPr>
        <w:t xml:space="preserve"> September 2013</w:t>
      </w:r>
    </w:p>
    <w:p w14:paraId="2F7E494A"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Provisional Irish Republican Army member 4, Belfast, 3</w:t>
      </w:r>
      <w:r w:rsidRPr="005210A6">
        <w:rPr>
          <w:rFonts w:ascii="Times New Roman" w:hAnsi="Times New Roman" w:cs="Times New Roman"/>
          <w:vertAlign w:val="superscript"/>
        </w:rPr>
        <w:t>rd</w:t>
      </w:r>
      <w:r w:rsidRPr="005210A6">
        <w:rPr>
          <w:rFonts w:ascii="Times New Roman" w:hAnsi="Times New Roman" w:cs="Times New Roman"/>
        </w:rPr>
        <w:t xml:space="preserve"> September 2013</w:t>
      </w:r>
    </w:p>
    <w:p w14:paraId="1ACE6B29"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Provisional Irish Republican Army member 5, Belfast, 3</w:t>
      </w:r>
      <w:r w:rsidRPr="005210A6">
        <w:rPr>
          <w:rFonts w:ascii="Times New Roman" w:hAnsi="Times New Roman" w:cs="Times New Roman"/>
          <w:vertAlign w:val="superscript"/>
        </w:rPr>
        <w:t>rd</w:t>
      </w:r>
      <w:r w:rsidRPr="005210A6">
        <w:rPr>
          <w:rFonts w:ascii="Times New Roman" w:hAnsi="Times New Roman" w:cs="Times New Roman"/>
        </w:rPr>
        <w:t xml:space="preserve"> September 2013</w:t>
      </w:r>
    </w:p>
    <w:p w14:paraId="7BF1BE1C"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Former Ulster Defence Association Member SW, Belfast, 23</w:t>
      </w:r>
      <w:r w:rsidRPr="005210A6">
        <w:rPr>
          <w:rFonts w:ascii="Times New Roman" w:hAnsi="Times New Roman" w:cs="Times New Roman"/>
          <w:vertAlign w:val="superscript"/>
        </w:rPr>
        <w:t>rd</w:t>
      </w:r>
      <w:r w:rsidRPr="005210A6">
        <w:rPr>
          <w:rFonts w:ascii="Times New Roman" w:hAnsi="Times New Roman" w:cs="Times New Roman"/>
        </w:rPr>
        <w:t xml:space="preserve"> August 2013</w:t>
      </w:r>
    </w:p>
    <w:p w14:paraId="04173D8C"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Home Office Security Official, London, 9</w:t>
      </w:r>
      <w:r w:rsidRPr="005210A6">
        <w:rPr>
          <w:rFonts w:ascii="Times New Roman" w:hAnsi="Times New Roman" w:cs="Times New Roman"/>
          <w:vertAlign w:val="superscript"/>
        </w:rPr>
        <w:t>th</w:t>
      </w:r>
      <w:r w:rsidRPr="005210A6">
        <w:rPr>
          <w:rFonts w:ascii="Times New Roman" w:hAnsi="Times New Roman" w:cs="Times New Roman"/>
        </w:rPr>
        <w:t xml:space="preserve"> August 2013 </w:t>
      </w:r>
    </w:p>
    <w:p w14:paraId="0AA0E3A0" w14:textId="77777777" w:rsidR="00883569" w:rsidRPr="005210A6" w:rsidRDefault="00BE0FF2" w:rsidP="00B57C7F">
      <w:pPr>
        <w:pStyle w:val="NoSpacing"/>
        <w:spacing w:before="120" w:line="360" w:lineRule="auto"/>
        <w:rPr>
          <w:rFonts w:ascii="Times New Roman" w:hAnsi="Times New Roman" w:cs="Times New Roman"/>
        </w:rPr>
      </w:pPr>
      <w:r w:rsidRPr="005210A6">
        <w:rPr>
          <w:rFonts w:ascii="Times New Roman" w:hAnsi="Times New Roman" w:cs="Times New Roman"/>
        </w:rPr>
        <w:t xml:space="preserve">Criminal </w:t>
      </w:r>
      <w:r w:rsidR="00883569" w:rsidRPr="005210A6">
        <w:rPr>
          <w:rFonts w:ascii="Times New Roman" w:hAnsi="Times New Roman" w:cs="Times New Roman"/>
        </w:rPr>
        <w:t>Justice</w:t>
      </w:r>
      <w:r w:rsidRPr="005210A6">
        <w:rPr>
          <w:rFonts w:ascii="Times New Roman" w:hAnsi="Times New Roman" w:cs="Times New Roman"/>
        </w:rPr>
        <w:t xml:space="preserve"> Investigations Northern Ireland</w:t>
      </w:r>
      <w:r w:rsidR="00883569" w:rsidRPr="005210A6">
        <w:rPr>
          <w:rFonts w:ascii="Times New Roman" w:hAnsi="Times New Roman" w:cs="Times New Roman"/>
        </w:rPr>
        <w:t xml:space="preserve"> Official, Belfast, 6</w:t>
      </w:r>
      <w:r w:rsidR="00883569" w:rsidRPr="005210A6">
        <w:rPr>
          <w:rFonts w:ascii="Times New Roman" w:hAnsi="Times New Roman" w:cs="Times New Roman"/>
          <w:vertAlign w:val="superscript"/>
        </w:rPr>
        <w:t>th</w:t>
      </w:r>
      <w:r w:rsidR="00883569" w:rsidRPr="005210A6">
        <w:rPr>
          <w:rFonts w:ascii="Times New Roman" w:hAnsi="Times New Roman" w:cs="Times New Roman"/>
        </w:rPr>
        <w:t xml:space="preserve"> September 2013</w:t>
      </w:r>
    </w:p>
    <w:p w14:paraId="59493AB4"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Northern Ireland Police Official, Belfast, 15</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p w14:paraId="695DF377"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lastRenderedPageBreak/>
        <w:t>Policing Board Representative, Belfast, 11</w:t>
      </w:r>
      <w:r w:rsidRPr="005210A6">
        <w:rPr>
          <w:rFonts w:ascii="Times New Roman" w:hAnsi="Times New Roman" w:cs="Times New Roman"/>
          <w:vertAlign w:val="superscript"/>
        </w:rPr>
        <w:t>th</w:t>
      </w:r>
      <w:r w:rsidRPr="005210A6">
        <w:rPr>
          <w:rFonts w:ascii="Times New Roman" w:hAnsi="Times New Roman" w:cs="Times New Roman"/>
        </w:rPr>
        <w:t xml:space="preserve"> September</w:t>
      </w:r>
    </w:p>
    <w:p w14:paraId="54520188" w14:textId="77777777" w:rsidR="00883569" w:rsidRPr="005210A6" w:rsidRDefault="00883569" w:rsidP="00B57C7F">
      <w:pPr>
        <w:pStyle w:val="NoSpacing"/>
        <w:spacing w:before="120" w:line="360" w:lineRule="auto"/>
        <w:rPr>
          <w:rFonts w:ascii="Times New Roman" w:hAnsi="Times New Roman" w:cs="Times New Roman"/>
        </w:rPr>
      </w:pPr>
      <w:r w:rsidRPr="005210A6">
        <w:rPr>
          <w:rFonts w:ascii="Times New Roman" w:hAnsi="Times New Roman" w:cs="Times New Roman"/>
        </w:rPr>
        <w:t>Sinn Fein Focus Group, Belfast, 11</w:t>
      </w:r>
      <w:r w:rsidRPr="005210A6">
        <w:rPr>
          <w:rFonts w:ascii="Times New Roman" w:hAnsi="Times New Roman" w:cs="Times New Roman"/>
          <w:vertAlign w:val="superscript"/>
        </w:rPr>
        <w:t>th</w:t>
      </w:r>
      <w:r w:rsidRPr="005210A6">
        <w:rPr>
          <w:rFonts w:ascii="Times New Roman" w:hAnsi="Times New Roman" w:cs="Times New Roman"/>
        </w:rPr>
        <w:t xml:space="preserve"> September 2013</w:t>
      </w:r>
    </w:p>
    <w:p w14:paraId="6911AE6C" w14:textId="77777777" w:rsidR="00883569" w:rsidRDefault="00883569" w:rsidP="00B57C7F">
      <w:pPr>
        <w:spacing w:line="360" w:lineRule="auto"/>
        <w:ind w:left="720" w:hanging="720"/>
        <w:rPr>
          <w:rFonts w:ascii="Times New Roman" w:hAnsi="Times New Roman" w:cs="Times New Roman"/>
          <w:b/>
          <w:sz w:val="32"/>
          <w:szCs w:val="32"/>
        </w:rPr>
      </w:pPr>
    </w:p>
    <w:p w14:paraId="167F6DFF" w14:textId="31AB9FE3" w:rsidR="0025514D" w:rsidRPr="005210A6" w:rsidRDefault="0025514D" w:rsidP="00B57C7F">
      <w:pPr>
        <w:spacing w:line="360" w:lineRule="auto"/>
        <w:ind w:left="720" w:hanging="720"/>
        <w:rPr>
          <w:rFonts w:ascii="Times New Roman" w:hAnsi="Times New Roman" w:cs="Times New Roman"/>
          <w:b/>
          <w:sz w:val="32"/>
          <w:szCs w:val="32"/>
        </w:rPr>
      </w:pPr>
      <w:r>
        <w:rPr>
          <w:rFonts w:ascii="Times New Roman" w:hAnsi="Times New Roman" w:cs="Times New Roman"/>
          <w:b/>
          <w:sz w:val="32"/>
          <w:szCs w:val="32"/>
        </w:rPr>
        <w:t>Secondary Sources</w:t>
      </w:r>
    </w:p>
    <w:p w14:paraId="29F83200" w14:textId="77777777" w:rsidR="002A1763" w:rsidRPr="0025514D" w:rsidRDefault="00655AD6" w:rsidP="002A1763">
      <w:pPr>
        <w:spacing w:line="240" w:lineRule="auto"/>
        <w:ind w:left="720" w:hanging="720"/>
        <w:jc w:val="both"/>
        <w:rPr>
          <w:rFonts w:ascii="Times New Roman" w:hAnsi="Times New Roman" w:cs="Times New Roman"/>
          <w:noProof/>
        </w:rPr>
      </w:pPr>
      <w:r w:rsidRPr="0025514D">
        <w:rPr>
          <w:rFonts w:ascii="Times New Roman" w:hAnsi="Times New Roman" w:cs="Times New Roman"/>
        </w:rPr>
        <w:fldChar w:fldCharType="begin"/>
      </w:r>
      <w:r w:rsidRPr="0025514D">
        <w:rPr>
          <w:rFonts w:ascii="Times New Roman" w:hAnsi="Times New Roman" w:cs="Times New Roman"/>
        </w:rPr>
        <w:instrText xml:space="preserve"> ADDIN EN.REFLIST </w:instrText>
      </w:r>
      <w:r w:rsidRPr="0025514D">
        <w:rPr>
          <w:rFonts w:ascii="Times New Roman" w:hAnsi="Times New Roman" w:cs="Times New Roman"/>
        </w:rPr>
        <w:fldChar w:fldCharType="separate"/>
      </w:r>
      <w:bookmarkStart w:id="84" w:name="_ENREF_1"/>
      <w:r w:rsidR="002A1763" w:rsidRPr="0025514D">
        <w:rPr>
          <w:rFonts w:ascii="Times New Roman" w:hAnsi="Times New Roman" w:cs="Times New Roman"/>
          <w:noProof/>
        </w:rPr>
        <w:t xml:space="preserve">Aberbach, Joel D., and Bert. A. Rockman. "Conducting and Coding Elite Interviews." </w:t>
      </w:r>
      <w:r w:rsidR="002A1763" w:rsidRPr="0025514D">
        <w:rPr>
          <w:rFonts w:ascii="Times New Roman" w:hAnsi="Times New Roman" w:cs="Times New Roman"/>
          <w:i/>
          <w:noProof/>
        </w:rPr>
        <w:t xml:space="preserve">Political Science and Politics </w:t>
      </w:r>
      <w:r w:rsidR="002A1763" w:rsidRPr="0025514D">
        <w:rPr>
          <w:rFonts w:ascii="Times New Roman" w:hAnsi="Times New Roman" w:cs="Times New Roman"/>
          <w:noProof/>
        </w:rPr>
        <w:t>35 (4) (2002): 673-76.</w:t>
      </w:r>
      <w:bookmarkEnd w:id="84"/>
    </w:p>
    <w:p w14:paraId="52BDC478" w14:textId="77777777" w:rsidR="002A1763" w:rsidRPr="0025514D" w:rsidRDefault="002A1763" w:rsidP="002A1763">
      <w:pPr>
        <w:spacing w:line="240" w:lineRule="auto"/>
        <w:ind w:left="720" w:hanging="720"/>
        <w:jc w:val="both"/>
        <w:rPr>
          <w:rFonts w:ascii="Times New Roman" w:hAnsi="Times New Roman" w:cs="Times New Roman"/>
          <w:noProof/>
        </w:rPr>
      </w:pPr>
      <w:bookmarkStart w:id="85" w:name="_ENREF_2"/>
      <w:r w:rsidRPr="0025514D">
        <w:rPr>
          <w:rFonts w:ascii="Times New Roman" w:hAnsi="Times New Roman" w:cs="Times New Roman"/>
          <w:noProof/>
        </w:rPr>
        <w:t xml:space="preserve">Alonso, Rogelio. </w:t>
      </w:r>
      <w:r w:rsidRPr="0025514D">
        <w:rPr>
          <w:rFonts w:ascii="Times New Roman" w:hAnsi="Times New Roman" w:cs="Times New Roman"/>
          <w:i/>
          <w:noProof/>
        </w:rPr>
        <w:t>The Ira and Armed Struggle</w:t>
      </w:r>
      <w:r w:rsidRPr="0025514D">
        <w:rPr>
          <w:rFonts w:ascii="Times New Roman" w:hAnsi="Times New Roman" w:cs="Times New Roman"/>
          <w:noProof/>
        </w:rPr>
        <w:t>.  Abingdon: Routledge, 2007.</w:t>
      </w:r>
      <w:bookmarkEnd w:id="85"/>
    </w:p>
    <w:p w14:paraId="25EDC062" w14:textId="77777777" w:rsidR="002A1763" w:rsidRPr="0025514D" w:rsidRDefault="002A1763" w:rsidP="002A1763">
      <w:pPr>
        <w:spacing w:line="240" w:lineRule="auto"/>
        <w:ind w:left="720" w:hanging="720"/>
        <w:jc w:val="both"/>
        <w:rPr>
          <w:rFonts w:ascii="Times New Roman" w:hAnsi="Times New Roman" w:cs="Times New Roman"/>
          <w:noProof/>
        </w:rPr>
      </w:pPr>
      <w:bookmarkStart w:id="86" w:name="_ENREF_3"/>
      <w:r w:rsidRPr="0025514D">
        <w:rPr>
          <w:rFonts w:ascii="Times New Roman" w:hAnsi="Times New Roman" w:cs="Times New Roman"/>
          <w:noProof/>
        </w:rPr>
        <w:t>Alterman, John. "How Terrorism Ends." Washington: United States Institute of Peace, 1999.</w:t>
      </w:r>
      <w:bookmarkEnd w:id="86"/>
    </w:p>
    <w:p w14:paraId="1830ED9D" w14:textId="77777777" w:rsidR="002A1763" w:rsidRPr="0025514D" w:rsidRDefault="002A1763" w:rsidP="002A1763">
      <w:pPr>
        <w:spacing w:line="240" w:lineRule="auto"/>
        <w:ind w:left="720" w:hanging="720"/>
        <w:jc w:val="both"/>
        <w:rPr>
          <w:rFonts w:ascii="Times New Roman" w:hAnsi="Times New Roman" w:cs="Times New Roman"/>
          <w:noProof/>
        </w:rPr>
      </w:pPr>
      <w:bookmarkStart w:id="87" w:name="_ENREF_4"/>
      <w:r w:rsidRPr="0025514D">
        <w:rPr>
          <w:rFonts w:ascii="Times New Roman" w:hAnsi="Times New Roman" w:cs="Times New Roman"/>
          <w:noProof/>
        </w:rPr>
        <w:t xml:space="preserve">Archer, M. </w:t>
      </w:r>
      <w:r w:rsidRPr="0025514D">
        <w:rPr>
          <w:rFonts w:ascii="Times New Roman" w:hAnsi="Times New Roman" w:cs="Times New Roman"/>
          <w:i/>
          <w:noProof/>
        </w:rPr>
        <w:t>Being Human: The Problem of Agency</w:t>
      </w:r>
      <w:r w:rsidRPr="0025514D">
        <w:rPr>
          <w:rFonts w:ascii="Times New Roman" w:hAnsi="Times New Roman" w:cs="Times New Roman"/>
          <w:noProof/>
        </w:rPr>
        <w:t>. Cambridge University Press, 2000.</w:t>
      </w:r>
      <w:bookmarkEnd w:id="87"/>
    </w:p>
    <w:p w14:paraId="4B64D670" w14:textId="77777777" w:rsidR="002A1763" w:rsidRPr="0025514D" w:rsidRDefault="002A1763" w:rsidP="002A1763">
      <w:pPr>
        <w:spacing w:line="240" w:lineRule="auto"/>
        <w:ind w:left="720" w:hanging="720"/>
        <w:jc w:val="both"/>
        <w:rPr>
          <w:rFonts w:ascii="Times New Roman" w:hAnsi="Times New Roman" w:cs="Times New Roman"/>
          <w:noProof/>
        </w:rPr>
      </w:pPr>
      <w:bookmarkStart w:id="88" w:name="_ENREF_5"/>
      <w:r w:rsidRPr="0025514D">
        <w:rPr>
          <w:rFonts w:ascii="Times New Roman" w:hAnsi="Times New Roman" w:cs="Times New Roman"/>
          <w:noProof/>
        </w:rPr>
        <w:t xml:space="preserve">———. </w:t>
      </w:r>
      <w:r w:rsidRPr="0025514D">
        <w:rPr>
          <w:rFonts w:ascii="Times New Roman" w:hAnsi="Times New Roman" w:cs="Times New Roman"/>
          <w:i/>
          <w:noProof/>
        </w:rPr>
        <w:t>Culture and Agency: The Place of Culture in Social Theory</w:t>
      </w:r>
      <w:r w:rsidRPr="0025514D">
        <w:rPr>
          <w:rFonts w:ascii="Times New Roman" w:hAnsi="Times New Roman" w:cs="Times New Roman"/>
          <w:noProof/>
        </w:rPr>
        <w:t>. Vol. Revised edition: Cambridge University Press, 1996.</w:t>
      </w:r>
      <w:bookmarkEnd w:id="88"/>
    </w:p>
    <w:p w14:paraId="4BB33AEF" w14:textId="77777777" w:rsidR="002A1763" w:rsidRPr="0025514D" w:rsidRDefault="002A1763" w:rsidP="002A1763">
      <w:pPr>
        <w:spacing w:line="240" w:lineRule="auto"/>
        <w:ind w:left="720" w:hanging="720"/>
        <w:jc w:val="both"/>
        <w:rPr>
          <w:rFonts w:ascii="Times New Roman" w:hAnsi="Times New Roman" w:cs="Times New Roman"/>
          <w:noProof/>
        </w:rPr>
      </w:pPr>
      <w:bookmarkStart w:id="89" w:name="_ENREF_6"/>
      <w:r w:rsidRPr="0025514D">
        <w:rPr>
          <w:rFonts w:ascii="Times New Roman" w:hAnsi="Times New Roman" w:cs="Times New Roman"/>
          <w:noProof/>
        </w:rPr>
        <w:t xml:space="preserve">———. "For Structure: Its Reality, Properties and Powers: A Reply to Anthony King." </w:t>
      </w:r>
      <w:r w:rsidRPr="0025514D">
        <w:rPr>
          <w:rFonts w:ascii="Times New Roman" w:hAnsi="Times New Roman" w:cs="Times New Roman"/>
          <w:i/>
          <w:noProof/>
        </w:rPr>
        <w:t xml:space="preserve">The Sociological Review </w:t>
      </w:r>
      <w:r w:rsidRPr="0025514D">
        <w:rPr>
          <w:rFonts w:ascii="Times New Roman" w:hAnsi="Times New Roman" w:cs="Times New Roman"/>
          <w:noProof/>
        </w:rPr>
        <w:t>Vol. 48 Issue 3 (2000).</w:t>
      </w:r>
      <w:bookmarkEnd w:id="89"/>
    </w:p>
    <w:p w14:paraId="3CD6F4B7" w14:textId="77777777" w:rsidR="002A1763" w:rsidRPr="0025514D" w:rsidRDefault="002A1763" w:rsidP="002A1763">
      <w:pPr>
        <w:spacing w:line="240" w:lineRule="auto"/>
        <w:ind w:left="720" w:hanging="720"/>
        <w:jc w:val="both"/>
        <w:rPr>
          <w:rFonts w:ascii="Times New Roman" w:hAnsi="Times New Roman" w:cs="Times New Roman"/>
          <w:noProof/>
        </w:rPr>
      </w:pPr>
      <w:bookmarkStart w:id="90" w:name="_ENREF_7"/>
      <w:r w:rsidRPr="0025514D">
        <w:rPr>
          <w:rFonts w:ascii="Times New Roman" w:hAnsi="Times New Roman" w:cs="Times New Roman"/>
          <w:noProof/>
        </w:rPr>
        <w:t xml:space="preserve">Archer, Margaret. </w:t>
      </w:r>
      <w:r w:rsidRPr="0025514D">
        <w:rPr>
          <w:rFonts w:ascii="Times New Roman" w:hAnsi="Times New Roman" w:cs="Times New Roman"/>
          <w:i/>
          <w:noProof/>
        </w:rPr>
        <w:t>Realist Social Theory: The Morphogenetic Approach</w:t>
      </w:r>
      <w:r w:rsidRPr="0025514D">
        <w:rPr>
          <w:rFonts w:ascii="Times New Roman" w:hAnsi="Times New Roman" w:cs="Times New Roman"/>
          <w:noProof/>
        </w:rPr>
        <w:t>. Cambridge University Press, 1995.</w:t>
      </w:r>
      <w:bookmarkEnd w:id="90"/>
    </w:p>
    <w:p w14:paraId="2CB0663D" w14:textId="77777777" w:rsidR="002A1763" w:rsidRPr="0025514D" w:rsidRDefault="002A1763" w:rsidP="002A1763">
      <w:pPr>
        <w:spacing w:line="240" w:lineRule="auto"/>
        <w:ind w:left="720" w:hanging="720"/>
        <w:jc w:val="both"/>
        <w:rPr>
          <w:rFonts w:ascii="Times New Roman" w:hAnsi="Times New Roman" w:cs="Times New Roman"/>
          <w:noProof/>
        </w:rPr>
      </w:pPr>
      <w:bookmarkStart w:id="91" w:name="_ENREF_8"/>
      <w:r w:rsidRPr="0025514D">
        <w:rPr>
          <w:rFonts w:ascii="Times New Roman" w:hAnsi="Times New Roman" w:cs="Times New Roman"/>
          <w:noProof/>
        </w:rPr>
        <w:t xml:space="preserve">Ashour, Omar. "De-Radicalization of Jihad? The Impact of Egyptian Islamist Revisionists on Al-Qaeda." </w:t>
      </w:r>
      <w:r w:rsidRPr="0025514D">
        <w:rPr>
          <w:rFonts w:ascii="Times New Roman" w:hAnsi="Times New Roman" w:cs="Times New Roman"/>
          <w:i/>
          <w:noProof/>
        </w:rPr>
        <w:t xml:space="preserve">Perspectives on Terrorism </w:t>
      </w:r>
      <w:r w:rsidRPr="0025514D">
        <w:rPr>
          <w:rFonts w:ascii="Times New Roman" w:hAnsi="Times New Roman" w:cs="Times New Roman"/>
          <w:noProof/>
        </w:rPr>
        <w:t>2 (5) (2008): pp. 11-14.</w:t>
      </w:r>
      <w:bookmarkEnd w:id="91"/>
    </w:p>
    <w:p w14:paraId="1DDD5818" w14:textId="77777777" w:rsidR="002A1763" w:rsidRPr="0025514D" w:rsidRDefault="002A1763" w:rsidP="002A1763">
      <w:pPr>
        <w:spacing w:line="240" w:lineRule="auto"/>
        <w:ind w:left="720" w:hanging="720"/>
        <w:jc w:val="both"/>
        <w:rPr>
          <w:rFonts w:ascii="Times New Roman" w:hAnsi="Times New Roman" w:cs="Times New Roman"/>
          <w:noProof/>
        </w:rPr>
      </w:pPr>
      <w:bookmarkStart w:id="92" w:name="_ENREF_9"/>
      <w:r w:rsidRPr="0025514D">
        <w:rPr>
          <w:rFonts w:ascii="Times New Roman" w:hAnsi="Times New Roman" w:cs="Times New Roman"/>
          <w:noProof/>
        </w:rPr>
        <w:t xml:space="preserve">———. </w:t>
      </w:r>
      <w:r w:rsidRPr="0025514D">
        <w:rPr>
          <w:rFonts w:ascii="Times New Roman" w:hAnsi="Times New Roman" w:cs="Times New Roman"/>
          <w:i/>
          <w:noProof/>
        </w:rPr>
        <w:t>The De-Radicalization of Jihadists: Transforming Armed Islamist Movements</w:t>
      </w:r>
      <w:r w:rsidRPr="0025514D">
        <w:rPr>
          <w:rFonts w:ascii="Times New Roman" w:hAnsi="Times New Roman" w:cs="Times New Roman"/>
          <w:noProof/>
        </w:rPr>
        <w:t>.  London: Routledge, 2009.</w:t>
      </w:r>
      <w:bookmarkEnd w:id="92"/>
    </w:p>
    <w:p w14:paraId="169D29AC" w14:textId="77777777" w:rsidR="002A1763" w:rsidRPr="0025514D" w:rsidRDefault="002A1763" w:rsidP="002A1763">
      <w:pPr>
        <w:spacing w:line="240" w:lineRule="auto"/>
        <w:ind w:left="720" w:hanging="720"/>
        <w:jc w:val="both"/>
        <w:rPr>
          <w:rFonts w:ascii="Times New Roman" w:hAnsi="Times New Roman" w:cs="Times New Roman"/>
          <w:noProof/>
        </w:rPr>
      </w:pPr>
      <w:bookmarkStart w:id="93" w:name="_ENREF_10"/>
      <w:r w:rsidRPr="0025514D">
        <w:rPr>
          <w:rFonts w:ascii="Times New Roman" w:hAnsi="Times New Roman" w:cs="Times New Roman"/>
          <w:noProof/>
        </w:rPr>
        <w:t xml:space="preserve">Beaumont, Peter. "'Living Suicide Bomb' Rejoins Al-Qaida after Saudi Deprogramming." </w:t>
      </w:r>
      <w:r w:rsidRPr="0025514D">
        <w:rPr>
          <w:rFonts w:ascii="Times New Roman" w:hAnsi="Times New Roman" w:cs="Times New Roman"/>
          <w:i/>
          <w:noProof/>
        </w:rPr>
        <w:t>The Observer</w:t>
      </w:r>
      <w:r w:rsidRPr="0025514D">
        <w:rPr>
          <w:rFonts w:ascii="Times New Roman" w:hAnsi="Times New Roman" w:cs="Times New Roman"/>
          <w:noProof/>
        </w:rPr>
        <w:t>, 18th January 2014.</w:t>
      </w:r>
      <w:bookmarkEnd w:id="93"/>
    </w:p>
    <w:p w14:paraId="0CB50196" w14:textId="77777777" w:rsidR="002A1763" w:rsidRPr="0025514D" w:rsidRDefault="002A1763" w:rsidP="002A1763">
      <w:pPr>
        <w:spacing w:line="240" w:lineRule="auto"/>
        <w:ind w:left="720" w:hanging="720"/>
        <w:jc w:val="both"/>
        <w:rPr>
          <w:rFonts w:ascii="Times New Roman" w:hAnsi="Times New Roman" w:cs="Times New Roman"/>
          <w:noProof/>
        </w:rPr>
      </w:pPr>
      <w:bookmarkStart w:id="94" w:name="_ENREF_11"/>
      <w:r w:rsidRPr="0025514D">
        <w:rPr>
          <w:rFonts w:ascii="Times New Roman" w:hAnsi="Times New Roman" w:cs="Times New Roman"/>
          <w:noProof/>
        </w:rPr>
        <w:t xml:space="preserve">Benford, Robert, and David Snow. "Framing Processes and Social Movements: An Overview and Assessment." </w:t>
      </w:r>
      <w:r w:rsidRPr="0025514D">
        <w:rPr>
          <w:rFonts w:ascii="Times New Roman" w:hAnsi="Times New Roman" w:cs="Times New Roman"/>
          <w:i/>
          <w:noProof/>
        </w:rPr>
        <w:t xml:space="preserve">Annual Review of Sociology </w:t>
      </w:r>
      <w:r w:rsidRPr="0025514D">
        <w:rPr>
          <w:rFonts w:ascii="Times New Roman" w:hAnsi="Times New Roman" w:cs="Times New Roman"/>
          <w:noProof/>
        </w:rPr>
        <w:t>26 (1) (2000): pp. 611-39.</w:t>
      </w:r>
      <w:bookmarkEnd w:id="94"/>
    </w:p>
    <w:p w14:paraId="443934BE" w14:textId="77777777" w:rsidR="002A1763" w:rsidRPr="0025514D" w:rsidRDefault="002A1763" w:rsidP="002A1763">
      <w:pPr>
        <w:spacing w:line="240" w:lineRule="auto"/>
        <w:ind w:left="720" w:hanging="720"/>
        <w:jc w:val="both"/>
        <w:rPr>
          <w:rFonts w:ascii="Times New Roman" w:hAnsi="Times New Roman" w:cs="Times New Roman"/>
          <w:noProof/>
        </w:rPr>
      </w:pPr>
      <w:bookmarkStart w:id="95" w:name="_ENREF_12"/>
      <w:r w:rsidRPr="0025514D">
        <w:rPr>
          <w:rFonts w:ascii="Times New Roman" w:hAnsi="Times New Roman" w:cs="Times New Roman"/>
          <w:noProof/>
        </w:rPr>
        <w:t xml:space="preserve">Berger, Rony, and Ruth Pat-Horenczyk. "School-Based Intervention for Prevention and Treatment of Elementary-Students' Terror-Related Distress in Israel: A Quasi-Randomized Controlled Trial." </w:t>
      </w:r>
      <w:r w:rsidRPr="0025514D">
        <w:rPr>
          <w:rFonts w:ascii="Times New Roman" w:hAnsi="Times New Roman" w:cs="Times New Roman"/>
          <w:i/>
          <w:noProof/>
        </w:rPr>
        <w:t xml:space="preserve">Journal of Traumatic Stress </w:t>
      </w:r>
      <w:r w:rsidRPr="0025514D">
        <w:rPr>
          <w:rFonts w:ascii="Times New Roman" w:hAnsi="Times New Roman" w:cs="Times New Roman"/>
          <w:noProof/>
        </w:rPr>
        <w:t>20 (4) (2007): pp. 541-51.</w:t>
      </w:r>
      <w:bookmarkEnd w:id="95"/>
    </w:p>
    <w:p w14:paraId="78395C0B" w14:textId="77777777" w:rsidR="002A1763" w:rsidRPr="0025514D" w:rsidRDefault="002A1763" w:rsidP="002A1763">
      <w:pPr>
        <w:spacing w:line="240" w:lineRule="auto"/>
        <w:ind w:left="720" w:hanging="720"/>
        <w:jc w:val="both"/>
        <w:rPr>
          <w:rFonts w:ascii="Times New Roman" w:hAnsi="Times New Roman" w:cs="Times New Roman"/>
          <w:noProof/>
        </w:rPr>
      </w:pPr>
      <w:bookmarkStart w:id="96" w:name="_ENREF_13"/>
      <w:r w:rsidRPr="0025514D">
        <w:rPr>
          <w:rFonts w:ascii="Times New Roman" w:hAnsi="Times New Roman" w:cs="Times New Roman"/>
          <w:noProof/>
        </w:rPr>
        <w:t xml:space="preserve">Birrell, Derek. "Relative Deprivation as a Factor in Conflict in Northern Ireland." </w:t>
      </w:r>
      <w:r w:rsidRPr="0025514D">
        <w:rPr>
          <w:rFonts w:ascii="Times New Roman" w:hAnsi="Times New Roman" w:cs="Times New Roman"/>
          <w:i/>
          <w:noProof/>
        </w:rPr>
        <w:t xml:space="preserve">The Sociological Review </w:t>
      </w:r>
      <w:r w:rsidRPr="0025514D">
        <w:rPr>
          <w:rFonts w:ascii="Times New Roman" w:hAnsi="Times New Roman" w:cs="Times New Roman"/>
          <w:noProof/>
        </w:rPr>
        <w:t>20 (3) (1972): pp. 317-43.</w:t>
      </w:r>
      <w:bookmarkEnd w:id="96"/>
    </w:p>
    <w:p w14:paraId="7A7C48AD" w14:textId="77777777" w:rsidR="002A1763" w:rsidRPr="0025514D" w:rsidRDefault="002A1763" w:rsidP="002A1763">
      <w:pPr>
        <w:spacing w:line="240" w:lineRule="auto"/>
        <w:ind w:left="720" w:hanging="720"/>
        <w:jc w:val="both"/>
        <w:rPr>
          <w:rFonts w:ascii="Times New Roman" w:hAnsi="Times New Roman" w:cs="Times New Roman"/>
          <w:noProof/>
        </w:rPr>
      </w:pPr>
      <w:bookmarkStart w:id="97" w:name="_ENREF_14"/>
      <w:r w:rsidRPr="0025514D">
        <w:rPr>
          <w:rFonts w:ascii="Times New Roman" w:hAnsi="Times New Roman" w:cs="Times New Roman"/>
          <w:noProof/>
        </w:rPr>
        <w:t xml:space="preserve">Bjorgo, Tore, and John Horgan, eds. </w:t>
      </w:r>
      <w:r w:rsidRPr="0025514D">
        <w:rPr>
          <w:rFonts w:ascii="Times New Roman" w:hAnsi="Times New Roman" w:cs="Times New Roman"/>
          <w:i/>
          <w:noProof/>
        </w:rPr>
        <w:t>Leaving Terrorism Behind: Individual and Collective Disengagement</w:t>
      </w:r>
      <w:r w:rsidRPr="0025514D">
        <w:rPr>
          <w:rFonts w:ascii="Times New Roman" w:hAnsi="Times New Roman" w:cs="Times New Roman"/>
          <w:noProof/>
        </w:rPr>
        <w:t>. Oxon: Routledge, 2009.</w:t>
      </w:r>
      <w:bookmarkEnd w:id="97"/>
    </w:p>
    <w:p w14:paraId="1E0B5CD7" w14:textId="77777777" w:rsidR="002A1763" w:rsidRPr="0025514D" w:rsidRDefault="002A1763" w:rsidP="002A1763">
      <w:pPr>
        <w:spacing w:line="240" w:lineRule="auto"/>
        <w:ind w:left="720" w:hanging="720"/>
        <w:jc w:val="both"/>
        <w:rPr>
          <w:rFonts w:ascii="Times New Roman" w:hAnsi="Times New Roman" w:cs="Times New Roman"/>
          <w:noProof/>
        </w:rPr>
      </w:pPr>
      <w:bookmarkStart w:id="98" w:name="_ENREF_15"/>
      <w:r w:rsidRPr="0025514D">
        <w:rPr>
          <w:rFonts w:ascii="Times New Roman" w:hAnsi="Times New Roman" w:cs="Times New Roman"/>
          <w:noProof/>
        </w:rPr>
        <w:t>Boucek, Christopher. "Saudi Arabia's 'Soft' Counterterrorism Strategy: Prevention, Rehabilitation, and Aftercare." Washington: Carnegie Endowment for International Peace, 2008.</w:t>
      </w:r>
      <w:bookmarkEnd w:id="98"/>
    </w:p>
    <w:p w14:paraId="1375FBA9" w14:textId="77777777" w:rsidR="002A1763" w:rsidRPr="0025514D" w:rsidRDefault="002A1763" w:rsidP="002A1763">
      <w:pPr>
        <w:spacing w:line="240" w:lineRule="auto"/>
        <w:ind w:left="720" w:hanging="720"/>
        <w:jc w:val="both"/>
        <w:rPr>
          <w:rFonts w:ascii="Times New Roman" w:hAnsi="Times New Roman" w:cs="Times New Roman"/>
          <w:noProof/>
        </w:rPr>
      </w:pPr>
      <w:bookmarkStart w:id="99" w:name="_ENREF_16"/>
      <w:r w:rsidRPr="0025514D">
        <w:rPr>
          <w:rFonts w:ascii="Times New Roman" w:hAnsi="Times New Roman" w:cs="Times New Roman"/>
          <w:noProof/>
        </w:rPr>
        <w:lastRenderedPageBreak/>
        <w:t xml:space="preserve">Boyle, Michael J. "Progress and Pitfalls in the Study of Political Violence."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24 (2) (2012): pp. 527-43.</w:t>
      </w:r>
      <w:bookmarkEnd w:id="99"/>
    </w:p>
    <w:p w14:paraId="46827EC6" w14:textId="77777777" w:rsidR="002A1763" w:rsidRPr="0025514D" w:rsidRDefault="002A1763" w:rsidP="002A1763">
      <w:pPr>
        <w:spacing w:line="240" w:lineRule="auto"/>
        <w:ind w:left="720" w:hanging="720"/>
        <w:jc w:val="both"/>
        <w:rPr>
          <w:rFonts w:ascii="Times New Roman" w:hAnsi="Times New Roman" w:cs="Times New Roman"/>
          <w:noProof/>
        </w:rPr>
      </w:pPr>
      <w:bookmarkStart w:id="100" w:name="_ENREF_17"/>
      <w:r w:rsidRPr="0025514D">
        <w:rPr>
          <w:rFonts w:ascii="Times New Roman" w:hAnsi="Times New Roman" w:cs="Times New Roman"/>
          <w:noProof/>
        </w:rPr>
        <w:t xml:space="preserve">Brady, Tom. "Wikileaks: Why Ira Chose 'Hard Army Man' to Deliver Peace Message." </w:t>
      </w:r>
      <w:r w:rsidRPr="0025514D">
        <w:rPr>
          <w:rFonts w:ascii="Times New Roman" w:hAnsi="Times New Roman" w:cs="Times New Roman"/>
          <w:i/>
          <w:noProof/>
        </w:rPr>
        <w:t>Belfast Telegraph</w:t>
      </w:r>
      <w:r w:rsidRPr="0025514D">
        <w:rPr>
          <w:rFonts w:ascii="Times New Roman" w:hAnsi="Times New Roman" w:cs="Times New Roman"/>
          <w:noProof/>
        </w:rPr>
        <w:t>, 31st May 2011.</w:t>
      </w:r>
      <w:bookmarkEnd w:id="100"/>
    </w:p>
    <w:p w14:paraId="00A4616C" w14:textId="77777777" w:rsidR="002A1763" w:rsidRPr="0025514D" w:rsidRDefault="002A1763" w:rsidP="002A1763">
      <w:pPr>
        <w:spacing w:line="240" w:lineRule="auto"/>
        <w:ind w:left="720" w:hanging="720"/>
        <w:jc w:val="both"/>
        <w:rPr>
          <w:rFonts w:ascii="Times New Roman" w:hAnsi="Times New Roman" w:cs="Times New Roman"/>
          <w:noProof/>
        </w:rPr>
      </w:pPr>
      <w:bookmarkStart w:id="101" w:name="_ENREF_18"/>
      <w:r w:rsidRPr="0025514D">
        <w:rPr>
          <w:rFonts w:ascii="Times New Roman" w:hAnsi="Times New Roman" w:cs="Times New Roman"/>
          <w:noProof/>
        </w:rPr>
        <w:t xml:space="preserve">Bryman, Alan. </w:t>
      </w:r>
      <w:r w:rsidRPr="0025514D">
        <w:rPr>
          <w:rFonts w:ascii="Times New Roman" w:hAnsi="Times New Roman" w:cs="Times New Roman"/>
          <w:i/>
          <w:noProof/>
        </w:rPr>
        <w:t>Social Research Methods</w:t>
      </w:r>
      <w:r w:rsidRPr="0025514D">
        <w:rPr>
          <w:rFonts w:ascii="Times New Roman" w:hAnsi="Times New Roman" w:cs="Times New Roman"/>
          <w:noProof/>
        </w:rPr>
        <w:t>.  Oxford: Oxford University Press, 2004.</w:t>
      </w:r>
      <w:bookmarkEnd w:id="101"/>
    </w:p>
    <w:p w14:paraId="677BEB66" w14:textId="77777777" w:rsidR="002A1763" w:rsidRPr="0025514D" w:rsidRDefault="002A1763" w:rsidP="002A1763">
      <w:pPr>
        <w:spacing w:line="240" w:lineRule="auto"/>
        <w:ind w:left="720" w:hanging="720"/>
        <w:jc w:val="both"/>
        <w:rPr>
          <w:rFonts w:ascii="Times New Roman" w:hAnsi="Times New Roman" w:cs="Times New Roman"/>
          <w:noProof/>
        </w:rPr>
      </w:pPr>
      <w:bookmarkStart w:id="102" w:name="_ENREF_19"/>
      <w:r w:rsidRPr="0025514D">
        <w:rPr>
          <w:rFonts w:ascii="Times New Roman" w:hAnsi="Times New Roman" w:cs="Times New Roman"/>
          <w:noProof/>
        </w:rPr>
        <w:t xml:space="preserve">Buzan, Barry, and Ole Waever. </w:t>
      </w:r>
      <w:r w:rsidRPr="0025514D">
        <w:rPr>
          <w:rFonts w:ascii="Times New Roman" w:hAnsi="Times New Roman" w:cs="Times New Roman"/>
          <w:i/>
          <w:noProof/>
        </w:rPr>
        <w:t>Regions and Powers: The Structure of International Security</w:t>
      </w:r>
      <w:r w:rsidRPr="0025514D">
        <w:rPr>
          <w:rFonts w:ascii="Times New Roman" w:hAnsi="Times New Roman" w:cs="Times New Roman"/>
          <w:noProof/>
        </w:rPr>
        <w:t>.  Cambridge: Cambridge University Press, 2003.</w:t>
      </w:r>
      <w:bookmarkEnd w:id="102"/>
    </w:p>
    <w:p w14:paraId="7F544919" w14:textId="77777777" w:rsidR="002A1763" w:rsidRPr="0025514D" w:rsidRDefault="002A1763" w:rsidP="002A1763">
      <w:pPr>
        <w:spacing w:line="240" w:lineRule="auto"/>
        <w:ind w:left="720" w:hanging="720"/>
        <w:jc w:val="both"/>
        <w:rPr>
          <w:rFonts w:ascii="Times New Roman" w:hAnsi="Times New Roman" w:cs="Times New Roman"/>
          <w:noProof/>
        </w:rPr>
      </w:pPr>
      <w:bookmarkStart w:id="103" w:name="_ENREF_20"/>
      <w:r w:rsidRPr="0025514D">
        <w:rPr>
          <w:rFonts w:ascii="Times New Roman" w:hAnsi="Times New Roman" w:cs="Times New Roman"/>
          <w:noProof/>
        </w:rPr>
        <w:t>Byrne, Jonny, Mary Conway, and Malcolm Ostermeyer. "Young People's Attitudes and Experiences of Policing, Violence and Community Safety in North Belfast." Institute for Conflict Research, 2005.</w:t>
      </w:r>
      <w:bookmarkEnd w:id="103"/>
    </w:p>
    <w:p w14:paraId="139FB877" w14:textId="77777777" w:rsidR="002A1763" w:rsidRPr="0025514D" w:rsidRDefault="002A1763" w:rsidP="002A1763">
      <w:pPr>
        <w:spacing w:line="240" w:lineRule="auto"/>
        <w:ind w:left="720" w:hanging="720"/>
        <w:jc w:val="both"/>
        <w:rPr>
          <w:rFonts w:ascii="Times New Roman" w:hAnsi="Times New Roman" w:cs="Times New Roman"/>
          <w:noProof/>
        </w:rPr>
      </w:pPr>
      <w:bookmarkStart w:id="104" w:name="_ENREF_21"/>
      <w:r w:rsidRPr="0025514D">
        <w:rPr>
          <w:rFonts w:ascii="Times New Roman" w:hAnsi="Times New Roman" w:cs="Times New Roman"/>
          <w:noProof/>
        </w:rPr>
        <w:t xml:space="preserve">Byrne, Jonny, and Neil Jarman. "Ten Years after Patten: Young People and Policing in Northern Ireland." </w:t>
      </w:r>
      <w:r w:rsidRPr="0025514D">
        <w:rPr>
          <w:rFonts w:ascii="Times New Roman" w:hAnsi="Times New Roman" w:cs="Times New Roman"/>
          <w:i/>
          <w:noProof/>
        </w:rPr>
        <w:t xml:space="preserve">Youth and Society </w:t>
      </w:r>
      <w:r w:rsidRPr="0025514D">
        <w:rPr>
          <w:rFonts w:ascii="Times New Roman" w:hAnsi="Times New Roman" w:cs="Times New Roman"/>
          <w:noProof/>
        </w:rPr>
        <w:t>43 (2) (2011): pp. 433-52.</w:t>
      </w:r>
      <w:bookmarkEnd w:id="104"/>
    </w:p>
    <w:p w14:paraId="63BB7C96" w14:textId="77777777" w:rsidR="002A1763" w:rsidRPr="0025514D" w:rsidRDefault="002A1763" w:rsidP="002A1763">
      <w:pPr>
        <w:spacing w:line="240" w:lineRule="auto"/>
        <w:ind w:left="720" w:hanging="720"/>
        <w:jc w:val="both"/>
        <w:rPr>
          <w:rFonts w:ascii="Times New Roman" w:hAnsi="Times New Roman" w:cs="Times New Roman"/>
          <w:noProof/>
        </w:rPr>
      </w:pPr>
      <w:bookmarkStart w:id="105" w:name="_ENREF_22"/>
      <w:r w:rsidRPr="0025514D">
        <w:rPr>
          <w:rFonts w:ascii="Times New Roman" w:hAnsi="Times New Roman" w:cs="Times New Roman"/>
          <w:noProof/>
        </w:rPr>
        <w:t>CFNI. "From Prison to Peace: Learning from the Experience of Political Ex-Prisoners." Belfast: Community Foundation for Northern Ireland, 2012.</w:t>
      </w:r>
      <w:bookmarkEnd w:id="105"/>
    </w:p>
    <w:p w14:paraId="730A8455" w14:textId="77777777" w:rsidR="002A1763" w:rsidRPr="0025514D" w:rsidRDefault="002A1763" w:rsidP="002A1763">
      <w:pPr>
        <w:spacing w:line="240" w:lineRule="auto"/>
        <w:ind w:left="720" w:hanging="720"/>
        <w:jc w:val="both"/>
        <w:rPr>
          <w:rFonts w:ascii="Times New Roman" w:hAnsi="Times New Roman" w:cs="Times New Roman"/>
          <w:noProof/>
        </w:rPr>
      </w:pPr>
      <w:bookmarkStart w:id="106" w:name="_ENREF_23"/>
      <w:r w:rsidRPr="0025514D">
        <w:rPr>
          <w:rFonts w:ascii="Times New Roman" w:hAnsi="Times New Roman" w:cs="Times New Roman"/>
          <w:noProof/>
        </w:rPr>
        <w:t xml:space="preserve">Clark, Ian. </w:t>
      </w:r>
      <w:r w:rsidRPr="0025514D">
        <w:rPr>
          <w:rFonts w:ascii="Times New Roman" w:hAnsi="Times New Roman" w:cs="Times New Roman"/>
          <w:i/>
          <w:noProof/>
        </w:rPr>
        <w:t>Legitimacy in International Society</w:t>
      </w:r>
      <w:r w:rsidRPr="0025514D">
        <w:rPr>
          <w:rFonts w:ascii="Times New Roman" w:hAnsi="Times New Roman" w:cs="Times New Roman"/>
          <w:noProof/>
        </w:rPr>
        <w:t>.  Oxford: Oxford University Press, 2005.</w:t>
      </w:r>
      <w:bookmarkEnd w:id="106"/>
    </w:p>
    <w:p w14:paraId="037E9D52" w14:textId="77777777" w:rsidR="002A1763" w:rsidRPr="0025514D" w:rsidRDefault="002A1763" w:rsidP="002A1763">
      <w:pPr>
        <w:spacing w:line="240" w:lineRule="auto"/>
        <w:ind w:left="720" w:hanging="720"/>
        <w:jc w:val="both"/>
        <w:rPr>
          <w:rFonts w:ascii="Times New Roman" w:hAnsi="Times New Roman" w:cs="Times New Roman"/>
          <w:noProof/>
        </w:rPr>
      </w:pPr>
      <w:bookmarkStart w:id="107" w:name="_ENREF_24"/>
      <w:r w:rsidRPr="0025514D">
        <w:rPr>
          <w:rFonts w:ascii="Times New Roman" w:hAnsi="Times New Roman" w:cs="Times New Roman"/>
          <w:noProof/>
        </w:rPr>
        <w:t xml:space="preserve">Clubb, Gordon. "Re-Evaluating the Disengagement Process: The Case of Fatah." </w:t>
      </w:r>
      <w:r w:rsidRPr="0025514D">
        <w:rPr>
          <w:rFonts w:ascii="Times New Roman" w:hAnsi="Times New Roman" w:cs="Times New Roman"/>
          <w:i/>
          <w:noProof/>
        </w:rPr>
        <w:t xml:space="preserve">Perspectives on Terrorism </w:t>
      </w:r>
      <w:r w:rsidRPr="0025514D">
        <w:rPr>
          <w:rFonts w:ascii="Times New Roman" w:hAnsi="Times New Roman" w:cs="Times New Roman"/>
          <w:noProof/>
        </w:rPr>
        <w:t>3 (3) (2009).</w:t>
      </w:r>
      <w:bookmarkEnd w:id="107"/>
    </w:p>
    <w:p w14:paraId="064736A5" w14:textId="77777777" w:rsidR="002A1763" w:rsidRPr="0025514D" w:rsidRDefault="002A1763" w:rsidP="002A1763">
      <w:pPr>
        <w:spacing w:line="240" w:lineRule="auto"/>
        <w:ind w:left="720" w:hanging="720"/>
        <w:jc w:val="both"/>
        <w:rPr>
          <w:rFonts w:ascii="Times New Roman" w:hAnsi="Times New Roman" w:cs="Times New Roman"/>
          <w:noProof/>
        </w:rPr>
      </w:pPr>
      <w:bookmarkStart w:id="108" w:name="_ENREF_25"/>
      <w:r w:rsidRPr="0025514D">
        <w:rPr>
          <w:rFonts w:ascii="Times New Roman" w:hAnsi="Times New Roman" w:cs="Times New Roman"/>
          <w:noProof/>
        </w:rPr>
        <w:t xml:space="preserve">Cowper-Coles, Freddie. "'Anxious for Peace': The Provisional Ira in Dialogue with the British Government, 1972-75." </w:t>
      </w:r>
      <w:r w:rsidRPr="0025514D">
        <w:rPr>
          <w:rFonts w:ascii="Times New Roman" w:hAnsi="Times New Roman" w:cs="Times New Roman"/>
          <w:i/>
          <w:noProof/>
        </w:rPr>
        <w:t xml:space="preserve">Irish Studies Review </w:t>
      </w:r>
      <w:r w:rsidRPr="0025514D">
        <w:rPr>
          <w:rFonts w:ascii="Times New Roman" w:hAnsi="Times New Roman" w:cs="Times New Roman"/>
          <w:noProof/>
        </w:rPr>
        <w:t>20 (3) (2012): pp. 223-42.</w:t>
      </w:r>
      <w:bookmarkEnd w:id="108"/>
    </w:p>
    <w:p w14:paraId="0CAC32B9" w14:textId="77777777" w:rsidR="002A1763" w:rsidRPr="0025514D" w:rsidRDefault="002A1763" w:rsidP="002A1763">
      <w:pPr>
        <w:spacing w:line="240" w:lineRule="auto"/>
        <w:ind w:left="720" w:hanging="720"/>
        <w:jc w:val="both"/>
        <w:rPr>
          <w:rFonts w:ascii="Times New Roman" w:hAnsi="Times New Roman" w:cs="Times New Roman"/>
          <w:noProof/>
        </w:rPr>
      </w:pPr>
      <w:bookmarkStart w:id="109" w:name="_ENREF_26"/>
      <w:r w:rsidRPr="0025514D">
        <w:rPr>
          <w:rFonts w:ascii="Times New Roman" w:hAnsi="Times New Roman" w:cs="Times New Roman"/>
          <w:noProof/>
        </w:rPr>
        <w:t xml:space="preserve">Crenshaw, Martha. "The Causes of Terrorism." </w:t>
      </w:r>
      <w:r w:rsidRPr="0025514D">
        <w:rPr>
          <w:rFonts w:ascii="Times New Roman" w:hAnsi="Times New Roman" w:cs="Times New Roman"/>
          <w:i/>
          <w:noProof/>
        </w:rPr>
        <w:t xml:space="preserve">Comparative Politics </w:t>
      </w:r>
      <w:r w:rsidRPr="0025514D">
        <w:rPr>
          <w:rFonts w:ascii="Times New Roman" w:hAnsi="Times New Roman" w:cs="Times New Roman"/>
          <w:noProof/>
        </w:rPr>
        <w:t>13 (4) (1981): pp. 379-99.</w:t>
      </w:r>
      <w:bookmarkEnd w:id="109"/>
    </w:p>
    <w:p w14:paraId="5A9CAD83" w14:textId="77777777" w:rsidR="002A1763" w:rsidRPr="0025514D" w:rsidRDefault="002A1763" w:rsidP="002A1763">
      <w:pPr>
        <w:spacing w:line="240" w:lineRule="auto"/>
        <w:ind w:left="720" w:hanging="720"/>
        <w:jc w:val="both"/>
        <w:rPr>
          <w:rFonts w:ascii="Times New Roman" w:hAnsi="Times New Roman" w:cs="Times New Roman"/>
          <w:noProof/>
        </w:rPr>
      </w:pPr>
      <w:bookmarkStart w:id="110" w:name="_ENREF_27"/>
      <w:r w:rsidRPr="0025514D">
        <w:rPr>
          <w:rFonts w:ascii="Times New Roman" w:hAnsi="Times New Roman" w:cs="Times New Roman"/>
          <w:noProof/>
        </w:rPr>
        <w:t xml:space="preserve">———. "How Terrorism Declines."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3 (1) (1991): pp. 69-87.</w:t>
      </w:r>
      <w:bookmarkEnd w:id="110"/>
    </w:p>
    <w:p w14:paraId="2EF98E54" w14:textId="77777777" w:rsidR="002A1763" w:rsidRPr="0025514D" w:rsidRDefault="002A1763" w:rsidP="002A1763">
      <w:pPr>
        <w:spacing w:line="240" w:lineRule="auto"/>
        <w:ind w:left="720" w:hanging="720"/>
        <w:jc w:val="both"/>
        <w:rPr>
          <w:rFonts w:ascii="Times New Roman" w:hAnsi="Times New Roman" w:cs="Times New Roman"/>
          <w:noProof/>
        </w:rPr>
      </w:pPr>
      <w:bookmarkStart w:id="111" w:name="_ENREF_28"/>
      <w:r w:rsidRPr="0025514D">
        <w:rPr>
          <w:rFonts w:ascii="Times New Roman" w:hAnsi="Times New Roman" w:cs="Times New Roman"/>
          <w:noProof/>
        </w:rPr>
        <w:t xml:space="preserve">———. </w:t>
      </w:r>
      <w:r w:rsidRPr="0025514D">
        <w:rPr>
          <w:rFonts w:ascii="Times New Roman" w:hAnsi="Times New Roman" w:cs="Times New Roman"/>
          <w:i/>
          <w:noProof/>
        </w:rPr>
        <w:t>Terrorism in Context</w:t>
      </w:r>
      <w:r w:rsidRPr="0025514D">
        <w:rPr>
          <w:rFonts w:ascii="Times New Roman" w:hAnsi="Times New Roman" w:cs="Times New Roman"/>
          <w:noProof/>
        </w:rPr>
        <w:t>.  Pennsylvania: The Pennsylvania State University Press, 1995.</w:t>
      </w:r>
      <w:bookmarkEnd w:id="111"/>
    </w:p>
    <w:p w14:paraId="65E02A3D" w14:textId="77777777" w:rsidR="002A1763" w:rsidRPr="0025514D" w:rsidRDefault="002A1763" w:rsidP="002A1763">
      <w:pPr>
        <w:spacing w:line="240" w:lineRule="auto"/>
        <w:ind w:left="720" w:hanging="720"/>
        <w:jc w:val="both"/>
        <w:rPr>
          <w:rFonts w:ascii="Times New Roman" w:hAnsi="Times New Roman" w:cs="Times New Roman"/>
          <w:noProof/>
        </w:rPr>
      </w:pPr>
      <w:bookmarkStart w:id="112" w:name="_ENREF_29"/>
      <w:r w:rsidRPr="0025514D">
        <w:rPr>
          <w:rFonts w:ascii="Times New Roman" w:hAnsi="Times New Roman" w:cs="Times New Roman"/>
          <w:noProof/>
        </w:rPr>
        <w:t xml:space="preserve">Cronin, Audrey Kurth. </w:t>
      </w:r>
      <w:r w:rsidRPr="0025514D">
        <w:rPr>
          <w:rFonts w:ascii="Times New Roman" w:hAnsi="Times New Roman" w:cs="Times New Roman"/>
          <w:i/>
          <w:noProof/>
        </w:rPr>
        <w:t>Ending Terrorism : Lessons for Defeating Al-Qaeda</w:t>
      </w:r>
      <w:r w:rsidRPr="0025514D">
        <w:rPr>
          <w:rFonts w:ascii="Times New Roman" w:hAnsi="Times New Roman" w:cs="Times New Roman"/>
          <w:noProof/>
        </w:rPr>
        <w:t>.  Abingdon: Routledge, 2008.</w:t>
      </w:r>
      <w:bookmarkEnd w:id="112"/>
    </w:p>
    <w:p w14:paraId="07CC9129" w14:textId="77777777" w:rsidR="002A1763" w:rsidRPr="0025514D" w:rsidRDefault="002A1763" w:rsidP="002A1763">
      <w:pPr>
        <w:spacing w:line="240" w:lineRule="auto"/>
        <w:ind w:left="720" w:hanging="720"/>
        <w:jc w:val="both"/>
        <w:rPr>
          <w:rFonts w:ascii="Times New Roman" w:hAnsi="Times New Roman" w:cs="Times New Roman"/>
          <w:noProof/>
        </w:rPr>
      </w:pPr>
      <w:bookmarkStart w:id="113" w:name="_ENREF_30"/>
      <w:r w:rsidRPr="0025514D">
        <w:rPr>
          <w:rFonts w:ascii="Times New Roman" w:hAnsi="Times New Roman" w:cs="Times New Roman"/>
          <w:noProof/>
        </w:rPr>
        <w:t xml:space="preserve">———. "How Al-Qaida Ends: The Decline and Demise of Terrorist Groups." </w:t>
      </w:r>
      <w:r w:rsidRPr="0025514D">
        <w:rPr>
          <w:rFonts w:ascii="Times New Roman" w:hAnsi="Times New Roman" w:cs="Times New Roman"/>
          <w:i/>
          <w:noProof/>
        </w:rPr>
        <w:t xml:space="preserve">International Security </w:t>
      </w:r>
      <w:r w:rsidRPr="0025514D">
        <w:rPr>
          <w:rFonts w:ascii="Times New Roman" w:hAnsi="Times New Roman" w:cs="Times New Roman"/>
          <w:noProof/>
        </w:rPr>
        <w:t>31 (1) (2006): pp. 7-48.</w:t>
      </w:r>
      <w:bookmarkEnd w:id="113"/>
    </w:p>
    <w:p w14:paraId="6C5CEC2C" w14:textId="77777777" w:rsidR="002A1763" w:rsidRPr="0025514D" w:rsidRDefault="002A1763" w:rsidP="002A1763">
      <w:pPr>
        <w:spacing w:line="240" w:lineRule="auto"/>
        <w:ind w:left="720" w:hanging="720"/>
        <w:jc w:val="both"/>
        <w:rPr>
          <w:rFonts w:ascii="Times New Roman" w:hAnsi="Times New Roman" w:cs="Times New Roman"/>
          <w:noProof/>
        </w:rPr>
      </w:pPr>
      <w:bookmarkStart w:id="114" w:name="_ENREF_31"/>
      <w:r w:rsidRPr="0025514D">
        <w:rPr>
          <w:rFonts w:ascii="Times New Roman" w:hAnsi="Times New Roman" w:cs="Times New Roman"/>
          <w:noProof/>
        </w:rPr>
        <w:t xml:space="preserve">———. </w:t>
      </w:r>
      <w:r w:rsidRPr="0025514D">
        <w:rPr>
          <w:rFonts w:ascii="Times New Roman" w:hAnsi="Times New Roman" w:cs="Times New Roman"/>
          <w:i/>
          <w:noProof/>
        </w:rPr>
        <w:t>How Terrorism Ends: Understanding the Decline and Demise of Terrorist Campaigns</w:t>
      </w:r>
      <w:r w:rsidRPr="0025514D">
        <w:rPr>
          <w:rFonts w:ascii="Times New Roman" w:hAnsi="Times New Roman" w:cs="Times New Roman"/>
          <w:noProof/>
        </w:rPr>
        <w:t>.  Princeton: Princeton University Press, 2009.</w:t>
      </w:r>
      <w:bookmarkEnd w:id="114"/>
    </w:p>
    <w:p w14:paraId="1A0548DE" w14:textId="77777777" w:rsidR="002A1763" w:rsidRPr="0025514D" w:rsidRDefault="002A1763" w:rsidP="002A1763">
      <w:pPr>
        <w:spacing w:line="240" w:lineRule="auto"/>
        <w:ind w:left="720" w:hanging="720"/>
        <w:jc w:val="both"/>
        <w:rPr>
          <w:rFonts w:ascii="Times New Roman" w:hAnsi="Times New Roman" w:cs="Times New Roman"/>
          <w:noProof/>
        </w:rPr>
      </w:pPr>
      <w:bookmarkStart w:id="115" w:name="_ENREF_32"/>
      <w:r w:rsidRPr="0025514D">
        <w:rPr>
          <w:rFonts w:ascii="Times New Roman" w:hAnsi="Times New Roman" w:cs="Times New Roman"/>
          <w:noProof/>
        </w:rPr>
        <w:t xml:space="preserve">———. "No Silver Bullet: Explaining Research on How Terrorism Ends." </w:t>
      </w:r>
      <w:r w:rsidRPr="0025514D">
        <w:rPr>
          <w:rFonts w:ascii="Times New Roman" w:hAnsi="Times New Roman" w:cs="Times New Roman"/>
          <w:i/>
          <w:noProof/>
        </w:rPr>
        <w:t xml:space="preserve">CTC Sentinel </w:t>
      </w:r>
      <w:r w:rsidRPr="0025514D">
        <w:rPr>
          <w:rFonts w:ascii="Times New Roman" w:hAnsi="Times New Roman" w:cs="Times New Roman"/>
          <w:noProof/>
        </w:rPr>
        <w:t>3 (4) (2010): pp. 1-4.</w:t>
      </w:r>
      <w:bookmarkEnd w:id="115"/>
    </w:p>
    <w:p w14:paraId="70E9C693" w14:textId="77777777" w:rsidR="002A1763" w:rsidRPr="0025514D" w:rsidRDefault="002A1763" w:rsidP="002A1763">
      <w:pPr>
        <w:spacing w:line="240" w:lineRule="auto"/>
        <w:ind w:left="720" w:hanging="720"/>
        <w:jc w:val="both"/>
        <w:rPr>
          <w:rFonts w:ascii="Times New Roman" w:hAnsi="Times New Roman" w:cs="Times New Roman"/>
          <w:noProof/>
        </w:rPr>
      </w:pPr>
      <w:bookmarkStart w:id="116" w:name="_ENREF_33"/>
      <w:r w:rsidRPr="0025514D">
        <w:rPr>
          <w:rFonts w:ascii="Times New Roman" w:hAnsi="Times New Roman" w:cs="Times New Roman"/>
          <w:noProof/>
        </w:rPr>
        <w:t xml:space="preserve">Cruickshank, J, ed. </w:t>
      </w:r>
      <w:r w:rsidRPr="0025514D">
        <w:rPr>
          <w:rFonts w:ascii="Times New Roman" w:hAnsi="Times New Roman" w:cs="Times New Roman"/>
          <w:i/>
          <w:noProof/>
        </w:rPr>
        <w:t>Critical Realism: The Difference That It Makes</w:t>
      </w:r>
      <w:r w:rsidRPr="0025514D">
        <w:rPr>
          <w:rFonts w:ascii="Times New Roman" w:hAnsi="Times New Roman" w:cs="Times New Roman"/>
          <w:noProof/>
        </w:rPr>
        <w:t>. London: Routledge, 2003.</w:t>
      </w:r>
      <w:bookmarkEnd w:id="116"/>
    </w:p>
    <w:p w14:paraId="219F58B2" w14:textId="77777777" w:rsidR="002A1763" w:rsidRPr="0025514D" w:rsidRDefault="002A1763" w:rsidP="002A1763">
      <w:pPr>
        <w:spacing w:line="240" w:lineRule="auto"/>
        <w:ind w:left="720" w:hanging="720"/>
        <w:jc w:val="both"/>
        <w:rPr>
          <w:rFonts w:ascii="Times New Roman" w:hAnsi="Times New Roman" w:cs="Times New Roman"/>
          <w:noProof/>
        </w:rPr>
      </w:pPr>
      <w:bookmarkStart w:id="117" w:name="_ENREF_34"/>
      <w:r w:rsidRPr="0025514D">
        <w:rPr>
          <w:rFonts w:ascii="Times New Roman" w:hAnsi="Times New Roman" w:cs="Times New Roman"/>
          <w:noProof/>
        </w:rPr>
        <w:t xml:space="preserve">Della Porta, Donatella. "Research on Social Movements and Political Violence." </w:t>
      </w:r>
      <w:r w:rsidRPr="0025514D">
        <w:rPr>
          <w:rFonts w:ascii="Times New Roman" w:hAnsi="Times New Roman" w:cs="Times New Roman"/>
          <w:i/>
          <w:noProof/>
        </w:rPr>
        <w:t xml:space="preserve">Qualitative Sociology </w:t>
      </w:r>
      <w:r w:rsidRPr="0025514D">
        <w:rPr>
          <w:rFonts w:ascii="Times New Roman" w:hAnsi="Times New Roman" w:cs="Times New Roman"/>
          <w:noProof/>
        </w:rPr>
        <w:t>31 (3) (2008): pp. 221-30.</w:t>
      </w:r>
      <w:bookmarkEnd w:id="117"/>
    </w:p>
    <w:p w14:paraId="07855746" w14:textId="77777777" w:rsidR="002A1763" w:rsidRPr="0025514D" w:rsidRDefault="002A1763" w:rsidP="002A1763">
      <w:pPr>
        <w:spacing w:line="240" w:lineRule="auto"/>
        <w:ind w:left="720" w:hanging="720"/>
        <w:jc w:val="both"/>
        <w:rPr>
          <w:rFonts w:ascii="Times New Roman" w:hAnsi="Times New Roman" w:cs="Times New Roman"/>
          <w:noProof/>
        </w:rPr>
      </w:pPr>
      <w:bookmarkStart w:id="118" w:name="_ENREF_35"/>
      <w:r w:rsidRPr="0025514D">
        <w:rPr>
          <w:rFonts w:ascii="Times New Roman" w:hAnsi="Times New Roman" w:cs="Times New Roman"/>
          <w:noProof/>
        </w:rPr>
        <w:t xml:space="preserve">Della Porta, Donatella, and Mario Diani. </w:t>
      </w:r>
      <w:r w:rsidRPr="0025514D">
        <w:rPr>
          <w:rFonts w:ascii="Times New Roman" w:hAnsi="Times New Roman" w:cs="Times New Roman"/>
          <w:i/>
          <w:noProof/>
        </w:rPr>
        <w:t>Social Movements: An Introduction</w:t>
      </w:r>
      <w:r w:rsidRPr="0025514D">
        <w:rPr>
          <w:rFonts w:ascii="Times New Roman" w:hAnsi="Times New Roman" w:cs="Times New Roman"/>
          <w:noProof/>
        </w:rPr>
        <w:t>.  Oxford: Basil Blackwell, 1999.</w:t>
      </w:r>
      <w:bookmarkEnd w:id="118"/>
    </w:p>
    <w:p w14:paraId="189C1348" w14:textId="77777777" w:rsidR="002A1763" w:rsidRPr="0025514D" w:rsidRDefault="002A1763" w:rsidP="002A1763">
      <w:pPr>
        <w:spacing w:line="240" w:lineRule="auto"/>
        <w:ind w:left="720" w:hanging="720"/>
        <w:jc w:val="both"/>
        <w:rPr>
          <w:rFonts w:ascii="Times New Roman" w:hAnsi="Times New Roman" w:cs="Times New Roman"/>
          <w:noProof/>
        </w:rPr>
      </w:pPr>
      <w:bookmarkStart w:id="119" w:name="_ENREF_36"/>
      <w:r w:rsidRPr="0025514D">
        <w:rPr>
          <w:rFonts w:ascii="Times New Roman" w:hAnsi="Times New Roman" w:cs="Times New Roman"/>
          <w:noProof/>
        </w:rPr>
        <w:lastRenderedPageBreak/>
        <w:t xml:space="preserve">Della Porta, Donatella, and Gary LaFree. "Guest Editorial: Processes of Radicalization and De-Radicalization." </w:t>
      </w:r>
      <w:r w:rsidRPr="0025514D">
        <w:rPr>
          <w:rFonts w:ascii="Times New Roman" w:hAnsi="Times New Roman" w:cs="Times New Roman"/>
          <w:i/>
          <w:noProof/>
        </w:rPr>
        <w:t xml:space="preserve">International Journal of Conflict and Violence </w:t>
      </w:r>
      <w:r w:rsidRPr="0025514D">
        <w:rPr>
          <w:rFonts w:ascii="Times New Roman" w:hAnsi="Times New Roman" w:cs="Times New Roman"/>
          <w:noProof/>
        </w:rPr>
        <w:t>6 (1) (2012): pp. 5-10.</w:t>
      </w:r>
      <w:bookmarkEnd w:id="119"/>
    </w:p>
    <w:p w14:paraId="51F78F47" w14:textId="77777777" w:rsidR="002A1763" w:rsidRPr="0025514D" w:rsidRDefault="002A1763" w:rsidP="002A1763">
      <w:pPr>
        <w:spacing w:line="240" w:lineRule="auto"/>
        <w:ind w:left="720" w:hanging="720"/>
        <w:jc w:val="both"/>
        <w:rPr>
          <w:rFonts w:ascii="Times New Roman" w:hAnsi="Times New Roman" w:cs="Times New Roman"/>
          <w:noProof/>
        </w:rPr>
      </w:pPr>
      <w:bookmarkStart w:id="120" w:name="_ENREF_37"/>
      <w:r w:rsidRPr="0025514D">
        <w:rPr>
          <w:rFonts w:ascii="Times New Roman" w:hAnsi="Times New Roman" w:cs="Times New Roman"/>
          <w:noProof/>
        </w:rPr>
        <w:t xml:space="preserve">Diani, Mario, and Doug McAdam, eds. </w:t>
      </w:r>
      <w:r w:rsidRPr="0025514D">
        <w:rPr>
          <w:rFonts w:ascii="Times New Roman" w:hAnsi="Times New Roman" w:cs="Times New Roman"/>
          <w:i/>
          <w:noProof/>
        </w:rPr>
        <w:t>Social Movements and Networks: Relational Approaches to Collective Action</w:t>
      </w:r>
      <w:r w:rsidRPr="0025514D">
        <w:rPr>
          <w:rFonts w:ascii="Times New Roman" w:hAnsi="Times New Roman" w:cs="Times New Roman"/>
          <w:noProof/>
        </w:rPr>
        <w:t>. New York: Oxford University Press, 2003.</w:t>
      </w:r>
      <w:bookmarkEnd w:id="120"/>
    </w:p>
    <w:p w14:paraId="3F421321" w14:textId="77777777" w:rsidR="002A1763" w:rsidRPr="0025514D" w:rsidRDefault="002A1763" w:rsidP="002A1763">
      <w:pPr>
        <w:spacing w:line="240" w:lineRule="auto"/>
        <w:ind w:left="720" w:hanging="720"/>
        <w:jc w:val="both"/>
        <w:rPr>
          <w:rFonts w:ascii="Times New Roman" w:hAnsi="Times New Roman" w:cs="Times New Roman"/>
          <w:noProof/>
        </w:rPr>
      </w:pPr>
      <w:bookmarkStart w:id="121" w:name="_ENREF_38"/>
      <w:r w:rsidRPr="0025514D">
        <w:rPr>
          <w:rFonts w:ascii="Times New Roman" w:hAnsi="Times New Roman" w:cs="Times New Roman"/>
          <w:noProof/>
        </w:rPr>
        <w:t xml:space="preserve">Dingley, James. "Northern Ireland and the 'Troubles'." In </w:t>
      </w:r>
      <w:r w:rsidRPr="0025514D">
        <w:rPr>
          <w:rFonts w:ascii="Times New Roman" w:hAnsi="Times New Roman" w:cs="Times New Roman"/>
          <w:i/>
          <w:noProof/>
        </w:rPr>
        <w:t>Combating Terrorism in Northern Ireland</w:t>
      </w:r>
      <w:r w:rsidRPr="0025514D">
        <w:rPr>
          <w:rFonts w:ascii="Times New Roman" w:hAnsi="Times New Roman" w:cs="Times New Roman"/>
          <w:noProof/>
        </w:rPr>
        <w:t>, edited by Darren Davis. Abingdon: Routledge, 2009.</w:t>
      </w:r>
      <w:bookmarkEnd w:id="121"/>
    </w:p>
    <w:p w14:paraId="28FC74B3" w14:textId="77777777" w:rsidR="002A1763" w:rsidRPr="0025514D" w:rsidRDefault="002A1763" w:rsidP="002A1763">
      <w:pPr>
        <w:spacing w:line="240" w:lineRule="auto"/>
        <w:ind w:left="720" w:hanging="720"/>
        <w:jc w:val="both"/>
        <w:rPr>
          <w:rFonts w:ascii="Times New Roman" w:hAnsi="Times New Roman" w:cs="Times New Roman"/>
          <w:noProof/>
        </w:rPr>
      </w:pPr>
      <w:bookmarkStart w:id="122" w:name="_ENREF_39"/>
      <w:r w:rsidRPr="0025514D">
        <w:rPr>
          <w:rFonts w:ascii="Times New Roman" w:hAnsi="Times New Roman" w:cs="Times New Roman"/>
          <w:noProof/>
        </w:rPr>
        <w:t xml:space="preserve">Dixon, Paul. </w:t>
      </w:r>
      <w:r w:rsidRPr="0025514D">
        <w:rPr>
          <w:rFonts w:ascii="Times New Roman" w:hAnsi="Times New Roman" w:cs="Times New Roman"/>
          <w:i/>
          <w:noProof/>
        </w:rPr>
        <w:t>Northern Ireland: The Politics of War and Peace</w:t>
      </w:r>
      <w:r w:rsidRPr="0025514D">
        <w:rPr>
          <w:rFonts w:ascii="Times New Roman" w:hAnsi="Times New Roman" w:cs="Times New Roman"/>
          <w:noProof/>
        </w:rPr>
        <w:t>.  Basingstoke: Palgrave Macmillan, 2008.</w:t>
      </w:r>
      <w:bookmarkEnd w:id="122"/>
    </w:p>
    <w:p w14:paraId="76261B66" w14:textId="77777777" w:rsidR="002A1763" w:rsidRPr="0025514D" w:rsidRDefault="002A1763" w:rsidP="002A1763">
      <w:pPr>
        <w:spacing w:line="240" w:lineRule="auto"/>
        <w:ind w:left="720" w:hanging="720"/>
        <w:jc w:val="both"/>
        <w:rPr>
          <w:rFonts w:ascii="Times New Roman" w:hAnsi="Times New Roman" w:cs="Times New Roman"/>
          <w:noProof/>
        </w:rPr>
      </w:pPr>
      <w:bookmarkStart w:id="123" w:name="_ENREF_40"/>
      <w:r w:rsidRPr="0025514D">
        <w:rPr>
          <w:rFonts w:ascii="Times New Roman" w:hAnsi="Times New Roman" w:cs="Times New Roman"/>
          <w:noProof/>
        </w:rPr>
        <w:t xml:space="preserve">———. "The Politics of Antagonism: Explaining Mcgarry and O'leary." </w:t>
      </w:r>
      <w:r w:rsidRPr="0025514D">
        <w:rPr>
          <w:rFonts w:ascii="Times New Roman" w:hAnsi="Times New Roman" w:cs="Times New Roman"/>
          <w:i/>
          <w:noProof/>
        </w:rPr>
        <w:t xml:space="preserve">Irish Political Studies </w:t>
      </w:r>
      <w:r w:rsidRPr="0025514D">
        <w:rPr>
          <w:rFonts w:ascii="Times New Roman" w:hAnsi="Times New Roman" w:cs="Times New Roman"/>
          <w:noProof/>
        </w:rPr>
        <w:t>11 (1) (1996): pp. 130-41.</w:t>
      </w:r>
      <w:bookmarkEnd w:id="123"/>
    </w:p>
    <w:p w14:paraId="01CD4E8F" w14:textId="77777777" w:rsidR="002A1763" w:rsidRPr="0025514D" w:rsidRDefault="002A1763" w:rsidP="002A1763">
      <w:pPr>
        <w:spacing w:line="240" w:lineRule="auto"/>
        <w:ind w:left="720" w:hanging="720"/>
        <w:jc w:val="both"/>
        <w:rPr>
          <w:rFonts w:ascii="Times New Roman" w:hAnsi="Times New Roman" w:cs="Times New Roman"/>
          <w:noProof/>
        </w:rPr>
      </w:pPr>
      <w:bookmarkStart w:id="124" w:name="_ENREF_41"/>
      <w:r w:rsidRPr="0025514D">
        <w:rPr>
          <w:rFonts w:ascii="Times New Roman" w:hAnsi="Times New Roman" w:cs="Times New Roman"/>
          <w:noProof/>
        </w:rPr>
        <w:t xml:space="preserve">Dwyer, Clare. "Expanding Ddr: The Transformative Role of Former Prisoners in Community-Based Reintegration in Northern Ireland." </w:t>
      </w:r>
      <w:r w:rsidRPr="0025514D">
        <w:rPr>
          <w:rFonts w:ascii="Times New Roman" w:hAnsi="Times New Roman" w:cs="Times New Roman"/>
          <w:i/>
          <w:noProof/>
        </w:rPr>
        <w:t xml:space="preserve">The International Journal of Transitional Justice </w:t>
      </w:r>
      <w:r w:rsidRPr="0025514D">
        <w:rPr>
          <w:rFonts w:ascii="Times New Roman" w:hAnsi="Times New Roman" w:cs="Times New Roman"/>
          <w:noProof/>
        </w:rPr>
        <w:t>6 (2) (2012): pp. 274-95.</w:t>
      </w:r>
      <w:bookmarkEnd w:id="124"/>
    </w:p>
    <w:p w14:paraId="36B59C53" w14:textId="77777777" w:rsidR="002A1763" w:rsidRPr="0025514D" w:rsidRDefault="002A1763" w:rsidP="002A1763">
      <w:pPr>
        <w:spacing w:line="240" w:lineRule="auto"/>
        <w:ind w:left="720" w:hanging="720"/>
        <w:jc w:val="both"/>
        <w:rPr>
          <w:rFonts w:ascii="Times New Roman" w:hAnsi="Times New Roman" w:cs="Times New Roman"/>
          <w:noProof/>
        </w:rPr>
      </w:pPr>
      <w:bookmarkStart w:id="125" w:name="_ENREF_42"/>
      <w:r w:rsidRPr="0025514D">
        <w:rPr>
          <w:rFonts w:ascii="Times New Roman" w:hAnsi="Times New Roman" w:cs="Times New Roman"/>
          <w:noProof/>
        </w:rPr>
        <w:t xml:space="preserve">Easton, G. "Critical Realism in Case Study Research." </w:t>
      </w:r>
      <w:r w:rsidRPr="0025514D">
        <w:rPr>
          <w:rFonts w:ascii="Times New Roman" w:hAnsi="Times New Roman" w:cs="Times New Roman"/>
          <w:i/>
          <w:noProof/>
        </w:rPr>
        <w:t xml:space="preserve">Industrial Marketing Management </w:t>
      </w:r>
      <w:r w:rsidRPr="0025514D">
        <w:rPr>
          <w:rFonts w:ascii="Times New Roman" w:hAnsi="Times New Roman" w:cs="Times New Roman"/>
          <w:noProof/>
        </w:rPr>
        <w:t>Vol. 39 (2010).</w:t>
      </w:r>
      <w:bookmarkEnd w:id="125"/>
    </w:p>
    <w:p w14:paraId="0275592C" w14:textId="77777777" w:rsidR="002A1763" w:rsidRPr="0025514D" w:rsidRDefault="002A1763" w:rsidP="002A1763">
      <w:pPr>
        <w:spacing w:line="240" w:lineRule="auto"/>
        <w:ind w:left="720" w:hanging="720"/>
        <w:jc w:val="both"/>
        <w:rPr>
          <w:rFonts w:ascii="Times New Roman" w:hAnsi="Times New Roman" w:cs="Times New Roman"/>
          <w:noProof/>
        </w:rPr>
      </w:pPr>
      <w:bookmarkStart w:id="126" w:name="_ENREF_43"/>
      <w:r w:rsidRPr="0025514D">
        <w:rPr>
          <w:rFonts w:ascii="Times New Roman" w:hAnsi="Times New Roman" w:cs="Times New Roman"/>
          <w:noProof/>
        </w:rPr>
        <w:t xml:space="preserve">Elder-Vass. "Reconciling Archer and Bourdieu in an Emergentist Theory of Action." </w:t>
      </w:r>
      <w:r w:rsidRPr="0025514D">
        <w:rPr>
          <w:rFonts w:ascii="Times New Roman" w:hAnsi="Times New Roman" w:cs="Times New Roman"/>
          <w:i/>
          <w:noProof/>
        </w:rPr>
        <w:t xml:space="preserve">Sociology Theory </w:t>
      </w:r>
      <w:r w:rsidRPr="0025514D">
        <w:rPr>
          <w:rFonts w:ascii="Times New Roman" w:hAnsi="Times New Roman" w:cs="Times New Roman"/>
          <w:noProof/>
        </w:rPr>
        <w:t xml:space="preserve"> (2007).</w:t>
      </w:r>
      <w:bookmarkEnd w:id="126"/>
    </w:p>
    <w:p w14:paraId="143B524C" w14:textId="77777777" w:rsidR="002A1763" w:rsidRPr="0025514D" w:rsidRDefault="002A1763" w:rsidP="002A1763">
      <w:pPr>
        <w:spacing w:line="240" w:lineRule="auto"/>
        <w:ind w:left="720" w:hanging="720"/>
        <w:jc w:val="both"/>
        <w:rPr>
          <w:rFonts w:ascii="Times New Roman" w:hAnsi="Times New Roman" w:cs="Times New Roman"/>
          <w:noProof/>
        </w:rPr>
      </w:pPr>
      <w:bookmarkStart w:id="127" w:name="_ENREF_44"/>
      <w:r w:rsidRPr="0025514D">
        <w:rPr>
          <w:rFonts w:ascii="Times New Roman" w:hAnsi="Times New Roman" w:cs="Times New Roman"/>
          <w:noProof/>
        </w:rPr>
        <w:t xml:space="preserve">Emerson, Lesley. "Conflict, Transition and Education for 'Political Generosity': Learning from the Experience of Ex-Combatants in Northern Ireland." </w:t>
      </w:r>
      <w:r w:rsidRPr="0025514D">
        <w:rPr>
          <w:rFonts w:ascii="Times New Roman" w:hAnsi="Times New Roman" w:cs="Times New Roman"/>
          <w:i/>
          <w:noProof/>
        </w:rPr>
        <w:t xml:space="preserve">Journal of Peace Education </w:t>
      </w:r>
      <w:r w:rsidRPr="0025514D">
        <w:rPr>
          <w:rFonts w:ascii="Times New Roman" w:hAnsi="Times New Roman" w:cs="Times New Roman"/>
          <w:noProof/>
        </w:rPr>
        <w:t>9 (3) (2012): pp. 277-95.</w:t>
      </w:r>
      <w:bookmarkEnd w:id="127"/>
    </w:p>
    <w:p w14:paraId="3FE63E2A" w14:textId="77777777" w:rsidR="002A1763" w:rsidRPr="0025514D" w:rsidRDefault="002A1763" w:rsidP="002A1763">
      <w:pPr>
        <w:spacing w:line="240" w:lineRule="auto"/>
        <w:ind w:left="720" w:hanging="720"/>
        <w:jc w:val="both"/>
        <w:rPr>
          <w:rFonts w:ascii="Times New Roman" w:hAnsi="Times New Roman" w:cs="Times New Roman"/>
          <w:noProof/>
        </w:rPr>
      </w:pPr>
      <w:bookmarkStart w:id="128" w:name="_ENREF_45"/>
      <w:r w:rsidRPr="0025514D">
        <w:rPr>
          <w:rFonts w:ascii="Times New Roman" w:hAnsi="Times New Roman" w:cs="Times New Roman"/>
          <w:noProof/>
        </w:rPr>
        <w:t>Emerson, Lesley, Paul Connolly, and Karen Orr. "Evaluation of the Effectiveness of the 'Prison to Peace: Learning from the Experience of Political Ex-Prisoners' Educational Programme." Belfast: Centre for Effective Education: Queen's University Belfast, 2014.</w:t>
      </w:r>
      <w:bookmarkEnd w:id="128"/>
    </w:p>
    <w:p w14:paraId="3C94D888" w14:textId="77777777" w:rsidR="002A1763" w:rsidRPr="0025514D" w:rsidRDefault="002A1763" w:rsidP="002A1763">
      <w:pPr>
        <w:spacing w:line="240" w:lineRule="auto"/>
        <w:ind w:left="720" w:hanging="720"/>
        <w:jc w:val="both"/>
        <w:rPr>
          <w:rFonts w:ascii="Times New Roman" w:hAnsi="Times New Roman" w:cs="Times New Roman"/>
          <w:noProof/>
        </w:rPr>
      </w:pPr>
      <w:bookmarkStart w:id="129" w:name="_ENREF_46"/>
      <w:r w:rsidRPr="0025514D">
        <w:rPr>
          <w:rFonts w:ascii="Times New Roman" w:hAnsi="Times New Roman" w:cs="Times New Roman"/>
          <w:noProof/>
        </w:rPr>
        <w:t xml:space="preserve">Emerson, Lesley, and Allan McCully. "Teaching Controversial Issues in Conflict and in Transition to Peace: An Analysis of Policy and Practice in Northern Ireland." In </w:t>
      </w:r>
      <w:r w:rsidRPr="0025514D">
        <w:rPr>
          <w:rFonts w:ascii="Times New Roman" w:hAnsi="Times New Roman" w:cs="Times New Roman"/>
          <w:i/>
          <w:noProof/>
        </w:rPr>
        <w:t>Cross-Cultural Case Studies of Teaching Controversial Issues: Pathways and Challenges to Democratic Citizenship Education</w:t>
      </w:r>
      <w:r w:rsidRPr="0025514D">
        <w:rPr>
          <w:rFonts w:ascii="Times New Roman" w:hAnsi="Times New Roman" w:cs="Times New Roman"/>
          <w:noProof/>
        </w:rPr>
        <w:t>, edited by T Misco. Nijmegen: Wolf Legal, 2014.</w:t>
      </w:r>
      <w:bookmarkEnd w:id="129"/>
    </w:p>
    <w:p w14:paraId="7F158284" w14:textId="77777777" w:rsidR="002A1763" w:rsidRPr="0025514D" w:rsidRDefault="002A1763" w:rsidP="002A1763">
      <w:pPr>
        <w:spacing w:line="240" w:lineRule="auto"/>
        <w:ind w:left="720" w:hanging="720"/>
        <w:jc w:val="both"/>
        <w:rPr>
          <w:rFonts w:ascii="Times New Roman" w:hAnsi="Times New Roman" w:cs="Times New Roman"/>
          <w:noProof/>
        </w:rPr>
      </w:pPr>
      <w:bookmarkStart w:id="130" w:name="_ENREF_47"/>
      <w:r w:rsidRPr="0025514D">
        <w:rPr>
          <w:rFonts w:ascii="Times New Roman" w:hAnsi="Times New Roman" w:cs="Times New Roman"/>
          <w:noProof/>
        </w:rPr>
        <w:t xml:space="preserve">English, Richard. </w:t>
      </w:r>
      <w:r w:rsidRPr="0025514D">
        <w:rPr>
          <w:rFonts w:ascii="Times New Roman" w:hAnsi="Times New Roman" w:cs="Times New Roman"/>
          <w:i/>
          <w:noProof/>
        </w:rPr>
        <w:t>Armed Struggle: The History of the Ira</w:t>
      </w:r>
      <w:r w:rsidRPr="0025514D">
        <w:rPr>
          <w:rFonts w:ascii="Times New Roman" w:hAnsi="Times New Roman" w:cs="Times New Roman"/>
          <w:noProof/>
        </w:rPr>
        <w:t>.  London: Macmillan, 2003.</w:t>
      </w:r>
      <w:bookmarkEnd w:id="130"/>
    </w:p>
    <w:p w14:paraId="49D59FFD" w14:textId="77777777" w:rsidR="002A1763" w:rsidRPr="0025514D" w:rsidRDefault="002A1763" w:rsidP="002A1763">
      <w:pPr>
        <w:spacing w:line="240" w:lineRule="auto"/>
        <w:ind w:left="720" w:hanging="720"/>
        <w:jc w:val="both"/>
        <w:rPr>
          <w:rFonts w:ascii="Times New Roman" w:hAnsi="Times New Roman" w:cs="Times New Roman"/>
          <w:noProof/>
        </w:rPr>
      </w:pPr>
      <w:bookmarkStart w:id="131" w:name="_ENREF_48"/>
      <w:r w:rsidRPr="0025514D">
        <w:rPr>
          <w:rFonts w:ascii="Times New Roman" w:hAnsi="Times New Roman" w:cs="Times New Roman"/>
          <w:noProof/>
        </w:rPr>
        <w:t xml:space="preserve">Evans, Alexander. "Understanding Madrasahs: How Threatening Are They?". </w:t>
      </w:r>
      <w:r w:rsidRPr="0025514D">
        <w:rPr>
          <w:rFonts w:ascii="Times New Roman" w:hAnsi="Times New Roman" w:cs="Times New Roman"/>
          <w:i/>
          <w:noProof/>
        </w:rPr>
        <w:t xml:space="preserve">Foreign Affairs </w:t>
      </w:r>
      <w:r w:rsidRPr="0025514D">
        <w:rPr>
          <w:rFonts w:ascii="Times New Roman" w:hAnsi="Times New Roman" w:cs="Times New Roman"/>
          <w:noProof/>
        </w:rPr>
        <w:t>9 (2006).</w:t>
      </w:r>
      <w:bookmarkEnd w:id="131"/>
    </w:p>
    <w:p w14:paraId="58722559" w14:textId="77777777" w:rsidR="002A1763" w:rsidRPr="0025514D" w:rsidRDefault="002A1763" w:rsidP="002A1763">
      <w:pPr>
        <w:spacing w:line="240" w:lineRule="auto"/>
        <w:ind w:left="720" w:hanging="720"/>
        <w:jc w:val="both"/>
        <w:rPr>
          <w:rFonts w:ascii="Times New Roman" w:hAnsi="Times New Roman" w:cs="Times New Roman"/>
          <w:noProof/>
        </w:rPr>
      </w:pPr>
      <w:bookmarkStart w:id="132" w:name="_ENREF_49"/>
      <w:r w:rsidRPr="0025514D">
        <w:rPr>
          <w:rFonts w:ascii="Times New Roman" w:hAnsi="Times New Roman" w:cs="Times New Roman"/>
          <w:noProof/>
        </w:rPr>
        <w:t>Fink, Naureen Chowdhury , and Ellie B Hearne. "Beyond Terrorism: Deradicalization and Disengagement from Violent Extremism." New York: International Peace Institute, 2008.</w:t>
      </w:r>
      <w:bookmarkEnd w:id="132"/>
    </w:p>
    <w:p w14:paraId="52E134F5" w14:textId="77777777" w:rsidR="002A1763" w:rsidRPr="0025514D" w:rsidRDefault="002A1763" w:rsidP="002A1763">
      <w:pPr>
        <w:spacing w:line="240" w:lineRule="auto"/>
        <w:ind w:left="720" w:hanging="720"/>
        <w:jc w:val="both"/>
        <w:rPr>
          <w:rFonts w:ascii="Times New Roman" w:hAnsi="Times New Roman" w:cs="Times New Roman"/>
          <w:noProof/>
        </w:rPr>
      </w:pPr>
      <w:bookmarkStart w:id="133" w:name="_ENREF_50"/>
      <w:r w:rsidRPr="0025514D">
        <w:rPr>
          <w:rFonts w:ascii="Times New Roman" w:hAnsi="Times New Roman" w:cs="Times New Roman"/>
          <w:noProof/>
        </w:rPr>
        <w:t xml:space="preserve">Fishbein, Martin, and Icek Ajzen. </w:t>
      </w:r>
      <w:r w:rsidRPr="0025514D">
        <w:rPr>
          <w:rFonts w:ascii="Times New Roman" w:hAnsi="Times New Roman" w:cs="Times New Roman"/>
          <w:i/>
          <w:noProof/>
        </w:rPr>
        <w:t>Predicting and Changing Behavior: The Reasoned Action Approach</w:t>
      </w:r>
      <w:r w:rsidRPr="0025514D">
        <w:rPr>
          <w:rFonts w:ascii="Times New Roman" w:hAnsi="Times New Roman" w:cs="Times New Roman"/>
          <w:noProof/>
        </w:rPr>
        <w:t>.  New York: Psychology Press - Taylor Francis Group, 2011.</w:t>
      </w:r>
      <w:bookmarkEnd w:id="133"/>
    </w:p>
    <w:p w14:paraId="0B330017" w14:textId="77777777" w:rsidR="002A1763" w:rsidRPr="0025514D" w:rsidRDefault="002A1763" w:rsidP="002A1763">
      <w:pPr>
        <w:spacing w:line="240" w:lineRule="auto"/>
        <w:ind w:left="720" w:hanging="720"/>
        <w:jc w:val="both"/>
        <w:rPr>
          <w:rFonts w:ascii="Times New Roman" w:hAnsi="Times New Roman" w:cs="Times New Roman"/>
          <w:noProof/>
        </w:rPr>
      </w:pPr>
      <w:bookmarkStart w:id="134" w:name="_ENREF_51"/>
      <w:r w:rsidRPr="0025514D">
        <w:rPr>
          <w:rFonts w:ascii="Times New Roman" w:hAnsi="Times New Roman" w:cs="Times New Roman"/>
          <w:noProof/>
        </w:rPr>
        <w:t xml:space="preserve">Frampton, Martyn. "Dissident Irish Republican Violence: A Resurgent Threat?". </w:t>
      </w:r>
      <w:r w:rsidRPr="0025514D">
        <w:rPr>
          <w:rFonts w:ascii="Times New Roman" w:hAnsi="Times New Roman" w:cs="Times New Roman"/>
          <w:i/>
          <w:noProof/>
        </w:rPr>
        <w:t xml:space="preserve">The Political Quarterly </w:t>
      </w:r>
      <w:r w:rsidRPr="0025514D">
        <w:rPr>
          <w:rFonts w:ascii="Times New Roman" w:hAnsi="Times New Roman" w:cs="Times New Roman"/>
          <w:noProof/>
        </w:rPr>
        <w:t>83 (2) (2012): pp. 227-37.</w:t>
      </w:r>
      <w:bookmarkEnd w:id="134"/>
    </w:p>
    <w:p w14:paraId="46DB3654" w14:textId="77777777" w:rsidR="002A1763" w:rsidRPr="0025514D" w:rsidRDefault="002A1763" w:rsidP="002A1763">
      <w:pPr>
        <w:spacing w:line="240" w:lineRule="auto"/>
        <w:ind w:left="720" w:hanging="720"/>
        <w:jc w:val="both"/>
        <w:rPr>
          <w:rFonts w:ascii="Times New Roman" w:hAnsi="Times New Roman" w:cs="Times New Roman"/>
          <w:noProof/>
        </w:rPr>
      </w:pPr>
      <w:bookmarkStart w:id="135" w:name="_ENREF_52"/>
      <w:r w:rsidRPr="0025514D">
        <w:rPr>
          <w:rFonts w:ascii="Times New Roman" w:hAnsi="Times New Roman" w:cs="Times New Roman"/>
          <w:noProof/>
        </w:rPr>
        <w:t xml:space="preserve">Glaser, Barney G., and Anselm L. Strauss. </w:t>
      </w:r>
      <w:r w:rsidRPr="0025514D">
        <w:rPr>
          <w:rFonts w:ascii="Times New Roman" w:hAnsi="Times New Roman" w:cs="Times New Roman"/>
          <w:i/>
          <w:noProof/>
        </w:rPr>
        <w:t>The Discovery of Grounded Theory: Strategies for Qualitative Research</w:t>
      </w:r>
      <w:r w:rsidRPr="0025514D">
        <w:rPr>
          <w:rFonts w:ascii="Times New Roman" w:hAnsi="Times New Roman" w:cs="Times New Roman"/>
          <w:noProof/>
        </w:rPr>
        <w:t>.  Chicago: Aldine, 1967.</w:t>
      </w:r>
      <w:bookmarkEnd w:id="135"/>
    </w:p>
    <w:p w14:paraId="7EDD0CF9" w14:textId="77777777" w:rsidR="002A1763" w:rsidRPr="0025514D" w:rsidRDefault="002A1763" w:rsidP="002A1763">
      <w:pPr>
        <w:spacing w:line="240" w:lineRule="auto"/>
        <w:ind w:left="720" w:hanging="720"/>
        <w:jc w:val="both"/>
        <w:rPr>
          <w:rFonts w:ascii="Times New Roman" w:hAnsi="Times New Roman" w:cs="Times New Roman"/>
          <w:noProof/>
        </w:rPr>
      </w:pPr>
      <w:bookmarkStart w:id="136" w:name="_ENREF_53"/>
      <w:r w:rsidRPr="0025514D">
        <w:rPr>
          <w:rFonts w:ascii="Times New Roman" w:hAnsi="Times New Roman" w:cs="Times New Roman"/>
          <w:noProof/>
        </w:rPr>
        <w:t xml:space="preserve">Goffman, Erving. </w:t>
      </w:r>
      <w:r w:rsidRPr="0025514D">
        <w:rPr>
          <w:rFonts w:ascii="Times New Roman" w:hAnsi="Times New Roman" w:cs="Times New Roman"/>
          <w:i/>
          <w:noProof/>
        </w:rPr>
        <w:t>Frame Analysis: An Essay on the Organization of Experience</w:t>
      </w:r>
      <w:r w:rsidRPr="0025514D">
        <w:rPr>
          <w:rFonts w:ascii="Times New Roman" w:hAnsi="Times New Roman" w:cs="Times New Roman"/>
          <w:noProof/>
        </w:rPr>
        <w:t>.  New Hampshire: Northeastern University Press, 1974.</w:t>
      </w:r>
      <w:bookmarkEnd w:id="136"/>
    </w:p>
    <w:p w14:paraId="52E11190" w14:textId="77777777" w:rsidR="002A1763" w:rsidRPr="0025514D" w:rsidRDefault="002A1763" w:rsidP="002A1763">
      <w:pPr>
        <w:spacing w:line="240" w:lineRule="auto"/>
        <w:ind w:left="720" w:hanging="720"/>
        <w:jc w:val="both"/>
        <w:rPr>
          <w:rFonts w:ascii="Times New Roman" w:hAnsi="Times New Roman" w:cs="Times New Roman"/>
          <w:noProof/>
        </w:rPr>
      </w:pPr>
      <w:bookmarkStart w:id="137" w:name="_ENREF_54"/>
      <w:r w:rsidRPr="0025514D">
        <w:rPr>
          <w:rFonts w:ascii="Times New Roman" w:hAnsi="Times New Roman" w:cs="Times New Roman"/>
          <w:noProof/>
        </w:rPr>
        <w:t xml:space="preserve">Guelke, Adrian. "'Comparatively Peaceful': South Africa, the Middle East and Northern Ireland." In </w:t>
      </w:r>
      <w:r w:rsidRPr="0025514D">
        <w:rPr>
          <w:rFonts w:ascii="Times New Roman" w:hAnsi="Times New Roman" w:cs="Times New Roman"/>
          <w:i/>
          <w:noProof/>
        </w:rPr>
        <w:t>A Farewell to Arms? From 'Long War' to Long Peace in Northern Ireland</w:t>
      </w:r>
      <w:r w:rsidRPr="0025514D">
        <w:rPr>
          <w:rFonts w:ascii="Times New Roman" w:hAnsi="Times New Roman" w:cs="Times New Roman"/>
          <w:noProof/>
        </w:rPr>
        <w:t>, edited by Michael Cox, Adrian Guelke and Fiona Stephen. Manchester: Manchester University Press, 2000.</w:t>
      </w:r>
      <w:bookmarkEnd w:id="137"/>
    </w:p>
    <w:p w14:paraId="7DFB1B09" w14:textId="77777777" w:rsidR="002A1763" w:rsidRPr="0025514D" w:rsidRDefault="002A1763" w:rsidP="002A1763">
      <w:pPr>
        <w:spacing w:line="240" w:lineRule="auto"/>
        <w:ind w:left="720" w:hanging="720"/>
        <w:jc w:val="both"/>
        <w:rPr>
          <w:rFonts w:ascii="Times New Roman" w:hAnsi="Times New Roman" w:cs="Times New Roman"/>
          <w:noProof/>
        </w:rPr>
      </w:pPr>
      <w:bookmarkStart w:id="138" w:name="_ENREF_55"/>
      <w:r w:rsidRPr="0025514D">
        <w:rPr>
          <w:rFonts w:ascii="Times New Roman" w:hAnsi="Times New Roman" w:cs="Times New Roman"/>
          <w:noProof/>
        </w:rPr>
        <w:t xml:space="preserve">Gunaratna, Rohan, and Mohamed Bin Ali. "De-Radicalization Initiatives in Egypt: A Preliminary Insight." </w:t>
      </w:r>
      <w:r w:rsidRPr="0025514D">
        <w:rPr>
          <w:rFonts w:ascii="Times New Roman" w:hAnsi="Times New Roman" w:cs="Times New Roman"/>
          <w:i/>
          <w:noProof/>
        </w:rPr>
        <w:t xml:space="preserve">Studies of Conflict &amp; Terrorism </w:t>
      </w:r>
      <w:r w:rsidRPr="0025514D">
        <w:rPr>
          <w:rFonts w:ascii="Times New Roman" w:hAnsi="Times New Roman" w:cs="Times New Roman"/>
          <w:noProof/>
        </w:rPr>
        <w:t>32 (4) (2009): pp. 277-91.</w:t>
      </w:r>
      <w:bookmarkEnd w:id="138"/>
    </w:p>
    <w:p w14:paraId="424C5D44" w14:textId="77777777" w:rsidR="002A1763" w:rsidRPr="0025514D" w:rsidRDefault="002A1763" w:rsidP="002A1763">
      <w:pPr>
        <w:spacing w:line="240" w:lineRule="auto"/>
        <w:ind w:left="720" w:hanging="720"/>
        <w:jc w:val="both"/>
        <w:rPr>
          <w:rFonts w:ascii="Times New Roman" w:hAnsi="Times New Roman" w:cs="Times New Roman"/>
          <w:noProof/>
        </w:rPr>
      </w:pPr>
      <w:bookmarkStart w:id="139" w:name="_ENREF_56"/>
      <w:r w:rsidRPr="0025514D">
        <w:rPr>
          <w:rFonts w:ascii="Times New Roman" w:hAnsi="Times New Roman" w:cs="Times New Roman"/>
          <w:noProof/>
        </w:rPr>
        <w:t xml:space="preserve">Gunning, Jeroen. "Social Movement Theory and the Study of Terrorism." In </w:t>
      </w:r>
      <w:r w:rsidRPr="0025514D">
        <w:rPr>
          <w:rFonts w:ascii="Times New Roman" w:hAnsi="Times New Roman" w:cs="Times New Roman"/>
          <w:i/>
          <w:noProof/>
        </w:rPr>
        <w:t>Critical Terrorism Studies</w:t>
      </w:r>
      <w:r w:rsidRPr="0025514D">
        <w:rPr>
          <w:rFonts w:ascii="Times New Roman" w:hAnsi="Times New Roman" w:cs="Times New Roman"/>
          <w:noProof/>
        </w:rPr>
        <w:t>, edited by Richard Jackson, Marie Breen Smyth and Jeroen Gunning. London: Routledge, 2009.</w:t>
      </w:r>
      <w:bookmarkEnd w:id="139"/>
    </w:p>
    <w:p w14:paraId="7AD2411F" w14:textId="77777777" w:rsidR="002A1763" w:rsidRPr="0025514D" w:rsidRDefault="002A1763" w:rsidP="002A1763">
      <w:pPr>
        <w:spacing w:line="240" w:lineRule="auto"/>
        <w:ind w:left="720" w:hanging="720"/>
        <w:jc w:val="both"/>
        <w:rPr>
          <w:rFonts w:ascii="Times New Roman" w:hAnsi="Times New Roman" w:cs="Times New Roman"/>
          <w:noProof/>
        </w:rPr>
      </w:pPr>
      <w:bookmarkStart w:id="140" w:name="_ENREF_57"/>
      <w:r w:rsidRPr="0025514D">
        <w:rPr>
          <w:rFonts w:ascii="Times New Roman" w:hAnsi="Times New Roman" w:cs="Times New Roman"/>
          <w:noProof/>
        </w:rPr>
        <w:t xml:space="preserve">Gupta, Dipak K. </w:t>
      </w:r>
      <w:r w:rsidRPr="0025514D">
        <w:rPr>
          <w:rFonts w:ascii="Times New Roman" w:hAnsi="Times New Roman" w:cs="Times New Roman"/>
          <w:i/>
          <w:noProof/>
        </w:rPr>
        <w:t>Understanding Terrorism and Political Violence: The Life Cycle of Birth, Growth, Transformation, and Demise</w:t>
      </w:r>
      <w:r w:rsidRPr="0025514D">
        <w:rPr>
          <w:rFonts w:ascii="Times New Roman" w:hAnsi="Times New Roman" w:cs="Times New Roman"/>
          <w:noProof/>
        </w:rPr>
        <w:t>.  Oxon: Routledge, 2008.</w:t>
      </w:r>
      <w:bookmarkEnd w:id="140"/>
    </w:p>
    <w:p w14:paraId="3FEEA121" w14:textId="77777777" w:rsidR="002A1763" w:rsidRPr="0025514D" w:rsidRDefault="002A1763" w:rsidP="002A1763">
      <w:pPr>
        <w:spacing w:line="240" w:lineRule="auto"/>
        <w:ind w:left="720" w:hanging="720"/>
        <w:jc w:val="both"/>
        <w:rPr>
          <w:rFonts w:ascii="Times New Roman" w:hAnsi="Times New Roman" w:cs="Times New Roman"/>
          <w:noProof/>
        </w:rPr>
      </w:pPr>
      <w:bookmarkStart w:id="141" w:name="_ENREF_58"/>
      <w:r w:rsidRPr="0025514D">
        <w:rPr>
          <w:rFonts w:ascii="Times New Roman" w:hAnsi="Times New Roman" w:cs="Times New Roman"/>
          <w:noProof/>
        </w:rPr>
        <w:t xml:space="preserve">Gvineria, Gaga. "How Does Terrorism End?". In </w:t>
      </w:r>
      <w:r w:rsidRPr="0025514D">
        <w:rPr>
          <w:rFonts w:ascii="Times New Roman" w:hAnsi="Times New Roman" w:cs="Times New Roman"/>
          <w:i/>
          <w:noProof/>
        </w:rPr>
        <w:t>Social Science for Counter Terrorism : Putting the Pieces Together</w:t>
      </w:r>
      <w:r w:rsidRPr="0025514D">
        <w:rPr>
          <w:rFonts w:ascii="Times New Roman" w:hAnsi="Times New Roman" w:cs="Times New Roman"/>
          <w:noProof/>
        </w:rPr>
        <w:t>, edited by Paul K. Davis, Kim Cragin, Darcy Noricks, United States. National Defense Research Committee. and United States. Department of Defense., liii, 486 p. New York: National Defense Research Institute for the Office of the Secretary for Defense, 2009.</w:t>
      </w:r>
      <w:bookmarkEnd w:id="141"/>
    </w:p>
    <w:p w14:paraId="08BBAB82" w14:textId="77777777" w:rsidR="002A1763" w:rsidRPr="0025514D" w:rsidRDefault="002A1763" w:rsidP="002A1763">
      <w:pPr>
        <w:spacing w:line="240" w:lineRule="auto"/>
        <w:ind w:left="720" w:hanging="720"/>
        <w:jc w:val="both"/>
        <w:rPr>
          <w:rFonts w:ascii="Times New Roman" w:hAnsi="Times New Roman" w:cs="Times New Roman"/>
          <w:noProof/>
        </w:rPr>
      </w:pPr>
      <w:bookmarkStart w:id="142" w:name="_ENREF_59"/>
      <w:r w:rsidRPr="0025514D">
        <w:rPr>
          <w:rFonts w:ascii="Times New Roman" w:hAnsi="Times New Roman" w:cs="Times New Roman"/>
          <w:noProof/>
        </w:rPr>
        <w:t>Hall, Michael. "Preventing a Return to Conflict: A Discussion by Ex-Combatants." Netownabbey: Island Publications, 2009.</w:t>
      </w:r>
      <w:bookmarkEnd w:id="142"/>
    </w:p>
    <w:p w14:paraId="3BEE30EC" w14:textId="77777777" w:rsidR="002A1763" w:rsidRPr="0025514D" w:rsidRDefault="002A1763" w:rsidP="002A1763">
      <w:pPr>
        <w:spacing w:line="240" w:lineRule="auto"/>
        <w:ind w:left="720" w:hanging="720"/>
        <w:jc w:val="both"/>
        <w:rPr>
          <w:rFonts w:ascii="Times New Roman" w:hAnsi="Times New Roman" w:cs="Times New Roman"/>
          <w:noProof/>
        </w:rPr>
      </w:pPr>
      <w:bookmarkStart w:id="143" w:name="_ENREF_60"/>
      <w:r w:rsidRPr="0025514D">
        <w:rPr>
          <w:rFonts w:ascii="Times New Roman" w:hAnsi="Times New Roman" w:cs="Times New Roman"/>
          <w:noProof/>
        </w:rPr>
        <w:t xml:space="preserve">Hammersley, Martyn. </w:t>
      </w:r>
      <w:r w:rsidRPr="0025514D">
        <w:rPr>
          <w:rFonts w:ascii="Times New Roman" w:hAnsi="Times New Roman" w:cs="Times New Roman"/>
          <w:i/>
          <w:noProof/>
        </w:rPr>
        <w:t>What Is Qualitative Research?</w:t>
      </w:r>
      <w:r w:rsidRPr="0025514D">
        <w:rPr>
          <w:rFonts w:ascii="Times New Roman" w:hAnsi="Times New Roman" w:cs="Times New Roman"/>
          <w:noProof/>
        </w:rPr>
        <w:t xml:space="preserve">  London: Bloomsbury, 2013.</w:t>
      </w:r>
      <w:bookmarkEnd w:id="143"/>
    </w:p>
    <w:p w14:paraId="5BC8BE20" w14:textId="77777777" w:rsidR="002A1763" w:rsidRPr="0025514D" w:rsidRDefault="002A1763" w:rsidP="002A1763">
      <w:pPr>
        <w:spacing w:line="240" w:lineRule="auto"/>
        <w:ind w:left="720" w:hanging="720"/>
        <w:jc w:val="both"/>
        <w:rPr>
          <w:rFonts w:ascii="Times New Roman" w:hAnsi="Times New Roman" w:cs="Times New Roman"/>
          <w:noProof/>
        </w:rPr>
      </w:pPr>
      <w:bookmarkStart w:id="144" w:name="_ENREF_61"/>
      <w:r w:rsidRPr="0025514D">
        <w:rPr>
          <w:rFonts w:ascii="Times New Roman" w:hAnsi="Times New Roman" w:cs="Times New Roman"/>
          <w:noProof/>
        </w:rPr>
        <w:t xml:space="preserve">Harland, Ken. "Violent Youth Culture in Northern Ireland: Young Men, Violence, and the Challenges of Peacebuilding." </w:t>
      </w:r>
      <w:r w:rsidRPr="0025514D">
        <w:rPr>
          <w:rFonts w:ascii="Times New Roman" w:hAnsi="Times New Roman" w:cs="Times New Roman"/>
          <w:i/>
          <w:noProof/>
        </w:rPr>
        <w:t xml:space="preserve">Youth and Society </w:t>
      </w:r>
      <w:r w:rsidRPr="0025514D">
        <w:rPr>
          <w:rFonts w:ascii="Times New Roman" w:hAnsi="Times New Roman" w:cs="Times New Roman"/>
          <w:noProof/>
        </w:rPr>
        <w:t>43 (2) (2011): pp. 414-32.</w:t>
      </w:r>
      <w:bookmarkEnd w:id="144"/>
    </w:p>
    <w:p w14:paraId="7496F5AE" w14:textId="77777777" w:rsidR="002A1763" w:rsidRPr="0025514D" w:rsidRDefault="002A1763" w:rsidP="002A1763">
      <w:pPr>
        <w:spacing w:line="240" w:lineRule="auto"/>
        <w:ind w:left="720" w:hanging="720"/>
        <w:jc w:val="both"/>
        <w:rPr>
          <w:rFonts w:ascii="Times New Roman" w:hAnsi="Times New Roman" w:cs="Times New Roman"/>
          <w:noProof/>
        </w:rPr>
      </w:pPr>
      <w:bookmarkStart w:id="145" w:name="_ENREF_62"/>
      <w:r w:rsidRPr="0025514D">
        <w:rPr>
          <w:rFonts w:ascii="Times New Roman" w:hAnsi="Times New Roman" w:cs="Times New Roman"/>
          <w:noProof/>
        </w:rPr>
        <w:t xml:space="preserve">Hegghammer, Thomas. "The De-Radicalization of Jihadists: Transforming Armed Islamist Movements. By Omar Ashour." </w:t>
      </w:r>
      <w:r w:rsidRPr="0025514D">
        <w:rPr>
          <w:rFonts w:ascii="Times New Roman" w:hAnsi="Times New Roman" w:cs="Times New Roman"/>
          <w:i/>
          <w:noProof/>
        </w:rPr>
        <w:t xml:space="preserve">New York </w:t>
      </w:r>
      <w:r w:rsidRPr="0025514D">
        <w:rPr>
          <w:rFonts w:ascii="Times New Roman" w:hAnsi="Times New Roman" w:cs="Times New Roman"/>
          <w:noProof/>
        </w:rPr>
        <w:t xml:space="preserve"> (2011).</w:t>
      </w:r>
      <w:bookmarkEnd w:id="145"/>
    </w:p>
    <w:p w14:paraId="0D235CB6" w14:textId="77777777" w:rsidR="002A1763" w:rsidRPr="0025514D" w:rsidRDefault="002A1763" w:rsidP="002A1763">
      <w:pPr>
        <w:spacing w:line="240" w:lineRule="auto"/>
        <w:ind w:left="720" w:hanging="720"/>
        <w:jc w:val="both"/>
        <w:rPr>
          <w:rFonts w:ascii="Times New Roman" w:hAnsi="Times New Roman" w:cs="Times New Roman"/>
          <w:noProof/>
        </w:rPr>
      </w:pPr>
      <w:bookmarkStart w:id="146" w:name="_ENREF_63"/>
      <w:r w:rsidRPr="0025514D">
        <w:rPr>
          <w:rFonts w:ascii="Times New Roman" w:hAnsi="Times New Roman" w:cs="Times New Roman"/>
          <w:noProof/>
        </w:rPr>
        <w:t xml:space="preserve">Hennessey, Thomas. </w:t>
      </w:r>
      <w:r w:rsidRPr="0025514D">
        <w:rPr>
          <w:rFonts w:ascii="Times New Roman" w:hAnsi="Times New Roman" w:cs="Times New Roman"/>
          <w:i/>
          <w:noProof/>
        </w:rPr>
        <w:t>A History of Northern Ireland 1920-1996</w:t>
      </w:r>
      <w:r w:rsidRPr="0025514D">
        <w:rPr>
          <w:rFonts w:ascii="Times New Roman" w:hAnsi="Times New Roman" w:cs="Times New Roman"/>
          <w:noProof/>
        </w:rPr>
        <w:t>.  Basingstoke: Palgrave, 1997.</w:t>
      </w:r>
      <w:bookmarkEnd w:id="146"/>
    </w:p>
    <w:p w14:paraId="7FFA2D52" w14:textId="77777777" w:rsidR="002A1763" w:rsidRPr="0025514D" w:rsidRDefault="002A1763" w:rsidP="002A1763">
      <w:pPr>
        <w:spacing w:line="240" w:lineRule="auto"/>
        <w:ind w:left="720" w:hanging="720"/>
        <w:jc w:val="both"/>
        <w:rPr>
          <w:rFonts w:ascii="Times New Roman" w:hAnsi="Times New Roman" w:cs="Times New Roman"/>
          <w:noProof/>
        </w:rPr>
      </w:pPr>
      <w:bookmarkStart w:id="147" w:name="_ENREF_64"/>
      <w:r w:rsidRPr="0025514D">
        <w:rPr>
          <w:rFonts w:ascii="Times New Roman" w:hAnsi="Times New Roman" w:cs="Times New Roman"/>
          <w:noProof/>
        </w:rPr>
        <w:t xml:space="preserve">———. </w:t>
      </w:r>
      <w:r w:rsidRPr="0025514D">
        <w:rPr>
          <w:rFonts w:ascii="Times New Roman" w:hAnsi="Times New Roman" w:cs="Times New Roman"/>
          <w:i/>
          <w:noProof/>
        </w:rPr>
        <w:t>Northern Ireland: The Origins of the Troubles</w:t>
      </w:r>
      <w:r w:rsidRPr="0025514D">
        <w:rPr>
          <w:rFonts w:ascii="Times New Roman" w:hAnsi="Times New Roman" w:cs="Times New Roman"/>
          <w:noProof/>
        </w:rPr>
        <w:t>.  Dublin: Gill &amp; Macmillan Ltd, 2005.</w:t>
      </w:r>
      <w:bookmarkEnd w:id="147"/>
    </w:p>
    <w:p w14:paraId="72A2E143" w14:textId="77777777" w:rsidR="002A1763" w:rsidRPr="0025514D" w:rsidRDefault="002A1763" w:rsidP="002A1763">
      <w:pPr>
        <w:spacing w:line="240" w:lineRule="auto"/>
        <w:ind w:left="720" w:hanging="720"/>
        <w:jc w:val="both"/>
        <w:rPr>
          <w:rFonts w:ascii="Times New Roman" w:hAnsi="Times New Roman" w:cs="Times New Roman"/>
          <w:noProof/>
        </w:rPr>
      </w:pPr>
      <w:bookmarkStart w:id="148" w:name="_ENREF_65"/>
      <w:r w:rsidRPr="0025514D">
        <w:rPr>
          <w:rFonts w:ascii="Times New Roman" w:hAnsi="Times New Roman" w:cs="Times New Roman"/>
          <w:noProof/>
        </w:rPr>
        <w:t xml:space="preserve">Herring, E, and D Stokes. "Critical Realism and Historical Materialism as Resources for Critical Terrorism Studies." </w:t>
      </w:r>
      <w:r w:rsidRPr="0025514D">
        <w:rPr>
          <w:rFonts w:ascii="Times New Roman" w:hAnsi="Times New Roman" w:cs="Times New Roman"/>
          <w:i/>
          <w:noProof/>
        </w:rPr>
        <w:t xml:space="preserve">Critical Studies on Terrorism </w:t>
      </w:r>
      <w:r w:rsidRPr="0025514D">
        <w:rPr>
          <w:rFonts w:ascii="Times New Roman" w:hAnsi="Times New Roman" w:cs="Times New Roman"/>
          <w:noProof/>
        </w:rPr>
        <w:t>Vol. 4, no. No. 1 (2011).</w:t>
      </w:r>
      <w:bookmarkEnd w:id="148"/>
    </w:p>
    <w:p w14:paraId="53809812" w14:textId="77777777" w:rsidR="002A1763" w:rsidRPr="0025514D" w:rsidRDefault="002A1763" w:rsidP="002A1763">
      <w:pPr>
        <w:spacing w:line="240" w:lineRule="auto"/>
        <w:ind w:left="720" w:hanging="720"/>
        <w:jc w:val="both"/>
        <w:rPr>
          <w:rFonts w:ascii="Times New Roman" w:hAnsi="Times New Roman" w:cs="Times New Roman"/>
          <w:noProof/>
        </w:rPr>
      </w:pPr>
      <w:bookmarkStart w:id="149" w:name="_ENREF_66"/>
      <w:r w:rsidRPr="0025514D">
        <w:rPr>
          <w:rFonts w:ascii="Times New Roman" w:hAnsi="Times New Roman" w:cs="Times New Roman"/>
          <w:noProof/>
        </w:rPr>
        <w:t xml:space="preserve">Horgan, John. "Deradicalization or Disengagement?". </w:t>
      </w:r>
      <w:r w:rsidRPr="0025514D">
        <w:rPr>
          <w:rFonts w:ascii="Times New Roman" w:hAnsi="Times New Roman" w:cs="Times New Roman"/>
          <w:i/>
          <w:noProof/>
        </w:rPr>
        <w:t xml:space="preserve">Perspectives on Terrorism </w:t>
      </w:r>
      <w:r w:rsidRPr="0025514D">
        <w:rPr>
          <w:rFonts w:ascii="Times New Roman" w:hAnsi="Times New Roman" w:cs="Times New Roman"/>
          <w:noProof/>
        </w:rPr>
        <w:t>2 (4) (2008).</w:t>
      </w:r>
      <w:bookmarkEnd w:id="149"/>
    </w:p>
    <w:p w14:paraId="291FB33C" w14:textId="77777777" w:rsidR="002A1763" w:rsidRPr="0025514D" w:rsidRDefault="002A1763" w:rsidP="002A1763">
      <w:pPr>
        <w:spacing w:line="240" w:lineRule="auto"/>
        <w:ind w:left="720" w:hanging="720"/>
        <w:jc w:val="both"/>
        <w:rPr>
          <w:rFonts w:ascii="Times New Roman" w:hAnsi="Times New Roman" w:cs="Times New Roman"/>
          <w:noProof/>
        </w:rPr>
      </w:pPr>
      <w:bookmarkStart w:id="150" w:name="_ENREF_67"/>
      <w:r w:rsidRPr="0025514D">
        <w:rPr>
          <w:rFonts w:ascii="Times New Roman" w:hAnsi="Times New Roman" w:cs="Times New Roman"/>
          <w:noProof/>
        </w:rPr>
        <w:t xml:space="preserve">———. </w:t>
      </w:r>
      <w:r w:rsidRPr="0025514D">
        <w:rPr>
          <w:rFonts w:ascii="Times New Roman" w:hAnsi="Times New Roman" w:cs="Times New Roman"/>
          <w:i/>
          <w:noProof/>
        </w:rPr>
        <w:t>Walking Away from Terrorism: Accounts of Disengagement from Radical and Extremist Movements</w:t>
      </w:r>
      <w:r w:rsidRPr="0025514D">
        <w:rPr>
          <w:rFonts w:ascii="Times New Roman" w:hAnsi="Times New Roman" w:cs="Times New Roman"/>
          <w:noProof/>
        </w:rPr>
        <w:t>.  Routledge: London, 2009.</w:t>
      </w:r>
      <w:bookmarkEnd w:id="150"/>
    </w:p>
    <w:p w14:paraId="6641B1DA" w14:textId="77777777" w:rsidR="002A1763" w:rsidRPr="0025514D" w:rsidRDefault="002A1763" w:rsidP="002A1763">
      <w:pPr>
        <w:spacing w:line="240" w:lineRule="auto"/>
        <w:ind w:left="720" w:hanging="720"/>
        <w:jc w:val="both"/>
        <w:rPr>
          <w:rFonts w:ascii="Times New Roman" w:hAnsi="Times New Roman" w:cs="Times New Roman"/>
          <w:noProof/>
        </w:rPr>
      </w:pPr>
      <w:bookmarkStart w:id="151" w:name="_ENREF_68"/>
      <w:r w:rsidRPr="0025514D">
        <w:rPr>
          <w:rFonts w:ascii="Times New Roman" w:hAnsi="Times New Roman" w:cs="Times New Roman"/>
          <w:noProof/>
        </w:rPr>
        <w:t xml:space="preserve">Horgan, John , and Mary Beth Altier. "The Future of Terrorist De-Radicalization Programs." </w:t>
      </w:r>
      <w:r w:rsidRPr="0025514D">
        <w:rPr>
          <w:rFonts w:ascii="Times New Roman" w:hAnsi="Times New Roman" w:cs="Times New Roman"/>
          <w:i/>
          <w:noProof/>
        </w:rPr>
        <w:t xml:space="preserve">Georgetown Journal of International Affairs </w:t>
      </w:r>
      <w:r w:rsidRPr="0025514D">
        <w:rPr>
          <w:rFonts w:ascii="Times New Roman" w:hAnsi="Times New Roman" w:cs="Times New Roman"/>
          <w:noProof/>
        </w:rPr>
        <w:t>13 (2010): pp. 83.</w:t>
      </w:r>
      <w:bookmarkEnd w:id="151"/>
    </w:p>
    <w:p w14:paraId="21892FCD" w14:textId="77777777" w:rsidR="002A1763" w:rsidRPr="0025514D" w:rsidRDefault="002A1763" w:rsidP="002A1763">
      <w:pPr>
        <w:spacing w:line="240" w:lineRule="auto"/>
        <w:ind w:left="720" w:hanging="720"/>
        <w:jc w:val="both"/>
        <w:rPr>
          <w:rFonts w:ascii="Times New Roman" w:hAnsi="Times New Roman" w:cs="Times New Roman"/>
          <w:noProof/>
        </w:rPr>
      </w:pPr>
      <w:bookmarkStart w:id="152" w:name="_ENREF_69"/>
      <w:r w:rsidRPr="0025514D">
        <w:rPr>
          <w:rFonts w:ascii="Times New Roman" w:hAnsi="Times New Roman" w:cs="Times New Roman"/>
          <w:noProof/>
        </w:rPr>
        <w:t xml:space="preserve">Horgan, John, and Kurt Braddock. "Rehabilitating the Terrorists?: Challenges in Assessing the Effectiveness of De-Radicalization Programs."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22 (2) (2010): pp. 267-91.</w:t>
      </w:r>
      <w:bookmarkEnd w:id="152"/>
    </w:p>
    <w:p w14:paraId="58C5120F" w14:textId="77777777" w:rsidR="002A1763" w:rsidRPr="0025514D" w:rsidRDefault="002A1763" w:rsidP="002A1763">
      <w:pPr>
        <w:spacing w:line="240" w:lineRule="auto"/>
        <w:ind w:left="720" w:hanging="720"/>
        <w:jc w:val="both"/>
        <w:rPr>
          <w:rFonts w:ascii="Times New Roman" w:hAnsi="Times New Roman" w:cs="Times New Roman"/>
          <w:noProof/>
        </w:rPr>
      </w:pPr>
      <w:bookmarkStart w:id="153" w:name="_ENREF_70"/>
      <w:r w:rsidRPr="0025514D">
        <w:rPr>
          <w:rFonts w:ascii="Times New Roman" w:hAnsi="Times New Roman" w:cs="Times New Roman"/>
          <w:noProof/>
        </w:rPr>
        <w:t xml:space="preserve">Horgan, John, and Paul Gill. "Who Are the Dissidents? An Introduction to the Icst Violent Dissident Republican Project." In </w:t>
      </w:r>
      <w:r w:rsidRPr="0025514D">
        <w:rPr>
          <w:rFonts w:ascii="Times New Roman" w:hAnsi="Times New Roman" w:cs="Times New Roman"/>
          <w:i/>
          <w:noProof/>
        </w:rPr>
        <w:t>Dissident Irish Republicanism</w:t>
      </w:r>
      <w:r w:rsidRPr="0025514D">
        <w:rPr>
          <w:rFonts w:ascii="Times New Roman" w:hAnsi="Times New Roman" w:cs="Times New Roman"/>
          <w:noProof/>
        </w:rPr>
        <w:t>, edited by P.M. Currie and Max Taylor. London: The Continuum International Publishing Group, 2011.</w:t>
      </w:r>
      <w:bookmarkEnd w:id="153"/>
    </w:p>
    <w:p w14:paraId="4D3F24CB" w14:textId="77777777" w:rsidR="002A1763" w:rsidRPr="0025514D" w:rsidRDefault="002A1763" w:rsidP="002A1763">
      <w:pPr>
        <w:spacing w:line="240" w:lineRule="auto"/>
        <w:ind w:left="720" w:hanging="720"/>
        <w:jc w:val="both"/>
        <w:rPr>
          <w:rFonts w:ascii="Times New Roman" w:hAnsi="Times New Roman" w:cs="Times New Roman"/>
          <w:noProof/>
        </w:rPr>
      </w:pPr>
      <w:bookmarkStart w:id="154" w:name="_ENREF_71"/>
      <w:r w:rsidRPr="0025514D">
        <w:rPr>
          <w:rFonts w:ascii="Times New Roman" w:hAnsi="Times New Roman" w:cs="Times New Roman"/>
          <w:noProof/>
        </w:rPr>
        <w:t xml:space="preserve">Horgan, John, and John Morrison. "Here to Stay? The Rising Threat of Violent Dissident Republicanism in Northern Ireland."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23 (4) (2011): 642-69.</w:t>
      </w:r>
      <w:bookmarkEnd w:id="154"/>
    </w:p>
    <w:p w14:paraId="17DACB87" w14:textId="77777777" w:rsidR="002A1763" w:rsidRPr="0025514D" w:rsidRDefault="002A1763" w:rsidP="002A1763">
      <w:pPr>
        <w:spacing w:line="240" w:lineRule="auto"/>
        <w:ind w:left="720" w:hanging="720"/>
        <w:jc w:val="both"/>
        <w:rPr>
          <w:rFonts w:ascii="Times New Roman" w:hAnsi="Times New Roman" w:cs="Times New Roman"/>
          <w:noProof/>
        </w:rPr>
      </w:pPr>
      <w:bookmarkStart w:id="155" w:name="_ENREF_72"/>
      <w:r w:rsidRPr="0025514D">
        <w:rPr>
          <w:rFonts w:ascii="Times New Roman" w:hAnsi="Times New Roman" w:cs="Times New Roman"/>
          <w:noProof/>
        </w:rPr>
        <w:t xml:space="preserve">Horowitz, Donald. "Explaining the Northern Ireland Agreement: The Sources of an Unlikely Constitutional Consensus." </w:t>
      </w:r>
      <w:r w:rsidRPr="0025514D">
        <w:rPr>
          <w:rFonts w:ascii="Times New Roman" w:hAnsi="Times New Roman" w:cs="Times New Roman"/>
          <w:i/>
          <w:noProof/>
        </w:rPr>
        <w:t xml:space="preserve">British Journal of Political Science </w:t>
      </w:r>
      <w:r w:rsidRPr="0025514D">
        <w:rPr>
          <w:rFonts w:ascii="Times New Roman" w:hAnsi="Times New Roman" w:cs="Times New Roman"/>
          <w:noProof/>
        </w:rPr>
        <w:t>32 (2) (2002): pp. 193-220.</w:t>
      </w:r>
      <w:bookmarkEnd w:id="155"/>
    </w:p>
    <w:p w14:paraId="127AE8D3" w14:textId="77777777" w:rsidR="002A1763" w:rsidRPr="0025514D" w:rsidRDefault="002A1763" w:rsidP="002A1763">
      <w:pPr>
        <w:spacing w:line="240" w:lineRule="auto"/>
        <w:ind w:left="720" w:hanging="720"/>
        <w:jc w:val="both"/>
        <w:rPr>
          <w:rFonts w:ascii="Times New Roman" w:hAnsi="Times New Roman" w:cs="Times New Roman"/>
          <w:noProof/>
        </w:rPr>
      </w:pPr>
      <w:bookmarkStart w:id="156" w:name="_ENREF_73"/>
      <w:r w:rsidRPr="0025514D">
        <w:rPr>
          <w:rFonts w:ascii="Times New Roman" w:hAnsi="Times New Roman" w:cs="Times New Roman"/>
          <w:noProof/>
        </w:rPr>
        <w:t xml:space="preserve">"In Pictures: Gerry Kelly' Speech in Full." </w:t>
      </w:r>
      <w:r w:rsidRPr="0025514D">
        <w:rPr>
          <w:rFonts w:ascii="Times New Roman" w:hAnsi="Times New Roman" w:cs="Times New Roman"/>
          <w:i/>
          <w:noProof/>
        </w:rPr>
        <w:t>News Letter</w:t>
      </w:r>
      <w:r w:rsidRPr="0025514D">
        <w:rPr>
          <w:rFonts w:ascii="Times New Roman" w:hAnsi="Times New Roman" w:cs="Times New Roman"/>
          <w:noProof/>
        </w:rPr>
        <w:t>, 2013.</w:t>
      </w:r>
      <w:bookmarkEnd w:id="156"/>
    </w:p>
    <w:p w14:paraId="0A79A468" w14:textId="77777777" w:rsidR="002A1763" w:rsidRPr="0025514D" w:rsidRDefault="002A1763" w:rsidP="002A1763">
      <w:pPr>
        <w:spacing w:line="240" w:lineRule="auto"/>
        <w:ind w:left="720" w:hanging="720"/>
        <w:jc w:val="both"/>
        <w:rPr>
          <w:rFonts w:ascii="Times New Roman" w:hAnsi="Times New Roman" w:cs="Times New Roman"/>
          <w:noProof/>
        </w:rPr>
      </w:pPr>
      <w:bookmarkStart w:id="157" w:name="_ENREF_74"/>
      <w:r w:rsidRPr="0025514D">
        <w:rPr>
          <w:rFonts w:ascii="Times New Roman" w:hAnsi="Times New Roman" w:cs="Times New Roman"/>
          <w:noProof/>
        </w:rPr>
        <w:t xml:space="preserve">Jackson, Richard. "Knowledge, Power and Politics in the Study of Political Terrorism." In </w:t>
      </w:r>
      <w:r w:rsidRPr="0025514D">
        <w:rPr>
          <w:rFonts w:ascii="Times New Roman" w:hAnsi="Times New Roman" w:cs="Times New Roman"/>
          <w:i/>
          <w:noProof/>
        </w:rPr>
        <w:t>Critical Terrorism Studies: A New Research Agenda</w:t>
      </w:r>
      <w:r w:rsidRPr="0025514D">
        <w:rPr>
          <w:rFonts w:ascii="Times New Roman" w:hAnsi="Times New Roman" w:cs="Times New Roman"/>
          <w:noProof/>
        </w:rPr>
        <w:t>, edited by Richard Jackson, Marie Breen Smyth and Jeroen Gunning. Oxon: Routledge, 2009.</w:t>
      </w:r>
      <w:bookmarkEnd w:id="157"/>
    </w:p>
    <w:p w14:paraId="2247E3B5" w14:textId="77777777" w:rsidR="002A1763" w:rsidRPr="0025514D" w:rsidRDefault="002A1763" w:rsidP="002A1763">
      <w:pPr>
        <w:spacing w:line="240" w:lineRule="auto"/>
        <w:ind w:left="720" w:hanging="720"/>
        <w:jc w:val="both"/>
        <w:rPr>
          <w:rFonts w:ascii="Times New Roman" w:hAnsi="Times New Roman" w:cs="Times New Roman"/>
          <w:noProof/>
        </w:rPr>
      </w:pPr>
      <w:bookmarkStart w:id="158" w:name="_ENREF_75"/>
      <w:r w:rsidRPr="0025514D">
        <w:rPr>
          <w:rFonts w:ascii="Times New Roman" w:hAnsi="Times New Roman" w:cs="Times New Roman"/>
          <w:noProof/>
        </w:rPr>
        <w:t xml:space="preserve">Jackson, Richard, Marie Breen Smyth, and Jeroen Gunning, eds. </w:t>
      </w:r>
      <w:r w:rsidRPr="0025514D">
        <w:rPr>
          <w:rFonts w:ascii="Times New Roman" w:hAnsi="Times New Roman" w:cs="Times New Roman"/>
          <w:i/>
          <w:noProof/>
        </w:rPr>
        <w:t>Critical Terrorism Studies: A New Research Agenda</w:t>
      </w:r>
      <w:r w:rsidRPr="0025514D">
        <w:rPr>
          <w:rFonts w:ascii="Times New Roman" w:hAnsi="Times New Roman" w:cs="Times New Roman"/>
          <w:noProof/>
        </w:rPr>
        <w:t>. Abingdon: Routledge, 2009.</w:t>
      </w:r>
      <w:bookmarkEnd w:id="158"/>
    </w:p>
    <w:p w14:paraId="3D09DE0B" w14:textId="77777777" w:rsidR="002A1763" w:rsidRPr="0025514D" w:rsidRDefault="002A1763" w:rsidP="002A1763">
      <w:pPr>
        <w:spacing w:line="240" w:lineRule="auto"/>
        <w:ind w:left="720" w:hanging="720"/>
        <w:jc w:val="both"/>
        <w:rPr>
          <w:rFonts w:ascii="Times New Roman" w:hAnsi="Times New Roman" w:cs="Times New Roman"/>
          <w:noProof/>
        </w:rPr>
      </w:pPr>
      <w:bookmarkStart w:id="159" w:name="_ENREF_76"/>
      <w:r w:rsidRPr="0025514D">
        <w:rPr>
          <w:rFonts w:ascii="Times New Roman" w:hAnsi="Times New Roman" w:cs="Times New Roman"/>
          <w:noProof/>
        </w:rPr>
        <w:t>Jarman, Neil. "Managing Disorder: Responding to Interface Violence in North Belfast." Belfast: Office of the First Minister and Deputy First Minister, 2002.</w:t>
      </w:r>
      <w:bookmarkEnd w:id="159"/>
    </w:p>
    <w:p w14:paraId="4D6A9E22" w14:textId="77777777" w:rsidR="002A1763" w:rsidRPr="0025514D" w:rsidRDefault="002A1763" w:rsidP="002A1763">
      <w:pPr>
        <w:spacing w:line="240" w:lineRule="auto"/>
        <w:ind w:left="720" w:hanging="720"/>
        <w:jc w:val="both"/>
        <w:rPr>
          <w:rFonts w:ascii="Times New Roman" w:hAnsi="Times New Roman" w:cs="Times New Roman"/>
          <w:noProof/>
        </w:rPr>
      </w:pPr>
      <w:bookmarkStart w:id="160" w:name="_ENREF_77"/>
      <w:r w:rsidRPr="0025514D">
        <w:rPr>
          <w:rFonts w:ascii="Times New Roman" w:hAnsi="Times New Roman" w:cs="Times New Roman"/>
          <w:noProof/>
        </w:rPr>
        <w:t xml:space="preserve">———. "Peacebuilding and Policing: The Role of Community-Based Initiatives." </w:t>
      </w:r>
      <w:r w:rsidRPr="0025514D">
        <w:rPr>
          <w:rFonts w:ascii="Times New Roman" w:hAnsi="Times New Roman" w:cs="Times New Roman"/>
          <w:i/>
          <w:noProof/>
        </w:rPr>
        <w:t xml:space="preserve">Shared Space: A research journal on peace, conflict and community relations in Northern Ireland </w:t>
      </w:r>
      <w:r w:rsidRPr="0025514D">
        <w:rPr>
          <w:rFonts w:ascii="Times New Roman" w:hAnsi="Times New Roman" w:cs="Times New Roman"/>
          <w:noProof/>
        </w:rPr>
        <w:t>3 (2006): pp. 31-44.</w:t>
      </w:r>
      <w:bookmarkEnd w:id="160"/>
    </w:p>
    <w:p w14:paraId="2DD0B27B" w14:textId="77777777" w:rsidR="002A1763" w:rsidRPr="0025514D" w:rsidRDefault="002A1763" w:rsidP="002A1763">
      <w:pPr>
        <w:spacing w:line="240" w:lineRule="auto"/>
        <w:ind w:left="720" w:hanging="720"/>
        <w:jc w:val="both"/>
        <w:rPr>
          <w:rFonts w:ascii="Times New Roman" w:hAnsi="Times New Roman" w:cs="Times New Roman"/>
          <w:noProof/>
        </w:rPr>
      </w:pPr>
      <w:bookmarkStart w:id="161" w:name="_ENREF_78"/>
      <w:r w:rsidRPr="0025514D">
        <w:rPr>
          <w:rFonts w:ascii="Times New Roman" w:hAnsi="Times New Roman" w:cs="Times New Roman"/>
          <w:noProof/>
        </w:rPr>
        <w:t xml:space="preserve">Jones, Seth G., and Martin C. Libicki. </w:t>
      </w:r>
      <w:r w:rsidRPr="0025514D">
        <w:rPr>
          <w:rFonts w:ascii="Times New Roman" w:hAnsi="Times New Roman" w:cs="Times New Roman"/>
          <w:i/>
          <w:noProof/>
        </w:rPr>
        <w:t>How Terrorist Groups End : Lessons for Countering Al Qa'ida</w:t>
      </w:r>
      <w:r w:rsidRPr="0025514D">
        <w:rPr>
          <w:rFonts w:ascii="Times New Roman" w:hAnsi="Times New Roman" w:cs="Times New Roman"/>
          <w:noProof/>
        </w:rPr>
        <w:t>.  Santa Monica, Calif.: Rand, 2008.</w:t>
      </w:r>
      <w:bookmarkEnd w:id="161"/>
    </w:p>
    <w:p w14:paraId="7274275E" w14:textId="77777777" w:rsidR="002A1763" w:rsidRPr="0025514D" w:rsidRDefault="002A1763" w:rsidP="002A1763">
      <w:pPr>
        <w:spacing w:line="240" w:lineRule="auto"/>
        <w:ind w:left="720" w:hanging="720"/>
        <w:jc w:val="both"/>
        <w:rPr>
          <w:rFonts w:ascii="Times New Roman" w:hAnsi="Times New Roman" w:cs="Times New Roman"/>
          <w:noProof/>
        </w:rPr>
      </w:pPr>
      <w:bookmarkStart w:id="162" w:name="_ENREF_79"/>
      <w:r w:rsidRPr="0025514D">
        <w:rPr>
          <w:rFonts w:ascii="Times New Roman" w:hAnsi="Times New Roman" w:cs="Times New Roman"/>
          <w:noProof/>
        </w:rPr>
        <w:t>Journal, The. "Video: Martin Mcguinness Mixes up His Ifa and His Ira."</w:t>
      </w:r>
      <w:bookmarkEnd w:id="162"/>
    </w:p>
    <w:p w14:paraId="30D3E433" w14:textId="77777777" w:rsidR="002A1763" w:rsidRPr="0025514D" w:rsidRDefault="002A1763" w:rsidP="002A1763">
      <w:pPr>
        <w:spacing w:line="240" w:lineRule="auto"/>
        <w:ind w:left="720" w:hanging="720"/>
        <w:jc w:val="both"/>
        <w:rPr>
          <w:rFonts w:ascii="Times New Roman" w:hAnsi="Times New Roman" w:cs="Times New Roman"/>
          <w:noProof/>
        </w:rPr>
      </w:pPr>
      <w:bookmarkStart w:id="163" w:name="_ENREF_80"/>
      <w:r w:rsidRPr="0025514D">
        <w:rPr>
          <w:rFonts w:ascii="Times New Roman" w:hAnsi="Times New Roman" w:cs="Times New Roman"/>
          <w:noProof/>
        </w:rPr>
        <w:t xml:space="preserve">Karagiannis, Emmanuel. "Hizballah as a Social Movement Organization: A Framing Approach." </w:t>
      </w:r>
      <w:r w:rsidRPr="0025514D">
        <w:rPr>
          <w:rFonts w:ascii="Times New Roman" w:hAnsi="Times New Roman" w:cs="Times New Roman"/>
          <w:i/>
          <w:noProof/>
        </w:rPr>
        <w:t xml:space="preserve">Mediterranean Politics </w:t>
      </w:r>
      <w:r w:rsidRPr="0025514D">
        <w:rPr>
          <w:rFonts w:ascii="Times New Roman" w:hAnsi="Times New Roman" w:cs="Times New Roman"/>
          <w:noProof/>
        </w:rPr>
        <w:t>14 (3) (2009): pp. 365-83.</w:t>
      </w:r>
      <w:bookmarkEnd w:id="163"/>
    </w:p>
    <w:p w14:paraId="389DB5EF" w14:textId="77777777" w:rsidR="002A1763" w:rsidRPr="0025514D" w:rsidRDefault="002A1763" w:rsidP="002A1763">
      <w:pPr>
        <w:spacing w:line="240" w:lineRule="auto"/>
        <w:ind w:left="720" w:hanging="720"/>
        <w:jc w:val="both"/>
        <w:rPr>
          <w:rFonts w:ascii="Times New Roman" w:hAnsi="Times New Roman" w:cs="Times New Roman"/>
          <w:noProof/>
        </w:rPr>
      </w:pPr>
      <w:bookmarkStart w:id="164" w:name="_ENREF_81"/>
      <w:r w:rsidRPr="0025514D">
        <w:rPr>
          <w:rFonts w:ascii="Times New Roman" w:hAnsi="Times New Roman" w:cs="Times New Roman"/>
          <w:noProof/>
        </w:rPr>
        <w:t xml:space="preserve">Kennedy-Pipe, Caroline. "From War to Peace in Northern Ireland." In </w:t>
      </w:r>
      <w:r w:rsidRPr="0025514D">
        <w:rPr>
          <w:rFonts w:ascii="Times New Roman" w:hAnsi="Times New Roman" w:cs="Times New Roman"/>
          <w:i/>
          <w:noProof/>
        </w:rPr>
        <w:t>A Farewell to Arms?: From 'Long War' to Long Peace in Northern Ireland</w:t>
      </w:r>
      <w:r w:rsidRPr="0025514D">
        <w:rPr>
          <w:rFonts w:ascii="Times New Roman" w:hAnsi="Times New Roman" w:cs="Times New Roman"/>
          <w:noProof/>
        </w:rPr>
        <w:t>, edited by Michael Cox, Adrian Guelke and Fiona Stephen. Manchester: Manchester University Press, 2000.</w:t>
      </w:r>
      <w:bookmarkEnd w:id="164"/>
    </w:p>
    <w:p w14:paraId="3FEC268B" w14:textId="77777777" w:rsidR="002A1763" w:rsidRPr="0025514D" w:rsidRDefault="002A1763" w:rsidP="002A1763">
      <w:pPr>
        <w:spacing w:line="240" w:lineRule="auto"/>
        <w:ind w:left="720" w:hanging="720"/>
        <w:jc w:val="both"/>
        <w:rPr>
          <w:rFonts w:ascii="Times New Roman" w:hAnsi="Times New Roman" w:cs="Times New Roman"/>
          <w:noProof/>
        </w:rPr>
      </w:pPr>
      <w:bookmarkStart w:id="165" w:name="_ENREF_82"/>
      <w:r w:rsidRPr="0025514D">
        <w:rPr>
          <w:rFonts w:ascii="Times New Roman" w:hAnsi="Times New Roman" w:cs="Times New Roman"/>
          <w:noProof/>
        </w:rPr>
        <w:t xml:space="preserve">King, Michael, Haula Noor, and Donald Taylor. "Normative Support for Terrorism: The Attitudes and Beliefs of Immediate Relatives of Jema'ah Islamiyah Members." </w:t>
      </w:r>
      <w:r w:rsidRPr="0025514D">
        <w:rPr>
          <w:rFonts w:ascii="Times New Roman" w:hAnsi="Times New Roman" w:cs="Times New Roman"/>
          <w:i/>
          <w:noProof/>
        </w:rPr>
        <w:t xml:space="preserve">Studies of Conflict &amp; Terrorism </w:t>
      </w:r>
      <w:r w:rsidRPr="0025514D">
        <w:rPr>
          <w:rFonts w:ascii="Times New Roman" w:hAnsi="Times New Roman" w:cs="Times New Roman"/>
          <w:noProof/>
        </w:rPr>
        <w:t>34 (5) (2011): pp. 402-17.</w:t>
      </w:r>
      <w:bookmarkEnd w:id="165"/>
    </w:p>
    <w:p w14:paraId="2119B15F" w14:textId="77777777" w:rsidR="002A1763" w:rsidRPr="0025514D" w:rsidRDefault="002A1763" w:rsidP="002A1763">
      <w:pPr>
        <w:spacing w:line="240" w:lineRule="auto"/>
        <w:ind w:left="720" w:hanging="720"/>
        <w:jc w:val="both"/>
        <w:rPr>
          <w:rFonts w:ascii="Times New Roman" w:hAnsi="Times New Roman" w:cs="Times New Roman"/>
          <w:noProof/>
        </w:rPr>
      </w:pPr>
      <w:bookmarkStart w:id="166" w:name="_ENREF_83"/>
      <w:r w:rsidRPr="0025514D">
        <w:rPr>
          <w:rFonts w:ascii="Times New Roman" w:hAnsi="Times New Roman" w:cs="Times New Roman"/>
          <w:noProof/>
        </w:rPr>
        <w:t xml:space="preserve">Kingma, Kees. "Demobilisation of Combatants after Civil Wars in Africa and Their Reintegration into Civilian Life." </w:t>
      </w:r>
      <w:r w:rsidRPr="0025514D">
        <w:rPr>
          <w:rFonts w:ascii="Times New Roman" w:hAnsi="Times New Roman" w:cs="Times New Roman"/>
          <w:i/>
          <w:noProof/>
        </w:rPr>
        <w:t xml:space="preserve">Policy Sciences </w:t>
      </w:r>
      <w:r w:rsidRPr="0025514D">
        <w:rPr>
          <w:rFonts w:ascii="Times New Roman" w:hAnsi="Times New Roman" w:cs="Times New Roman"/>
          <w:noProof/>
        </w:rPr>
        <w:t>30 (3) (1997): pp. 151-65.</w:t>
      </w:r>
      <w:bookmarkEnd w:id="166"/>
    </w:p>
    <w:p w14:paraId="69553E64" w14:textId="77777777" w:rsidR="002A1763" w:rsidRPr="0025514D" w:rsidRDefault="002A1763" w:rsidP="002A1763">
      <w:pPr>
        <w:spacing w:line="240" w:lineRule="auto"/>
        <w:ind w:left="720" w:hanging="720"/>
        <w:jc w:val="both"/>
        <w:rPr>
          <w:rFonts w:ascii="Times New Roman" w:hAnsi="Times New Roman" w:cs="Times New Roman"/>
          <w:noProof/>
        </w:rPr>
      </w:pPr>
      <w:bookmarkStart w:id="167" w:name="_ENREF_84"/>
      <w:r w:rsidRPr="0025514D">
        <w:rPr>
          <w:rFonts w:ascii="Times New Roman" w:hAnsi="Times New Roman" w:cs="Times New Roman"/>
          <w:noProof/>
        </w:rPr>
        <w:t xml:space="preserve">Kissane, Bill. "Electing Not to Fight: Elections as a Mechanism of Deradicalisation after the Irish Civil War 1922-1938." </w:t>
      </w:r>
      <w:r w:rsidRPr="0025514D">
        <w:rPr>
          <w:rFonts w:ascii="Times New Roman" w:hAnsi="Times New Roman" w:cs="Times New Roman"/>
          <w:i/>
          <w:noProof/>
        </w:rPr>
        <w:t xml:space="preserve">International Journal of Conflict and Violence </w:t>
      </w:r>
      <w:r w:rsidRPr="0025514D">
        <w:rPr>
          <w:rFonts w:ascii="Times New Roman" w:hAnsi="Times New Roman" w:cs="Times New Roman"/>
          <w:noProof/>
        </w:rPr>
        <w:t>6 (1) (2012): pp. 41-54.</w:t>
      </w:r>
      <w:bookmarkEnd w:id="167"/>
    </w:p>
    <w:p w14:paraId="7E2E46AE" w14:textId="77777777" w:rsidR="002A1763" w:rsidRPr="0025514D" w:rsidRDefault="002A1763" w:rsidP="002A1763">
      <w:pPr>
        <w:spacing w:line="240" w:lineRule="auto"/>
        <w:ind w:left="720" w:hanging="720"/>
        <w:jc w:val="both"/>
        <w:rPr>
          <w:rFonts w:ascii="Times New Roman" w:hAnsi="Times New Roman" w:cs="Times New Roman"/>
          <w:noProof/>
        </w:rPr>
      </w:pPr>
      <w:bookmarkStart w:id="168" w:name="_ENREF_85"/>
      <w:r w:rsidRPr="0025514D">
        <w:rPr>
          <w:rFonts w:ascii="Times New Roman" w:hAnsi="Times New Roman" w:cs="Times New Roman"/>
          <w:noProof/>
        </w:rPr>
        <w:t xml:space="preserve">Krueger, Alan, and Jitka Maleckova. "Education, Poverty and Terrorism: Is There a Causal Connection?". </w:t>
      </w:r>
      <w:r w:rsidRPr="0025514D">
        <w:rPr>
          <w:rFonts w:ascii="Times New Roman" w:hAnsi="Times New Roman" w:cs="Times New Roman"/>
          <w:i/>
          <w:noProof/>
        </w:rPr>
        <w:t xml:space="preserve">The Journal of Economic Perspectives </w:t>
      </w:r>
      <w:r w:rsidRPr="0025514D">
        <w:rPr>
          <w:rFonts w:ascii="Times New Roman" w:hAnsi="Times New Roman" w:cs="Times New Roman"/>
          <w:noProof/>
        </w:rPr>
        <w:t>17 (4) (2003): pp. 119-44.</w:t>
      </w:r>
      <w:bookmarkEnd w:id="168"/>
    </w:p>
    <w:p w14:paraId="3AD6E48A" w14:textId="77777777" w:rsidR="002A1763" w:rsidRPr="0025514D" w:rsidRDefault="002A1763" w:rsidP="002A1763">
      <w:pPr>
        <w:spacing w:line="240" w:lineRule="auto"/>
        <w:ind w:left="720" w:hanging="720"/>
        <w:jc w:val="both"/>
        <w:rPr>
          <w:rFonts w:ascii="Times New Roman" w:hAnsi="Times New Roman" w:cs="Times New Roman"/>
          <w:noProof/>
        </w:rPr>
      </w:pPr>
      <w:bookmarkStart w:id="169" w:name="_ENREF_86"/>
      <w:r w:rsidRPr="0025514D">
        <w:rPr>
          <w:rFonts w:ascii="Times New Roman" w:hAnsi="Times New Roman" w:cs="Times New Roman"/>
          <w:noProof/>
        </w:rPr>
        <w:t xml:space="preserve">Magill, Clare, and Brandon Hamber. ""If They Don't Start Listening to Us, the Future Is Going to Look the Same as the Past": Young People and Reconciliation in Northern Ireland and Bosnia and Herzegovina." </w:t>
      </w:r>
      <w:r w:rsidRPr="0025514D">
        <w:rPr>
          <w:rFonts w:ascii="Times New Roman" w:hAnsi="Times New Roman" w:cs="Times New Roman"/>
          <w:i/>
          <w:noProof/>
        </w:rPr>
        <w:t xml:space="preserve">Youth and Society </w:t>
      </w:r>
      <w:r w:rsidRPr="0025514D">
        <w:rPr>
          <w:rFonts w:ascii="Times New Roman" w:hAnsi="Times New Roman" w:cs="Times New Roman"/>
          <w:noProof/>
        </w:rPr>
        <w:t>43 (2) (2011): pp. 509-27.</w:t>
      </w:r>
      <w:bookmarkEnd w:id="169"/>
    </w:p>
    <w:p w14:paraId="7396F327" w14:textId="77777777" w:rsidR="002A1763" w:rsidRPr="0025514D" w:rsidRDefault="002A1763" w:rsidP="002A1763">
      <w:pPr>
        <w:spacing w:line="240" w:lineRule="auto"/>
        <w:ind w:left="720" w:hanging="720"/>
        <w:jc w:val="both"/>
        <w:rPr>
          <w:rFonts w:ascii="Times New Roman" w:hAnsi="Times New Roman" w:cs="Times New Roman"/>
          <w:noProof/>
        </w:rPr>
      </w:pPr>
      <w:bookmarkStart w:id="170" w:name="_ENREF_87"/>
      <w:r w:rsidRPr="0025514D">
        <w:rPr>
          <w:rFonts w:ascii="Times New Roman" w:hAnsi="Times New Roman" w:cs="Times New Roman"/>
          <w:noProof/>
        </w:rPr>
        <w:t>Malthaner, Stefan. "Mobilizing the Faithful: The Relationship between Militant Islamist Groups and Their Constituencies." University of Augsburg, 2010.</w:t>
      </w:r>
      <w:bookmarkEnd w:id="170"/>
    </w:p>
    <w:p w14:paraId="3D766B1B" w14:textId="77777777" w:rsidR="002A1763" w:rsidRPr="0025514D" w:rsidRDefault="002A1763" w:rsidP="002A1763">
      <w:pPr>
        <w:spacing w:line="240" w:lineRule="auto"/>
        <w:ind w:left="720" w:hanging="720"/>
        <w:jc w:val="both"/>
        <w:rPr>
          <w:rFonts w:ascii="Times New Roman" w:hAnsi="Times New Roman" w:cs="Times New Roman"/>
          <w:noProof/>
        </w:rPr>
      </w:pPr>
      <w:bookmarkStart w:id="171" w:name="_ENREF_88"/>
      <w:r w:rsidRPr="0025514D">
        <w:rPr>
          <w:rFonts w:ascii="Times New Roman" w:hAnsi="Times New Roman" w:cs="Times New Roman"/>
          <w:noProof/>
        </w:rPr>
        <w:t xml:space="preserve">Maxwell, Joseph. "Causal Explanation, Qualitative Research, and Scientific Inquiry in Education." </w:t>
      </w:r>
      <w:r w:rsidRPr="0025514D">
        <w:rPr>
          <w:rFonts w:ascii="Times New Roman" w:hAnsi="Times New Roman" w:cs="Times New Roman"/>
          <w:i/>
          <w:noProof/>
        </w:rPr>
        <w:t xml:space="preserve">Educational Researcher </w:t>
      </w:r>
      <w:r w:rsidRPr="0025514D">
        <w:rPr>
          <w:rFonts w:ascii="Times New Roman" w:hAnsi="Times New Roman" w:cs="Times New Roman"/>
          <w:noProof/>
        </w:rPr>
        <w:t>33 (2) (2004): pp. 3-11.</w:t>
      </w:r>
      <w:bookmarkEnd w:id="171"/>
    </w:p>
    <w:p w14:paraId="33977AD1" w14:textId="77777777" w:rsidR="002A1763" w:rsidRPr="0025514D" w:rsidRDefault="002A1763" w:rsidP="002A1763">
      <w:pPr>
        <w:spacing w:line="240" w:lineRule="auto"/>
        <w:ind w:left="720" w:hanging="720"/>
        <w:jc w:val="both"/>
        <w:rPr>
          <w:rFonts w:ascii="Times New Roman" w:hAnsi="Times New Roman" w:cs="Times New Roman"/>
          <w:noProof/>
        </w:rPr>
      </w:pPr>
      <w:bookmarkStart w:id="172" w:name="_ENREF_89"/>
      <w:r w:rsidRPr="0025514D">
        <w:rPr>
          <w:rFonts w:ascii="Times New Roman" w:hAnsi="Times New Roman" w:cs="Times New Roman"/>
          <w:noProof/>
        </w:rPr>
        <w:t xml:space="preserve">McAdam, Doug. "Beyond Structural Analysis: Toward a More Dynamic Understanding of Social Movements." In </w:t>
      </w:r>
      <w:r w:rsidRPr="0025514D">
        <w:rPr>
          <w:rFonts w:ascii="Times New Roman" w:hAnsi="Times New Roman" w:cs="Times New Roman"/>
          <w:i/>
          <w:noProof/>
        </w:rPr>
        <w:t>Social Movements and Networks: Relational Approaches to Collective Action</w:t>
      </w:r>
      <w:r w:rsidRPr="0025514D">
        <w:rPr>
          <w:rFonts w:ascii="Times New Roman" w:hAnsi="Times New Roman" w:cs="Times New Roman"/>
          <w:noProof/>
        </w:rPr>
        <w:t>, edited by Mario Diani and Doug McAdam. Oxford: Oxford University Press, 2003.</w:t>
      </w:r>
      <w:bookmarkEnd w:id="172"/>
    </w:p>
    <w:p w14:paraId="502A8479" w14:textId="77777777" w:rsidR="002A1763" w:rsidRPr="0025514D" w:rsidRDefault="002A1763" w:rsidP="002A1763">
      <w:pPr>
        <w:spacing w:line="240" w:lineRule="auto"/>
        <w:ind w:left="720" w:hanging="720"/>
        <w:jc w:val="both"/>
        <w:rPr>
          <w:rFonts w:ascii="Times New Roman" w:hAnsi="Times New Roman" w:cs="Times New Roman"/>
          <w:noProof/>
        </w:rPr>
      </w:pPr>
      <w:bookmarkStart w:id="173" w:name="_ENREF_90"/>
      <w:r w:rsidRPr="0025514D">
        <w:rPr>
          <w:rFonts w:ascii="Times New Roman" w:hAnsi="Times New Roman" w:cs="Times New Roman"/>
          <w:noProof/>
        </w:rPr>
        <w:t xml:space="preserve">McAdam, Doug, John McCarthy, and Mayer Zald, eds. </w:t>
      </w:r>
      <w:r w:rsidRPr="0025514D">
        <w:rPr>
          <w:rFonts w:ascii="Times New Roman" w:hAnsi="Times New Roman" w:cs="Times New Roman"/>
          <w:i/>
          <w:noProof/>
        </w:rPr>
        <w:t>Comparative Perspectives on Social Movements: Political Opportunities, Mobilizing Structures, and Cultural Framing</w:t>
      </w:r>
      <w:r w:rsidRPr="0025514D">
        <w:rPr>
          <w:rFonts w:ascii="Times New Roman" w:hAnsi="Times New Roman" w:cs="Times New Roman"/>
          <w:noProof/>
        </w:rPr>
        <w:t>. New York: Cambridge University Press, 1996.</w:t>
      </w:r>
      <w:bookmarkEnd w:id="173"/>
    </w:p>
    <w:p w14:paraId="0D40429B" w14:textId="77777777" w:rsidR="002A1763" w:rsidRPr="0025514D" w:rsidRDefault="002A1763" w:rsidP="002A1763">
      <w:pPr>
        <w:spacing w:line="240" w:lineRule="auto"/>
        <w:ind w:left="720" w:hanging="720"/>
        <w:jc w:val="both"/>
        <w:rPr>
          <w:rFonts w:ascii="Times New Roman" w:hAnsi="Times New Roman" w:cs="Times New Roman"/>
          <w:noProof/>
        </w:rPr>
      </w:pPr>
      <w:bookmarkStart w:id="174" w:name="_ENREF_91"/>
      <w:r w:rsidRPr="0025514D">
        <w:rPr>
          <w:rFonts w:ascii="Times New Roman" w:hAnsi="Times New Roman" w:cs="Times New Roman"/>
          <w:noProof/>
        </w:rPr>
        <w:t xml:space="preserve">McAllister, Bradley, and Alex P. Schmid. "Theories of Terrorism." In </w:t>
      </w:r>
      <w:r w:rsidRPr="0025514D">
        <w:rPr>
          <w:rFonts w:ascii="Times New Roman" w:hAnsi="Times New Roman" w:cs="Times New Roman"/>
          <w:i/>
          <w:noProof/>
        </w:rPr>
        <w:t>The Routledge Handbook of Terrorism Research</w:t>
      </w:r>
      <w:r w:rsidRPr="0025514D">
        <w:rPr>
          <w:rFonts w:ascii="Times New Roman" w:hAnsi="Times New Roman" w:cs="Times New Roman"/>
          <w:noProof/>
        </w:rPr>
        <w:t>, edited by Alex P. Schmid. Oxon: Routledge, 2011.</w:t>
      </w:r>
      <w:bookmarkEnd w:id="174"/>
    </w:p>
    <w:p w14:paraId="1A475E62" w14:textId="77777777" w:rsidR="002A1763" w:rsidRPr="0025514D" w:rsidRDefault="002A1763" w:rsidP="002A1763">
      <w:pPr>
        <w:spacing w:line="240" w:lineRule="auto"/>
        <w:ind w:left="720" w:hanging="720"/>
        <w:jc w:val="both"/>
        <w:rPr>
          <w:rFonts w:ascii="Times New Roman" w:hAnsi="Times New Roman" w:cs="Times New Roman"/>
          <w:noProof/>
        </w:rPr>
      </w:pPr>
      <w:bookmarkStart w:id="175" w:name="_ENREF_92"/>
      <w:r w:rsidRPr="0025514D">
        <w:rPr>
          <w:rFonts w:ascii="Times New Roman" w:hAnsi="Times New Roman" w:cs="Times New Roman"/>
          <w:noProof/>
        </w:rPr>
        <w:t xml:space="preserve">McCauley, Clark, and Sophia Moshalenko. "Mechanisms of Political Radicalization: Pathways toward Terrorism."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20 (3) (2008): pp. 415-33.</w:t>
      </w:r>
      <w:bookmarkEnd w:id="175"/>
    </w:p>
    <w:p w14:paraId="7BAA58D6" w14:textId="77777777" w:rsidR="002A1763" w:rsidRPr="0025514D" w:rsidRDefault="002A1763" w:rsidP="002A1763">
      <w:pPr>
        <w:spacing w:line="240" w:lineRule="auto"/>
        <w:ind w:left="720" w:hanging="720"/>
        <w:jc w:val="both"/>
        <w:rPr>
          <w:rFonts w:ascii="Times New Roman" w:hAnsi="Times New Roman" w:cs="Times New Roman"/>
          <w:noProof/>
        </w:rPr>
      </w:pPr>
      <w:bookmarkStart w:id="176" w:name="_ENREF_93"/>
      <w:r w:rsidRPr="0025514D">
        <w:rPr>
          <w:rFonts w:ascii="Times New Roman" w:hAnsi="Times New Roman" w:cs="Times New Roman"/>
          <w:noProof/>
        </w:rPr>
        <w:t xml:space="preserve">McEvoy, Joanne. "Elite Interviewing in a Divided Society: Lessons from Northern Ireland." </w:t>
      </w:r>
      <w:r w:rsidRPr="0025514D">
        <w:rPr>
          <w:rFonts w:ascii="Times New Roman" w:hAnsi="Times New Roman" w:cs="Times New Roman"/>
          <w:i/>
          <w:noProof/>
        </w:rPr>
        <w:t xml:space="preserve">Politics </w:t>
      </w:r>
      <w:r w:rsidRPr="0025514D">
        <w:rPr>
          <w:rFonts w:ascii="Times New Roman" w:hAnsi="Times New Roman" w:cs="Times New Roman"/>
          <w:noProof/>
        </w:rPr>
        <w:t>26 (3) (2006): pp. 184-91.</w:t>
      </w:r>
      <w:bookmarkEnd w:id="176"/>
    </w:p>
    <w:p w14:paraId="07848E0E" w14:textId="77777777" w:rsidR="002A1763" w:rsidRPr="0025514D" w:rsidRDefault="002A1763" w:rsidP="002A1763">
      <w:pPr>
        <w:spacing w:line="240" w:lineRule="auto"/>
        <w:ind w:left="720" w:hanging="720"/>
        <w:jc w:val="both"/>
        <w:rPr>
          <w:rFonts w:ascii="Times New Roman" w:hAnsi="Times New Roman" w:cs="Times New Roman"/>
          <w:noProof/>
        </w:rPr>
      </w:pPr>
      <w:bookmarkStart w:id="177" w:name="_ENREF_94"/>
      <w:r w:rsidRPr="0025514D">
        <w:rPr>
          <w:rFonts w:ascii="Times New Roman" w:hAnsi="Times New Roman" w:cs="Times New Roman"/>
          <w:noProof/>
        </w:rPr>
        <w:t xml:space="preserve">McEvoy, K, and P Shirlow. "Re-Imagining Ddr: Ex-Combatants, Leadership and Moral Agency in Conflict Transformation." </w:t>
      </w:r>
      <w:r w:rsidRPr="0025514D">
        <w:rPr>
          <w:rFonts w:ascii="Times New Roman" w:hAnsi="Times New Roman" w:cs="Times New Roman"/>
          <w:i/>
          <w:noProof/>
        </w:rPr>
        <w:t xml:space="preserve">Theoretical Criminology </w:t>
      </w:r>
      <w:r w:rsidRPr="0025514D">
        <w:rPr>
          <w:rFonts w:ascii="Times New Roman" w:hAnsi="Times New Roman" w:cs="Times New Roman"/>
          <w:noProof/>
        </w:rPr>
        <w:t>Vol. 13 (31) (2009).</w:t>
      </w:r>
      <w:bookmarkEnd w:id="177"/>
    </w:p>
    <w:p w14:paraId="567D8DF3" w14:textId="77777777" w:rsidR="002A1763" w:rsidRPr="0025514D" w:rsidRDefault="002A1763" w:rsidP="002A1763">
      <w:pPr>
        <w:spacing w:line="240" w:lineRule="auto"/>
        <w:ind w:left="720" w:hanging="720"/>
        <w:jc w:val="both"/>
        <w:rPr>
          <w:rFonts w:ascii="Times New Roman" w:hAnsi="Times New Roman" w:cs="Times New Roman"/>
          <w:noProof/>
        </w:rPr>
      </w:pPr>
      <w:bookmarkStart w:id="178" w:name="_ENREF_95"/>
      <w:r w:rsidRPr="0025514D">
        <w:rPr>
          <w:rFonts w:ascii="Times New Roman" w:hAnsi="Times New Roman" w:cs="Times New Roman"/>
          <w:noProof/>
        </w:rPr>
        <w:t xml:space="preserve">McEvoy, Siobhan. "Communities and Peace: Catholic Youth in Northern Ireland." </w:t>
      </w:r>
      <w:r w:rsidRPr="0025514D">
        <w:rPr>
          <w:rFonts w:ascii="Times New Roman" w:hAnsi="Times New Roman" w:cs="Times New Roman"/>
          <w:i/>
          <w:noProof/>
        </w:rPr>
        <w:t xml:space="preserve">Journal of Peace Research </w:t>
      </w:r>
      <w:r w:rsidRPr="0025514D">
        <w:rPr>
          <w:rFonts w:ascii="Times New Roman" w:hAnsi="Times New Roman" w:cs="Times New Roman"/>
          <w:noProof/>
        </w:rPr>
        <w:t>37 (1) (2000): pp. 85-103.</w:t>
      </w:r>
      <w:bookmarkEnd w:id="178"/>
    </w:p>
    <w:p w14:paraId="0F4E52B6" w14:textId="77777777" w:rsidR="002A1763" w:rsidRPr="0025514D" w:rsidRDefault="002A1763" w:rsidP="002A1763">
      <w:pPr>
        <w:spacing w:line="240" w:lineRule="auto"/>
        <w:ind w:left="720" w:hanging="720"/>
        <w:jc w:val="both"/>
        <w:rPr>
          <w:rFonts w:ascii="Times New Roman" w:hAnsi="Times New Roman" w:cs="Times New Roman"/>
          <w:noProof/>
        </w:rPr>
      </w:pPr>
      <w:bookmarkStart w:id="179" w:name="_ENREF_96"/>
      <w:r w:rsidRPr="0025514D">
        <w:rPr>
          <w:rFonts w:ascii="Times New Roman" w:hAnsi="Times New Roman" w:cs="Times New Roman"/>
          <w:noProof/>
        </w:rPr>
        <w:t xml:space="preserve">McGarry, John, and Brendan O'Leary. "Proving Our Points on Northern Ireland (and Giving Reading Lessons to Dr. Dixon)." </w:t>
      </w:r>
      <w:r w:rsidRPr="0025514D">
        <w:rPr>
          <w:rFonts w:ascii="Times New Roman" w:hAnsi="Times New Roman" w:cs="Times New Roman"/>
          <w:i/>
          <w:noProof/>
        </w:rPr>
        <w:t xml:space="preserve">Irish Political Studies </w:t>
      </w:r>
      <w:r w:rsidRPr="0025514D">
        <w:rPr>
          <w:rFonts w:ascii="Times New Roman" w:hAnsi="Times New Roman" w:cs="Times New Roman"/>
          <w:noProof/>
        </w:rPr>
        <w:t>11 (1) (1996): pp. 142-54.</w:t>
      </w:r>
      <w:bookmarkEnd w:id="179"/>
    </w:p>
    <w:p w14:paraId="6ABEC5E0" w14:textId="77777777" w:rsidR="002A1763" w:rsidRPr="0025514D" w:rsidRDefault="002A1763" w:rsidP="002A1763">
      <w:pPr>
        <w:spacing w:line="240" w:lineRule="auto"/>
        <w:ind w:left="720" w:hanging="720"/>
        <w:jc w:val="both"/>
        <w:rPr>
          <w:rFonts w:ascii="Times New Roman" w:hAnsi="Times New Roman" w:cs="Times New Roman"/>
          <w:noProof/>
        </w:rPr>
      </w:pPr>
      <w:bookmarkStart w:id="180" w:name="_ENREF_97"/>
      <w:r w:rsidRPr="0025514D">
        <w:rPr>
          <w:rFonts w:ascii="Times New Roman" w:hAnsi="Times New Roman" w:cs="Times New Roman"/>
          <w:noProof/>
        </w:rPr>
        <w:t xml:space="preserve">Meyer, David, and Debra Minkoff. "Conceptualizing Political Opportunity." </w:t>
      </w:r>
      <w:r w:rsidRPr="0025514D">
        <w:rPr>
          <w:rFonts w:ascii="Times New Roman" w:hAnsi="Times New Roman" w:cs="Times New Roman"/>
          <w:i/>
          <w:noProof/>
        </w:rPr>
        <w:t xml:space="preserve">Social Forces </w:t>
      </w:r>
      <w:r w:rsidRPr="0025514D">
        <w:rPr>
          <w:rFonts w:ascii="Times New Roman" w:hAnsi="Times New Roman" w:cs="Times New Roman"/>
          <w:noProof/>
        </w:rPr>
        <w:t>82 (4) (2004): pp.1457-92.</w:t>
      </w:r>
      <w:bookmarkEnd w:id="180"/>
    </w:p>
    <w:p w14:paraId="254E2110" w14:textId="77777777" w:rsidR="002A1763" w:rsidRPr="0025514D" w:rsidRDefault="002A1763" w:rsidP="002A1763">
      <w:pPr>
        <w:spacing w:line="240" w:lineRule="auto"/>
        <w:ind w:left="720" w:hanging="720"/>
        <w:jc w:val="both"/>
        <w:rPr>
          <w:rFonts w:ascii="Times New Roman" w:hAnsi="Times New Roman" w:cs="Times New Roman"/>
          <w:noProof/>
        </w:rPr>
      </w:pPr>
      <w:bookmarkStart w:id="181" w:name="_ENREF_98"/>
      <w:r w:rsidRPr="0025514D">
        <w:rPr>
          <w:rFonts w:ascii="Times New Roman" w:hAnsi="Times New Roman" w:cs="Times New Roman"/>
          <w:noProof/>
        </w:rPr>
        <w:t xml:space="preserve">Mitchell, David. "Sticking to Their Guns? The Politics of Arms Decommissioning in Northern Ireland, 1998-2007." </w:t>
      </w:r>
      <w:r w:rsidRPr="0025514D">
        <w:rPr>
          <w:rFonts w:ascii="Times New Roman" w:hAnsi="Times New Roman" w:cs="Times New Roman"/>
          <w:i/>
          <w:noProof/>
        </w:rPr>
        <w:t xml:space="preserve">Contemporary British History </w:t>
      </w:r>
      <w:r w:rsidRPr="0025514D">
        <w:rPr>
          <w:rFonts w:ascii="Times New Roman" w:hAnsi="Times New Roman" w:cs="Times New Roman"/>
          <w:noProof/>
        </w:rPr>
        <w:t>24 (3) (2010): pp. 341-61.</w:t>
      </w:r>
      <w:bookmarkEnd w:id="181"/>
    </w:p>
    <w:p w14:paraId="70B8C43E" w14:textId="77777777" w:rsidR="002A1763" w:rsidRPr="0025514D" w:rsidRDefault="002A1763" w:rsidP="002A1763">
      <w:pPr>
        <w:spacing w:line="240" w:lineRule="auto"/>
        <w:ind w:left="720" w:hanging="720"/>
        <w:jc w:val="both"/>
        <w:rPr>
          <w:rFonts w:ascii="Times New Roman" w:hAnsi="Times New Roman" w:cs="Times New Roman"/>
          <w:noProof/>
        </w:rPr>
      </w:pPr>
      <w:bookmarkStart w:id="182" w:name="_ENREF_99"/>
      <w:r w:rsidRPr="0025514D">
        <w:rPr>
          <w:rFonts w:ascii="Times New Roman" w:hAnsi="Times New Roman" w:cs="Times New Roman"/>
          <w:noProof/>
        </w:rPr>
        <w:t xml:space="preserve">Moghadam, Assaf. "Failure and Disengagement in the Red Army Faction." </w:t>
      </w:r>
      <w:r w:rsidRPr="0025514D">
        <w:rPr>
          <w:rFonts w:ascii="Times New Roman" w:hAnsi="Times New Roman" w:cs="Times New Roman"/>
          <w:i/>
          <w:noProof/>
        </w:rPr>
        <w:t xml:space="preserve">Studies in Conflict &amp; Terrorism </w:t>
      </w:r>
      <w:r w:rsidRPr="0025514D">
        <w:rPr>
          <w:rFonts w:ascii="Times New Roman" w:hAnsi="Times New Roman" w:cs="Times New Roman"/>
          <w:noProof/>
        </w:rPr>
        <w:t>35 (2) (2012): pp. 156-81.</w:t>
      </w:r>
      <w:bookmarkEnd w:id="182"/>
    </w:p>
    <w:p w14:paraId="63E17B52" w14:textId="77777777" w:rsidR="002A1763" w:rsidRPr="0025514D" w:rsidRDefault="002A1763" w:rsidP="002A1763">
      <w:pPr>
        <w:spacing w:line="240" w:lineRule="auto"/>
        <w:ind w:left="720" w:hanging="720"/>
        <w:jc w:val="both"/>
        <w:rPr>
          <w:rFonts w:ascii="Times New Roman" w:hAnsi="Times New Roman" w:cs="Times New Roman"/>
          <w:noProof/>
        </w:rPr>
      </w:pPr>
      <w:bookmarkStart w:id="183" w:name="_ENREF_100"/>
      <w:r w:rsidRPr="0025514D">
        <w:rPr>
          <w:rFonts w:ascii="Times New Roman" w:hAnsi="Times New Roman" w:cs="Times New Roman"/>
          <w:noProof/>
        </w:rPr>
        <w:t xml:space="preserve">Moloney, Ed. </w:t>
      </w:r>
      <w:r w:rsidRPr="0025514D">
        <w:rPr>
          <w:rFonts w:ascii="Times New Roman" w:hAnsi="Times New Roman" w:cs="Times New Roman"/>
          <w:i/>
          <w:noProof/>
        </w:rPr>
        <w:t>A Secret History of the Ira</w:t>
      </w:r>
      <w:r w:rsidRPr="0025514D">
        <w:rPr>
          <w:rFonts w:ascii="Times New Roman" w:hAnsi="Times New Roman" w:cs="Times New Roman"/>
          <w:noProof/>
        </w:rPr>
        <w:t>.  London: Penguin, 2002.</w:t>
      </w:r>
      <w:bookmarkEnd w:id="183"/>
    </w:p>
    <w:p w14:paraId="5CD77C88" w14:textId="77777777" w:rsidR="002A1763" w:rsidRPr="0025514D" w:rsidRDefault="002A1763" w:rsidP="002A1763">
      <w:pPr>
        <w:spacing w:line="240" w:lineRule="auto"/>
        <w:ind w:left="720" w:hanging="720"/>
        <w:jc w:val="both"/>
        <w:rPr>
          <w:rFonts w:ascii="Times New Roman" w:hAnsi="Times New Roman" w:cs="Times New Roman"/>
          <w:noProof/>
        </w:rPr>
      </w:pPr>
      <w:bookmarkStart w:id="184" w:name="_ENREF_101"/>
      <w:r w:rsidRPr="0025514D">
        <w:rPr>
          <w:rFonts w:ascii="Times New Roman" w:hAnsi="Times New Roman" w:cs="Times New Roman"/>
          <w:noProof/>
        </w:rPr>
        <w:t xml:space="preserve">Morgan, D. L. </w:t>
      </w:r>
      <w:r w:rsidRPr="0025514D">
        <w:rPr>
          <w:rFonts w:ascii="Times New Roman" w:hAnsi="Times New Roman" w:cs="Times New Roman"/>
          <w:i/>
          <w:noProof/>
        </w:rPr>
        <w:t>Planning Focus Groups</w:t>
      </w:r>
      <w:r w:rsidRPr="0025514D">
        <w:rPr>
          <w:rFonts w:ascii="Times New Roman" w:hAnsi="Times New Roman" w:cs="Times New Roman"/>
          <w:noProof/>
        </w:rPr>
        <w:t>.  California: Sage, 1998.</w:t>
      </w:r>
      <w:bookmarkEnd w:id="184"/>
    </w:p>
    <w:p w14:paraId="1F00F4B0" w14:textId="77777777" w:rsidR="002A1763" w:rsidRPr="0025514D" w:rsidRDefault="002A1763" w:rsidP="002A1763">
      <w:pPr>
        <w:spacing w:line="240" w:lineRule="auto"/>
        <w:ind w:left="720" w:hanging="720"/>
        <w:jc w:val="both"/>
        <w:rPr>
          <w:rFonts w:ascii="Times New Roman" w:hAnsi="Times New Roman" w:cs="Times New Roman"/>
          <w:noProof/>
        </w:rPr>
      </w:pPr>
      <w:bookmarkStart w:id="185" w:name="_ENREF_102"/>
      <w:r w:rsidRPr="0025514D">
        <w:rPr>
          <w:rFonts w:ascii="Times New Roman" w:hAnsi="Times New Roman" w:cs="Times New Roman"/>
          <w:noProof/>
        </w:rPr>
        <w:t>Morris, Madeline, Frances Eberhad, Jessica Rivera, and Michael Watsula. "Deradicalization: A Review of the Literature with Comparison to Findings in the Literatures on Deganging and Deprogramming." Institute for Homeland Security Solutions, 2010.</w:t>
      </w:r>
      <w:bookmarkEnd w:id="185"/>
    </w:p>
    <w:p w14:paraId="043579C9" w14:textId="77777777" w:rsidR="002A1763" w:rsidRPr="0025514D" w:rsidRDefault="002A1763" w:rsidP="002A1763">
      <w:pPr>
        <w:spacing w:line="240" w:lineRule="auto"/>
        <w:ind w:left="720" w:hanging="720"/>
        <w:jc w:val="both"/>
        <w:rPr>
          <w:rFonts w:ascii="Times New Roman" w:hAnsi="Times New Roman" w:cs="Times New Roman"/>
          <w:noProof/>
        </w:rPr>
      </w:pPr>
      <w:bookmarkStart w:id="186" w:name="_ENREF_103"/>
      <w:r w:rsidRPr="0025514D">
        <w:rPr>
          <w:rFonts w:ascii="Times New Roman" w:hAnsi="Times New Roman" w:cs="Times New Roman"/>
          <w:noProof/>
        </w:rPr>
        <w:t xml:space="preserve">Morrison, John. "Why Do People Become Dissident Republicans?". In </w:t>
      </w:r>
      <w:r w:rsidRPr="0025514D">
        <w:rPr>
          <w:rFonts w:ascii="Times New Roman" w:hAnsi="Times New Roman" w:cs="Times New Roman"/>
          <w:i/>
          <w:noProof/>
        </w:rPr>
        <w:t>Dissident Irish Republicanism</w:t>
      </w:r>
      <w:r w:rsidRPr="0025514D">
        <w:rPr>
          <w:rFonts w:ascii="Times New Roman" w:hAnsi="Times New Roman" w:cs="Times New Roman"/>
          <w:noProof/>
        </w:rPr>
        <w:t>, edited by P.M. Currie and Max Taylor. London: The Continuum International Publishing Group, 2011.</w:t>
      </w:r>
      <w:bookmarkEnd w:id="186"/>
    </w:p>
    <w:p w14:paraId="6553377C" w14:textId="77777777" w:rsidR="002A1763" w:rsidRPr="0025514D" w:rsidRDefault="002A1763" w:rsidP="002A1763">
      <w:pPr>
        <w:spacing w:line="240" w:lineRule="auto"/>
        <w:ind w:left="720" w:hanging="720"/>
        <w:jc w:val="both"/>
        <w:rPr>
          <w:rFonts w:ascii="Times New Roman" w:hAnsi="Times New Roman" w:cs="Times New Roman"/>
          <w:noProof/>
        </w:rPr>
      </w:pPr>
      <w:bookmarkStart w:id="187" w:name="_ENREF_104"/>
      <w:r w:rsidRPr="0025514D">
        <w:rPr>
          <w:rFonts w:ascii="Times New Roman" w:hAnsi="Times New Roman" w:cs="Times New Roman"/>
          <w:noProof/>
        </w:rPr>
        <w:t>Muggah, Robert. "No Magic Bullet: A Critical Perspective on Disarmament, Demobilization and Reintegration (Ddr) and Weapons in Post-Conflict Context." pp. 239-52: The Round Table 94, 2005.</w:t>
      </w:r>
      <w:bookmarkEnd w:id="187"/>
    </w:p>
    <w:p w14:paraId="136EED64" w14:textId="77777777" w:rsidR="002A1763" w:rsidRPr="0025514D" w:rsidRDefault="002A1763" w:rsidP="002A1763">
      <w:pPr>
        <w:spacing w:line="240" w:lineRule="auto"/>
        <w:ind w:left="720" w:hanging="720"/>
        <w:jc w:val="both"/>
        <w:rPr>
          <w:rFonts w:ascii="Times New Roman" w:hAnsi="Times New Roman" w:cs="Times New Roman"/>
          <w:noProof/>
        </w:rPr>
      </w:pPr>
      <w:bookmarkStart w:id="188" w:name="_ENREF_105"/>
      <w:r w:rsidRPr="0025514D">
        <w:rPr>
          <w:rFonts w:ascii="Times New Roman" w:hAnsi="Times New Roman" w:cs="Times New Roman"/>
          <w:noProof/>
        </w:rPr>
        <w:t xml:space="preserve">Nelles, Wayne, ed. </w:t>
      </w:r>
      <w:r w:rsidRPr="0025514D">
        <w:rPr>
          <w:rFonts w:ascii="Times New Roman" w:hAnsi="Times New Roman" w:cs="Times New Roman"/>
          <w:i/>
          <w:noProof/>
        </w:rPr>
        <w:t>Comparative Education, Terrorism and Human Security</w:t>
      </w:r>
      <w:r w:rsidRPr="0025514D">
        <w:rPr>
          <w:rFonts w:ascii="Times New Roman" w:hAnsi="Times New Roman" w:cs="Times New Roman"/>
          <w:noProof/>
        </w:rPr>
        <w:t>. Hampshire: Palgrave Macmillan, 2012.</w:t>
      </w:r>
      <w:bookmarkEnd w:id="188"/>
    </w:p>
    <w:p w14:paraId="0C17038F" w14:textId="124167A0" w:rsidR="002A1763" w:rsidRPr="0025514D" w:rsidRDefault="002A1763" w:rsidP="002A1763">
      <w:pPr>
        <w:spacing w:line="240" w:lineRule="auto"/>
        <w:ind w:left="720" w:hanging="720"/>
        <w:jc w:val="both"/>
        <w:rPr>
          <w:rFonts w:ascii="Times New Roman" w:hAnsi="Times New Roman" w:cs="Times New Roman"/>
          <w:noProof/>
        </w:rPr>
      </w:pPr>
      <w:bookmarkStart w:id="189" w:name="_ENREF_106"/>
      <w:r w:rsidRPr="0025514D">
        <w:rPr>
          <w:rFonts w:ascii="Times New Roman" w:hAnsi="Times New Roman" w:cs="Times New Roman"/>
          <w:noProof/>
        </w:rPr>
        <w:t xml:space="preserve">News, BBC. "Ira Declares 'Complete' Ceasefire."  </w:t>
      </w:r>
      <w:hyperlink r:id="rId11" w:history="1">
        <w:r w:rsidRPr="0025514D">
          <w:rPr>
            <w:rStyle w:val="Hyperlink"/>
            <w:rFonts w:ascii="Times New Roman" w:hAnsi="Times New Roman" w:cs="Times New Roman"/>
            <w:noProof/>
          </w:rPr>
          <w:t>http://news.bbc.co.uk/onthisday/hi/dates/stories/august/31/newsid_3605000/3605348.stm</w:t>
        </w:r>
      </w:hyperlink>
      <w:r w:rsidRPr="0025514D">
        <w:rPr>
          <w:rFonts w:ascii="Times New Roman" w:hAnsi="Times New Roman" w:cs="Times New Roman"/>
          <w:noProof/>
        </w:rPr>
        <w:t>.</w:t>
      </w:r>
      <w:bookmarkEnd w:id="189"/>
    </w:p>
    <w:p w14:paraId="51F06AA7" w14:textId="232797F0" w:rsidR="002A1763" w:rsidRPr="0025514D" w:rsidRDefault="002A1763" w:rsidP="002A1763">
      <w:pPr>
        <w:spacing w:line="240" w:lineRule="auto"/>
        <w:ind w:left="720" w:hanging="720"/>
        <w:jc w:val="both"/>
        <w:rPr>
          <w:rFonts w:ascii="Times New Roman" w:hAnsi="Times New Roman" w:cs="Times New Roman"/>
          <w:noProof/>
        </w:rPr>
      </w:pPr>
      <w:bookmarkStart w:id="190" w:name="_ENREF_107"/>
      <w:r w:rsidRPr="0025514D">
        <w:rPr>
          <w:rFonts w:ascii="Times New Roman" w:hAnsi="Times New Roman" w:cs="Times New Roman"/>
          <w:noProof/>
        </w:rPr>
        <w:t xml:space="preserve">———. "Ira Statement in Full."  </w:t>
      </w:r>
      <w:hyperlink r:id="rId12" w:history="1">
        <w:r w:rsidRPr="0025514D">
          <w:rPr>
            <w:rStyle w:val="Hyperlink"/>
            <w:rFonts w:ascii="Times New Roman" w:hAnsi="Times New Roman" w:cs="Times New Roman"/>
            <w:noProof/>
          </w:rPr>
          <w:t>http://news.bbc.co.uk/1/hi/northern_ireland/4724599.stm</w:t>
        </w:r>
      </w:hyperlink>
      <w:r w:rsidRPr="0025514D">
        <w:rPr>
          <w:rFonts w:ascii="Times New Roman" w:hAnsi="Times New Roman" w:cs="Times New Roman"/>
          <w:noProof/>
        </w:rPr>
        <w:t>.</w:t>
      </w:r>
      <w:bookmarkEnd w:id="190"/>
    </w:p>
    <w:p w14:paraId="04C29D64" w14:textId="0BF9025D" w:rsidR="002A1763" w:rsidRPr="0025514D" w:rsidRDefault="002A1763" w:rsidP="002A1763">
      <w:pPr>
        <w:spacing w:line="240" w:lineRule="auto"/>
        <w:ind w:left="720" w:hanging="720"/>
        <w:jc w:val="both"/>
        <w:rPr>
          <w:rFonts w:ascii="Times New Roman" w:hAnsi="Times New Roman" w:cs="Times New Roman"/>
          <w:noProof/>
        </w:rPr>
      </w:pPr>
      <w:bookmarkStart w:id="191" w:name="_ENREF_108"/>
      <w:r w:rsidRPr="0025514D">
        <w:rPr>
          <w:rFonts w:ascii="Times New Roman" w:hAnsi="Times New Roman" w:cs="Times New Roman"/>
          <w:noProof/>
        </w:rPr>
        <w:t xml:space="preserve">———. "Three Arrests in Dissident Republican Investigation."  </w:t>
      </w:r>
      <w:hyperlink r:id="rId13" w:history="1">
        <w:r w:rsidRPr="0025514D">
          <w:rPr>
            <w:rStyle w:val="Hyperlink"/>
            <w:rFonts w:ascii="Times New Roman" w:hAnsi="Times New Roman" w:cs="Times New Roman"/>
            <w:noProof/>
          </w:rPr>
          <w:t>http://www.bbc.co.uk/news/uk-northern-ireland-25449442</w:t>
        </w:r>
      </w:hyperlink>
      <w:r w:rsidRPr="0025514D">
        <w:rPr>
          <w:rFonts w:ascii="Times New Roman" w:hAnsi="Times New Roman" w:cs="Times New Roman"/>
          <w:noProof/>
        </w:rPr>
        <w:t>.</w:t>
      </w:r>
      <w:bookmarkEnd w:id="191"/>
    </w:p>
    <w:p w14:paraId="1B7C8454" w14:textId="77777777" w:rsidR="002A1763" w:rsidRPr="0025514D" w:rsidRDefault="002A1763" w:rsidP="002A1763">
      <w:pPr>
        <w:spacing w:line="240" w:lineRule="auto"/>
        <w:ind w:left="720" w:hanging="720"/>
        <w:jc w:val="both"/>
        <w:rPr>
          <w:rFonts w:ascii="Times New Roman" w:hAnsi="Times New Roman" w:cs="Times New Roman"/>
          <w:noProof/>
        </w:rPr>
      </w:pPr>
      <w:bookmarkStart w:id="192" w:name="_ENREF_109"/>
      <w:r w:rsidRPr="0025514D">
        <w:rPr>
          <w:rFonts w:ascii="Times New Roman" w:hAnsi="Times New Roman" w:cs="Times New Roman"/>
          <w:noProof/>
        </w:rPr>
        <w:t xml:space="preserve">Noricks, Darcy. "Disengagement and Deradicalization: Processes and Programs." In </w:t>
      </w:r>
      <w:r w:rsidRPr="0025514D">
        <w:rPr>
          <w:rFonts w:ascii="Times New Roman" w:hAnsi="Times New Roman" w:cs="Times New Roman"/>
          <w:i/>
          <w:noProof/>
        </w:rPr>
        <w:t>Social Science for Counter Terrorism : Putting the Pieces Together</w:t>
      </w:r>
      <w:r w:rsidRPr="0025514D">
        <w:rPr>
          <w:rFonts w:ascii="Times New Roman" w:hAnsi="Times New Roman" w:cs="Times New Roman"/>
          <w:noProof/>
        </w:rPr>
        <w:t>, edited by Paul K. Davis, Kim Cragin, Darcy Noricks, United States. National Defense Research Committee. and United States. Department of Defense. [New York]: National Defense Research Institute for the Office of the Secretary for Defense, 2009.</w:t>
      </w:r>
      <w:bookmarkEnd w:id="192"/>
    </w:p>
    <w:p w14:paraId="1D4C8D4A" w14:textId="77777777" w:rsidR="002A1763" w:rsidRPr="0025514D" w:rsidRDefault="002A1763" w:rsidP="002A1763">
      <w:pPr>
        <w:spacing w:line="240" w:lineRule="auto"/>
        <w:ind w:left="720" w:hanging="720"/>
        <w:jc w:val="both"/>
        <w:rPr>
          <w:rFonts w:ascii="Times New Roman" w:hAnsi="Times New Roman" w:cs="Times New Roman"/>
          <w:noProof/>
        </w:rPr>
      </w:pPr>
      <w:bookmarkStart w:id="193" w:name="_ENREF_110"/>
      <w:r w:rsidRPr="0025514D">
        <w:rPr>
          <w:rFonts w:ascii="Times New Roman" w:hAnsi="Times New Roman" w:cs="Times New Roman"/>
          <w:noProof/>
        </w:rPr>
        <w:t xml:space="preserve">———. "The Root Causes of Terrorism." In </w:t>
      </w:r>
      <w:r w:rsidRPr="0025514D">
        <w:rPr>
          <w:rFonts w:ascii="Times New Roman" w:hAnsi="Times New Roman" w:cs="Times New Roman"/>
          <w:i/>
          <w:noProof/>
        </w:rPr>
        <w:t>Social Science for Counter Terrorism : Putting the Pieces Together</w:t>
      </w:r>
      <w:r w:rsidRPr="0025514D">
        <w:rPr>
          <w:rFonts w:ascii="Times New Roman" w:hAnsi="Times New Roman" w:cs="Times New Roman"/>
          <w:noProof/>
        </w:rPr>
        <w:t>, edited by Paul K. Davis, Kim Cragin, Darcy Noricks, United States. National Defense Research Committee. and United States. Department of Defense. New York: National Defense Research Institute for the Office of the Secretary for Defense, 2009.</w:t>
      </w:r>
      <w:bookmarkEnd w:id="193"/>
    </w:p>
    <w:p w14:paraId="17FFCCFC" w14:textId="77777777" w:rsidR="002A1763" w:rsidRPr="0025514D" w:rsidRDefault="002A1763" w:rsidP="002A1763">
      <w:pPr>
        <w:spacing w:line="240" w:lineRule="auto"/>
        <w:ind w:left="720" w:hanging="720"/>
        <w:jc w:val="both"/>
        <w:rPr>
          <w:rFonts w:ascii="Times New Roman" w:hAnsi="Times New Roman" w:cs="Times New Roman"/>
          <w:noProof/>
        </w:rPr>
      </w:pPr>
      <w:bookmarkStart w:id="194" w:name="_ENREF_111"/>
      <w:r w:rsidRPr="0025514D">
        <w:rPr>
          <w:rFonts w:ascii="Times New Roman" w:hAnsi="Times New Roman" w:cs="Times New Roman"/>
          <w:noProof/>
        </w:rPr>
        <w:t xml:space="preserve">O'Brien, Brendan. </w:t>
      </w:r>
      <w:r w:rsidRPr="0025514D">
        <w:rPr>
          <w:rFonts w:ascii="Times New Roman" w:hAnsi="Times New Roman" w:cs="Times New Roman"/>
          <w:i/>
          <w:noProof/>
        </w:rPr>
        <w:t>The Long War: The Ira and Sinn Fein</w:t>
      </w:r>
      <w:r w:rsidRPr="0025514D">
        <w:rPr>
          <w:rFonts w:ascii="Times New Roman" w:hAnsi="Times New Roman" w:cs="Times New Roman"/>
          <w:noProof/>
        </w:rPr>
        <w:t>.  New York: Syracuse University Press, 1999.</w:t>
      </w:r>
      <w:bookmarkEnd w:id="194"/>
    </w:p>
    <w:p w14:paraId="630F55DA" w14:textId="77777777" w:rsidR="002A1763" w:rsidRPr="0025514D" w:rsidRDefault="002A1763" w:rsidP="002A1763">
      <w:pPr>
        <w:spacing w:line="240" w:lineRule="auto"/>
        <w:ind w:left="720" w:hanging="720"/>
        <w:jc w:val="both"/>
        <w:rPr>
          <w:rFonts w:ascii="Times New Roman" w:hAnsi="Times New Roman" w:cs="Times New Roman"/>
          <w:noProof/>
        </w:rPr>
      </w:pPr>
      <w:bookmarkStart w:id="195" w:name="_ENREF_112"/>
      <w:r w:rsidRPr="0025514D">
        <w:rPr>
          <w:rFonts w:ascii="Times New Roman" w:hAnsi="Times New Roman" w:cs="Times New Roman"/>
          <w:noProof/>
        </w:rPr>
        <w:t xml:space="preserve">O'Dochartaigh, Niall. </w:t>
      </w:r>
      <w:r w:rsidRPr="0025514D">
        <w:rPr>
          <w:rFonts w:ascii="Times New Roman" w:hAnsi="Times New Roman" w:cs="Times New Roman"/>
          <w:i/>
          <w:noProof/>
        </w:rPr>
        <w:t>From Civil Rights to Armalites: Derry and the Birth of the Irish Troubles</w:t>
      </w:r>
      <w:r w:rsidRPr="0025514D">
        <w:rPr>
          <w:rFonts w:ascii="Times New Roman" w:hAnsi="Times New Roman" w:cs="Times New Roman"/>
          <w:noProof/>
        </w:rPr>
        <w:t>.  Hampshire: Palgrave Macmillan, 2005.</w:t>
      </w:r>
      <w:bookmarkEnd w:id="195"/>
    </w:p>
    <w:p w14:paraId="04F57092" w14:textId="77777777" w:rsidR="002A1763" w:rsidRPr="0025514D" w:rsidRDefault="002A1763" w:rsidP="002A1763">
      <w:pPr>
        <w:spacing w:line="240" w:lineRule="auto"/>
        <w:ind w:left="720" w:hanging="720"/>
        <w:jc w:val="both"/>
        <w:rPr>
          <w:rFonts w:ascii="Times New Roman" w:hAnsi="Times New Roman" w:cs="Times New Roman"/>
          <w:noProof/>
        </w:rPr>
      </w:pPr>
      <w:bookmarkStart w:id="196" w:name="_ENREF_113"/>
      <w:r w:rsidRPr="0025514D">
        <w:rPr>
          <w:rFonts w:ascii="Times New Roman" w:hAnsi="Times New Roman" w:cs="Times New Roman"/>
          <w:noProof/>
        </w:rPr>
        <w:t xml:space="preserve">O'Farrell, John, Gaby Hinsliff, and Henry McDonald. "Ira Declares Peace, but for Some Old Warriors It's Abject Surrender." </w:t>
      </w:r>
      <w:r w:rsidRPr="0025514D">
        <w:rPr>
          <w:rFonts w:ascii="Times New Roman" w:hAnsi="Times New Roman" w:cs="Times New Roman"/>
          <w:i/>
          <w:noProof/>
        </w:rPr>
        <w:t>The Observer</w:t>
      </w:r>
      <w:r w:rsidRPr="0025514D">
        <w:rPr>
          <w:rFonts w:ascii="Times New Roman" w:hAnsi="Times New Roman" w:cs="Times New Roman"/>
          <w:noProof/>
        </w:rPr>
        <w:t>, 31st July 2005.</w:t>
      </w:r>
      <w:bookmarkEnd w:id="196"/>
    </w:p>
    <w:p w14:paraId="433534CB" w14:textId="77777777" w:rsidR="002A1763" w:rsidRPr="0025514D" w:rsidRDefault="002A1763" w:rsidP="002A1763">
      <w:pPr>
        <w:spacing w:line="240" w:lineRule="auto"/>
        <w:ind w:left="720" w:hanging="720"/>
        <w:jc w:val="both"/>
        <w:rPr>
          <w:rFonts w:ascii="Times New Roman" w:hAnsi="Times New Roman" w:cs="Times New Roman"/>
          <w:noProof/>
        </w:rPr>
      </w:pPr>
      <w:bookmarkStart w:id="197" w:name="_ENREF_114"/>
      <w:r w:rsidRPr="0025514D">
        <w:rPr>
          <w:rFonts w:ascii="Times New Roman" w:hAnsi="Times New Roman" w:cs="Times New Roman"/>
          <w:noProof/>
        </w:rPr>
        <w:t xml:space="preserve">O'Kane, Eamonn. "Decommissioning and the Peace Process: Where Did It Come from and Why Did It Stay So Long?". </w:t>
      </w:r>
      <w:r w:rsidRPr="0025514D">
        <w:rPr>
          <w:rFonts w:ascii="Times New Roman" w:hAnsi="Times New Roman" w:cs="Times New Roman"/>
          <w:i/>
          <w:noProof/>
        </w:rPr>
        <w:t xml:space="preserve">Irish Political Studies </w:t>
      </w:r>
      <w:r w:rsidRPr="0025514D">
        <w:rPr>
          <w:rFonts w:ascii="Times New Roman" w:hAnsi="Times New Roman" w:cs="Times New Roman"/>
          <w:noProof/>
        </w:rPr>
        <w:t>22 (1) (2007): pp. 81-101.</w:t>
      </w:r>
      <w:bookmarkEnd w:id="197"/>
    </w:p>
    <w:p w14:paraId="51EAE14F" w14:textId="77777777" w:rsidR="002A1763" w:rsidRPr="0025514D" w:rsidRDefault="002A1763" w:rsidP="002A1763">
      <w:pPr>
        <w:spacing w:line="240" w:lineRule="auto"/>
        <w:ind w:left="720" w:hanging="720"/>
        <w:jc w:val="both"/>
        <w:rPr>
          <w:rFonts w:ascii="Times New Roman" w:hAnsi="Times New Roman" w:cs="Times New Roman"/>
          <w:noProof/>
        </w:rPr>
      </w:pPr>
      <w:bookmarkStart w:id="198" w:name="_ENREF_115"/>
      <w:r w:rsidRPr="0025514D">
        <w:rPr>
          <w:rFonts w:ascii="Times New Roman" w:hAnsi="Times New Roman" w:cs="Times New Roman"/>
          <w:noProof/>
        </w:rPr>
        <w:t xml:space="preserve">O'Leary, Brendan. "The Ira: Looking Back; Mission Accomplished?". In </w:t>
      </w:r>
      <w:r w:rsidRPr="0025514D">
        <w:rPr>
          <w:rFonts w:ascii="Times New Roman" w:hAnsi="Times New Roman" w:cs="Times New Roman"/>
          <w:i/>
          <w:noProof/>
        </w:rPr>
        <w:t>Terror, Insurgency, and the State</w:t>
      </w:r>
      <w:r w:rsidRPr="0025514D">
        <w:rPr>
          <w:rFonts w:ascii="Times New Roman" w:hAnsi="Times New Roman" w:cs="Times New Roman"/>
          <w:noProof/>
        </w:rPr>
        <w:t>, edited by Marianne Heiberg, Brendan O'Leary and John Tirman. Philadelphia: University of Pennsylvania Press, 2007.</w:t>
      </w:r>
      <w:bookmarkEnd w:id="198"/>
    </w:p>
    <w:p w14:paraId="16383979" w14:textId="77777777" w:rsidR="002A1763" w:rsidRPr="0025514D" w:rsidRDefault="002A1763" w:rsidP="002A1763">
      <w:pPr>
        <w:spacing w:line="240" w:lineRule="auto"/>
        <w:ind w:left="720" w:hanging="720"/>
        <w:jc w:val="both"/>
        <w:rPr>
          <w:rFonts w:ascii="Times New Roman" w:hAnsi="Times New Roman" w:cs="Times New Roman"/>
          <w:noProof/>
        </w:rPr>
      </w:pPr>
      <w:bookmarkStart w:id="199" w:name="_ENREF_116"/>
      <w:r w:rsidRPr="0025514D">
        <w:rPr>
          <w:rFonts w:ascii="Times New Roman" w:hAnsi="Times New Roman" w:cs="Times New Roman"/>
          <w:noProof/>
        </w:rPr>
        <w:t xml:space="preserve">O'Leary, Brendan, and John McGarry. </w:t>
      </w:r>
      <w:r w:rsidRPr="0025514D">
        <w:rPr>
          <w:rFonts w:ascii="Times New Roman" w:hAnsi="Times New Roman" w:cs="Times New Roman"/>
          <w:i/>
          <w:noProof/>
        </w:rPr>
        <w:t>The Politics of Antagonism: Understanding Northern Ireland</w:t>
      </w:r>
      <w:r w:rsidRPr="0025514D">
        <w:rPr>
          <w:rFonts w:ascii="Times New Roman" w:hAnsi="Times New Roman" w:cs="Times New Roman"/>
          <w:noProof/>
        </w:rPr>
        <w:t>.  London: The Athlone Press, 1996.</w:t>
      </w:r>
      <w:bookmarkEnd w:id="199"/>
    </w:p>
    <w:p w14:paraId="05AF8469" w14:textId="77777777" w:rsidR="002A1763" w:rsidRPr="0025514D" w:rsidRDefault="002A1763" w:rsidP="002A1763">
      <w:pPr>
        <w:spacing w:line="240" w:lineRule="auto"/>
        <w:ind w:left="720" w:hanging="720"/>
        <w:jc w:val="both"/>
        <w:rPr>
          <w:rFonts w:ascii="Times New Roman" w:hAnsi="Times New Roman" w:cs="Times New Roman"/>
          <w:noProof/>
        </w:rPr>
      </w:pPr>
      <w:bookmarkStart w:id="200" w:name="_ENREF_117"/>
      <w:r w:rsidRPr="0025514D">
        <w:rPr>
          <w:rFonts w:ascii="Times New Roman" w:hAnsi="Times New Roman" w:cs="Times New Roman"/>
          <w:noProof/>
        </w:rPr>
        <w:t xml:space="preserve">Opp, Karl-Dieter. </w:t>
      </w:r>
      <w:r w:rsidRPr="0025514D">
        <w:rPr>
          <w:rFonts w:ascii="Times New Roman" w:hAnsi="Times New Roman" w:cs="Times New Roman"/>
          <w:i/>
          <w:noProof/>
        </w:rPr>
        <w:t>Theories of Political Protest and Social Movements: A Multidisciplinary Introduction, Critique, and Synthesis</w:t>
      </w:r>
      <w:r w:rsidRPr="0025514D">
        <w:rPr>
          <w:rFonts w:ascii="Times New Roman" w:hAnsi="Times New Roman" w:cs="Times New Roman"/>
          <w:noProof/>
        </w:rPr>
        <w:t>.  Oxon: Routledge, 2009.</w:t>
      </w:r>
      <w:bookmarkEnd w:id="200"/>
    </w:p>
    <w:p w14:paraId="191B6681" w14:textId="77777777" w:rsidR="002A1763" w:rsidRPr="0025514D" w:rsidRDefault="002A1763" w:rsidP="002A1763">
      <w:pPr>
        <w:spacing w:line="240" w:lineRule="auto"/>
        <w:ind w:left="720" w:hanging="720"/>
        <w:jc w:val="both"/>
        <w:rPr>
          <w:rFonts w:ascii="Times New Roman" w:hAnsi="Times New Roman" w:cs="Times New Roman"/>
          <w:noProof/>
        </w:rPr>
      </w:pPr>
      <w:bookmarkStart w:id="201" w:name="_ENREF_118"/>
      <w:r w:rsidRPr="0025514D">
        <w:rPr>
          <w:rFonts w:ascii="Times New Roman" w:hAnsi="Times New Roman" w:cs="Times New Roman"/>
          <w:noProof/>
        </w:rPr>
        <w:t xml:space="preserve">Ozerdem, Alpaslan. "Disarmament, Demobilization and Reintegration of Former Combatants in Afghanistan: Lessons Learned from a Cross-Cultural Perspective." </w:t>
      </w:r>
      <w:r w:rsidRPr="0025514D">
        <w:rPr>
          <w:rFonts w:ascii="Times New Roman" w:hAnsi="Times New Roman" w:cs="Times New Roman"/>
          <w:i/>
          <w:noProof/>
        </w:rPr>
        <w:t xml:space="preserve">Third World Quarterly </w:t>
      </w:r>
      <w:r w:rsidRPr="0025514D">
        <w:rPr>
          <w:rFonts w:ascii="Times New Roman" w:hAnsi="Times New Roman" w:cs="Times New Roman"/>
          <w:noProof/>
        </w:rPr>
        <w:t>23 (5) (2002): pp. 961-75.</w:t>
      </w:r>
      <w:bookmarkEnd w:id="201"/>
    </w:p>
    <w:p w14:paraId="309CA70E" w14:textId="77777777" w:rsidR="002A1763" w:rsidRPr="0025514D" w:rsidRDefault="002A1763" w:rsidP="002A1763">
      <w:pPr>
        <w:spacing w:line="240" w:lineRule="auto"/>
        <w:ind w:left="720" w:hanging="720"/>
        <w:jc w:val="both"/>
        <w:rPr>
          <w:rFonts w:ascii="Times New Roman" w:hAnsi="Times New Roman" w:cs="Times New Roman"/>
          <w:noProof/>
        </w:rPr>
      </w:pPr>
      <w:bookmarkStart w:id="202" w:name="_ENREF_119"/>
      <w:r w:rsidRPr="0025514D">
        <w:rPr>
          <w:rFonts w:ascii="Times New Roman" w:hAnsi="Times New Roman" w:cs="Times New Roman"/>
          <w:noProof/>
        </w:rPr>
        <w:t xml:space="preserve">Page, Michael Von Tangen, and M. L. R. Smith. "War by Other Means: The Problem of Political Control in Irish Republican Strategy." </w:t>
      </w:r>
      <w:r w:rsidRPr="0025514D">
        <w:rPr>
          <w:rFonts w:ascii="Times New Roman" w:hAnsi="Times New Roman" w:cs="Times New Roman"/>
          <w:i/>
          <w:noProof/>
        </w:rPr>
        <w:t xml:space="preserve">Armed Forces and Society </w:t>
      </w:r>
      <w:r w:rsidRPr="0025514D">
        <w:rPr>
          <w:rFonts w:ascii="Times New Roman" w:hAnsi="Times New Roman" w:cs="Times New Roman"/>
          <w:noProof/>
        </w:rPr>
        <w:t>27 (1) (2000): pp. 79-104.</w:t>
      </w:r>
      <w:bookmarkEnd w:id="202"/>
    </w:p>
    <w:p w14:paraId="10DA7589" w14:textId="77777777" w:rsidR="002A1763" w:rsidRPr="0025514D" w:rsidRDefault="002A1763" w:rsidP="002A1763">
      <w:pPr>
        <w:spacing w:line="240" w:lineRule="auto"/>
        <w:ind w:left="720" w:hanging="720"/>
        <w:jc w:val="both"/>
        <w:rPr>
          <w:rFonts w:ascii="Times New Roman" w:hAnsi="Times New Roman" w:cs="Times New Roman"/>
          <w:noProof/>
        </w:rPr>
      </w:pPr>
      <w:bookmarkStart w:id="203" w:name="_ENREF_120"/>
      <w:r w:rsidRPr="0025514D">
        <w:rPr>
          <w:rFonts w:ascii="Times New Roman" w:hAnsi="Times New Roman" w:cs="Times New Roman"/>
          <w:noProof/>
        </w:rPr>
        <w:t xml:space="preserve">Pat Coogan, Tim. </w:t>
      </w:r>
      <w:r w:rsidRPr="0025514D">
        <w:rPr>
          <w:rFonts w:ascii="Times New Roman" w:hAnsi="Times New Roman" w:cs="Times New Roman"/>
          <w:i/>
          <w:noProof/>
        </w:rPr>
        <w:t>The Troubles: Ireland's Ordeal 1966-1995 and the Search for Peace</w:t>
      </w:r>
      <w:r w:rsidRPr="0025514D">
        <w:rPr>
          <w:rFonts w:ascii="Times New Roman" w:hAnsi="Times New Roman" w:cs="Times New Roman"/>
          <w:noProof/>
        </w:rPr>
        <w:t>.  London: Hutchinson, 1995.</w:t>
      </w:r>
      <w:bookmarkEnd w:id="203"/>
    </w:p>
    <w:p w14:paraId="467C873E" w14:textId="77777777" w:rsidR="002A1763" w:rsidRPr="0025514D" w:rsidRDefault="002A1763" w:rsidP="002A1763">
      <w:pPr>
        <w:spacing w:line="240" w:lineRule="auto"/>
        <w:ind w:left="720" w:hanging="720"/>
        <w:jc w:val="both"/>
        <w:rPr>
          <w:rFonts w:ascii="Times New Roman" w:hAnsi="Times New Roman" w:cs="Times New Roman"/>
          <w:noProof/>
        </w:rPr>
      </w:pPr>
      <w:bookmarkStart w:id="204" w:name="_ENREF_121"/>
      <w:r w:rsidRPr="0025514D">
        <w:rPr>
          <w:rFonts w:ascii="Times New Roman" w:hAnsi="Times New Roman" w:cs="Times New Roman"/>
          <w:noProof/>
        </w:rPr>
        <w:t xml:space="preserve">Patomaki, H. "After Critical Realism?". </w:t>
      </w:r>
      <w:r w:rsidRPr="0025514D">
        <w:rPr>
          <w:rFonts w:ascii="Times New Roman" w:hAnsi="Times New Roman" w:cs="Times New Roman"/>
          <w:i/>
          <w:noProof/>
        </w:rPr>
        <w:t xml:space="preserve">Journal of Critical Realism </w:t>
      </w:r>
      <w:r w:rsidRPr="0025514D">
        <w:rPr>
          <w:rFonts w:ascii="Times New Roman" w:hAnsi="Times New Roman" w:cs="Times New Roman"/>
          <w:noProof/>
        </w:rPr>
        <w:t>Vol. 9, no. No. 1 (2009).</w:t>
      </w:r>
      <w:bookmarkEnd w:id="204"/>
    </w:p>
    <w:p w14:paraId="3CE8E935" w14:textId="77777777" w:rsidR="002A1763" w:rsidRPr="0025514D" w:rsidRDefault="002A1763" w:rsidP="002A1763">
      <w:pPr>
        <w:spacing w:line="240" w:lineRule="auto"/>
        <w:ind w:left="720" w:hanging="720"/>
        <w:jc w:val="both"/>
        <w:rPr>
          <w:rFonts w:ascii="Times New Roman" w:hAnsi="Times New Roman" w:cs="Times New Roman"/>
          <w:noProof/>
        </w:rPr>
      </w:pPr>
      <w:bookmarkStart w:id="205" w:name="_ENREF_122"/>
      <w:r w:rsidRPr="0025514D">
        <w:rPr>
          <w:rFonts w:ascii="Times New Roman" w:hAnsi="Times New Roman" w:cs="Times New Roman"/>
          <w:noProof/>
        </w:rPr>
        <w:t xml:space="preserve">———. </w:t>
      </w:r>
      <w:r w:rsidRPr="0025514D">
        <w:rPr>
          <w:rFonts w:ascii="Times New Roman" w:hAnsi="Times New Roman" w:cs="Times New Roman"/>
          <w:i/>
          <w:noProof/>
        </w:rPr>
        <w:t>After International Relations</w:t>
      </w:r>
      <w:r w:rsidRPr="0025514D">
        <w:rPr>
          <w:rFonts w:ascii="Times New Roman" w:hAnsi="Times New Roman" w:cs="Times New Roman"/>
          <w:noProof/>
        </w:rPr>
        <w:t>.  London: Routledge, 2002.</w:t>
      </w:r>
      <w:bookmarkEnd w:id="205"/>
    </w:p>
    <w:p w14:paraId="2396120F" w14:textId="77777777" w:rsidR="002A1763" w:rsidRPr="0025514D" w:rsidRDefault="002A1763" w:rsidP="002A1763">
      <w:pPr>
        <w:spacing w:line="240" w:lineRule="auto"/>
        <w:ind w:left="720" w:hanging="720"/>
        <w:jc w:val="both"/>
        <w:rPr>
          <w:rFonts w:ascii="Times New Roman" w:hAnsi="Times New Roman" w:cs="Times New Roman"/>
          <w:noProof/>
        </w:rPr>
      </w:pPr>
      <w:bookmarkStart w:id="206" w:name="_ENREF_123"/>
      <w:r w:rsidRPr="0025514D">
        <w:rPr>
          <w:rFonts w:ascii="Times New Roman" w:hAnsi="Times New Roman" w:cs="Times New Roman"/>
          <w:noProof/>
        </w:rPr>
        <w:t xml:space="preserve">Patomaki, H, and C Wight. "After Postpositivism? The Promises of Critical Realism." </w:t>
      </w:r>
      <w:r w:rsidRPr="0025514D">
        <w:rPr>
          <w:rFonts w:ascii="Times New Roman" w:hAnsi="Times New Roman" w:cs="Times New Roman"/>
          <w:i/>
          <w:noProof/>
        </w:rPr>
        <w:t xml:space="preserve">International Studies Quarterly </w:t>
      </w:r>
      <w:r w:rsidRPr="0025514D">
        <w:rPr>
          <w:rFonts w:ascii="Times New Roman" w:hAnsi="Times New Roman" w:cs="Times New Roman"/>
          <w:noProof/>
        </w:rPr>
        <w:t xml:space="preserve"> (2000).</w:t>
      </w:r>
      <w:bookmarkEnd w:id="206"/>
    </w:p>
    <w:p w14:paraId="58C685C4" w14:textId="77777777" w:rsidR="002A1763" w:rsidRPr="0025514D" w:rsidRDefault="002A1763" w:rsidP="002A1763">
      <w:pPr>
        <w:spacing w:line="240" w:lineRule="auto"/>
        <w:ind w:left="720" w:hanging="720"/>
        <w:jc w:val="both"/>
        <w:rPr>
          <w:rFonts w:ascii="Times New Roman" w:hAnsi="Times New Roman" w:cs="Times New Roman"/>
          <w:noProof/>
        </w:rPr>
      </w:pPr>
      <w:bookmarkStart w:id="207" w:name="_ENREF_124"/>
      <w:r w:rsidRPr="0025514D">
        <w:rPr>
          <w:rFonts w:ascii="Times New Roman" w:hAnsi="Times New Roman" w:cs="Times New Roman"/>
          <w:noProof/>
        </w:rPr>
        <w:t xml:space="preserve">Pedahzur, Ami, William Eubank, and Leonard Weinberg. "The War on Terrorism and the Decline of Terrorist Group Formation: A Research Note."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14 (3) (2010): pp. 141-47.</w:t>
      </w:r>
      <w:bookmarkEnd w:id="207"/>
    </w:p>
    <w:p w14:paraId="0D2F2A73" w14:textId="77777777" w:rsidR="002A1763" w:rsidRPr="0025514D" w:rsidRDefault="002A1763" w:rsidP="002A1763">
      <w:pPr>
        <w:spacing w:line="240" w:lineRule="auto"/>
        <w:ind w:left="720" w:hanging="720"/>
        <w:jc w:val="both"/>
        <w:rPr>
          <w:rFonts w:ascii="Times New Roman" w:hAnsi="Times New Roman" w:cs="Times New Roman"/>
          <w:noProof/>
        </w:rPr>
      </w:pPr>
      <w:bookmarkStart w:id="208" w:name="_ENREF_125"/>
      <w:r w:rsidRPr="0025514D">
        <w:rPr>
          <w:rFonts w:ascii="Times New Roman" w:hAnsi="Times New Roman" w:cs="Times New Roman"/>
          <w:noProof/>
        </w:rPr>
        <w:t xml:space="preserve">Purdie, Bob. </w:t>
      </w:r>
      <w:r w:rsidRPr="0025514D">
        <w:rPr>
          <w:rFonts w:ascii="Times New Roman" w:hAnsi="Times New Roman" w:cs="Times New Roman"/>
          <w:i/>
          <w:noProof/>
        </w:rPr>
        <w:t>Politics in the Streets: The Origins of the Civil Rights Movement in Northern Ireland</w:t>
      </w:r>
      <w:r w:rsidRPr="0025514D">
        <w:rPr>
          <w:rFonts w:ascii="Times New Roman" w:hAnsi="Times New Roman" w:cs="Times New Roman"/>
          <w:noProof/>
        </w:rPr>
        <w:t>.  Belfast: Blackstaff Press Limited, 1990.</w:t>
      </w:r>
      <w:bookmarkEnd w:id="208"/>
    </w:p>
    <w:p w14:paraId="6A772564" w14:textId="77777777" w:rsidR="002A1763" w:rsidRPr="0025514D" w:rsidRDefault="002A1763" w:rsidP="002A1763">
      <w:pPr>
        <w:spacing w:line="240" w:lineRule="auto"/>
        <w:ind w:left="720" w:hanging="720"/>
        <w:jc w:val="both"/>
        <w:rPr>
          <w:rFonts w:ascii="Times New Roman" w:hAnsi="Times New Roman" w:cs="Times New Roman"/>
          <w:noProof/>
        </w:rPr>
      </w:pPr>
      <w:bookmarkStart w:id="209" w:name="_ENREF_126"/>
      <w:r w:rsidRPr="0025514D">
        <w:rPr>
          <w:rFonts w:ascii="Times New Roman" w:hAnsi="Times New Roman" w:cs="Times New Roman"/>
          <w:noProof/>
        </w:rPr>
        <w:t>Rabasa, Angel, Stacie Pettyjohn, Jeremy Ghez, and Christopher Boucek. "Deradicalizing Islamist Extremists." Santa Monica: RAND, 2010.</w:t>
      </w:r>
      <w:bookmarkEnd w:id="209"/>
    </w:p>
    <w:p w14:paraId="685E9426" w14:textId="77777777" w:rsidR="002A1763" w:rsidRPr="0025514D" w:rsidRDefault="002A1763" w:rsidP="002A1763">
      <w:pPr>
        <w:spacing w:line="240" w:lineRule="auto"/>
        <w:ind w:left="720" w:hanging="720"/>
        <w:jc w:val="both"/>
        <w:rPr>
          <w:rFonts w:ascii="Times New Roman" w:hAnsi="Times New Roman" w:cs="Times New Roman"/>
          <w:noProof/>
        </w:rPr>
      </w:pPr>
      <w:bookmarkStart w:id="210" w:name="_ENREF_127"/>
      <w:r w:rsidRPr="0025514D">
        <w:rPr>
          <w:rFonts w:ascii="Times New Roman" w:hAnsi="Times New Roman" w:cs="Times New Roman"/>
          <w:noProof/>
        </w:rPr>
        <w:t xml:space="preserve">Rapoport, David. "The Four Waves of Modern Terrorism." In </w:t>
      </w:r>
      <w:r w:rsidRPr="0025514D">
        <w:rPr>
          <w:rFonts w:ascii="Times New Roman" w:hAnsi="Times New Roman" w:cs="Times New Roman"/>
          <w:i/>
          <w:noProof/>
        </w:rPr>
        <w:t>Attacking Terrorism: Elements of a Grand Strategy</w:t>
      </w:r>
      <w:r w:rsidRPr="0025514D">
        <w:rPr>
          <w:rFonts w:ascii="Times New Roman" w:hAnsi="Times New Roman" w:cs="Times New Roman"/>
          <w:noProof/>
        </w:rPr>
        <w:t>, edited by Audrey Kurth Cronin and James Ludes. Washington: Georgetown University Press, 2004.</w:t>
      </w:r>
      <w:bookmarkEnd w:id="210"/>
    </w:p>
    <w:p w14:paraId="72F62654" w14:textId="77777777" w:rsidR="002A1763" w:rsidRPr="0025514D" w:rsidRDefault="002A1763" w:rsidP="002A1763">
      <w:pPr>
        <w:spacing w:line="240" w:lineRule="auto"/>
        <w:ind w:left="720" w:hanging="720"/>
        <w:jc w:val="both"/>
        <w:rPr>
          <w:rFonts w:ascii="Times New Roman" w:hAnsi="Times New Roman" w:cs="Times New Roman"/>
          <w:noProof/>
        </w:rPr>
      </w:pPr>
      <w:bookmarkStart w:id="211" w:name="_ENREF_128"/>
      <w:r w:rsidRPr="0025514D">
        <w:rPr>
          <w:rFonts w:ascii="Times New Roman" w:hAnsi="Times New Roman" w:cs="Times New Roman"/>
          <w:noProof/>
        </w:rPr>
        <w:t xml:space="preserve">Rasler, Karen, and William Thompson. "Looking for Waves of Terrorism."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21 (1) (2009): pp. 28-41.</w:t>
      </w:r>
      <w:bookmarkEnd w:id="211"/>
    </w:p>
    <w:p w14:paraId="13EA9C8C" w14:textId="77777777" w:rsidR="002A1763" w:rsidRPr="0025514D" w:rsidRDefault="002A1763" w:rsidP="002A1763">
      <w:pPr>
        <w:spacing w:line="240" w:lineRule="auto"/>
        <w:ind w:left="720" w:hanging="720"/>
        <w:jc w:val="both"/>
        <w:rPr>
          <w:rFonts w:ascii="Times New Roman" w:hAnsi="Times New Roman" w:cs="Times New Roman"/>
          <w:noProof/>
        </w:rPr>
      </w:pPr>
      <w:bookmarkStart w:id="212" w:name="_ENREF_129"/>
      <w:r w:rsidRPr="0025514D">
        <w:rPr>
          <w:rFonts w:ascii="Times New Roman" w:hAnsi="Times New Roman" w:cs="Times New Roman"/>
          <w:noProof/>
        </w:rPr>
        <w:t xml:space="preserve">Richardson, Louise. </w:t>
      </w:r>
      <w:r w:rsidRPr="0025514D">
        <w:rPr>
          <w:rFonts w:ascii="Times New Roman" w:hAnsi="Times New Roman" w:cs="Times New Roman"/>
          <w:i/>
          <w:noProof/>
        </w:rPr>
        <w:t>What Terrorists Want: Understanding the Terrorist Threat</w:t>
      </w:r>
      <w:r w:rsidRPr="0025514D">
        <w:rPr>
          <w:rFonts w:ascii="Times New Roman" w:hAnsi="Times New Roman" w:cs="Times New Roman"/>
          <w:noProof/>
        </w:rPr>
        <w:t>.  London: John Murray Publishers, 2006.</w:t>
      </w:r>
      <w:bookmarkEnd w:id="212"/>
    </w:p>
    <w:p w14:paraId="32BB44B7" w14:textId="77777777" w:rsidR="002A1763" w:rsidRPr="0025514D" w:rsidRDefault="002A1763" w:rsidP="002A1763">
      <w:pPr>
        <w:spacing w:line="240" w:lineRule="auto"/>
        <w:ind w:left="720" w:hanging="720"/>
        <w:jc w:val="both"/>
        <w:rPr>
          <w:rFonts w:ascii="Times New Roman" w:hAnsi="Times New Roman" w:cs="Times New Roman"/>
          <w:noProof/>
        </w:rPr>
      </w:pPr>
      <w:bookmarkStart w:id="213" w:name="_ENREF_130"/>
      <w:r w:rsidRPr="0025514D">
        <w:rPr>
          <w:rFonts w:ascii="Times New Roman" w:hAnsi="Times New Roman" w:cs="Times New Roman"/>
          <w:noProof/>
        </w:rPr>
        <w:t xml:space="preserve">Risse, Thomas. "'Let's Argue!': Communicative Action in World Politics." </w:t>
      </w:r>
      <w:r w:rsidRPr="0025514D">
        <w:rPr>
          <w:rFonts w:ascii="Times New Roman" w:hAnsi="Times New Roman" w:cs="Times New Roman"/>
          <w:i/>
          <w:noProof/>
        </w:rPr>
        <w:t xml:space="preserve">International Organization </w:t>
      </w:r>
      <w:r w:rsidRPr="0025514D">
        <w:rPr>
          <w:rFonts w:ascii="Times New Roman" w:hAnsi="Times New Roman" w:cs="Times New Roman"/>
          <w:noProof/>
        </w:rPr>
        <w:t>54 (1) (2000): pp. 1-40.</w:t>
      </w:r>
      <w:bookmarkEnd w:id="213"/>
    </w:p>
    <w:p w14:paraId="0D28F62F" w14:textId="77777777" w:rsidR="002A1763" w:rsidRPr="0025514D" w:rsidRDefault="002A1763" w:rsidP="002A1763">
      <w:pPr>
        <w:spacing w:line="240" w:lineRule="auto"/>
        <w:ind w:left="720" w:hanging="720"/>
        <w:jc w:val="both"/>
        <w:rPr>
          <w:rFonts w:ascii="Times New Roman" w:hAnsi="Times New Roman" w:cs="Times New Roman"/>
          <w:noProof/>
        </w:rPr>
      </w:pPr>
      <w:bookmarkStart w:id="214" w:name="_ENREF_131"/>
      <w:r w:rsidRPr="0025514D">
        <w:rPr>
          <w:rFonts w:ascii="Times New Roman" w:hAnsi="Times New Roman" w:cs="Times New Roman"/>
          <w:noProof/>
        </w:rPr>
        <w:t xml:space="preserve">Ross, Jeffrey, and Ted R Gurr. "Why Terrorism Subsides: A Comparative Study of Canada and the United States." </w:t>
      </w:r>
      <w:r w:rsidRPr="0025514D">
        <w:rPr>
          <w:rFonts w:ascii="Times New Roman" w:hAnsi="Times New Roman" w:cs="Times New Roman"/>
          <w:i/>
          <w:noProof/>
        </w:rPr>
        <w:t xml:space="preserve">Comparative Politics </w:t>
      </w:r>
      <w:r w:rsidRPr="0025514D">
        <w:rPr>
          <w:rFonts w:ascii="Times New Roman" w:hAnsi="Times New Roman" w:cs="Times New Roman"/>
          <w:noProof/>
        </w:rPr>
        <w:t>21 (4) (1989): pp. 405-26.</w:t>
      </w:r>
      <w:bookmarkEnd w:id="214"/>
    </w:p>
    <w:p w14:paraId="1BB69C28" w14:textId="77777777" w:rsidR="002A1763" w:rsidRPr="0025514D" w:rsidRDefault="002A1763" w:rsidP="002A1763">
      <w:pPr>
        <w:spacing w:line="240" w:lineRule="auto"/>
        <w:ind w:left="720" w:hanging="720"/>
        <w:jc w:val="both"/>
        <w:rPr>
          <w:rFonts w:ascii="Times New Roman" w:hAnsi="Times New Roman" w:cs="Times New Roman"/>
          <w:noProof/>
        </w:rPr>
      </w:pPr>
      <w:bookmarkStart w:id="215" w:name="_ENREF_132"/>
      <w:r w:rsidRPr="0025514D">
        <w:rPr>
          <w:rFonts w:ascii="Times New Roman" w:hAnsi="Times New Roman" w:cs="Times New Roman"/>
          <w:noProof/>
        </w:rPr>
        <w:t xml:space="preserve">Rubin, Herbert J., and Irene Rubin. </w:t>
      </w:r>
      <w:r w:rsidRPr="0025514D">
        <w:rPr>
          <w:rFonts w:ascii="Times New Roman" w:hAnsi="Times New Roman" w:cs="Times New Roman"/>
          <w:i/>
          <w:noProof/>
        </w:rPr>
        <w:t>Qualitative Interviewing: The Art of Hearing Data</w:t>
      </w:r>
      <w:r w:rsidRPr="0025514D">
        <w:rPr>
          <w:rFonts w:ascii="Times New Roman" w:hAnsi="Times New Roman" w:cs="Times New Roman"/>
          <w:noProof/>
        </w:rPr>
        <w:t>. 2nd ed.  London: Sage Publications, 2005.</w:t>
      </w:r>
      <w:bookmarkEnd w:id="215"/>
    </w:p>
    <w:p w14:paraId="302EF49F" w14:textId="77777777" w:rsidR="002A1763" w:rsidRPr="0025514D" w:rsidRDefault="002A1763" w:rsidP="002A1763">
      <w:pPr>
        <w:spacing w:line="240" w:lineRule="auto"/>
        <w:ind w:left="720" w:hanging="720"/>
        <w:jc w:val="both"/>
        <w:rPr>
          <w:rFonts w:ascii="Times New Roman" w:hAnsi="Times New Roman" w:cs="Times New Roman"/>
          <w:noProof/>
        </w:rPr>
      </w:pPr>
      <w:bookmarkStart w:id="216" w:name="_ENREF_133"/>
      <w:r w:rsidRPr="0025514D">
        <w:rPr>
          <w:rFonts w:ascii="Times New Roman" w:hAnsi="Times New Roman" w:cs="Times New Roman"/>
          <w:noProof/>
        </w:rPr>
        <w:t xml:space="preserve">Sageman, Mark. "Ripples in the Waves: Fantasies and Fashions." In </w:t>
      </w:r>
      <w:r w:rsidRPr="0025514D">
        <w:rPr>
          <w:rFonts w:ascii="Times New Roman" w:hAnsi="Times New Roman" w:cs="Times New Roman"/>
          <w:i/>
          <w:noProof/>
        </w:rPr>
        <w:t>Terrorism, Identity and Legitimacy: The Four Waves Theory and Political Violence</w:t>
      </w:r>
      <w:r w:rsidRPr="0025514D">
        <w:rPr>
          <w:rFonts w:ascii="Times New Roman" w:hAnsi="Times New Roman" w:cs="Times New Roman"/>
          <w:noProof/>
        </w:rPr>
        <w:t>, edited by J Rosenfeld. Oxon: Routledge, 2011.</w:t>
      </w:r>
      <w:bookmarkEnd w:id="216"/>
    </w:p>
    <w:p w14:paraId="24BB7F5A" w14:textId="77777777" w:rsidR="002A1763" w:rsidRPr="0025514D" w:rsidRDefault="002A1763" w:rsidP="002A1763">
      <w:pPr>
        <w:spacing w:line="240" w:lineRule="auto"/>
        <w:ind w:left="720" w:hanging="720"/>
        <w:jc w:val="both"/>
        <w:rPr>
          <w:rFonts w:ascii="Times New Roman" w:hAnsi="Times New Roman" w:cs="Times New Roman"/>
          <w:noProof/>
        </w:rPr>
      </w:pPr>
      <w:bookmarkStart w:id="217" w:name="_ENREF_134"/>
      <w:r w:rsidRPr="0025514D">
        <w:rPr>
          <w:rFonts w:ascii="Times New Roman" w:hAnsi="Times New Roman" w:cs="Times New Roman"/>
          <w:noProof/>
        </w:rPr>
        <w:t xml:space="preserve">Sayer, A. </w:t>
      </w:r>
      <w:r w:rsidRPr="0025514D">
        <w:rPr>
          <w:rFonts w:ascii="Times New Roman" w:hAnsi="Times New Roman" w:cs="Times New Roman"/>
          <w:i/>
          <w:noProof/>
        </w:rPr>
        <w:t>Method in Social Science: A Realist Approach</w:t>
      </w:r>
      <w:r w:rsidRPr="0025514D">
        <w:rPr>
          <w:rFonts w:ascii="Times New Roman" w:hAnsi="Times New Roman" w:cs="Times New Roman"/>
          <w:noProof/>
        </w:rPr>
        <w:t>.  London: Routledge, 1992.</w:t>
      </w:r>
      <w:bookmarkEnd w:id="217"/>
    </w:p>
    <w:p w14:paraId="5C574927" w14:textId="77777777" w:rsidR="002A1763" w:rsidRPr="0025514D" w:rsidRDefault="002A1763" w:rsidP="002A1763">
      <w:pPr>
        <w:spacing w:line="240" w:lineRule="auto"/>
        <w:ind w:left="720" w:hanging="720"/>
        <w:jc w:val="both"/>
        <w:rPr>
          <w:rFonts w:ascii="Times New Roman" w:hAnsi="Times New Roman" w:cs="Times New Roman"/>
          <w:noProof/>
        </w:rPr>
      </w:pPr>
      <w:bookmarkStart w:id="218" w:name="_ENREF_135"/>
      <w:r w:rsidRPr="0025514D">
        <w:rPr>
          <w:rFonts w:ascii="Times New Roman" w:hAnsi="Times New Roman" w:cs="Times New Roman"/>
          <w:noProof/>
        </w:rPr>
        <w:t>Schmid, Alex P. "Radicalisation, De-Radicalisation, Counter-Radicalisation: A Conceptual Discussion and Literature Review."  (2013).</w:t>
      </w:r>
      <w:bookmarkEnd w:id="218"/>
    </w:p>
    <w:p w14:paraId="0AE0B506" w14:textId="77777777" w:rsidR="002A1763" w:rsidRPr="0025514D" w:rsidRDefault="002A1763" w:rsidP="002A1763">
      <w:pPr>
        <w:spacing w:line="240" w:lineRule="auto"/>
        <w:ind w:left="720" w:hanging="720"/>
        <w:jc w:val="both"/>
        <w:rPr>
          <w:rFonts w:ascii="Times New Roman" w:hAnsi="Times New Roman" w:cs="Times New Roman"/>
          <w:noProof/>
        </w:rPr>
      </w:pPr>
      <w:bookmarkStart w:id="219" w:name="_ENREF_136"/>
      <w:r w:rsidRPr="0025514D">
        <w:rPr>
          <w:rFonts w:ascii="Times New Roman" w:hAnsi="Times New Roman" w:cs="Times New Roman"/>
          <w:noProof/>
        </w:rPr>
        <w:t xml:space="preserve">———. "Root Causes of Terrorism: Some Conceptual Notes, a Set of Indicators, and a Model." </w:t>
      </w:r>
      <w:r w:rsidRPr="0025514D">
        <w:rPr>
          <w:rFonts w:ascii="Times New Roman" w:hAnsi="Times New Roman" w:cs="Times New Roman"/>
          <w:i/>
          <w:noProof/>
        </w:rPr>
        <w:t xml:space="preserve">Democracy and Security </w:t>
      </w:r>
      <w:r w:rsidRPr="0025514D">
        <w:rPr>
          <w:rFonts w:ascii="Times New Roman" w:hAnsi="Times New Roman" w:cs="Times New Roman"/>
          <w:noProof/>
        </w:rPr>
        <w:t>1 (2) (2005): pp. 127-36.</w:t>
      </w:r>
      <w:bookmarkEnd w:id="219"/>
    </w:p>
    <w:p w14:paraId="71A77080" w14:textId="77777777" w:rsidR="002A1763" w:rsidRPr="0025514D" w:rsidRDefault="002A1763" w:rsidP="002A1763">
      <w:pPr>
        <w:spacing w:line="240" w:lineRule="auto"/>
        <w:ind w:left="720" w:hanging="720"/>
        <w:jc w:val="both"/>
        <w:rPr>
          <w:rFonts w:ascii="Times New Roman" w:hAnsi="Times New Roman" w:cs="Times New Roman"/>
          <w:noProof/>
        </w:rPr>
      </w:pPr>
      <w:bookmarkStart w:id="220" w:name="_ENREF_137"/>
      <w:r w:rsidRPr="0025514D">
        <w:rPr>
          <w:rFonts w:ascii="Times New Roman" w:hAnsi="Times New Roman" w:cs="Times New Roman"/>
          <w:noProof/>
        </w:rPr>
        <w:t xml:space="preserve">———, ed. </w:t>
      </w:r>
      <w:r w:rsidRPr="0025514D">
        <w:rPr>
          <w:rFonts w:ascii="Times New Roman" w:hAnsi="Times New Roman" w:cs="Times New Roman"/>
          <w:i/>
          <w:noProof/>
        </w:rPr>
        <w:t>The Routledge Handbook of Terrorism Research</w:t>
      </w:r>
      <w:r w:rsidRPr="0025514D">
        <w:rPr>
          <w:rFonts w:ascii="Times New Roman" w:hAnsi="Times New Roman" w:cs="Times New Roman"/>
          <w:noProof/>
        </w:rPr>
        <w:t>. Oxon: Routledge, 2011.</w:t>
      </w:r>
      <w:bookmarkEnd w:id="220"/>
    </w:p>
    <w:p w14:paraId="07A664BD" w14:textId="77777777" w:rsidR="002A1763" w:rsidRPr="0025514D" w:rsidRDefault="002A1763" w:rsidP="002A1763">
      <w:pPr>
        <w:spacing w:line="240" w:lineRule="auto"/>
        <w:ind w:left="720" w:hanging="720"/>
        <w:jc w:val="both"/>
        <w:rPr>
          <w:rFonts w:ascii="Times New Roman" w:hAnsi="Times New Roman" w:cs="Times New Roman"/>
          <w:noProof/>
        </w:rPr>
      </w:pPr>
      <w:bookmarkStart w:id="221" w:name="_ENREF_138"/>
      <w:r w:rsidRPr="0025514D">
        <w:rPr>
          <w:rFonts w:ascii="Times New Roman" w:hAnsi="Times New Roman" w:cs="Times New Roman"/>
          <w:noProof/>
        </w:rPr>
        <w:t xml:space="preserve">Shirlow, Peter, Jonathan Tonge, James McAuley, and Catherine McGlynn. </w:t>
      </w:r>
      <w:r w:rsidRPr="0025514D">
        <w:rPr>
          <w:rFonts w:ascii="Times New Roman" w:hAnsi="Times New Roman" w:cs="Times New Roman"/>
          <w:i/>
          <w:noProof/>
        </w:rPr>
        <w:t>Abandoning Historical Conflict?: Former Political Prisoners and Reconciliation in Northern Ireland</w:t>
      </w:r>
      <w:r w:rsidRPr="0025514D">
        <w:rPr>
          <w:rFonts w:ascii="Times New Roman" w:hAnsi="Times New Roman" w:cs="Times New Roman"/>
          <w:noProof/>
        </w:rPr>
        <w:t>.  Manchester: Manchester University Press, 2010.</w:t>
      </w:r>
      <w:bookmarkEnd w:id="221"/>
    </w:p>
    <w:p w14:paraId="04C0491E" w14:textId="77777777" w:rsidR="002A1763" w:rsidRPr="0025514D" w:rsidRDefault="002A1763" w:rsidP="002A1763">
      <w:pPr>
        <w:spacing w:line="240" w:lineRule="auto"/>
        <w:ind w:left="720" w:hanging="720"/>
        <w:jc w:val="both"/>
        <w:rPr>
          <w:rFonts w:ascii="Times New Roman" w:hAnsi="Times New Roman" w:cs="Times New Roman"/>
          <w:noProof/>
        </w:rPr>
      </w:pPr>
      <w:bookmarkStart w:id="222" w:name="_ENREF_139"/>
      <w:r w:rsidRPr="0025514D">
        <w:rPr>
          <w:rFonts w:ascii="Times New Roman" w:hAnsi="Times New Roman" w:cs="Times New Roman"/>
          <w:noProof/>
        </w:rPr>
        <w:t xml:space="preserve">Silke, Andrew. "Disengagement or Deradicalization: A Look at Prison Programs for Jailed Terrorists." </w:t>
      </w:r>
      <w:r w:rsidRPr="0025514D">
        <w:rPr>
          <w:rFonts w:ascii="Times New Roman" w:hAnsi="Times New Roman" w:cs="Times New Roman"/>
          <w:i/>
          <w:noProof/>
        </w:rPr>
        <w:t xml:space="preserve">CTC Sentinel </w:t>
      </w:r>
      <w:r w:rsidRPr="0025514D">
        <w:rPr>
          <w:rFonts w:ascii="Times New Roman" w:hAnsi="Times New Roman" w:cs="Times New Roman"/>
          <w:noProof/>
        </w:rPr>
        <w:t>4 (1) (2011): pp. 18-21.</w:t>
      </w:r>
      <w:bookmarkEnd w:id="222"/>
    </w:p>
    <w:p w14:paraId="51F93B15" w14:textId="77777777" w:rsidR="002A1763" w:rsidRPr="0025514D" w:rsidRDefault="002A1763" w:rsidP="002A1763">
      <w:pPr>
        <w:spacing w:line="240" w:lineRule="auto"/>
        <w:ind w:left="720" w:hanging="720"/>
        <w:jc w:val="both"/>
        <w:rPr>
          <w:rFonts w:ascii="Times New Roman" w:hAnsi="Times New Roman" w:cs="Times New Roman"/>
          <w:noProof/>
        </w:rPr>
      </w:pPr>
      <w:bookmarkStart w:id="223" w:name="_ENREF_140"/>
      <w:r w:rsidRPr="0025514D">
        <w:rPr>
          <w:rFonts w:ascii="Times New Roman" w:hAnsi="Times New Roman" w:cs="Times New Roman"/>
          <w:noProof/>
        </w:rPr>
        <w:t xml:space="preserve">———. "Rebel's Dilemma: The Changing Relationship between the Ira, Sinn Fein and Paramilitary Vigilantism in Northern Ireland."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11 (1) (1999): pp. 55-93.</w:t>
      </w:r>
      <w:bookmarkEnd w:id="223"/>
    </w:p>
    <w:p w14:paraId="22883F47" w14:textId="77777777" w:rsidR="002A1763" w:rsidRPr="0025514D" w:rsidRDefault="002A1763" w:rsidP="002A1763">
      <w:pPr>
        <w:spacing w:line="240" w:lineRule="auto"/>
        <w:ind w:left="720" w:hanging="720"/>
        <w:jc w:val="both"/>
        <w:rPr>
          <w:rFonts w:ascii="Times New Roman" w:hAnsi="Times New Roman" w:cs="Times New Roman"/>
          <w:noProof/>
        </w:rPr>
      </w:pPr>
      <w:bookmarkStart w:id="224" w:name="_ENREF_141"/>
      <w:r w:rsidRPr="0025514D">
        <w:rPr>
          <w:rFonts w:ascii="Times New Roman" w:hAnsi="Times New Roman" w:cs="Times New Roman"/>
          <w:noProof/>
        </w:rPr>
        <w:t xml:space="preserve">———. </w:t>
      </w:r>
      <w:r w:rsidRPr="0025514D">
        <w:rPr>
          <w:rFonts w:ascii="Times New Roman" w:hAnsi="Times New Roman" w:cs="Times New Roman"/>
          <w:i/>
          <w:noProof/>
        </w:rPr>
        <w:t>Research on Terrorism: Trends, Achievements, and Failures</w:t>
      </w:r>
      <w:r w:rsidRPr="0025514D">
        <w:rPr>
          <w:rFonts w:ascii="Times New Roman" w:hAnsi="Times New Roman" w:cs="Times New Roman"/>
          <w:noProof/>
        </w:rPr>
        <w:t>.  London: Frank Cass, 2003.</w:t>
      </w:r>
      <w:bookmarkEnd w:id="224"/>
    </w:p>
    <w:p w14:paraId="2111970C" w14:textId="77777777" w:rsidR="002A1763" w:rsidRPr="0025514D" w:rsidRDefault="002A1763" w:rsidP="002A1763">
      <w:pPr>
        <w:spacing w:line="240" w:lineRule="auto"/>
        <w:ind w:left="720" w:hanging="720"/>
        <w:jc w:val="both"/>
        <w:rPr>
          <w:rFonts w:ascii="Times New Roman" w:hAnsi="Times New Roman" w:cs="Times New Roman"/>
          <w:noProof/>
        </w:rPr>
      </w:pPr>
      <w:bookmarkStart w:id="225" w:name="_ENREF_142"/>
      <w:r w:rsidRPr="0025514D">
        <w:rPr>
          <w:rFonts w:ascii="Times New Roman" w:hAnsi="Times New Roman" w:cs="Times New Roman"/>
          <w:noProof/>
        </w:rPr>
        <w:t xml:space="preserve">Smith, M.L.R. </w:t>
      </w:r>
      <w:r w:rsidRPr="0025514D">
        <w:rPr>
          <w:rFonts w:ascii="Times New Roman" w:hAnsi="Times New Roman" w:cs="Times New Roman"/>
          <w:i/>
          <w:noProof/>
        </w:rPr>
        <w:t>Fighting for Ireland? The Military Strategy of the Irish Republican Movement</w:t>
      </w:r>
      <w:r w:rsidRPr="0025514D">
        <w:rPr>
          <w:rFonts w:ascii="Times New Roman" w:hAnsi="Times New Roman" w:cs="Times New Roman"/>
          <w:noProof/>
        </w:rPr>
        <w:t>.  London: Routledge, 1995.</w:t>
      </w:r>
      <w:bookmarkEnd w:id="225"/>
    </w:p>
    <w:p w14:paraId="236DD5E0" w14:textId="77777777" w:rsidR="002A1763" w:rsidRPr="0025514D" w:rsidRDefault="002A1763" w:rsidP="002A1763">
      <w:pPr>
        <w:spacing w:line="240" w:lineRule="auto"/>
        <w:ind w:left="720" w:hanging="720"/>
        <w:jc w:val="both"/>
        <w:rPr>
          <w:rFonts w:ascii="Times New Roman" w:hAnsi="Times New Roman" w:cs="Times New Roman"/>
          <w:noProof/>
        </w:rPr>
      </w:pPr>
      <w:bookmarkStart w:id="226" w:name="_ENREF_143"/>
      <w:r w:rsidRPr="0025514D">
        <w:rPr>
          <w:rFonts w:ascii="Times New Roman" w:hAnsi="Times New Roman" w:cs="Times New Roman"/>
          <w:noProof/>
        </w:rPr>
        <w:t xml:space="preserve">Snow, David, E. Burke Rochford, Steven Worden, and Robert Benford. "Frame Alignment Processes, Micromobilization, and Movement Participation." </w:t>
      </w:r>
      <w:r w:rsidRPr="0025514D">
        <w:rPr>
          <w:rFonts w:ascii="Times New Roman" w:hAnsi="Times New Roman" w:cs="Times New Roman"/>
          <w:i/>
          <w:noProof/>
        </w:rPr>
        <w:t xml:space="preserve">American Sociological Review </w:t>
      </w:r>
      <w:r w:rsidRPr="0025514D">
        <w:rPr>
          <w:rFonts w:ascii="Times New Roman" w:hAnsi="Times New Roman" w:cs="Times New Roman"/>
          <w:noProof/>
        </w:rPr>
        <w:t>54 (4) (1986): pp. 464-81.</w:t>
      </w:r>
      <w:bookmarkEnd w:id="226"/>
    </w:p>
    <w:p w14:paraId="2DD8F39E" w14:textId="77777777" w:rsidR="002A1763" w:rsidRPr="0025514D" w:rsidRDefault="002A1763" w:rsidP="002A1763">
      <w:pPr>
        <w:spacing w:line="240" w:lineRule="auto"/>
        <w:ind w:left="720" w:hanging="720"/>
        <w:jc w:val="both"/>
        <w:rPr>
          <w:rFonts w:ascii="Times New Roman" w:hAnsi="Times New Roman" w:cs="Times New Roman"/>
          <w:noProof/>
        </w:rPr>
      </w:pPr>
      <w:bookmarkStart w:id="227" w:name="_ENREF_144"/>
      <w:r w:rsidRPr="0025514D">
        <w:rPr>
          <w:rFonts w:ascii="Times New Roman" w:hAnsi="Times New Roman" w:cs="Times New Roman"/>
          <w:noProof/>
        </w:rPr>
        <w:t xml:space="preserve">Spalek, Basia, ed. </w:t>
      </w:r>
      <w:r w:rsidRPr="0025514D">
        <w:rPr>
          <w:rFonts w:ascii="Times New Roman" w:hAnsi="Times New Roman" w:cs="Times New Roman"/>
          <w:i/>
          <w:noProof/>
        </w:rPr>
        <w:t>Counter-Terrorism: Community-Based Approaches to Preventing Terror Crime</w:t>
      </w:r>
      <w:r w:rsidRPr="0025514D">
        <w:rPr>
          <w:rFonts w:ascii="Times New Roman" w:hAnsi="Times New Roman" w:cs="Times New Roman"/>
          <w:noProof/>
        </w:rPr>
        <w:t>. Basingstoke: Palgrave Macmillan, 2012.</w:t>
      </w:r>
      <w:bookmarkEnd w:id="227"/>
    </w:p>
    <w:p w14:paraId="63B333A7" w14:textId="77777777" w:rsidR="002A1763" w:rsidRPr="0025514D" w:rsidRDefault="002A1763" w:rsidP="002A1763">
      <w:pPr>
        <w:spacing w:line="240" w:lineRule="auto"/>
        <w:ind w:left="720" w:hanging="720"/>
        <w:jc w:val="both"/>
        <w:rPr>
          <w:rFonts w:ascii="Times New Roman" w:hAnsi="Times New Roman" w:cs="Times New Roman"/>
          <w:noProof/>
        </w:rPr>
      </w:pPr>
      <w:bookmarkStart w:id="228" w:name="_ENREF_145"/>
      <w:r w:rsidRPr="0025514D">
        <w:rPr>
          <w:rFonts w:ascii="Times New Roman" w:hAnsi="Times New Roman" w:cs="Times New Roman"/>
          <w:noProof/>
        </w:rPr>
        <w:t xml:space="preserve">Spjut, R.T. "Internment and Detension without Trial in Northern Ireland 1971-1975: Ministerial Policy and Practice." </w:t>
      </w:r>
      <w:r w:rsidRPr="0025514D">
        <w:rPr>
          <w:rFonts w:ascii="Times New Roman" w:hAnsi="Times New Roman" w:cs="Times New Roman"/>
          <w:i/>
          <w:noProof/>
        </w:rPr>
        <w:t xml:space="preserve">The Modern Law Review </w:t>
      </w:r>
      <w:r w:rsidRPr="0025514D">
        <w:rPr>
          <w:rFonts w:ascii="Times New Roman" w:hAnsi="Times New Roman" w:cs="Times New Roman"/>
          <w:noProof/>
        </w:rPr>
        <w:t>Vol. 49, No. 6 (1986): pp. 712-40.</w:t>
      </w:r>
      <w:bookmarkEnd w:id="228"/>
    </w:p>
    <w:p w14:paraId="3D0323C8" w14:textId="77777777" w:rsidR="002A1763" w:rsidRPr="0025514D" w:rsidRDefault="002A1763" w:rsidP="002A1763">
      <w:pPr>
        <w:spacing w:line="240" w:lineRule="auto"/>
        <w:ind w:left="720" w:hanging="720"/>
        <w:jc w:val="both"/>
        <w:rPr>
          <w:rFonts w:ascii="Times New Roman" w:hAnsi="Times New Roman" w:cs="Times New Roman"/>
          <w:noProof/>
        </w:rPr>
      </w:pPr>
      <w:bookmarkStart w:id="229" w:name="_ENREF_146"/>
      <w:r w:rsidRPr="0025514D">
        <w:rPr>
          <w:rFonts w:ascii="Times New Roman" w:hAnsi="Times New Roman" w:cs="Times New Roman"/>
          <w:noProof/>
        </w:rPr>
        <w:t xml:space="preserve">Taylor, Rupert, ed. </w:t>
      </w:r>
      <w:r w:rsidRPr="0025514D">
        <w:rPr>
          <w:rFonts w:ascii="Times New Roman" w:hAnsi="Times New Roman" w:cs="Times New Roman"/>
          <w:i/>
          <w:noProof/>
        </w:rPr>
        <w:t>Consociational Theory: Mcgarry &amp; O'leary and the Northern Ireland Conflict</w:t>
      </w:r>
      <w:r w:rsidRPr="0025514D">
        <w:rPr>
          <w:rFonts w:ascii="Times New Roman" w:hAnsi="Times New Roman" w:cs="Times New Roman"/>
          <w:noProof/>
        </w:rPr>
        <w:t>. Oxon: Routledge, 2009.</w:t>
      </w:r>
      <w:bookmarkEnd w:id="229"/>
    </w:p>
    <w:p w14:paraId="76A8916C" w14:textId="77777777" w:rsidR="002A1763" w:rsidRPr="0025514D" w:rsidRDefault="002A1763" w:rsidP="002A1763">
      <w:pPr>
        <w:spacing w:line="240" w:lineRule="auto"/>
        <w:ind w:left="720" w:hanging="720"/>
        <w:jc w:val="both"/>
        <w:rPr>
          <w:rFonts w:ascii="Times New Roman" w:hAnsi="Times New Roman" w:cs="Times New Roman"/>
          <w:noProof/>
        </w:rPr>
      </w:pPr>
      <w:bookmarkStart w:id="230" w:name="_ENREF_147"/>
      <w:r w:rsidRPr="0025514D">
        <w:rPr>
          <w:rFonts w:ascii="Times New Roman" w:hAnsi="Times New Roman" w:cs="Times New Roman"/>
          <w:noProof/>
        </w:rPr>
        <w:t xml:space="preserve">Tonge, Jonathan. </w:t>
      </w:r>
      <w:r w:rsidRPr="0025514D">
        <w:rPr>
          <w:rFonts w:ascii="Times New Roman" w:hAnsi="Times New Roman" w:cs="Times New Roman"/>
          <w:i/>
          <w:noProof/>
        </w:rPr>
        <w:t>Northern Ireland: Conflict and Change</w:t>
      </w:r>
      <w:r w:rsidRPr="0025514D">
        <w:rPr>
          <w:rFonts w:ascii="Times New Roman" w:hAnsi="Times New Roman" w:cs="Times New Roman"/>
          <w:noProof/>
        </w:rPr>
        <w:t>.  Essex: Pearson Education Limited, 2002.</w:t>
      </w:r>
      <w:bookmarkEnd w:id="230"/>
    </w:p>
    <w:p w14:paraId="6B2243FC" w14:textId="77777777" w:rsidR="002A1763" w:rsidRPr="0025514D" w:rsidRDefault="002A1763" w:rsidP="002A1763">
      <w:pPr>
        <w:spacing w:line="240" w:lineRule="auto"/>
        <w:ind w:left="720" w:hanging="720"/>
        <w:jc w:val="both"/>
        <w:rPr>
          <w:rFonts w:ascii="Times New Roman" w:hAnsi="Times New Roman" w:cs="Times New Roman"/>
          <w:noProof/>
        </w:rPr>
      </w:pPr>
      <w:bookmarkStart w:id="231" w:name="_ENREF_148"/>
      <w:r w:rsidRPr="0025514D">
        <w:rPr>
          <w:rFonts w:ascii="Times New Roman" w:hAnsi="Times New Roman" w:cs="Times New Roman"/>
          <w:noProof/>
        </w:rPr>
        <w:t xml:space="preserve">Toros, Harmonie, and Jeroen Gunning. "Exploring a Critical Theory Approach to Terrorism Studies." In </w:t>
      </w:r>
      <w:r w:rsidRPr="0025514D">
        <w:rPr>
          <w:rFonts w:ascii="Times New Roman" w:hAnsi="Times New Roman" w:cs="Times New Roman"/>
          <w:i/>
          <w:noProof/>
        </w:rPr>
        <w:t>Critical Terrorism Studies</w:t>
      </w:r>
      <w:r w:rsidRPr="0025514D">
        <w:rPr>
          <w:rFonts w:ascii="Times New Roman" w:hAnsi="Times New Roman" w:cs="Times New Roman"/>
          <w:noProof/>
        </w:rPr>
        <w:t>, edited by Richard Jackson, Marie Breen Smyth and Jeroen Gunning. New York: Routledge, 2009.</w:t>
      </w:r>
      <w:bookmarkEnd w:id="231"/>
    </w:p>
    <w:p w14:paraId="69FB9FBD" w14:textId="77777777" w:rsidR="002A1763" w:rsidRPr="0025514D" w:rsidRDefault="002A1763" w:rsidP="002A1763">
      <w:pPr>
        <w:spacing w:line="240" w:lineRule="auto"/>
        <w:ind w:left="720" w:hanging="720"/>
        <w:jc w:val="both"/>
        <w:rPr>
          <w:rFonts w:ascii="Times New Roman" w:hAnsi="Times New Roman" w:cs="Times New Roman"/>
          <w:noProof/>
        </w:rPr>
      </w:pPr>
      <w:bookmarkStart w:id="232" w:name="_ENREF_149"/>
      <w:r w:rsidRPr="0025514D">
        <w:rPr>
          <w:rFonts w:ascii="Times New Roman" w:hAnsi="Times New Roman" w:cs="Times New Roman"/>
          <w:noProof/>
        </w:rPr>
        <w:t>Transnational Terrorism, Security &amp; the Rule of Law. "Concepts of Terrorism: Analysis of the Rise, Decline, Trends and Risk." 2008.</w:t>
      </w:r>
      <w:bookmarkEnd w:id="232"/>
    </w:p>
    <w:p w14:paraId="0AB00243" w14:textId="77777777" w:rsidR="002A1763" w:rsidRPr="0025514D" w:rsidRDefault="002A1763" w:rsidP="002A1763">
      <w:pPr>
        <w:spacing w:line="240" w:lineRule="auto"/>
        <w:ind w:left="720" w:hanging="720"/>
        <w:jc w:val="both"/>
        <w:rPr>
          <w:rFonts w:ascii="Times New Roman" w:hAnsi="Times New Roman" w:cs="Times New Roman"/>
          <w:noProof/>
        </w:rPr>
      </w:pPr>
      <w:bookmarkStart w:id="233" w:name="_ENREF_150"/>
      <w:r w:rsidRPr="0025514D">
        <w:rPr>
          <w:rFonts w:ascii="Times New Roman" w:hAnsi="Times New Roman" w:cs="Times New Roman"/>
          <w:noProof/>
        </w:rPr>
        <w:t xml:space="preserve">Tsvetovat, Maksim, and Kathleen Carley. "Structural Knowledge and Success of Anti-Terrorist Activity:The Downside of Structural Equivalence." </w:t>
      </w:r>
      <w:r w:rsidRPr="0025514D">
        <w:rPr>
          <w:rFonts w:ascii="Times New Roman" w:hAnsi="Times New Roman" w:cs="Times New Roman"/>
          <w:i/>
          <w:noProof/>
        </w:rPr>
        <w:t xml:space="preserve">Institute for Software Research </w:t>
      </w:r>
      <w:r w:rsidRPr="0025514D">
        <w:rPr>
          <w:rFonts w:ascii="Times New Roman" w:hAnsi="Times New Roman" w:cs="Times New Roman"/>
          <w:noProof/>
        </w:rPr>
        <w:t>6 (2005).</w:t>
      </w:r>
      <w:bookmarkEnd w:id="233"/>
    </w:p>
    <w:p w14:paraId="036F80BE" w14:textId="77777777" w:rsidR="002A1763" w:rsidRPr="0025514D" w:rsidRDefault="002A1763" w:rsidP="002A1763">
      <w:pPr>
        <w:spacing w:line="240" w:lineRule="auto"/>
        <w:ind w:left="720" w:hanging="720"/>
        <w:jc w:val="both"/>
        <w:rPr>
          <w:rFonts w:ascii="Times New Roman" w:hAnsi="Times New Roman" w:cs="Times New Roman"/>
          <w:noProof/>
        </w:rPr>
      </w:pPr>
      <w:bookmarkStart w:id="234" w:name="_ENREF_151"/>
      <w:r w:rsidRPr="0025514D">
        <w:rPr>
          <w:rFonts w:ascii="Times New Roman" w:hAnsi="Times New Roman" w:cs="Times New Roman"/>
          <w:noProof/>
        </w:rPr>
        <w:t xml:space="preserve">Vromen, Ariadne. "Debating Methods: Rediscovering Qualitative Approaches." In </w:t>
      </w:r>
      <w:r w:rsidRPr="0025514D">
        <w:rPr>
          <w:rFonts w:ascii="Times New Roman" w:hAnsi="Times New Roman" w:cs="Times New Roman"/>
          <w:i/>
          <w:noProof/>
        </w:rPr>
        <w:t>Theory and Methods in Political Science</w:t>
      </w:r>
      <w:r w:rsidRPr="0025514D">
        <w:rPr>
          <w:rFonts w:ascii="Times New Roman" w:hAnsi="Times New Roman" w:cs="Times New Roman"/>
          <w:noProof/>
        </w:rPr>
        <w:t>, edited by D Marsh and G Stoker. Basingstoke: Palgrave Macmillan, 2010.</w:t>
      </w:r>
      <w:bookmarkEnd w:id="234"/>
    </w:p>
    <w:p w14:paraId="1B1E2B5D" w14:textId="77777777" w:rsidR="002A1763" w:rsidRPr="0025514D" w:rsidRDefault="002A1763" w:rsidP="002A1763">
      <w:pPr>
        <w:spacing w:line="240" w:lineRule="auto"/>
        <w:ind w:left="720" w:hanging="720"/>
        <w:jc w:val="both"/>
        <w:rPr>
          <w:rFonts w:ascii="Times New Roman" w:hAnsi="Times New Roman" w:cs="Times New Roman"/>
          <w:noProof/>
        </w:rPr>
      </w:pPr>
      <w:bookmarkStart w:id="235" w:name="_ENREF_152"/>
      <w:r w:rsidRPr="0025514D">
        <w:rPr>
          <w:rFonts w:ascii="Times New Roman" w:hAnsi="Times New Roman" w:cs="Times New Roman"/>
          <w:noProof/>
        </w:rPr>
        <w:t xml:space="preserve">Waldmann, Peter. "The Radical Milieu: The under-Investigated Relationship between Terrorists and Sympathetic Communities." </w:t>
      </w:r>
      <w:r w:rsidRPr="0025514D">
        <w:rPr>
          <w:rFonts w:ascii="Times New Roman" w:hAnsi="Times New Roman" w:cs="Times New Roman"/>
          <w:i/>
          <w:noProof/>
        </w:rPr>
        <w:t xml:space="preserve">Perspectives on Terrorism </w:t>
      </w:r>
      <w:r w:rsidRPr="0025514D">
        <w:rPr>
          <w:rFonts w:ascii="Times New Roman" w:hAnsi="Times New Roman" w:cs="Times New Roman"/>
          <w:noProof/>
        </w:rPr>
        <w:t>2 (9) (2008).</w:t>
      </w:r>
      <w:bookmarkEnd w:id="235"/>
    </w:p>
    <w:p w14:paraId="1BC0012B" w14:textId="77777777" w:rsidR="002A1763" w:rsidRPr="0025514D" w:rsidRDefault="002A1763" w:rsidP="002A1763">
      <w:pPr>
        <w:spacing w:line="240" w:lineRule="auto"/>
        <w:ind w:left="720" w:hanging="720"/>
        <w:jc w:val="both"/>
        <w:rPr>
          <w:rFonts w:ascii="Times New Roman" w:hAnsi="Times New Roman" w:cs="Times New Roman"/>
          <w:noProof/>
        </w:rPr>
      </w:pPr>
      <w:bookmarkStart w:id="236" w:name="_ENREF_153"/>
      <w:r w:rsidRPr="0025514D">
        <w:rPr>
          <w:rFonts w:ascii="Times New Roman" w:hAnsi="Times New Roman" w:cs="Times New Roman"/>
          <w:noProof/>
        </w:rPr>
        <w:t xml:space="preserve">Weinberg, Leonard, and William Eubank. "An End to the Fourth Wave of Terrorism?". </w:t>
      </w:r>
      <w:r w:rsidRPr="0025514D">
        <w:rPr>
          <w:rFonts w:ascii="Times New Roman" w:hAnsi="Times New Roman" w:cs="Times New Roman"/>
          <w:i/>
          <w:noProof/>
        </w:rPr>
        <w:t xml:space="preserve">Studies of Conflict &amp; Terrorism </w:t>
      </w:r>
      <w:r w:rsidRPr="0025514D">
        <w:rPr>
          <w:rFonts w:ascii="Times New Roman" w:hAnsi="Times New Roman" w:cs="Times New Roman"/>
          <w:noProof/>
        </w:rPr>
        <w:t>33 (7) (2010): pp. 594-602.</w:t>
      </w:r>
      <w:bookmarkEnd w:id="236"/>
    </w:p>
    <w:p w14:paraId="16AF74D4" w14:textId="77777777" w:rsidR="002A1763" w:rsidRPr="0025514D" w:rsidRDefault="002A1763" w:rsidP="002A1763">
      <w:pPr>
        <w:spacing w:line="240" w:lineRule="auto"/>
        <w:ind w:left="720" w:hanging="720"/>
        <w:jc w:val="both"/>
        <w:rPr>
          <w:rFonts w:ascii="Times New Roman" w:hAnsi="Times New Roman" w:cs="Times New Roman"/>
          <w:noProof/>
        </w:rPr>
      </w:pPr>
      <w:bookmarkStart w:id="237" w:name="_ENREF_154"/>
      <w:r w:rsidRPr="0025514D">
        <w:rPr>
          <w:rFonts w:ascii="Times New Roman" w:hAnsi="Times New Roman" w:cs="Times New Roman"/>
          <w:noProof/>
        </w:rPr>
        <w:t xml:space="preserve">Weinberg, Leonard, and Arie Perliger. "How Terrorist Groups End." </w:t>
      </w:r>
      <w:r w:rsidRPr="0025514D">
        <w:rPr>
          <w:rFonts w:ascii="Times New Roman" w:hAnsi="Times New Roman" w:cs="Times New Roman"/>
          <w:i/>
          <w:noProof/>
        </w:rPr>
        <w:t xml:space="preserve">CTC Sentinel </w:t>
      </w:r>
      <w:r w:rsidRPr="0025514D">
        <w:rPr>
          <w:rFonts w:ascii="Times New Roman" w:hAnsi="Times New Roman" w:cs="Times New Roman"/>
          <w:noProof/>
        </w:rPr>
        <w:t xml:space="preserve">3 (2) (2010): pp. 16-17 </w:t>
      </w:r>
      <w:bookmarkEnd w:id="237"/>
    </w:p>
    <w:p w14:paraId="21FE64FB" w14:textId="77777777" w:rsidR="002A1763" w:rsidRPr="0025514D" w:rsidRDefault="002A1763" w:rsidP="002A1763">
      <w:pPr>
        <w:spacing w:line="240" w:lineRule="auto"/>
        <w:ind w:left="720" w:hanging="720"/>
        <w:jc w:val="both"/>
        <w:rPr>
          <w:rFonts w:ascii="Times New Roman" w:hAnsi="Times New Roman" w:cs="Times New Roman"/>
          <w:noProof/>
        </w:rPr>
      </w:pPr>
      <w:bookmarkStart w:id="238" w:name="_ENREF_155"/>
      <w:r w:rsidRPr="0025514D">
        <w:rPr>
          <w:rFonts w:ascii="Times New Roman" w:hAnsi="Times New Roman" w:cs="Times New Roman"/>
          <w:noProof/>
        </w:rPr>
        <w:t xml:space="preserve">Wendt, Alex. "The Agent-Structure Problem in International Relations Theory." </w:t>
      </w:r>
      <w:r w:rsidRPr="0025514D">
        <w:rPr>
          <w:rFonts w:ascii="Times New Roman" w:hAnsi="Times New Roman" w:cs="Times New Roman"/>
          <w:i/>
          <w:noProof/>
        </w:rPr>
        <w:t xml:space="preserve">International Organization </w:t>
      </w:r>
      <w:r w:rsidRPr="0025514D">
        <w:rPr>
          <w:rFonts w:ascii="Times New Roman" w:hAnsi="Times New Roman" w:cs="Times New Roman"/>
          <w:noProof/>
        </w:rPr>
        <w:t>41 (3) (1987): pp. 335-70.</w:t>
      </w:r>
      <w:bookmarkEnd w:id="238"/>
    </w:p>
    <w:p w14:paraId="14AF0D19" w14:textId="77777777" w:rsidR="002A1763" w:rsidRPr="0025514D" w:rsidRDefault="002A1763" w:rsidP="002A1763">
      <w:pPr>
        <w:spacing w:line="240" w:lineRule="auto"/>
        <w:ind w:left="720" w:hanging="720"/>
        <w:jc w:val="both"/>
        <w:rPr>
          <w:rFonts w:ascii="Times New Roman" w:hAnsi="Times New Roman" w:cs="Times New Roman"/>
          <w:noProof/>
        </w:rPr>
      </w:pPr>
      <w:bookmarkStart w:id="239" w:name="_ENREF_156"/>
      <w:r w:rsidRPr="0025514D">
        <w:rPr>
          <w:rFonts w:ascii="Times New Roman" w:hAnsi="Times New Roman" w:cs="Times New Roman"/>
          <w:noProof/>
        </w:rPr>
        <w:t xml:space="preserve">———. </w:t>
      </w:r>
      <w:r w:rsidRPr="0025514D">
        <w:rPr>
          <w:rFonts w:ascii="Times New Roman" w:hAnsi="Times New Roman" w:cs="Times New Roman"/>
          <w:i/>
          <w:noProof/>
        </w:rPr>
        <w:t>Social Theory of International Politics</w:t>
      </w:r>
      <w:r w:rsidRPr="0025514D">
        <w:rPr>
          <w:rFonts w:ascii="Times New Roman" w:hAnsi="Times New Roman" w:cs="Times New Roman"/>
          <w:noProof/>
        </w:rPr>
        <w:t>.  Cambridge: Cambridge University Press, 1999.</w:t>
      </w:r>
      <w:bookmarkEnd w:id="239"/>
    </w:p>
    <w:p w14:paraId="640CC521" w14:textId="77777777" w:rsidR="002A1763" w:rsidRPr="0025514D" w:rsidRDefault="002A1763" w:rsidP="002A1763">
      <w:pPr>
        <w:spacing w:line="240" w:lineRule="auto"/>
        <w:ind w:left="720" w:hanging="720"/>
        <w:jc w:val="both"/>
        <w:rPr>
          <w:rFonts w:ascii="Times New Roman" w:hAnsi="Times New Roman" w:cs="Times New Roman"/>
          <w:noProof/>
        </w:rPr>
      </w:pPr>
      <w:bookmarkStart w:id="240" w:name="_ENREF_157"/>
      <w:r w:rsidRPr="0025514D">
        <w:rPr>
          <w:rFonts w:ascii="Times New Roman" w:hAnsi="Times New Roman" w:cs="Times New Roman"/>
          <w:noProof/>
        </w:rPr>
        <w:t xml:space="preserve">White, Robert. "The 1975 British-Provisional Ira Truce in Perspective." </w:t>
      </w:r>
      <w:r w:rsidRPr="0025514D">
        <w:rPr>
          <w:rFonts w:ascii="Times New Roman" w:hAnsi="Times New Roman" w:cs="Times New Roman"/>
          <w:i/>
          <w:noProof/>
        </w:rPr>
        <w:t xml:space="preserve">Eire-Ireland </w:t>
      </w:r>
      <w:r w:rsidRPr="0025514D">
        <w:rPr>
          <w:rFonts w:ascii="Times New Roman" w:hAnsi="Times New Roman" w:cs="Times New Roman"/>
          <w:noProof/>
        </w:rPr>
        <w:t>45 (3) (2010): pp. 211-44.</w:t>
      </w:r>
      <w:bookmarkEnd w:id="240"/>
    </w:p>
    <w:p w14:paraId="0B5CA145" w14:textId="77777777" w:rsidR="002A1763" w:rsidRPr="0025514D" w:rsidRDefault="002A1763" w:rsidP="002A1763">
      <w:pPr>
        <w:spacing w:line="240" w:lineRule="auto"/>
        <w:ind w:left="720" w:hanging="720"/>
        <w:jc w:val="both"/>
        <w:rPr>
          <w:rFonts w:ascii="Times New Roman" w:hAnsi="Times New Roman" w:cs="Times New Roman"/>
          <w:noProof/>
        </w:rPr>
      </w:pPr>
      <w:bookmarkStart w:id="241" w:name="_ENREF_158"/>
      <w:r w:rsidRPr="0025514D">
        <w:rPr>
          <w:rFonts w:ascii="Times New Roman" w:hAnsi="Times New Roman" w:cs="Times New Roman"/>
          <w:noProof/>
        </w:rPr>
        <w:t xml:space="preserve">———. </w:t>
      </w:r>
      <w:r w:rsidRPr="0025514D">
        <w:rPr>
          <w:rFonts w:ascii="Times New Roman" w:hAnsi="Times New Roman" w:cs="Times New Roman"/>
          <w:i/>
          <w:noProof/>
        </w:rPr>
        <w:t>Provisional Irish Republicans: An Oral and Interpetive History</w:t>
      </w:r>
      <w:r w:rsidRPr="0025514D">
        <w:rPr>
          <w:rFonts w:ascii="Times New Roman" w:hAnsi="Times New Roman" w:cs="Times New Roman"/>
          <w:noProof/>
        </w:rPr>
        <w:t>.  London: Greenwood Press, 1993.</w:t>
      </w:r>
      <w:bookmarkEnd w:id="241"/>
    </w:p>
    <w:p w14:paraId="4A771DF9" w14:textId="77777777" w:rsidR="002A1763" w:rsidRPr="0025514D" w:rsidRDefault="002A1763" w:rsidP="002A1763">
      <w:pPr>
        <w:spacing w:line="240" w:lineRule="auto"/>
        <w:ind w:left="720" w:hanging="720"/>
        <w:jc w:val="both"/>
        <w:rPr>
          <w:rFonts w:ascii="Times New Roman" w:hAnsi="Times New Roman" w:cs="Times New Roman"/>
          <w:noProof/>
        </w:rPr>
      </w:pPr>
      <w:bookmarkStart w:id="242" w:name="_ENREF_159"/>
      <w:r w:rsidRPr="0025514D">
        <w:rPr>
          <w:rFonts w:ascii="Times New Roman" w:hAnsi="Times New Roman" w:cs="Times New Roman"/>
          <w:noProof/>
        </w:rPr>
        <w:t xml:space="preserve">Wight, Colin. "Theorising Terrorism: The State, Structure and History." </w:t>
      </w:r>
      <w:r w:rsidRPr="0025514D">
        <w:rPr>
          <w:rFonts w:ascii="Times New Roman" w:hAnsi="Times New Roman" w:cs="Times New Roman"/>
          <w:i/>
          <w:noProof/>
        </w:rPr>
        <w:t xml:space="preserve">International Relations </w:t>
      </w:r>
      <w:r w:rsidRPr="0025514D">
        <w:rPr>
          <w:rFonts w:ascii="Times New Roman" w:hAnsi="Times New Roman" w:cs="Times New Roman"/>
          <w:noProof/>
        </w:rPr>
        <w:t>23 (1) (2009): pp. 99-106.</w:t>
      </w:r>
      <w:bookmarkEnd w:id="242"/>
    </w:p>
    <w:p w14:paraId="79520489" w14:textId="77777777" w:rsidR="002A1763" w:rsidRPr="0025514D" w:rsidRDefault="002A1763" w:rsidP="002A1763">
      <w:pPr>
        <w:spacing w:line="240" w:lineRule="auto"/>
        <w:ind w:left="720" w:hanging="720"/>
        <w:jc w:val="both"/>
        <w:rPr>
          <w:rFonts w:ascii="Times New Roman" w:hAnsi="Times New Roman" w:cs="Times New Roman"/>
          <w:noProof/>
        </w:rPr>
      </w:pPr>
      <w:bookmarkStart w:id="243" w:name="_ENREF_160"/>
      <w:r w:rsidRPr="0025514D">
        <w:rPr>
          <w:rFonts w:ascii="Times New Roman" w:hAnsi="Times New Roman" w:cs="Times New Roman"/>
          <w:noProof/>
        </w:rPr>
        <w:t xml:space="preserve">Wood, E. J. </w:t>
      </w:r>
      <w:r w:rsidRPr="0025514D">
        <w:rPr>
          <w:rFonts w:ascii="Times New Roman" w:hAnsi="Times New Roman" w:cs="Times New Roman"/>
          <w:i/>
          <w:noProof/>
        </w:rPr>
        <w:t>Insurgent Collective Action and Insurgency in El Salvador</w:t>
      </w:r>
      <w:r w:rsidRPr="0025514D">
        <w:rPr>
          <w:rFonts w:ascii="Times New Roman" w:hAnsi="Times New Roman" w:cs="Times New Roman"/>
          <w:noProof/>
        </w:rPr>
        <w:t>.  Cambridge: Cambridge University Press, 2003.</w:t>
      </w:r>
      <w:bookmarkEnd w:id="243"/>
    </w:p>
    <w:p w14:paraId="39C09CD8" w14:textId="77777777" w:rsidR="002A1763" w:rsidRPr="0025514D" w:rsidRDefault="002A1763" w:rsidP="002A1763">
      <w:pPr>
        <w:spacing w:line="240" w:lineRule="auto"/>
        <w:ind w:left="720" w:hanging="720"/>
        <w:jc w:val="both"/>
        <w:rPr>
          <w:rFonts w:ascii="Times New Roman" w:hAnsi="Times New Roman" w:cs="Times New Roman"/>
          <w:noProof/>
        </w:rPr>
      </w:pPr>
      <w:bookmarkStart w:id="244" w:name="_ENREF_161"/>
      <w:r w:rsidRPr="0025514D">
        <w:rPr>
          <w:rFonts w:ascii="Times New Roman" w:hAnsi="Times New Roman" w:cs="Times New Roman"/>
          <w:noProof/>
        </w:rPr>
        <w:t xml:space="preserve">Wright, Joane. "Northern Ireland - a British Isles Security Complex." </w:t>
      </w:r>
      <w:r w:rsidRPr="0025514D">
        <w:rPr>
          <w:rFonts w:ascii="Times New Roman" w:hAnsi="Times New Roman" w:cs="Times New Roman"/>
          <w:i/>
          <w:noProof/>
        </w:rPr>
        <w:t xml:space="preserve">Terrorism and Political Violence </w:t>
      </w:r>
      <w:r w:rsidRPr="0025514D">
        <w:rPr>
          <w:rFonts w:ascii="Times New Roman" w:hAnsi="Times New Roman" w:cs="Times New Roman"/>
          <w:noProof/>
        </w:rPr>
        <w:t>5, no. 4 (1993): 266-87.</w:t>
      </w:r>
      <w:bookmarkEnd w:id="244"/>
    </w:p>
    <w:p w14:paraId="0AA7CCFB" w14:textId="77777777" w:rsidR="002A1763" w:rsidRPr="0025514D" w:rsidRDefault="002A1763" w:rsidP="002A1763">
      <w:pPr>
        <w:spacing w:line="240" w:lineRule="auto"/>
        <w:ind w:left="720" w:hanging="720"/>
        <w:jc w:val="both"/>
        <w:rPr>
          <w:rFonts w:ascii="Times New Roman" w:hAnsi="Times New Roman" w:cs="Times New Roman"/>
          <w:noProof/>
        </w:rPr>
      </w:pPr>
      <w:bookmarkStart w:id="245" w:name="_ENREF_162"/>
      <w:r w:rsidRPr="0025514D">
        <w:rPr>
          <w:rFonts w:ascii="Times New Roman" w:hAnsi="Times New Roman" w:cs="Times New Roman"/>
          <w:noProof/>
        </w:rPr>
        <w:t xml:space="preserve">Yanow, Dvora, Peregrine Schwartz-Shea, and Maria Jose Freitas. "Case Study Research in Political Science." In </w:t>
      </w:r>
      <w:r w:rsidRPr="0025514D">
        <w:rPr>
          <w:rFonts w:ascii="Times New Roman" w:hAnsi="Times New Roman" w:cs="Times New Roman"/>
          <w:i/>
          <w:noProof/>
        </w:rPr>
        <w:t>Encyclopedia of Case Study Research</w:t>
      </w:r>
      <w:r w:rsidRPr="0025514D">
        <w:rPr>
          <w:rFonts w:ascii="Times New Roman" w:hAnsi="Times New Roman" w:cs="Times New Roman"/>
          <w:noProof/>
        </w:rPr>
        <w:t>. Los Angeles: Sage, 2008.</w:t>
      </w:r>
      <w:bookmarkEnd w:id="245"/>
    </w:p>
    <w:p w14:paraId="45ACA4E8" w14:textId="77777777" w:rsidR="002A1763" w:rsidRPr="0025514D" w:rsidRDefault="002A1763" w:rsidP="002A1763">
      <w:pPr>
        <w:spacing w:line="240" w:lineRule="auto"/>
        <w:ind w:left="720" w:hanging="720"/>
        <w:jc w:val="both"/>
        <w:rPr>
          <w:rFonts w:ascii="Times New Roman" w:hAnsi="Times New Roman" w:cs="Times New Roman"/>
          <w:noProof/>
        </w:rPr>
      </w:pPr>
      <w:bookmarkStart w:id="246" w:name="_ENREF_163"/>
      <w:r w:rsidRPr="0025514D">
        <w:rPr>
          <w:rFonts w:ascii="Times New Roman" w:hAnsi="Times New Roman" w:cs="Times New Roman"/>
          <w:noProof/>
        </w:rPr>
        <w:t xml:space="preserve">Zald, Mayer, and Roberta Ash. "Social Movement Organizations: Growth, Decay and Change." In </w:t>
      </w:r>
      <w:r w:rsidRPr="0025514D">
        <w:rPr>
          <w:rFonts w:ascii="Times New Roman" w:hAnsi="Times New Roman" w:cs="Times New Roman"/>
          <w:i/>
          <w:noProof/>
        </w:rPr>
        <w:t>Social Movements</w:t>
      </w:r>
      <w:r w:rsidRPr="0025514D">
        <w:rPr>
          <w:rFonts w:ascii="Times New Roman" w:hAnsi="Times New Roman" w:cs="Times New Roman"/>
          <w:noProof/>
        </w:rPr>
        <w:t>, edited by Jeff Goodwin and James Jasper. Oxon: Routledge, 2007.</w:t>
      </w:r>
      <w:bookmarkEnd w:id="246"/>
    </w:p>
    <w:p w14:paraId="3F44AF3D" w14:textId="6701A891" w:rsidR="002A1763" w:rsidRPr="0025514D" w:rsidRDefault="002A1763" w:rsidP="002A1763">
      <w:pPr>
        <w:spacing w:line="240" w:lineRule="auto"/>
        <w:jc w:val="both"/>
        <w:rPr>
          <w:rFonts w:ascii="Times New Roman" w:hAnsi="Times New Roman" w:cs="Times New Roman"/>
          <w:noProof/>
        </w:rPr>
      </w:pPr>
    </w:p>
    <w:p w14:paraId="115E18BB" w14:textId="6C3819DA" w:rsidR="0008136F" w:rsidRPr="00436992" w:rsidRDefault="00655AD6" w:rsidP="00B57C7F">
      <w:pPr>
        <w:spacing w:line="360" w:lineRule="auto"/>
        <w:jc w:val="both"/>
        <w:rPr>
          <w:rFonts w:ascii="Times New Roman" w:hAnsi="Times New Roman" w:cs="Times New Roman"/>
          <w:b/>
        </w:rPr>
      </w:pPr>
      <w:r w:rsidRPr="0025514D">
        <w:rPr>
          <w:rFonts w:ascii="Times New Roman" w:hAnsi="Times New Roman" w:cs="Times New Roman"/>
        </w:rPr>
        <w:fldChar w:fldCharType="end"/>
      </w:r>
    </w:p>
    <w:sectPr w:rsidR="0008136F" w:rsidRPr="00436992" w:rsidSect="00BE3349">
      <w:footnotePr>
        <w:numRestart w:val="eachSect"/>
      </w:footnotePr>
      <w:type w:val="continuous"/>
      <w:pgSz w:w="11906" w:h="16838"/>
      <w:pgMar w:top="1440" w:right="1440" w:bottom="1440" w:left="226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C6B1E" w15:done="0"/>
  <w15:commentEx w15:paraId="76F5FF17" w15:done="0"/>
  <w15:commentEx w15:paraId="5648011A" w15:done="0"/>
  <w15:commentEx w15:paraId="235F2414" w15:done="0"/>
  <w15:commentEx w15:paraId="684D661D" w15:done="0"/>
  <w15:commentEx w15:paraId="2D83D1E9" w15:done="0"/>
  <w15:commentEx w15:paraId="4CCA4BB9" w15:done="0"/>
  <w15:commentEx w15:paraId="07C7CFA7" w15:done="0"/>
  <w15:commentEx w15:paraId="1775EC2C" w15:done="0"/>
  <w15:commentEx w15:paraId="21F217CC" w15:done="0"/>
  <w15:commentEx w15:paraId="5F87AF58" w15:done="0"/>
  <w15:commentEx w15:paraId="735EB2AF" w15:done="0"/>
  <w15:commentEx w15:paraId="12F9DD1C" w15:done="0"/>
  <w15:commentEx w15:paraId="16A446A1" w15:done="0"/>
  <w15:commentEx w15:paraId="37363E98" w15:done="0"/>
  <w15:commentEx w15:paraId="370C1839" w15:done="0"/>
  <w15:commentEx w15:paraId="660A15BA" w15:done="0"/>
  <w15:commentEx w15:paraId="2BF0644D" w15:done="0"/>
  <w15:commentEx w15:paraId="4044AEBF" w15:done="0"/>
  <w15:commentEx w15:paraId="25F0A7E2" w15:done="0"/>
  <w15:commentEx w15:paraId="1C65626B" w15:done="0"/>
  <w15:commentEx w15:paraId="787D6A20" w15:done="0"/>
  <w15:commentEx w15:paraId="47549DD8" w15:done="0"/>
  <w15:commentEx w15:paraId="143849DA" w15:done="0"/>
  <w15:commentEx w15:paraId="4E75F6A1" w15:done="0"/>
  <w15:commentEx w15:paraId="1E834E70" w15:done="0"/>
  <w15:commentEx w15:paraId="2E64F143" w15:done="0"/>
  <w15:commentEx w15:paraId="71885142" w15:done="0"/>
  <w15:commentEx w15:paraId="15A23A7A" w15:done="0"/>
  <w15:commentEx w15:paraId="0BAA2A92" w15:done="0"/>
  <w15:commentEx w15:paraId="1A2FEB1F" w15:done="0"/>
  <w15:commentEx w15:paraId="3B5BD410" w15:done="0"/>
  <w15:commentEx w15:paraId="4CE32E72" w15:done="0"/>
  <w15:commentEx w15:paraId="4279B3F0" w15:done="0"/>
  <w15:commentEx w15:paraId="51F8E6F0" w15:done="0"/>
  <w15:commentEx w15:paraId="54C05C7A" w15:done="0"/>
  <w15:commentEx w15:paraId="72A8A59C" w15:done="0"/>
  <w15:commentEx w15:paraId="4AE64416" w15:done="0"/>
  <w15:commentEx w15:paraId="7ECEE7EA" w15:done="0"/>
  <w15:commentEx w15:paraId="62A3F9BC" w15:done="0"/>
  <w15:commentEx w15:paraId="47B099B5" w15:done="0"/>
  <w15:commentEx w15:paraId="5D058A9F" w15:done="0"/>
  <w15:commentEx w15:paraId="38A3D5BF" w15:done="0"/>
  <w15:commentEx w15:paraId="004BCE04" w15:done="0"/>
  <w15:commentEx w15:paraId="772B29D2" w15:done="0"/>
  <w15:commentEx w15:paraId="4DF04A3C" w15:done="0"/>
  <w15:commentEx w15:paraId="165CCC12" w15:done="0"/>
  <w15:commentEx w15:paraId="010D9414" w15:done="0"/>
  <w15:commentEx w15:paraId="00F665F6" w15:done="0"/>
  <w15:commentEx w15:paraId="07B245AB" w15:done="0"/>
  <w15:commentEx w15:paraId="5D27720B" w15:done="0"/>
  <w15:commentEx w15:paraId="4D4EF50C" w15:done="0"/>
  <w15:commentEx w15:paraId="691BA10D" w15:done="0"/>
  <w15:commentEx w15:paraId="63FE6BCD" w15:done="0"/>
  <w15:commentEx w15:paraId="327A8F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2027C" w14:textId="77777777" w:rsidR="007A04F6" w:rsidRDefault="007A04F6" w:rsidP="00B2491D">
      <w:pPr>
        <w:spacing w:before="0" w:line="240" w:lineRule="auto"/>
      </w:pPr>
      <w:r>
        <w:separator/>
      </w:r>
    </w:p>
  </w:endnote>
  <w:endnote w:type="continuationSeparator" w:id="0">
    <w:p w14:paraId="093F2637" w14:textId="77777777" w:rsidR="007A04F6" w:rsidRDefault="007A04F6" w:rsidP="00B2491D">
      <w:pPr>
        <w:spacing w:before="0" w:line="240" w:lineRule="auto"/>
      </w:pPr>
      <w:r>
        <w:continuationSeparator/>
      </w:r>
    </w:p>
  </w:endnote>
  <w:endnote w:type="continuationNotice" w:id="1">
    <w:p w14:paraId="49CC558C" w14:textId="77777777" w:rsidR="007A04F6" w:rsidRDefault="007A04F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1174B" w14:textId="5FEB0384" w:rsidR="007A04F6" w:rsidRDefault="007A04F6" w:rsidP="005A37A6">
    <w:pPr>
      <w:pStyle w:val="Footer"/>
    </w:pPr>
  </w:p>
  <w:p w14:paraId="057A1802" w14:textId="77777777" w:rsidR="007A04F6" w:rsidRDefault="007A0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599601"/>
      <w:docPartObj>
        <w:docPartGallery w:val="Page Numbers (Bottom of Page)"/>
        <w:docPartUnique/>
      </w:docPartObj>
    </w:sdtPr>
    <w:sdtEndPr>
      <w:rPr>
        <w:rFonts w:ascii="Times New Roman" w:hAnsi="Times New Roman" w:cs="Times New Roman"/>
        <w:noProof/>
      </w:rPr>
    </w:sdtEndPr>
    <w:sdtContent>
      <w:p w14:paraId="1AE2E4B0" w14:textId="77777777" w:rsidR="007A04F6" w:rsidRPr="00A46F95" w:rsidRDefault="007A04F6">
        <w:pPr>
          <w:pStyle w:val="Footer"/>
          <w:jc w:val="center"/>
          <w:rPr>
            <w:rFonts w:ascii="Times New Roman" w:hAnsi="Times New Roman" w:cs="Times New Roman"/>
          </w:rPr>
        </w:pPr>
        <w:r w:rsidRPr="00A46F95">
          <w:rPr>
            <w:rFonts w:ascii="Times New Roman" w:hAnsi="Times New Roman" w:cs="Times New Roman"/>
          </w:rPr>
          <w:fldChar w:fldCharType="begin"/>
        </w:r>
        <w:r w:rsidRPr="00A46F95">
          <w:rPr>
            <w:rFonts w:ascii="Times New Roman" w:hAnsi="Times New Roman" w:cs="Times New Roman"/>
          </w:rPr>
          <w:instrText xml:space="preserve"> PAGE   \* MERGEFORMAT </w:instrText>
        </w:r>
        <w:r w:rsidRPr="00A46F95">
          <w:rPr>
            <w:rFonts w:ascii="Times New Roman" w:hAnsi="Times New Roman" w:cs="Times New Roman"/>
          </w:rPr>
          <w:fldChar w:fldCharType="separate"/>
        </w:r>
        <w:r w:rsidR="00E22E2B">
          <w:rPr>
            <w:rFonts w:ascii="Times New Roman" w:hAnsi="Times New Roman" w:cs="Times New Roman"/>
            <w:noProof/>
          </w:rPr>
          <w:t>125</w:t>
        </w:r>
        <w:r w:rsidRPr="00A46F95">
          <w:rPr>
            <w:rFonts w:ascii="Times New Roman" w:hAnsi="Times New Roman" w:cs="Times New Roman"/>
            <w:noProof/>
          </w:rPr>
          <w:fldChar w:fldCharType="end"/>
        </w:r>
      </w:p>
    </w:sdtContent>
  </w:sdt>
  <w:p w14:paraId="0D6BFA39" w14:textId="77777777" w:rsidR="007A04F6" w:rsidRDefault="007A0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12F7" w14:textId="77777777" w:rsidR="007A04F6" w:rsidRDefault="007A04F6" w:rsidP="00B2491D">
      <w:pPr>
        <w:spacing w:before="0" w:line="240" w:lineRule="auto"/>
      </w:pPr>
      <w:r>
        <w:separator/>
      </w:r>
    </w:p>
  </w:footnote>
  <w:footnote w:type="continuationSeparator" w:id="0">
    <w:p w14:paraId="43DFF139" w14:textId="77777777" w:rsidR="007A04F6" w:rsidRDefault="007A04F6" w:rsidP="00B2491D">
      <w:pPr>
        <w:spacing w:before="0" w:line="240" w:lineRule="auto"/>
      </w:pPr>
      <w:r>
        <w:continuationSeparator/>
      </w:r>
    </w:p>
  </w:footnote>
  <w:footnote w:type="continuationNotice" w:id="1">
    <w:p w14:paraId="0DB41735" w14:textId="77777777" w:rsidR="007A04F6" w:rsidRDefault="007A04F6">
      <w:pPr>
        <w:spacing w:before="0" w:line="240" w:lineRule="auto"/>
      </w:pPr>
    </w:p>
  </w:footnote>
  <w:footnote w:id="2">
    <w:p w14:paraId="4836A8A4" w14:textId="64C4191D"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&lt;EndNote&gt;&lt;Cite&gt;&lt;Author&gt;Silke&lt;/Author&gt;&lt;Year&gt;2003&lt;/Year&gt;&lt;RecNum&gt;154&lt;/RecNum&gt;&lt;DisplayText&gt;Andrew Silke, &lt;style face="italic"&gt;Research on Terrorism: Trends, Achievements, and Failures&lt;/style&gt;  (London: Frank Cass, 2003).&lt;/DisplayText&gt;&lt;record&gt;&lt;rec-number&gt;154&lt;/rec-number&gt;&lt;foreign-keys&gt;&lt;key app="EN" db-id="s0ftft29jf2psaezx93xwz5s00fwpa9avrwv"&gt;154&lt;/key&gt;&lt;/foreign-keys&gt;&lt;ref-type name="Book"&gt;6&lt;/ref-type&gt;&lt;contributors&gt;&lt;authors&gt;&lt;author&gt;Silke, Andrew&lt;/author&gt;&lt;/authors&gt;&lt;/contributors&gt;&lt;titles&gt;&lt;title&gt;Research on terrorism: trends, achievements, and failures&lt;/title&gt;&lt;/titles&gt;&lt;pages&gt;xix, 240 p.&lt;/pages&gt;&lt;keywords&gt;&lt;keyword&gt;Terrorism Research.&lt;/keyword&gt;&lt;/keywords&gt;&lt;dates&gt;&lt;year&gt;2003&lt;/year&gt;&lt;/dates&gt;&lt;pub-location&gt;London&lt;/pub-location&gt;&lt;publisher&gt;Frank Cass&lt;/publisher&gt;&lt;isbn&gt;071468273x (pbk)&amp;#xD;071465311x&lt;/isbn&gt;&lt;call-num&gt;1.&amp;#xD;Brotherton West floor&amp;amp;nbsp;2 Politics R-5.4 SIL DUE 14-06-11&lt;/call-num&gt;&lt;urls&gt;&lt;/urls&gt;&lt;/record&gt;&lt;/Cite&gt;&lt;/EndNote&gt;</w:instrText>
      </w:r>
      <w:r>
        <w:fldChar w:fldCharType="separate"/>
      </w:r>
      <w:r>
        <w:rPr>
          <w:noProof/>
        </w:rPr>
        <w:t xml:space="preserve">Andrew Silke, </w:t>
      </w:r>
      <w:r w:rsidRPr="003D17E7">
        <w:rPr>
          <w:i/>
          <w:noProof/>
        </w:rPr>
        <w:t>Research on Terrorism: Trends, Achievements, and Failures</w:t>
      </w:r>
      <w:r>
        <w:rPr>
          <w:noProof/>
        </w:rPr>
        <w:t xml:space="preserve">  (London: Frank Cass, 2003).</w:t>
      </w:r>
      <w:r>
        <w:fldChar w:fldCharType="end"/>
      </w:r>
      <w:r>
        <w:t xml:space="preserve">; </w:t>
      </w:r>
      <w:r>
        <w:fldChar w:fldCharType="begin"/>
      </w:r>
      <w:r>
        <w:instrText xml:space="preserve"> ADDIN EN.CITE &lt;EndNote&gt;&lt;Cite&gt;&lt;Author&gt;Cronin&lt;/Author&gt;&lt;Year&gt;2009&lt;/Year&gt;&lt;RecNum&gt;207&lt;/RecNum&gt;&lt;DisplayText&gt;Audrey Kurth Cronin, &lt;style face="italic"&gt;How Terrorism Ends: Understanding the Decline and Demise of Terrorist Campaigns&lt;/style&gt;  (Princeton: Princeton University Press, 2009).&lt;/DisplayText&gt;&lt;record&gt;&lt;rec-number&gt;207&lt;/rec-number&gt;&lt;foreign-keys&gt;&lt;key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Audrey Kurth Cronin, </w:t>
      </w:r>
      <w:r w:rsidRPr="00CE1BFF">
        <w:rPr>
          <w:i/>
          <w:noProof/>
        </w:rPr>
        <w:t>How Terrorism Ends: Understanding the Decline and Demise of Terrorist Campaigns</w:t>
      </w:r>
      <w:r>
        <w:rPr>
          <w:noProof/>
        </w:rPr>
        <w:t xml:space="preserve">  (Princeton: Princeton University Press, 2009).</w:t>
      </w:r>
      <w:r>
        <w:fldChar w:fldCharType="end"/>
      </w:r>
    </w:p>
  </w:footnote>
  <w:footnote w:id="3">
    <w:p w14:paraId="73F06814" w14:textId="1204980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&lt;EndNote&gt;&lt;Cite&gt;&lt;Author&gt;Gvineria&lt;/Author&gt;&lt;Year&gt;2009&lt;/Year&gt;&lt;RecNum&gt;78&lt;/RecNum&gt;&lt;DisplayText&gt;Gaga Gvineria, &amp;quot;How Does Terrorism End?,&amp;quot; in &lt;style face="italic"&gt;Social Science for Counter Terrorism : Putting the Pieces Together&lt;/style&gt;, ed. Paul K. Davis, et al. (New York: National Defense Research Institute for the Office of the Secretary for Defense, 2009).&lt;/DisplayText&gt;&lt;record&gt;&lt;rec-number&gt;78&lt;/rec-number&gt;&lt;foreign-keys&gt;&lt;key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 xml:space="preserve">Gaga Gvineria, "How Does Terrorism End?," in </w:t>
      </w:r>
      <w:r w:rsidRPr="003D17E7">
        <w:rPr>
          <w:i/>
          <w:noProof/>
        </w:rPr>
        <w:t>Social Science for Counter Terrorism : Putting the Pieces Together</w:t>
      </w:r>
      <w:r>
        <w:rPr>
          <w:noProof/>
        </w:rPr>
        <w:t>, ed. Paul K. Davis, et al. (New York: National Defense Research Institute for the Office of the Secretary for Defense, 2009).</w:t>
      </w:r>
      <w:r>
        <w:fldChar w:fldCharType="end"/>
      </w:r>
    </w:p>
  </w:footnote>
  <w:footnote w:id="4">
    <w:p w14:paraId="68D5B290" w14:textId="41673D14"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&lt;EndNote&gt;&lt;Cite&gt;&lt;Author&gt;Toros&lt;/Author&gt;&lt;Year&gt;2009&lt;/Year&gt;&lt;RecNum&gt;163&lt;/RecNum&gt;&lt;DisplayText&gt;Harmonie Toros and Jeroen Gunning, &amp;quot;Exploring a Critical Theory Approach to Terrorism Studies,&amp;quot; in &lt;style face="italic"&gt;Critical Terrorism Studies&lt;/style&gt;, ed. Richard Jackson, Marie Breen Smyth, and Jeroen Gunning (New York: Routledge, 2009).&lt;/DisplayText&gt;&lt;record&gt;&lt;rec-number&gt;163&lt;/rec-number&gt;&lt;foreign-keys&gt;&lt;key app="EN" db-id="s0ftft29jf2psaezx93xwz5s00fwpa9avrwv"&gt;163&lt;/key&gt;&lt;/foreign-keys&gt;&lt;ref-type name="Book Section"&gt;5&lt;/ref-type&gt;&lt;contributors&gt;&lt;authors&gt;&lt;author&gt;Toros, Harmonie&lt;/author&gt;&lt;author&gt;Gunning, Jeroen&lt;/author&gt;&lt;/authors&gt;&lt;secondary-authors&gt;&lt;author&gt;Jackson, Richard&lt;/author&gt;&lt;author&gt;Breen Smyth, Marie&lt;/author&gt;&lt;author&gt;Gunning, Jeroen&lt;/author&gt;&lt;/secondary-authors&gt;&lt;/contributors&gt;&lt;titles&gt;&lt;title&gt;Exploring a critical theory approach to terrorism studies&lt;/title&gt;&lt;secondary-title&gt;Critical Terrorism Studies&lt;/secondary-title&gt;&lt;/titles&gt;&lt;dates&gt;&lt;year&gt;2009&lt;/year&gt;&lt;/dates&gt;&lt;pub-location&gt;New York&lt;/pub-location&gt;&lt;publisher&gt;Routledge&lt;/publisher&gt;&lt;urls&gt;&lt;/urls&gt;&lt;/record&gt;&lt;/Cite&gt;&lt;/EndNote&gt;</w:instrText>
      </w:r>
      <w:r>
        <w:fldChar w:fldCharType="separate"/>
      </w:r>
      <w:r>
        <w:rPr>
          <w:noProof/>
        </w:rPr>
        <w:t xml:space="preserve">Harmonie Toros and Jeroen Gunning, "Exploring a Critical Theory Approach to Terrorism Studies," in </w:t>
      </w:r>
      <w:r w:rsidRPr="003D17E7">
        <w:rPr>
          <w:i/>
          <w:noProof/>
        </w:rPr>
        <w:t>Critical Terrorism Studies</w:t>
      </w:r>
      <w:r>
        <w:rPr>
          <w:noProof/>
        </w:rPr>
        <w:t>, ed. Richard Jackson, Marie Breen Smyth, and Jeroen Gunning (New York: Routledge, 2009).</w:t>
      </w:r>
      <w:r>
        <w:fldChar w:fldCharType="end"/>
      </w:r>
    </w:p>
  </w:footnote>
  <w:footnote w:id="5">
    <w:p w14:paraId="69301C58" w14:textId="76D9379D"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&lt;EndNote&gt;&lt;Cite&gt;&lt;Author&gt;Schmid&lt;/Author&gt;&lt;Year&gt;2013&lt;/Year&gt;&lt;RecNum&gt;222&lt;/RecNum&gt;&lt;DisplayText&gt;Alex P. Schmid, &amp;quot;Radicalisation, De-Radicalisation, Counter-Radicalisation: A Conceptual Discussion and Literature Review,&amp;quot; (2013).&lt;/DisplayText&gt;&lt;record&gt;&lt;rec-number&gt;222&lt;/rec-number&gt;&lt;foreign-keys&gt;&lt;key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Alex P. Schmid, "Radicalisation, De-Radicalisation, Counter-Radicalisation: A Conceptual Discussion and Literature Review," (2013).</w:t>
      </w:r>
      <w:r>
        <w:fldChar w:fldCharType="end"/>
      </w:r>
      <w:r>
        <w:t xml:space="preserve">; </w:t>
      </w:r>
      <w:r>
        <w:fldChar w:fldCharType="begin"/>
      </w:r>
      <w:r>
        <w:instrText xml:space="preserve"> ADDIN EN.CITE &lt;EndNote&gt;&lt;Cite&gt;&lt;Author&gt;Della Porta&lt;/Author&gt;&lt;Year&gt;2012&lt;/Year&gt;&lt;RecNum&gt;224&lt;/RecNum&gt;&lt;DisplayText&gt;Donatella Della Porta and Gary LaFree, &amp;quot;Guest Editorial: Processes of Radicalization and De-Radicalization,&amp;quot; &lt;style face="italic"&gt;International Journal of Conflict and Violence&lt;/style&gt; 6 (1)(2012).&lt;/DisplayText&gt;&lt;record&gt;&lt;rec-number&gt;224&lt;/rec-number&gt;&lt;foreign-keys&gt;&lt;key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 xml:space="preserve">Donatella Della Porta and Gary LaFree, "Guest Editorial: Processes of Radicalization and De-Radicalization," </w:t>
      </w:r>
      <w:r w:rsidRPr="003D17E7">
        <w:rPr>
          <w:i/>
          <w:noProof/>
        </w:rPr>
        <w:t>International Journal of Conflict and Violence</w:t>
      </w:r>
      <w:r>
        <w:rPr>
          <w:noProof/>
        </w:rPr>
        <w:t xml:space="preserve"> 6 (1)(2012).</w:t>
      </w:r>
      <w:r>
        <w:fldChar w:fldCharType="end"/>
      </w:r>
    </w:p>
  </w:footnote>
  <w:footnote w:id="6">
    <w:p w14:paraId="75BC5A98" w14:textId="4F51681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&lt;EndNote&gt;&lt;Cite&gt;&lt;Author&gt;Weinberg&lt;/Author&gt;&lt;Year&gt;2010&lt;/Year&gt;&lt;RecNum&gt;169&lt;/RecNum&gt;&lt;DisplayText&gt;Leonard Weinberg and Arie Perliger, &amp;quot;How Terrorist Groups End,&amp;quot; &lt;style face="italic"&gt;CTC Sentinel&lt;/style&gt; 3 (2)(2010); John Alterman, &amp;quot;How Terrorism Ends,&amp;quot; (Washington: United States Institute of Peace, 1999).&lt;/DisplayText&gt;&lt;record&gt;&lt;rec-number&gt;169&lt;/rec-number&gt;&lt;foreign-keys&gt;&lt;key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Cite&gt;&lt;Author&gt;Alterman&lt;/Author&gt;&lt;Year&gt;1999&lt;/Year&gt;&lt;RecNum&gt;19&lt;/RecNum&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fldChar w:fldCharType="separate"/>
      </w:r>
      <w:r>
        <w:rPr>
          <w:noProof/>
        </w:rPr>
        <w:t xml:space="preserve">Leonard Weinberg and Arie Perliger, "How Terrorist Groups End," </w:t>
      </w:r>
      <w:r w:rsidRPr="003D17E7">
        <w:rPr>
          <w:i/>
          <w:noProof/>
        </w:rPr>
        <w:t>CTC Sentinel</w:t>
      </w:r>
      <w:r>
        <w:rPr>
          <w:noProof/>
        </w:rPr>
        <w:t xml:space="preserve"> 3 (2)(2010); John Alterman, "How Terrorism Ends," (Washington: United States Institute of Peace, 1999).</w:t>
      </w:r>
      <w:r>
        <w:fldChar w:fldCharType="end"/>
      </w:r>
      <w:r>
        <w:t>;</w:t>
      </w:r>
      <w:r>
        <w:fldChar w:fldCharType="begin"/>
      </w:r>
      <w:r>
        <w:instrText xml:space="preserve"> ADDIN EN.CITE &lt;EndNote&gt;&lt;Cite&gt;&lt;Author&gt;Jones&lt;/Author&gt;&lt;Year&gt;2008&lt;/Year&gt;&lt;RecNum&gt;92&lt;/RecNum&gt;&lt;DisplayText&gt;Seth G. Jones and Martin C. Libicki, &lt;style face="italic"&gt;How Terrorist Groups End : Lessons for Countering Al Qa&amp;apos;ida&lt;/style&gt;  (Santa Monica, Calif.: Rand, 2008).&lt;/DisplayText&gt;&lt;record&gt;&lt;rec-number&gt;92&lt;/rec-number&gt;&lt;foreign-keys&gt;&lt;key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Seth G. Jones and Martin C. Libicki, </w:t>
      </w:r>
      <w:r w:rsidRPr="003D17E7">
        <w:rPr>
          <w:i/>
          <w:noProof/>
        </w:rPr>
        <w:t>How Terrorist Groups End : Lessons for Countering Al Qa'ida</w:t>
      </w:r>
      <w:r>
        <w:rPr>
          <w:noProof/>
        </w:rPr>
        <w:t xml:space="preserve">  (Santa Monica, Calif.: Rand, 2008).</w:t>
      </w:r>
      <w:r>
        <w:fldChar w:fldCharType="end"/>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r>
        <w:t xml:space="preserve">; </w:t>
      </w:r>
      <w:r>
        <w:fldChar w:fldCharType="begin"/>
      </w:r>
      <w:r>
        <w:instrText xml:space="preserve"> ADDIN EN.CITE &lt;EndNote&gt;&lt;Cite&gt;&lt;Author&gt;Cronin&lt;/Author&gt;&lt;Year&gt;2010&lt;/Year&gt;&lt;RecNum&gt;52&lt;/RecNum&gt;&lt;DisplayText&gt;Audrey Kurth Cronin, &amp;quot;No Silver Bullet: Explaining Research on How Terrorism Ends,&amp;quot; &lt;style face="italic"&gt;CTC Sentinel&lt;/style&gt; 3 (4)(2010).&lt;/DisplayText&gt;&lt;record&gt;&lt;rec-number&gt;52&lt;/rec-number&gt;&lt;foreign-keys&gt;&lt;key app="EN" db-id="s0ftft29jf2psaezx93xwz5s00fwpa9avrwv"&gt;52&lt;/key&gt;&lt;/foreign-keys&gt;&lt;ref-type name="Journal Article"&gt;17&lt;/ref-type&gt;&lt;contributors&gt;&lt;authors&gt;&lt;author&gt;Cronin, Audrey Kurth&lt;/author&gt;&lt;/authors&gt;&lt;/contributors&gt;&lt;titles&gt;&lt;title&gt;No Silver Bullet: Explaining Research on How Terrorism Ends&lt;/title&gt;&lt;secondary-title&gt;CTC Sentinel&lt;/secondary-title&gt;&lt;/titles&gt;&lt;pages&gt;pp. 1-4&lt;/pages&gt;&lt;volume&gt;3 (4)&lt;/volume&gt;&lt;dates&gt;&lt;year&gt;2010&lt;/year&gt;&lt;/dates&gt;&lt;urls&gt;&lt;/urls&gt;&lt;/record&gt;&lt;/Cite&gt;&lt;/EndNote&gt;</w:instrText>
      </w:r>
      <w:r>
        <w:fldChar w:fldCharType="separate"/>
      </w:r>
      <w:r>
        <w:rPr>
          <w:noProof/>
        </w:rPr>
        <w:t xml:space="preserve">Audrey Kurth Cronin, "No Silver Bullet: Explaining Research on How Terrorism Ends," </w:t>
      </w:r>
      <w:r w:rsidRPr="003D17E7">
        <w:rPr>
          <w:i/>
          <w:noProof/>
        </w:rPr>
        <w:t>CTC Sentinel</w:t>
      </w:r>
      <w:r>
        <w:rPr>
          <w:noProof/>
        </w:rPr>
        <w:t xml:space="preserve"> 3 (4)(2010).</w:t>
      </w:r>
      <w:r>
        <w:fldChar w:fldCharType="end"/>
      </w:r>
    </w:p>
  </w:footnote>
  <w:footnote w:id="7">
    <w:p w14:paraId="55EC785F" w14:textId="4ADECE31"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&lt;EndNote&gt;&lt;Cite&gt;&lt;Author&gt;Transnational Terrorism&lt;/Author&gt;&lt;Year&gt;2008&lt;/Year&gt;&lt;RecNum&gt;164&lt;/RecNum&gt;&lt;DisplayText&gt;Security &amp;amp; the Rule of Law Transnational Terrorism, &amp;quot;Concepts of Terrorism: Analysis of the Rise, Decline, Trends and Risk,&amp;quot; (2008).&lt;/DisplayText&gt;&lt;record&gt;&lt;rec-number&gt;164&lt;/rec-number&gt;&lt;foreign-keys&gt;&lt;key app="EN" db-id="s0ftft29jf2psaezx93xwz5s00fwpa9avrwv"&gt;164&lt;/key&gt;&lt;/foreign-keys&gt;&lt;ref-type name="Report"&gt;27&lt;/ref-type&gt;&lt;contributors&gt;&lt;authors&gt;&lt;author&gt;Transnational Terrorism, Security &amp;amp; the Rule of Law&lt;/author&gt;&lt;/authors&gt;&lt;/contributors&gt;&lt;titles&gt;&lt;title&gt;Concepts of Terrorism: Analysis of the rise, decline, trends and risk&lt;/title&gt;&lt;/titles&gt;&lt;dates&gt;&lt;year&gt;2008&lt;/year&gt;&lt;/dates&gt;&lt;urls&gt;&lt;/urls&gt;&lt;/record&gt;&lt;/Cite&gt;&lt;/EndNote&gt;</w:instrText>
      </w:r>
      <w:r>
        <w:fldChar w:fldCharType="separate"/>
      </w:r>
      <w:r>
        <w:rPr>
          <w:noProof/>
        </w:rPr>
        <w:t>Security &amp; the Rule of Law Transnational Terrorism, "Concepts of Terrorism: Analysis of the Rise, Decline, Trends and Risk," (2008).</w:t>
      </w:r>
      <w:r>
        <w:fldChar w:fldCharType="end"/>
      </w:r>
    </w:p>
  </w:footnote>
  <w:footnote w:id="8">
    <w:p w14:paraId="6BD2B7CA" w14:textId="4CB7D56A"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r>
        <w:t xml:space="preserve"> pp. 279</w:t>
      </w:r>
    </w:p>
  </w:footnote>
  <w:footnote w:id="9">
    <w:p w14:paraId="0DE1B413" w14:textId="34696B0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&lt;EndNote&gt;&lt;Cite&gt;&lt;Author&gt;Crenshaw&lt;/Author&gt;&lt;Year&gt;1991&lt;/Year&gt;&lt;RecNum&gt;48&lt;/RecNum&gt;&lt;DisplayText&gt;Martha Crenshaw, &amp;quot;How Terrorism Declines,&amp;quot; &lt;style face="italic"&gt;Terrorism and Political Violence&lt;/style&gt; 3 (1)(1991).&lt;/DisplayText&gt;&lt;record&gt;&lt;rec-number&gt;48&lt;/rec-number&gt;&lt;foreign-keys&gt;&lt;key app="EN" db-id="s0ftft29jf2psaezx93xwz5s00fwpa9avrwv"&gt;48&lt;/key&gt;&lt;/foreign-keys&gt;&lt;ref-type name="Journal Article"&gt;17&lt;/ref-type&gt;&lt;contributors&gt;&lt;authors&gt;&lt;author&gt;Crenshaw, Martha&lt;/author&gt;&lt;/authors&gt;&lt;/contributors&gt;&lt;titles&gt;&lt;title&gt;How Terrorism Declines&lt;/title&gt;&lt;secondary-title&gt;Terrorism and Political Violence&lt;/secondary-title&gt;&lt;/titles&gt;&lt;periodical&gt;&lt;full-title&gt;Terrorism and Political Violence&lt;/full-title&gt;&lt;/periodical&gt;&lt;pages&gt;pp. 69-87&lt;/pages&gt;&lt;volume&gt;3 (1)&lt;/volume&gt;&lt;dates&gt;&lt;year&gt;1991&lt;/year&gt;&lt;/dates&gt;&lt;urls&gt;&lt;/urls&gt;&lt;/record&gt;&lt;/Cite&gt;&lt;/EndNote&gt;</w:instrText>
      </w:r>
      <w:r>
        <w:fldChar w:fldCharType="separate"/>
      </w:r>
      <w:r>
        <w:rPr>
          <w:noProof/>
        </w:rPr>
        <w:t xml:space="preserve">Martha Crenshaw, "How Terrorism Declines," </w:t>
      </w:r>
      <w:r w:rsidRPr="003D17E7">
        <w:rPr>
          <w:i/>
          <w:noProof/>
        </w:rPr>
        <w:t>Terrorism and Political Violence</w:t>
      </w:r>
      <w:r>
        <w:rPr>
          <w:noProof/>
        </w:rPr>
        <w:t xml:space="preserve"> 3 (1)(1991).</w:t>
      </w:r>
      <w:r>
        <w:fldChar w:fldCharType="end"/>
      </w:r>
    </w:p>
  </w:footnote>
  <w:footnote w:id="10">
    <w:p w14:paraId="26C601C3" w14:textId="24118CC9"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&lt;EndNote&gt;&lt;Cite&gt;&lt;Author&gt;Boyle&lt;/Author&gt;&lt;Year&gt;2012&lt;/Year&gt;&lt;RecNum&gt;192&lt;/RecNum&gt;&lt;DisplayText&gt;Michael J. Boyle, &amp;quot;Progress and Pitfalls in the Study of Political Violence,&amp;quot; ibid.24 (2)(2012).&lt;/DisplayText&gt;&lt;record&gt;&lt;rec-number&gt;192&lt;/rec-number&gt;&lt;foreign-keys&gt;&lt;key app="EN" db-id="s0ftft29jf2psaezx93xwz5s00fwpa9avrwv"&gt;192&lt;/key&gt;&lt;/foreign-keys&gt;&lt;ref-type name="Journal Article"&gt;17&lt;/ref-type&gt;&lt;contributors&gt;&lt;authors&gt;&lt;author&gt;Boyle, Michael J.&lt;/author&gt;&lt;/authors&gt;&lt;/contributors&gt;&lt;titles&gt;&lt;title&gt;Progress and Pitfalls in the Study of Political Violence&lt;/title&gt;&lt;secondary-title&gt;Terrorism and Political Violence&lt;/secondary-title&gt;&lt;/titles&gt;&lt;periodical&gt;&lt;full-title&gt;Terrorism and Political Violence&lt;/full-title&gt;&lt;/periodical&gt;&lt;pages&gt;pp. 527-543&lt;/pages&gt;&lt;volume&gt;24 (2)&lt;/volume&gt;&lt;dates&gt;&lt;year&gt;2012&lt;/year&gt;&lt;/dates&gt;&lt;urls&gt;&lt;/urls&gt;&lt;/record&gt;&lt;/Cite&gt;&lt;/EndNote&gt;</w:instrText>
      </w:r>
      <w:r>
        <w:fldChar w:fldCharType="separate"/>
      </w:r>
      <w:r>
        <w:rPr>
          <w:noProof/>
        </w:rPr>
        <w:t>Michael J. Boyle, "Progress and Pitfalls in the Study of Political Violence," ibid.24 (2)(2012).</w:t>
      </w:r>
      <w:r>
        <w:fldChar w:fldCharType="end"/>
      </w:r>
    </w:p>
  </w:footnote>
  <w:footnote w:id="11">
    <w:p w14:paraId="153E6CE9" w14:textId="4CCA64F8" w:rsidR="007A04F6" w:rsidRDefault="007A04F6" w:rsidP="00007D71">
      <w:pPr>
        <w:pStyle w:val="FootnoteText"/>
      </w:pPr>
      <w:r>
        <w:rPr>
          <w:rStyle w:val="FootnoteReference"/>
        </w:rPr>
        <w:footnoteRef/>
      </w:r>
      <w:r>
        <w:t xml:space="preserve"> One of the more successful multi-level analyses has looked at radicalisation, yet it tends to analyse different levels separately rather than integrating them, thus making it difficult to adopt a similar framework and maintain depth of analysis. </w:t>
      </w:r>
      <w:r>
        <w:fldChar w:fldCharType="begin"/>
      </w:r>
      <w:r>
        <w:instrText xml:space="preserve"> ADDIN EN.CITE &lt;EndNote&gt;&lt;Cite&gt;&lt;Author&gt;McCauley&lt;/Author&gt;&lt;Year&gt;2008&lt;/Year&gt;&lt;RecNum&gt;123&lt;/RecNum&gt;&lt;DisplayText&gt;Clark McCauley and Sophia Moshalenko, &amp;quot;Mechanisms of Political Radicalization: Pathways toward Terrorism,&amp;quot; ibid.20 (3)(2008).&lt;/DisplayText&gt;&lt;record&gt;&lt;rec-number&gt;123&lt;/rec-number&gt;&lt;foreign-keys&gt;&lt;key app="EN" db-id="s0ftft29jf2psaezx93xwz5s00fwpa9avrwv"&gt;123&lt;/key&gt;&lt;/foreign-keys&gt;&lt;ref-type name="Journal Article"&gt;17&lt;/ref-type&gt;&lt;contributors&gt;&lt;authors&gt;&lt;author&gt;McCauley, Clark&lt;/author&gt;&lt;author&gt;Moshalenko, Sophia&lt;/author&gt;&lt;/authors&gt;&lt;/contributors&gt;&lt;titles&gt;&lt;title&gt;Mechanisms of Political Radicalization: Pathways Toward Terrorism&lt;/title&gt;&lt;secondary-title&gt;Terrorism and Political Violence&lt;/secondary-title&gt;&lt;/titles&gt;&lt;periodical&gt;&lt;full-title&gt;Terrorism and Political Violence&lt;/full-title&gt;&lt;/periodical&gt;&lt;pages&gt;pp. 415-433&lt;/pages&gt;&lt;volume&gt;20 (3)&lt;/volume&gt;&lt;dates&gt;&lt;year&gt;2008&lt;/year&gt;&lt;/dates&gt;&lt;urls&gt;&lt;/urls&gt;&lt;/record&gt;&lt;/Cite&gt;&lt;/EndNote&gt;</w:instrText>
      </w:r>
      <w:r>
        <w:fldChar w:fldCharType="separate"/>
      </w:r>
      <w:r>
        <w:rPr>
          <w:noProof/>
        </w:rPr>
        <w:t>Clark McCauley and Sophia Moshalenko, "Mechanisms of Political Radicalization: Pathways toward Terrorism," ibid.20 (3)(2008).</w:t>
      </w:r>
      <w:r>
        <w:fldChar w:fldCharType="end"/>
      </w:r>
    </w:p>
  </w:footnote>
  <w:footnote w:id="12">
    <w:p w14:paraId="16E4DCAC" w14:textId="174175B5"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p>
  </w:footnote>
  <w:footnote w:id="13">
    <w:p w14:paraId="64F26489" w14:textId="5FD70B7E"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14">
    <w:p w14:paraId="4207C27F" w14:textId="234F5BC6"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&lt;EndNote&gt;&lt;Cite&gt;&lt;Author&gt;Bjorgo&lt;/Author&gt;&lt;Year&gt;2009&lt;/Year&gt;&lt;RecNum&gt;35&lt;/RecNum&gt;&lt;DisplayText&gt;Tore Bjorgo and John Horgan, eds., &lt;style face="italic"&gt;Leaving Terrorism Behind: Individual and Collective Disengagement&lt;/style&gt; (Oxon: Routledge, 2009).&lt;/DisplayText&gt;&lt;record&gt;&lt;rec-number&gt;35&lt;/rec-number&gt;&lt;foreign-keys&gt;&lt;key app="EN" db-id="s0ftft29jf2psaezx93xwz5s00fwpa9avrwv"&gt;35&lt;/key&gt;&lt;/foreign-keys&gt;&lt;ref-type name="Edited Book"&gt;28&lt;/ref-type&gt;&lt;contributors&gt;&lt;authors&gt;&lt;author&gt;Bjorgo, Tore&lt;/author&gt;&lt;author&gt;Horgan, John&lt;/author&gt;&lt;/authors&gt;&lt;/contributors&gt;&lt;titles&gt;&lt;title&gt;Leaving Terrorism Behind: individual and collective disengagement&lt;/title&gt;&lt;/titles&gt;&lt;dates&gt;&lt;year&gt;2009&lt;/year&gt;&lt;/dates&gt;&lt;pub-location&gt;Oxon&lt;/pub-location&gt;&lt;publisher&gt;Routledge&lt;/publisher&gt;&lt;urls&gt;&lt;/urls&gt;&lt;/record&gt;&lt;/Cite&gt;&lt;/EndNote&gt;</w:instrText>
      </w:r>
      <w:r>
        <w:fldChar w:fldCharType="separate"/>
      </w:r>
      <w:r>
        <w:rPr>
          <w:noProof/>
        </w:rPr>
        <w:t xml:space="preserve">Tore Bjorgo and John Horgan, eds., </w:t>
      </w:r>
      <w:r w:rsidRPr="003D17E7">
        <w:rPr>
          <w:i/>
          <w:noProof/>
        </w:rPr>
        <w:t>Leaving Terrorism Behind: Individual and Collective Disengagement</w:t>
      </w:r>
      <w:r>
        <w:rPr>
          <w:noProof/>
        </w:rPr>
        <w:t xml:space="preserve"> (Oxon: Routledge, 2009).</w:t>
      </w:r>
      <w:r>
        <w:fldChar w:fldCharType="end"/>
      </w:r>
    </w:p>
  </w:footnote>
  <w:footnote w:id="15">
    <w:p w14:paraId="3EBD5D1A" w14:textId="5C67CEA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&lt;EndNote&gt;&lt;Cite&gt;&lt;Author&gt;Bjorgo&lt;/Author&gt;&lt;Year&gt;2009&lt;/Year&gt;&lt;RecNum&gt;35&lt;/RecNum&gt;&lt;DisplayText&gt;Ibid.&lt;/DisplayText&gt;&lt;record&gt;&lt;rec-number&gt;35&lt;/rec-number&gt;&lt;foreign-keys&gt;&lt;key app="EN" db-id="s0ftft29jf2psaezx93xwz5s00fwpa9avrwv"&gt;35&lt;/key&gt;&lt;/foreign-keys&gt;&lt;ref-type name="Edited Book"&gt;28&lt;/ref-type&gt;&lt;contributors&gt;&lt;authors&gt;&lt;author&gt;Bjorgo, Tore&lt;/author&gt;&lt;author&gt;Horgan, John&lt;/author&gt;&lt;/authors&gt;&lt;/contributors&gt;&lt;titles&gt;&lt;title&gt;Leaving Terrorism Behind: individual and collective disengagement&lt;/title&gt;&lt;/titles&gt;&lt;dates&gt;&lt;year&gt;2009&lt;/year&gt;&lt;/dates&gt;&lt;pub-location&gt;Oxon&lt;/pub-location&gt;&lt;publisher&gt;Routledge&lt;/publisher&gt;&lt;urls&gt;&lt;/urls&gt;&lt;/record&gt;&lt;/Cite&gt;&lt;/EndNote&gt;</w:instrText>
      </w:r>
      <w:r>
        <w:fldChar w:fldCharType="separate"/>
      </w:r>
      <w:r>
        <w:rPr>
          <w:noProof/>
        </w:rPr>
        <w:t>Ibid.</w:t>
      </w:r>
      <w:r>
        <w:fldChar w:fldCharType="end"/>
      </w:r>
    </w:p>
  </w:footnote>
  <w:footnote w:id="16">
    <w:p w14:paraId="01A9758E" w14:textId="75B4CA6E"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&lt;EndNote&gt;&lt;Cite&gt;&lt;Author&gt;Noricks&lt;/Author&gt;&lt;Year&gt;2009&lt;/Year&gt;&lt;RecNum&gt;130&lt;/RecNum&gt;&lt;DisplayText&gt;Darcy Noricks, &amp;quot;Disengagement and Deradicalization: Processes and Programs,&amp;quot; in &lt;style face="italic"&gt;Social Science for Counter Terrorism : Putting the Pieces Together&lt;/style&gt;, ed. Paul K. Davis, et al. ([New York]: National Defense Research Institute for the Office of the Secretary for Defense, 2009).&lt;/DisplayText&gt;&lt;record&gt;&lt;rec-number&gt;130&lt;/rec-number&gt;&lt;foreign-keys&gt;&lt;key app="EN" db-id="s0ftft29jf2psaezx93xwz5s00fwpa9avrwv"&gt;130&lt;/key&gt;&lt;/foreign-keys&gt;&lt;ref-type name="Book Section"&gt;5&lt;/ref-type&gt;&lt;contributors&gt;&lt;authors&gt;&lt;author&gt;Noricks, Darcy&lt;/author&gt;&lt;/authors&gt;&lt;secondary-authors&gt;&lt;author&gt;Davis,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Defense.,&lt;/author&gt;&lt;/secondary-authors&gt;&lt;/contributors&gt;&lt;titles&gt;&lt;title&gt;Disengagement and Deradicalization: Processes and Programs&lt;/title&gt;&lt;secondary-title&gt;Social science for counter terrorism : putting the pieces together&lt;/secondary-title&gt;&lt;/titles&gt;&lt;dates&gt;&lt;year&gt;2009&lt;/year&gt;&lt;/dates&gt;&lt;pub-location&gt;[New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 xml:space="preserve">Darcy Noricks, "Disengagement and Deradicalization: Processes and Programs," in </w:t>
      </w:r>
      <w:r w:rsidRPr="003D17E7">
        <w:rPr>
          <w:i/>
          <w:noProof/>
        </w:rPr>
        <w:t>Social Science for Counter Terrorism : Putting the Pieces Together</w:t>
      </w:r>
      <w:r>
        <w:rPr>
          <w:noProof/>
        </w:rPr>
        <w:t>, ed. Paul K. Davis, et al. ([New York]: National Defense Research Institute for the Office of the Secretary for Defense, 2009).</w:t>
      </w:r>
      <w:r>
        <w:fldChar w:fldCharType="end"/>
      </w:r>
      <w:r>
        <w:t xml:space="preserve">; </w:t>
      </w:r>
      <w:r>
        <w:fldChar w:fldCharType="begin"/>
      </w:r>
      <w:r>
        <w:instrText xml:space="preserve"> ADDIN EN.CITE &lt;EndNote&gt;&lt;Cite&gt;&lt;Author&gt;Rabasa&lt;/Author&gt;&lt;Year&gt;2010&lt;/Year&gt;&lt;RecNum&gt;141&lt;/RecNum&gt;&lt;DisplayText&gt;Angel Rabasa et al., &amp;quot;Deradicalizing Islamist Extremists,&amp;quot; (Santa Monica: RAND, 2010).&lt;/DisplayText&gt;&lt;record&gt;&lt;rec-number&gt;141&lt;/rec-number&gt;&lt;foreign-keys&gt;&lt;key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Angel Rabasa et al., "Deradicalizing Islamist Extremists," (Santa Monica: RAND, 2010).</w:t>
      </w:r>
      <w:r>
        <w:fldChar w:fldCharType="end"/>
      </w:r>
      <w:r w:rsidRPr="00D24916">
        <w:rPr>
          <w:noProof/>
        </w:rPr>
        <w:t xml:space="preserve"> </w:t>
      </w:r>
      <w:r>
        <w:fldChar w:fldCharType="begin"/>
      </w:r>
      <w:r>
        <w:instrText xml:space="preserve"> ADDIN EN.CITE &lt;EndNote&gt;&lt;Cite&gt;&lt;Author&gt;Bjorgo&lt;/Author&gt;&lt;Year&gt;2009&lt;/Year&gt;&lt;RecNum&gt;35&lt;/RecNum&gt;&lt;DisplayText&gt;Bjorgo and Horgan, &lt;style face="italic"&gt;Leaving Terrorism Behind: Individual and Collective Disengagement&lt;/style&gt;.&lt;/DisplayText&gt;&lt;record&gt;&lt;rec-number&gt;35&lt;/rec-number&gt;&lt;foreign-keys&gt;&lt;key app="EN" db-id="s0ftft29jf2psaezx93xwz5s00fwpa9avrwv"&gt;35&lt;/key&gt;&lt;/foreign-keys&gt;&lt;ref-type name="Edited Book"&gt;28&lt;/ref-type&gt;&lt;contributors&gt;&lt;authors&gt;&lt;author&gt;Bjorgo, Tore&lt;/author&gt;&lt;author&gt;Horgan, John&lt;/author&gt;&lt;/authors&gt;&lt;/contributors&gt;&lt;titles&gt;&lt;title&gt;Leaving Terrorism Behind: individual and collective disengagement&lt;/title&gt;&lt;/titles&gt;&lt;dates&gt;&lt;year&gt;2009&lt;/year&gt;&lt;/dates&gt;&lt;pub-location&gt;Oxon&lt;/pub-location&gt;&lt;publisher&gt;Routledge&lt;/publisher&gt;&lt;urls&gt;&lt;/urls&gt;&lt;/record&gt;&lt;/Cite&gt;&lt;/EndNote&gt;</w:instrText>
      </w:r>
      <w:r>
        <w:fldChar w:fldCharType="separate"/>
      </w:r>
      <w:r>
        <w:rPr>
          <w:noProof/>
        </w:rPr>
        <w:t xml:space="preserve">Bjorgo and Horgan, </w:t>
      </w:r>
      <w:r w:rsidRPr="003D17E7">
        <w:rPr>
          <w:i/>
          <w:noProof/>
        </w:rPr>
        <w:t>Leaving Terrorism Behind: Individual and Collective Disengagement</w:t>
      </w:r>
      <w:r>
        <w:rPr>
          <w:noProof/>
        </w:rPr>
        <w:t>.</w:t>
      </w:r>
      <w:r>
        <w:fldChar w:fldCharType="end"/>
      </w:r>
    </w:p>
  </w:footnote>
  <w:footnote w:id="17">
    <w:p w14:paraId="5D0F8A85" w14:textId="2F246847"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&lt;EndNote&gt;&lt;Cite&gt;&lt;Author&gt;Horgan&lt;/Author&gt;&lt;Year&gt;2008&lt;/Year&gt;&lt;RecNum&gt;86&lt;/RecNum&gt;&lt;DisplayText&gt;John Horgan, &amp;quot;Deradicalization or Disengagement?,&amp;quot; &lt;style face="italic"&gt;Perspectives on Terrorism&lt;/style&gt; 2 (4)(2008).&lt;/DisplayText&gt;&lt;record&gt;&lt;rec-number&gt;86&lt;/rec-number&gt;&lt;foreign-keys&gt;&lt;key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 xml:space="preserve">John Horgan, "Deradicalization or Disengagement?," </w:t>
      </w:r>
      <w:r w:rsidRPr="003D17E7">
        <w:rPr>
          <w:i/>
          <w:noProof/>
        </w:rPr>
        <w:t>Perspectives on Terrorism</w:t>
      </w:r>
      <w:r>
        <w:rPr>
          <w:noProof/>
        </w:rPr>
        <w:t xml:space="preserve"> 2 (4)(2008).</w:t>
      </w:r>
      <w:r>
        <w:fldChar w:fldCharType="end"/>
      </w:r>
    </w:p>
  </w:footnote>
  <w:footnote w:id="18">
    <w:p w14:paraId="38420A87" w14:textId="70127B1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&lt;EndNote&gt;&lt;Cite&gt;&lt;Author&gt;Richardson&lt;/Author&gt;&lt;Year&gt;2006&lt;/Year&gt;&lt;RecNum&gt;144&lt;/RecNum&gt;&lt;DisplayText&gt;Louise Richardson, &lt;style face="italic"&gt;What Terrorists Want: Understanding the Terrorist Threat&lt;/style&gt;  (London: John Murray Publishers, 2006); Peter Waldmann, &amp;quot;The Radical Milieu: The under-Investigated Relationship between Terrorists and Sympathetic Communities,&amp;quot; &lt;style face="italic"&gt;Perspectives on Terrorism&lt;/style&gt; 2 (9)(2008).&lt;/DisplayText&gt;&lt;record&gt;&lt;rec-number&gt;144&lt;/rec-number&gt;&lt;foreign-keys&gt;&lt;key app="EN" db-id="s0ftft29jf2psaezx93xwz5s00fwpa9avrwv"&gt;144&lt;/key&gt;&lt;/foreign-keys&gt;&lt;ref-type name="Book"&gt;6&lt;/ref-type&gt;&lt;contributors&gt;&lt;authors&gt;&lt;author&gt;Richardson, Louise&lt;/author&gt;&lt;/authors&gt;&lt;/contributors&gt;&lt;titles&gt;&lt;title&gt;What Terrorists Want: Understanding the Terrorist Threat&lt;/title&gt;&lt;/titles&gt;&lt;dates&gt;&lt;year&gt;2006&lt;/year&gt;&lt;/dates&gt;&lt;pub-location&gt;London&lt;/pub-location&gt;&lt;publisher&gt;John Murray Publishers&lt;/publisher&gt;&lt;urls&gt;&lt;/urls&gt;&lt;/record&gt;&lt;/Cite&gt;&lt;Cite&gt;&lt;Author&gt;Waldmann&lt;/Author&gt;&lt;Year&gt;2008&lt;/Year&gt;&lt;RecNum&gt;167&lt;/RecNum&gt;&lt;record&gt;&lt;rec-number&gt;167&lt;/rec-number&gt;&lt;foreign-keys&gt;&lt;key app="EN" db-id="s0ftft29jf2psaezx93xwz5s00fwpa9avrwv"&gt;167&lt;/key&gt;&lt;/foreign-keys&gt;&lt;ref-type name="Journal Article"&gt;17&lt;/ref-type&gt;&lt;contributors&gt;&lt;authors&gt;&lt;author&gt;Waldmann, Peter&lt;/author&gt;&lt;/authors&gt;&lt;/contributors&gt;&lt;titles&gt;&lt;title&gt;The Radical Milieu: The Under-Investigated Relationship Between Terrorists and Sympathetic Communities&lt;/title&gt;&lt;secondary-title&gt;Perspectives on Terrorism&lt;/secondary-title&gt;&lt;/titles&gt;&lt;volume&gt;2 (9)&lt;/volume&gt;&lt;dates&gt;&lt;year&gt;2008&lt;/year&gt;&lt;/dates&gt;&lt;urls&gt;&lt;/urls&gt;&lt;/record&gt;&lt;/Cite&gt;&lt;/EndNote&gt;</w:instrText>
      </w:r>
      <w:r>
        <w:fldChar w:fldCharType="separate"/>
      </w:r>
      <w:r>
        <w:rPr>
          <w:noProof/>
        </w:rPr>
        <w:t xml:space="preserve">Louise Richardson, </w:t>
      </w:r>
      <w:r w:rsidRPr="003D17E7">
        <w:rPr>
          <w:i/>
          <w:noProof/>
        </w:rPr>
        <w:t>What Terrorists Want: Understanding the Terrorist Threat</w:t>
      </w:r>
      <w:r>
        <w:rPr>
          <w:noProof/>
        </w:rPr>
        <w:t xml:space="preserve">  (London: John Murray Publishers, 2006); Peter Waldmann, "The Radical Milieu: The under-Investigated Relationship between Terrorists and Sympathetic Communities," </w:t>
      </w:r>
      <w:r w:rsidRPr="003D17E7">
        <w:rPr>
          <w:i/>
          <w:noProof/>
        </w:rPr>
        <w:t>Perspectives on Terrorism</w:t>
      </w:r>
      <w:r>
        <w:rPr>
          <w:noProof/>
        </w:rPr>
        <w:t xml:space="preserve"> 2 (9)(2008).</w:t>
      </w:r>
      <w:r>
        <w:fldChar w:fldCharType="end"/>
      </w:r>
      <w:r w:rsidRPr="00876E47">
        <w:rPr>
          <w:noProof/>
        </w:rPr>
        <w:t xml:space="preserve"> </w:t>
      </w:r>
    </w:p>
  </w:footnote>
  <w:footnote w:id="19">
    <w:p w14:paraId="589AA5CC" w14:textId="7C7B0754"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&lt;EndNote&gt;&lt;Cite&gt;&lt;Author&gt;Horgan&lt;/Author&gt;&lt;Year&gt;2009&lt;/Year&gt;&lt;RecNum&gt;217&lt;/RecNum&gt;&lt;DisplayText&gt;John Horgan, &lt;style face="italic"&gt;Walking Away from Terrorism: Accounts of Disengagement from Radical and Extremist Movements&lt;/style&gt;  (Routledge: London, 2009).&lt;/DisplayText&gt;&lt;record&gt;&lt;rec-number&gt;217&lt;/rec-number&gt;&lt;foreign-keys&gt;&lt;key app="EN" db-id="s0ftft29jf2psaezx93xwz5s00fwpa9avrwv"&gt;217&lt;/key&gt;&lt;/foreign-keys&gt;&lt;ref-type name="Book"&gt;6&lt;/ref-type&gt;&lt;contributors&gt;&lt;authors&gt;&lt;author&gt;Horgan, John&lt;/author&gt;&lt;/authors&gt;&lt;/contributors&gt;&lt;titles&gt;&lt;title&gt;Walking Away from Terrorism: accounts of disengagement from radical and extremist movements&lt;/title&gt;&lt;/titles&gt;&lt;dates&gt;&lt;year&gt;2009&lt;/year&gt;&lt;/dates&gt;&lt;pub-location&gt;Routledge&lt;/pub-location&gt;&lt;publisher&gt;London&lt;/publisher&gt;&lt;urls&gt;&lt;/urls&gt;&lt;/record&gt;&lt;/Cite&gt;&lt;/EndNote&gt;</w:instrText>
      </w:r>
      <w:r>
        <w:fldChar w:fldCharType="separate"/>
      </w:r>
      <w:r>
        <w:rPr>
          <w:noProof/>
        </w:rPr>
        <w:t xml:space="preserve">John Horgan, </w:t>
      </w:r>
      <w:r w:rsidRPr="003D17E7">
        <w:rPr>
          <w:i/>
          <w:noProof/>
        </w:rPr>
        <w:t>Walking Away from Terrorism: Accounts of Disengagement from Radical and Extremist Movements</w:t>
      </w:r>
      <w:r>
        <w:rPr>
          <w:noProof/>
        </w:rPr>
        <w:t xml:space="preserve">  (Routledge: London, 2009).</w:t>
      </w:r>
      <w:r>
        <w:fldChar w:fldCharType="end"/>
      </w:r>
    </w:p>
  </w:footnote>
  <w:footnote w:id="20">
    <w:p w14:paraId="3FD76B43" w14:textId="5BC4A7BF"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&lt;EndNote&gt;&lt;Cite&gt;&lt;Author&gt;Silke&lt;/Author&gt;&lt;Year&gt;2011&lt;/Year&gt;&lt;RecNum&gt;155&lt;/RecNum&gt;&lt;DisplayText&gt;Andrew Silke, &amp;quot;Disengagement or Deradicalization: A Look at Prison Programs for Jailed Terrorists,&amp;quot; &lt;style face="italic"&gt;CTC Sentinel&lt;/style&gt; 4 (1)(2011).&lt;/DisplayText&gt;&lt;record&gt;&lt;rec-number&gt;155&lt;/rec-number&gt;&lt;foreign-keys&gt;&lt;key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 xml:space="preserve">Andrew Silke, "Disengagement or Deradicalization: A Look at Prison Programs for Jailed Terrorists," </w:t>
      </w:r>
      <w:r w:rsidRPr="003D17E7">
        <w:rPr>
          <w:i/>
          <w:noProof/>
        </w:rPr>
        <w:t>CTC Sentinel</w:t>
      </w:r>
      <w:r>
        <w:rPr>
          <w:noProof/>
        </w:rPr>
        <w:t xml:space="preserve"> 4 (1)(2011).</w:t>
      </w:r>
      <w:r>
        <w:fldChar w:fldCharType="end"/>
      </w:r>
    </w:p>
  </w:footnote>
  <w:footnote w:id="21">
    <w:p w14:paraId="463AAF3F" w14:textId="757CA5F5"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22">
    <w:p w14:paraId="5461EFC8" w14:textId="373B56D9"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&lt;EndNote&gt;&lt;Cite&gt;&lt;Author&gt;Fink&lt;/Author&gt;&lt;Year&gt;2008&lt;/Year&gt;&lt;RecNum&gt;65&lt;/RecNum&gt;&lt;DisplayText&gt;Naureen Chowdhury  Fink and Ellie B Hearne, &amp;quot;Beyond Terrorism: Deradicalization and Disengagement from Violent Extremism,&amp;quot; (New York: International Peace Institute, 2008).&lt;/DisplayText&gt;&lt;record&gt;&lt;rec-number&gt;65&lt;/rec-number&gt;&lt;foreign-keys&gt;&lt;key app="EN" db-id="s0ftft29jf2psaezx93xwz5s00fwpa9avrwv"&gt;65&lt;/key&gt;&lt;/foreign-keys&gt;&lt;ref-type name="Report"&gt;27&lt;/ref-type&gt;&lt;contributors&gt;&lt;authors&gt;&lt;author&gt;Fink, Naureen Chowdhury &lt;/author&gt;&lt;author&gt;Hearne, Ellie B&lt;/author&gt;&lt;/authors&gt;&lt;/contributors&gt;&lt;titles&gt;&lt;title&gt;Beyond Terrorism: Deradicalization and Disengagement from Violent Extremism&lt;/title&gt;&lt;/titles&gt;&lt;dates&gt;&lt;year&gt;2008&lt;/year&gt;&lt;/dates&gt;&lt;pub-location&gt;New York&lt;/pub-location&gt;&lt;publisher&gt;International Peace Institute&lt;/publisher&gt;&lt;urls&gt;&lt;/urls&gt;&lt;/record&gt;&lt;/Cite&gt;&lt;/EndNote&gt;</w:instrText>
      </w:r>
      <w:r>
        <w:fldChar w:fldCharType="separate"/>
      </w:r>
      <w:r>
        <w:rPr>
          <w:noProof/>
        </w:rPr>
        <w:t>Naureen Chowdhury  Fink and Ellie B Hearne, "Beyond Terrorism: Deradicalization and Disengagement from Violent Extremism," (New York: International Peace Institute, 2008).</w:t>
      </w:r>
      <w:r>
        <w:fldChar w:fldCharType="end"/>
      </w:r>
    </w:p>
  </w:footnote>
  <w:footnote w:id="23">
    <w:p w14:paraId="4C38BB13" w14:textId="3586F37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24">
    <w:p w14:paraId="376DA590" w14:textId="683A99D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&lt;EndNote&gt;&lt;Cite&gt;&lt;Author&gt;Morris&lt;/Author&gt;&lt;Year&gt;2010&lt;/Year&gt;&lt;RecNum&gt;126&lt;/RecNum&gt;&lt;DisplayText&gt;Madeline Morris et al., &amp;quot;Deradicalization: A Review of the Literature with Comparison to Findings in the Literatures on Deganging and Deprogramming,&amp;quot; (Institute for Homeland Security Solutions, 2010).&lt;/DisplayText&gt;&lt;record&gt;&lt;rec-number&gt;126&lt;/rec-number&gt;&lt;foreign-keys&gt;&lt;key app="EN" db-id="s0ftft29jf2psaezx93xwz5s00fwpa9avrwv"&gt;126&lt;/key&gt;&lt;/foreign-keys&gt;&lt;ref-type name="Report"&gt;27&lt;/ref-type&gt;&lt;contributors&gt;&lt;authors&gt;&lt;author&gt;Morris, Madeline&lt;/author&gt;&lt;author&gt;Eberhad, Frances&lt;/author&gt;&lt;author&gt;Rivera, Jessica&lt;/author&gt;&lt;author&gt;Watsula, Michael&lt;/author&gt;&lt;/authors&gt;&lt;/contributors&gt;&lt;titles&gt;&lt;title&gt;Deradicalization: A Review of the Literature with Comparison to Findings in the Literatures on Deganging and Deprogramming&lt;/title&gt;&lt;/titles&gt;&lt;dates&gt;&lt;year&gt;2010&lt;/year&gt;&lt;/dates&gt;&lt;publisher&gt;Institute for Homeland Security Solutions&lt;/publisher&gt;&lt;urls&gt;&lt;/urls&gt;&lt;/record&gt;&lt;/Cite&gt;&lt;/EndNote&gt;</w:instrText>
      </w:r>
      <w:r>
        <w:fldChar w:fldCharType="separate"/>
      </w:r>
      <w:r>
        <w:rPr>
          <w:noProof/>
        </w:rPr>
        <w:t>Madeline Morris et al., "Deradicalization: A Review of the Literature with Comparison to Findings in the Literatures on Deganging and Deprogramming," (Institute for Homeland Security Solutions, 2010).</w:t>
      </w:r>
      <w:r>
        <w:fldChar w:fldCharType="end"/>
      </w:r>
    </w:p>
  </w:footnote>
  <w:footnote w:id="25">
    <w:p w14:paraId="0475611B" w14:textId="7BD1D156"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&lt;EndNote&gt;&lt;Cite&gt;&lt;Author&gt;Horgan&lt;/Author&gt;&lt;Year&gt;2008&lt;/Year&gt;&lt;RecNum&gt;86&lt;/RecNum&gt;&lt;DisplayText&gt;Horgan, &amp;quot;Deradicalization or Disengagement?.&amp;quot;&lt;/DisplayText&gt;&lt;record&gt;&lt;rec-number&gt;86&lt;/rec-number&gt;&lt;foreign-keys&gt;&lt;key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Horgan, "Deradicalization or Disengagement?."</w:t>
      </w:r>
      <w:r>
        <w:fldChar w:fldCharType="end"/>
      </w:r>
    </w:p>
  </w:footnote>
  <w:footnote w:id="26">
    <w:p w14:paraId="261AE97B" w14:textId="097731AE"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&lt;EndNote&gt;&lt;Cite&gt;&lt;Author&gt;Ashour&lt;/Author&gt;&lt;Year&gt;2009&lt;/Year&gt;&lt;RecNum&gt;27&lt;/RecNum&gt;&lt;DisplayText&gt;Omar Ashour, &lt;style face="italic"&gt;The De-Radicalization of Jihadists: Transforming Armed Islamist Movements&lt;/style&gt;  (London: Routledge, 2009).&lt;/DisplayText&gt;&lt;record&gt;&lt;rec-number&gt;27&lt;/rec-number&gt;&lt;foreign-keys&gt;&lt;key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Omar Ashour, </w:t>
      </w:r>
      <w:r w:rsidRPr="003D17E7">
        <w:rPr>
          <w:i/>
          <w:noProof/>
        </w:rPr>
        <w:t>The De-Radicalization of Jihadists: Transforming Armed Islamist Movements</w:t>
      </w:r>
      <w:r>
        <w:rPr>
          <w:noProof/>
        </w:rPr>
        <w:t xml:space="preserve">  (London: Routledge, 2009).</w:t>
      </w:r>
      <w:r>
        <w:fldChar w:fldCharType="end"/>
      </w:r>
    </w:p>
  </w:footnote>
  <w:footnote w:id="27">
    <w:p w14:paraId="717BCEA6" w14:textId="0C27DAAB"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r>
        <w:t xml:space="preserve">; </w:t>
      </w:r>
      <w:r>
        <w:fldChar w:fldCharType="begin"/>
      </w:r>
      <w:r>
        <w:instrText xml:space="preserve"> ADDIN EN.CITE &lt;EndNote&gt;&lt;Cite&gt;&lt;Author&gt;Horgan&lt;/Author&gt;&lt;Year&gt;2008&lt;/Year&gt;&lt;RecNum&gt;86&lt;/RecNum&gt;&lt;DisplayText&gt;Horgan, &amp;quot;Deradicalization or Disengagement?.&amp;quot;&lt;/DisplayText&gt;&lt;record&gt;&lt;rec-number&gt;86&lt;/rec-number&gt;&lt;foreign-keys&gt;&lt;key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Horgan, "Deradicalization or Disengagement?."</w:t>
      </w:r>
      <w:r>
        <w:fldChar w:fldCharType="end"/>
      </w:r>
    </w:p>
  </w:footnote>
  <w:footnote w:id="28">
    <w:p w14:paraId="35B3B4A2" w14:textId="1011743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&lt;EndNote&gt;&lt;Cite&gt;&lt;Author&gt;Clubb&lt;/Author&gt;&lt;Year&gt;2009&lt;/Year&gt;&lt;RecNum&gt;46&lt;/RecNum&gt;&lt;DisplayText&gt;Gordon Clubb, &amp;quot;Re-Evaluating the Disengagement Process: The Case of Fatah,&amp;quot; ibid.3 (3)(2009).&lt;/DisplayText&gt;&lt;record&gt;&lt;rec-number&gt;46&lt;/rec-number&gt;&lt;foreign-keys&gt;&lt;key app="EN" db-id="s0ftft29jf2psaezx93xwz5s00fwpa9avrwv"&gt;46&lt;/key&gt;&lt;/foreign-keys&gt;&lt;ref-type name="Journal Article"&gt;17&lt;/ref-type&gt;&lt;contributors&gt;&lt;authors&gt;&lt;author&gt;Clubb, Gordon&lt;/author&gt;&lt;/authors&gt;&lt;/contributors&gt;&lt;titles&gt;&lt;title&gt;Re-evaluating the Disengagement Process: the Case of Fatah&lt;/title&gt;&lt;secondary-title&gt;Perspectives on Terrorism&lt;/secondary-title&gt;&lt;/titles&gt;&lt;volume&gt;3 (3)&lt;/volume&gt;&lt;dates&gt;&lt;year&gt;2009&lt;/year&gt;&lt;/dates&gt;&lt;urls&gt;&lt;/urls&gt;&lt;/record&gt;&lt;/Cite&gt;&lt;/EndNote&gt;</w:instrText>
      </w:r>
      <w:r>
        <w:fldChar w:fldCharType="separate"/>
      </w:r>
      <w:r>
        <w:rPr>
          <w:noProof/>
        </w:rPr>
        <w:t>Gordon Clubb, "Re-Evaluating the Disengagement Process: The Case of Fatah," ibid.3 (3)(2009).</w:t>
      </w:r>
      <w:r>
        <w:fldChar w:fldCharType="end"/>
      </w:r>
    </w:p>
  </w:footnote>
  <w:footnote w:id="29">
    <w:p w14:paraId="4A258E48" w14:textId="2A75C174"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30">
    <w:p w14:paraId="23538023" w14:textId="2EDDC841"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&lt;EndNote&gt;&lt;Cite&gt;&lt;Author&gt;Gunaratna&lt;/Author&gt;&lt;Year&gt;2009&lt;/Year&gt;&lt;RecNum&gt;73&lt;/RecNum&gt;&lt;DisplayText&gt;Rohan Gunaratna and Mohamed Bin Ali, &amp;quot;De-Radicalization Initiatives in Egypt: A Preliminary Insight,&amp;quot; &lt;style face="italic"&gt;Studies of Conflict &amp;amp; Terrorism&lt;/style&gt; 32 (4)(2009).&lt;/DisplayText&gt;&lt;record&gt;&lt;rec-number&gt;73&lt;/rec-number&gt;&lt;foreign-keys&gt;&lt;key app="EN" db-id="s0ftft29jf2psaezx93xwz5s00fwpa9avrwv"&gt;73&lt;/key&gt;&lt;/foreign-keys&gt;&lt;ref-type name="Journal Article"&gt;17&lt;/ref-type&gt;&lt;contributors&gt;&lt;authors&gt;&lt;author&gt;Gunaratna, Rohan&lt;/author&gt;&lt;author&gt;Bin Ali, Mohamed&lt;/author&gt;&lt;/authors&gt;&lt;/contributors&gt;&lt;titles&gt;&lt;title&gt;De-Radicalization Initiatives in Egypt: A Preliminary Insight&lt;/title&gt;&lt;secondary-title&gt;Studies of Conflict &amp;amp; Terrorism&lt;/secondary-title&gt;&lt;/titles&gt;&lt;pages&gt;pp. 277-291&lt;/pages&gt;&lt;volume&gt;32 (4)&lt;/volume&gt;&lt;dates&gt;&lt;year&gt;2009&lt;/year&gt;&lt;/dates&gt;&lt;urls&gt;&lt;/urls&gt;&lt;/record&gt;&lt;/Cite&gt;&lt;/EndNote&gt;</w:instrText>
      </w:r>
      <w:r>
        <w:fldChar w:fldCharType="separate"/>
      </w:r>
      <w:r>
        <w:rPr>
          <w:noProof/>
        </w:rPr>
        <w:t xml:space="preserve">Rohan Gunaratna and Mohamed Bin Ali, "De-Radicalization Initiatives in Egypt: A Preliminary Insight," </w:t>
      </w:r>
      <w:r w:rsidRPr="003D17E7">
        <w:rPr>
          <w:i/>
          <w:noProof/>
        </w:rPr>
        <w:t>Studies of Conflict &amp; Terrorism</w:t>
      </w:r>
      <w:r>
        <w:rPr>
          <w:noProof/>
        </w:rPr>
        <w:t xml:space="preserve"> 32 (4)(2009).</w:t>
      </w:r>
      <w:r>
        <w:fldChar w:fldCharType="end"/>
      </w:r>
    </w:p>
  </w:footnote>
  <w:footnote w:id="31">
    <w:p w14:paraId="58845ADA" w14:textId="541A348D"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32">
    <w:p w14:paraId="689E3502" w14:textId="71C03DF6"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33">
    <w:p w14:paraId="18648970" w14:textId="61E0589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&lt;EndNote&gt;&lt;Cite&gt;&lt;Author&gt;Gunaratna&lt;/Author&gt;&lt;Year&gt;2009&lt;/Year&gt;&lt;RecNum&gt;73&lt;/RecNum&gt;&lt;DisplayText&gt;Gunaratna and Bin Ali, &amp;quot;De-Radicalization Initiatives in Egypt: A Preliminary Insight.&amp;quot;&lt;/DisplayText&gt;&lt;record&gt;&lt;rec-number&gt;73&lt;/rec-number&gt;&lt;foreign-keys&gt;&lt;key app="EN" db-id="s0ftft29jf2psaezx93xwz5s00fwpa9avrwv"&gt;73&lt;/key&gt;&lt;/foreign-keys&gt;&lt;ref-type name="Journal Article"&gt;17&lt;/ref-type&gt;&lt;contributors&gt;&lt;authors&gt;&lt;author&gt;Gunaratna, Rohan&lt;/author&gt;&lt;author&gt;Bin Ali, Mohamed&lt;/author&gt;&lt;/authors&gt;&lt;/contributors&gt;&lt;titles&gt;&lt;title&gt;De-Radicalization Initiatives in Egypt: A Preliminary Insight&lt;/title&gt;&lt;secondary-title&gt;Studies of Conflict &amp;amp; Terrorism&lt;/secondary-title&gt;&lt;/titles&gt;&lt;pages&gt;pp. 277-291&lt;/pages&gt;&lt;volume&gt;32 (4)&lt;/volume&gt;&lt;dates&gt;&lt;year&gt;2009&lt;/year&gt;&lt;/dates&gt;&lt;urls&gt;&lt;/urls&gt;&lt;/record&gt;&lt;/Cite&gt;&lt;/EndNote&gt;</w:instrText>
      </w:r>
      <w:r>
        <w:fldChar w:fldCharType="separate"/>
      </w:r>
      <w:r>
        <w:rPr>
          <w:noProof/>
        </w:rPr>
        <w:t>Gunaratna and Bin Ali, "De-Radicalization Initiatives in Egypt: A Preliminary Insight."</w:t>
      </w:r>
      <w:r>
        <w:fldChar w:fldCharType="end"/>
      </w:r>
    </w:p>
  </w:footnote>
  <w:footnote w:id="34">
    <w:p w14:paraId="63F93CE4" w14:textId="049803BA"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&lt;EndNote&gt;&lt;Cite&gt;&lt;Author&gt;Ashour&lt;/Author&gt;&lt;Year&gt;2008&lt;/Year&gt;&lt;RecNum&gt;26&lt;/RecNum&gt;&lt;DisplayText&gt;Omar Ashour, &amp;quot;De-Radicalization of Jihad? The Impact of Egyptian Islamist Revisionists on Al-Qaeda,&amp;quot; &lt;style face="italic"&gt;Perspectives on Terrorism&lt;/style&gt; 2 (5)(2008).&lt;/DisplayText&gt;&lt;record&gt;&lt;rec-number&gt;26&lt;/rec-number&gt;&lt;foreign-keys&gt;&lt;key app="EN" db-id="s0ftft29jf2psaezx93xwz5s00fwpa9avrwv"&gt;26&lt;/key&gt;&lt;/foreign-keys&gt;&lt;ref-type name="Journal Article"&gt;17&lt;/ref-type&gt;&lt;contributors&gt;&lt;authors&gt;&lt;author&gt;Ashour, Omar&lt;/author&gt;&lt;/authors&gt;&lt;/contributors&gt;&lt;titles&gt;&lt;title&gt;De-Radicalization of Jihad? The impact of Egyptian Islamist Revisionists on al-Qaeda&lt;/title&gt;&lt;secondary-title&gt;Perspectives on Terrorism&lt;/secondary-title&gt;&lt;/titles&gt;&lt;pages&gt;pp. 11-14&lt;/pages&gt;&lt;volume&gt;2 (5)&lt;/volume&gt;&lt;dates&gt;&lt;year&gt;2008&lt;/year&gt;&lt;/dates&gt;&lt;urls&gt;&lt;/urls&gt;&lt;/record&gt;&lt;/Cite&gt;&lt;/EndNote&gt;</w:instrText>
      </w:r>
      <w:r>
        <w:fldChar w:fldCharType="separate"/>
      </w:r>
      <w:r>
        <w:rPr>
          <w:noProof/>
        </w:rPr>
        <w:t xml:space="preserve">Omar Ashour, "De-Radicalization of Jihad? The Impact of Egyptian Islamist Revisionists on Al-Qaeda," </w:t>
      </w:r>
      <w:r w:rsidRPr="003D17E7">
        <w:rPr>
          <w:i/>
          <w:noProof/>
        </w:rPr>
        <w:t>Perspectives on Terrorism</w:t>
      </w:r>
      <w:r>
        <w:rPr>
          <w:noProof/>
        </w:rPr>
        <w:t xml:space="preserve"> 2 (5)(2008).</w:t>
      </w:r>
      <w:r>
        <w:fldChar w:fldCharType="end"/>
      </w:r>
    </w:p>
  </w:footnote>
  <w:footnote w:id="35">
    <w:p w14:paraId="6BA1E14D" w14:textId="0482B7BB"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36">
    <w:p w14:paraId="3C4D2515" w14:textId="04E4D0F0"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&lt;EndNote&gt;&lt;Cite&gt;&lt;Author&gt;Rabasa&lt;/Author&gt;&lt;Year&gt;2010&lt;/Year&gt;&lt;RecNum&gt;141&lt;/RecNum&gt;&lt;DisplayText&gt;Ibid.&lt;/DisplayText&gt;&lt;record&gt;&lt;rec-number&gt;141&lt;/rec-number&gt;&lt;foreign-keys&gt;&lt;key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Ibid.</w:t>
      </w:r>
      <w:r>
        <w:fldChar w:fldCharType="end"/>
      </w:r>
    </w:p>
  </w:footnote>
  <w:footnote w:id="37">
    <w:p w14:paraId="769475DC" w14:textId="4EF9D55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&lt;EndNote&gt;&lt;Cite&gt;&lt;Author&gt;Rabasa&lt;/Author&gt;&lt;Year&gt;2010&lt;/Year&gt;&lt;RecNum&gt;141&lt;/RecNum&gt;&lt;DisplayText&gt;Ibid.&lt;/DisplayText&gt;&lt;record&gt;&lt;rec-number&gt;141&lt;/rec-number&gt;&lt;foreign-keys&gt;&lt;key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Ibid.</w:t>
      </w:r>
      <w:r>
        <w:fldChar w:fldCharType="end"/>
      </w:r>
    </w:p>
  </w:footnote>
  <w:footnote w:id="38">
    <w:p w14:paraId="387A73F4" w14:textId="671B7260"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&lt;EndNote&gt;&lt;Cite&gt;&lt;Author&gt;Horgan&lt;/Author&gt;&lt;Year&gt;2008&lt;/Year&gt;&lt;RecNum&gt;86&lt;/RecNum&gt;&lt;DisplayText&gt;Horgan, &amp;quot;Deradicalization or Disengagement?.&amp;quot;&lt;/DisplayText&gt;&lt;record&gt;&lt;rec-number&gt;86&lt;/rec-number&gt;&lt;foreign-keys&gt;&lt;key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Horgan, "Deradicalization or Disengagement?."</w:t>
      </w:r>
      <w:r>
        <w:fldChar w:fldCharType="end"/>
      </w:r>
    </w:p>
  </w:footnote>
  <w:footnote w:id="39">
    <w:p w14:paraId="4CBF3B5F" w14:textId="3673249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&lt;EndNote&gt;&lt;Cite&gt;&lt;Author&gt;Gunaratna&lt;/Author&gt;&lt;Year&gt;2009&lt;/Year&gt;&lt;RecNum&gt;73&lt;/RecNum&gt;&lt;DisplayText&gt;Gunaratna and Bin Ali, &amp;quot;De-Radicalization Initiatives in Egypt: A Preliminary Insight.&amp;quot;&lt;/DisplayText&gt;&lt;record&gt;&lt;rec-number&gt;73&lt;/rec-number&gt;&lt;foreign-keys&gt;&lt;key app="EN" db-id="s0ftft29jf2psaezx93xwz5s00fwpa9avrwv"&gt;73&lt;/key&gt;&lt;/foreign-keys&gt;&lt;ref-type name="Journal Article"&gt;17&lt;/ref-type&gt;&lt;contributors&gt;&lt;authors&gt;&lt;author&gt;Gunaratna, Rohan&lt;/author&gt;&lt;author&gt;Bin Ali, Mohamed&lt;/author&gt;&lt;/authors&gt;&lt;/contributors&gt;&lt;titles&gt;&lt;title&gt;De-Radicalization Initiatives in Egypt: A Preliminary Insight&lt;/title&gt;&lt;secondary-title&gt;Studies of Conflict &amp;amp; Terrorism&lt;/secondary-title&gt;&lt;/titles&gt;&lt;pages&gt;pp. 277-291&lt;/pages&gt;&lt;volume&gt;32 (4)&lt;/volume&gt;&lt;dates&gt;&lt;year&gt;2009&lt;/year&gt;&lt;/dates&gt;&lt;urls&gt;&lt;/urls&gt;&lt;/record&gt;&lt;/Cite&gt;&lt;/EndNote&gt;</w:instrText>
      </w:r>
      <w:r>
        <w:fldChar w:fldCharType="separate"/>
      </w:r>
      <w:r>
        <w:rPr>
          <w:noProof/>
        </w:rPr>
        <w:t>Gunaratna and Bin Ali, "De-Radicalization Initiatives in Egypt: A Preliminary Insight."</w:t>
      </w:r>
      <w:r>
        <w:fldChar w:fldCharType="end"/>
      </w:r>
    </w:p>
  </w:footnote>
  <w:footnote w:id="40">
    <w:p w14:paraId="5F557C48" w14:textId="43999C7F"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&lt;EndNote&gt;&lt;Cite&gt;&lt;Author&gt;Clubb&lt;/Author&gt;&lt;Year&gt;2009&lt;/Year&gt;&lt;RecNum&gt;46&lt;/RecNum&gt;&lt;DisplayText&gt;Clubb, &amp;quot;Re-Evaluating the Disengagement Process: The Case of Fatah.&amp;quot;&lt;/DisplayText&gt;&lt;record&gt;&lt;rec-number&gt;46&lt;/rec-number&gt;&lt;foreign-keys&gt;&lt;key app="EN" db-id="s0ftft29jf2psaezx93xwz5s00fwpa9avrwv"&gt;46&lt;/key&gt;&lt;/foreign-keys&gt;&lt;ref-type name="Journal Article"&gt;17&lt;/ref-type&gt;&lt;contributors&gt;&lt;authors&gt;&lt;author&gt;Clubb, Gordon&lt;/author&gt;&lt;/authors&gt;&lt;/contributors&gt;&lt;titles&gt;&lt;title&gt;Re-evaluating the Disengagement Process: the Case of Fatah&lt;/title&gt;&lt;secondary-title&gt;Perspectives on Terrorism&lt;/secondary-title&gt;&lt;/titles&gt;&lt;volume&gt;3 (3)&lt;/volume&gt;&lt;dates&gt;&lt;year&gt;2009&lt;/year&gt;&lt;/dates&gt;&lt;urls&gt;&lt;/urls&gt;&lt;/record&gt;&lt;/Cite&gt;&lt;/EndNote&gt;</w:instrText>
      </w:r>
      <w:r>
        <w:fldChar w:fldCharType="separate"/>
      </w:r>
      <w:r>
        <w:rPr>
          <w:noProof/>
        </w:rPr>
        <w:t>Clubb, "Re-Evaluating the Disengagement Process: The Case of Fatah."</w:t>
      </w:r>
      <w:r>
        <w:fldChar w:fldCharType="end"/>
      </w:r>
    </w:p>
  </w:footnote>
  <w:footnote w:id="41">
    <w:p w14:paraId="6D8DCF03" w14:textId="0602E146"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&lt;EndNote&gt;&lt;Cite&gt;&lt;Author&gt;Horgan&lt;/Author&gt;&lt;Year&gt;2010&lt;/Year&gt;&lt;RecNum&gt;87&lt;/RecNum&gt;&lt;DisplayText&gt;John Horgan and Kurt Braddock, &amp;quot;Rehabilitating the Terrorists?: Challenges in Assessing the Effectiveness of De-Radicalization Programs,&amp;quot; &lt;style face="italic"&gt;Terrorism and Political Violence&lt;/style&gt; 22 (2)(2010).&lt;/DisplayText&gt;&lt;record&gt;&lt;rec-number&gt;87&lt;/rec-number&gt;&lt;foreign-keys&gt;&lt;key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 xml:space="preserve">John Horgan and Kurt Braddock, "Rehabilitating the Terrorists?: Challenges in Assessing the Effectiveness of De-Radicalization Programs," </w:t>
      </w:r>
      <w:r w:rsidRPr="003D17E7">
        <w:rPr>
          <w:i/>
          <w:noProof/>
        </w:rPr>
        <w:t>Terrorism and Political Violence</w:t>
      </w:r>
      <w:r>
        <w:rPr>
          <w:noProof/>
        </w:rPr>
        <w:t xml:space="preserve"> 22 (2)(2010).</w:t>
      </w:r>
      <w:r>
        <w:fldChar w:fldCharType="end"/>
      </w:r>
    </w:p>
  </w:footnote>
  <w:footnote w:id="42">
    <w:p w14:paraId="744BA5C4" w14:textId="3F70A35C" w:rsidR="007A04F6" w:rsidRDefault="007A04F6" w:rsidP="00007D71">
      <w:pPr>
        <w:pStyle w:val="FootnoteText"/>
      </w:pPr>
      <w:r>
        <w:rPr>
          <w:rStyle w:val="FootnoteReference"/>
        </w:rPr>
        <w:footnoteRef/>
      </w:r>
      <w:r>
        <w:fldChar w:fldCharType="begin"/>
      </w:r>
      <w:r>
        <w:instrText xml:space="preserve"> ADDIN EN.CITE &lt;EndNote&gt;&lt;Cite&gt;&lt;Author&gt;Boucek&lt;/Author&gt;&lt;Year&gt;2008&lt;/Year&gt;&lt;RecNum&gt;276&lt;/RecNum&gt;&lt;DisplayText&gt;Christopher Boucek, &amp;quot;Saudi Arabia&amp;apos;s &amp;apos;Soft&amp;apos; Counterterrorism Strategy: Prevention, Rehabilitation, and Aftercare,&amp;quot; (Washington: Carnegie Endowment for International Peace, 2008).&lt;/DisplayText&gt;&lt;record&gt;&lt;rec-number&gt;276&lt;/rec-number&gt;&lt;foreign-keys&gt;&lt;key app="EN" db-id="s0ftft29jf2psaezx93xwz5s00fwpa9avrwv"&gt;276&lt;/key&gt;&lt;/foreign-keys&gt;&lt;ref-type name="Report"&gt;27&lt;/ref-type&gt;&lt;contributors&gt;&lt;authors&gt;&lt;author&gt;Boucek, Christopher&lt;/author&gt;&lt;/authors&gt;&lt;/contributors&gt;&lt;titles&gt;&lt;title&gt;Saudi Arabia&amp;apos;s &amp;apos;Soft&amp;apos; Counterterrorism Strategy: Prevention, Rehabilitation, and Aftercare&lt;/title&gt;&lt;/titles&gt;&lt;volume&gt;97&lt;/volume&gt;&lt;dates&gt;&lt;year&gt;2008&lt;/year&gt;&lt;/dates&gt;&lt;pub-location&gt;Washington&lt;/pub-location&gt;&lt;publisher&gt;Carnegie Endowment for International Peace&lt;/publisher&gt;&lt;urls&gt;&lt;/urls&gt;&lt;/record&gt;&lt;/Cite&gt;&lt;/EndNote&gt;</w:instrText>
      </w:r>
      <w:r>
        <w:fldChar w:fldCharType="separate"/>
      </w:r>
      <w:r>
        <w:rPr>
          <w:noProof/>
        </w:rPr>
        <w:t>Christopher Boucek, "Saudi Arabia's 'Soft' Counterterrorism Strategy: Prevention, Rehabilitation, and Aftercare," (Washington: Carnegie Endowment for International Peace, 2008).</w:t>
      </w:r>
      <w:r>
        <w:fldChar w:fldCharType="end"/>
      </w:r>
      <w:r>
        <w:t xml:space="preserve"> </w:t>
      </w:r>
      <w:r>
        <w:fldChar w:fldCharType="begin"/>
      </w:r>
      <w:r>
        <w:instrText xml:space="preserve"> ADDIN EN.CITE &lt;EndNote&gt;&lt;Cite&gt;&lt;Author&gt;Horgan&lt;/Author&gt;&lt;Year&gt;2010&lt;/Year&gt;&lt;RecNum&gt;87&lt;/RecNum&gt;&lt;DisplayText&gt;Horgan and Braddock, &amp;quot;Rehabilitating the Terrorists?: Challenges in Assessing the Effectiveness of De-Radicalization Programs.&amp;quot;&lt;/DisplayText&gt;&lt;record&gt;&lt;rec-number&gt;87&lt;/rec-number&gt;&lt;foreign-keys&gt;&lt;key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Horgan and Braddock, "Rehabilitating the Terrorists?: Challenges in Assessing the Effectiveness of De-Radicalization Programs."</w:t>
      </w:r>
      <w:r>
        <w:fldChar w:fldCharType="end"/>
      </w:r>
    </w:p>
  </w:footnote>
  <w:footnote w:id="43">
    <w:p w14:paraId="15233DD3" w14:textId="38D1FDC1"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&lt;EndNote&gt;&lt;Cite&gt;&lt;Author&gt;Horgan&lt;/Author&gt;&lt;Year&gt;2010&lt;/Year&gt;&lt;RecNum&gt;87&lt;/RecNum&gt;&lt;DisplayText&gt;&amp;quot;Rehabilitating the Terrorists?: Challenges in Assessing the Effectiveness of De-Radicalization Programs.&amp;quot;&lt;/DisplayText&gt;&lt;record&gt;&lt;rec-number&gt;87&lt;/rec-number&gt;&lt;foreign-keys&gt;&lt;key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"Rehabilitating the Terrorists?: Challenges in Assessing the Effectiveness of De-Radicalization Programs."</w:t>
      </w:r>
      <w:r>
        <w:fldChar w:fldCharType="end"/>
      </w:r>
    </w:p>
  </w:footnote>
  <w:footnote w:id="44">
    <w:p w14:paraId="0407979B" w14:textId="1D19F1EF"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&lt;EndNote&gt;&lt;Cite&gt;&lt;Author&gt;Horgan&lt;/Author&gt;&lt;Year&gt;2010&lt;/Year&gt;&lt;RecNum&gt;87&lt;/RecNum&gt;&lt;DisplayText&gt;Ibid.&lt;/DisplayText&gt;&lt;record&gt;&lt;rec-number&gt;87&lt;/rec-number&gt;&lt;foreign-keys&gt;&lt;key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Ibid.</w:t>
      </w:r>
      <w:r>
        <w:fldChar w:fldCharType="end"/>
      </w:r>
    </w:p>
  </w:footnote>
  <w:footnote w:id="45">
    <w:p w14:paraId="324FC184" w14:textId="35D3AEE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r>
        <w:t xml:space="preserve"> </w:t>
      </w:r>
      <w:r>
        <w:fldChar w:fldCharType="begin"/>
      </w:r>
      <w:r>
        <w:instrText xml:space="preserve"> ADDIN EN.CITE &lt;EndNote&gt;&lt;Cite&gt;&lt;Author&gt;Horgan&lt;/Author&gt;&lt;Year&gt;2010&lt;/Year&gt;&lt;RecNum&gt;87&lt;/RecNum&gt;&lt;DisplayText&gt;Horgan and Braddock, &amp;quot;Rehabilitating the Terrorists?: Challenges in Assessing the Effectiveness of De-Radicalization Programs.&amp;quot;&lt;/DisplayText&gt;&lt;record&gt;&lt;rec-number&gt;87&lt;/rec-number&gt;&lt;foreign-keys&gt;&lt;key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Horgan and Braddock, "Rehabilitating the Terrorists?: Challenges in Assessing the Effectiveness of De-Radicalization Programs."</w:t>
      </w:r>
      <w:r>
        <w:fldChar w:fldCharType="end"/>
      </w:r>
    </w:p>
  </w:footnote>
  <w:footnote w:id="46">
    <w:p w14:paraId="38BFC53D" w14:textId="7FB1275D" w:rsidR="007A04F6" w:rsidRDefault="007A04F6" w:rsidP="00007D71">
      <w:pPr>
        <w:pStyle w:val="FootnoteText"/>
      </w:pPr>
      <w:r>
        <w:rPr>
          <w:rStyle w:val="FootnoteReference"/>
        </w:rPr>
        <w:footnoteRef/>
      </w:r>
      <w:r>
        <w:t xml:space="preserve"> </w:t>
      </w:r>
      <w:r w:rsidRPr="007D371C">
        <w:t xml:space="preserve">John Horgan and Max Taylor, 2011, cited in </w:t>
      </w:r>
      <w:r w:rsidRPr="007D371C">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rsidRPr="007D371C">
        <w:fldChar w:fldCharType="separate"/>
      </w:r>
      <w:r>
        <w:rPr>
          <w:noProof/>
        </w:rPr>
        <w:t>Schmid, "Radicalisation, De-Radicalisation, Counter-Radicalisation: A Conceptual Discussion and Literature Review."</w:t>
      </w:r>
      <w:r w:rsidRPr="007D371C">
        <w:fldChar w:fldCharType="end"/>
      </w:r>
      <w:r>
        <w:t>. pp. 49</w:t>
      </w:r>
    </w:p>
  </w:footnote>
  <w:footnote w:id="47">
    <w:p w14:paraId="2FFE784C" w14:textId="27D5E6B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&lt;EndNote&gt;&lt;Cite&gt;&lt;Author&gt;Beaumont&lt;/Author&gt;&lt;Year&gt;18th January 2014&lt;/Year&gt;&lt;RecNum&gt;267&lt;/RecNum&gt;&lt;DisplayText&gt;Peter Beaumont, &amp;quot;&amp;apos;Living Suicide Bomb&amp;apos; Rejoins Al-Qaida after Saudi Deprogramming,&amp;quot; &lt;style face="italic"&gt;The Observer&lt;/style&gt; 18th January 2014.&lt;/DisplayText&gt;&lt;record&gt;&lt;rec-number&gt;267&lt;/rec-number&gt;&lt;foreign-keys&gt;&lt;key app="EN" db-id="s0ftft29jf2psaezx93xwz5s00fwpa9avrwv"&gt;267&lt;/key&gt;&lt;/foreign-keys&gt;&lt;ref-type name="Newspaper Article"&gt;23&lt;/ref-type&gt;&lt;contributors&gt;&lt;authors&gt;&lt;author&gt;Beaumont, Peter&lt;/author&gt;&lt;/authors&gt;&lt;/contributors&gt;&lt;titles&gt;&lt;title&gt;&amp;apos;Living suicide bomb&amp;apos; rejoins al-Qaida after Saudi deprogramming&lt;/title&gt;&lt;secondary-title&gt;The Observer&lt;/secondary-title&gt;&lt;/titles&gt;&lt;dates&gt;&lt;year&gt;18th January 2014&lt;/year&gt;&lt;/dates&gt;&lt;pub-location&gt;Manchester&lt;/pub-location&gt;&lt;urls&gt;&lt;/urls&gt;&lt;/record&gt;&lt;/Cite&gt;&lt;/EndNote&gt;</w:instrText>
      </w:r>
      <w:r>
        <w:fldChar w:fldCharType="separate"/>
      </w:r>
      <w:r>
        <w:rPr>
          <w:noProof/>
        </w:rPr>
        <w:t xml:space="preserve">Peter Beaumont, "'Living Suicide Bomb' Rejoins Al-Qaida after Saudi Deprogramming," </w:t>
      </w:r>
      <w:r w:rsidRPr="003D17E7">
        <w:rPr>
          <w:i/>
          <w:noProof/>
        </w:rPr>
        <w:t>The Observer</w:t>
      </w:r>
      <w:r>
        <w:rPr>
          <w:noProof/>
        </w:rPr>
        <w:t xml:space="preserve"> 18th January 2014.</w:t>
      </w:r>
      <w:r>
        <w:fldChar w:fldCharType="end"/>
      </w:r>
    </w:p>
  </w:footnote>
  <w:footnote w:id="48">
    <w:p w14:paraId="5059CBDB" w14:textId="7A0B1247"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&lt;EndNote&gt;&lt;Cite&gt;&lt;Author&gt;Horgan&lt;/Author&gt;&lt;Year&gt;2010&lt;/Year&gt;&lt;RecNum&gt;225&lt;/RecNum&gt;&lt;DisplayText&gt;John  Horgan and Mary Beth Altier, &amp;quot;The Future of Terrorist De-Radicalization Programs,&amp;quot; &lt;style face="italic"&gt;Georgetown Journal of International Affairs&lt;/style&gt; 13(2010).&lt;/DisplayText&gt;&lt;record&gt;&lt;rec-number&gt;225&lt;/rec-number&gt;&lt;foreign-keys&gt;&lt;key app="EN" db-id="s0ftft29jf2psaezx93xwz5s00fwpa9avrwv"&gt;225&lt;/key&gt;&lt;/foreign-keys&gt;&lt;ref-type name="Journal Article"&gt;17&lt;/ref-type&gt;&lt;contributors&gt;&lt;authors&gt;&lt;author&gt;Horgan, John &lt;/author&gt;&lt;author&gt;Altier, Mary Beth&lt;/author&gt;&lt;/authors&gt;&lt;/contributors&gt;&lt;titles&gt;&lt;title&gt;The Future of Terrorist De-Radicalization Programs&lt;/title&gt;&lt;secondary-title&gt;Georgetown Journal of International Affairs&lt;/secondary-title&gt;&lt;/titles&gt;&lt;pages&gt;pp. 83&lt;/pages&gt;&lt;volume&gt;13&lt;/volume&gt;&lt;dates&gt;&lt;year&gt;2010&lt;/year&gt;&lt;/dates&gt;&lt;urls&gt;&lt;/urls&gt;&lt;/record&gt;&lt;/Cite&gt;&lt;/EndNote&gt;</w:instrText>
      </w:r>
      <w:r>
        <w:fldChar w:fldCharType="separate"/>
      </w:r>
      <w:r>
        <w:rPr>
          <w:noProof/>
        </w:rPr>
        <w:t xml:space="preserve">John  Horgan and Mary Beth Altier, "The Future of Terrorist De-Radicalization Programs," </w:t>
      </w:r>
      <w:r w:rsidRPr="003D17E7">
        <w:rPr>
          <w:i/>
          <w:noProof/>
        </w:rPr>
        <w:t>Georgetown Journal of International Affairs</w:t>
      </w:r>
      <w:r>
        <w:rPr>
          <w:noProof/>
        </w:rPr>
        <w:t xml:space="preserve"> 13(2010).</w:t>
      </w:r>
      <w:r>
        <w:fldChar w:fldCharType="end"/>
      </w:r>
    </w:p>
  </w:footnote>
  <w:footnote w:id="49">
    <w:p w14:paraId="1FEE7F01" w14:textId="0AABC907"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50">
    <w:p w14:paraId="1B8B192A" w14:textId="3BCC223F"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&lt;EndNote&gt;&lt;Cite&gt;&lt;Author&gt;Horgan&lt;/Author&gt;&lt;Year&gt;2010&lt;/Year&gt;&lt;RecNum&gt;87&lt;/RecNum&gt;&lt;DisplayText&gt;Horgan and Braddock, &amp;quot;Rehabilitating the Terrorists?: Challenges in Assessing the Effectiveness of De-Radicalization Programs.&amp;quot;&lt;/DisplayText&gt;&lt;record&gt;&lt;rec-number&gt;87&lt;/rec-number&gt;&lt;foreign-keys&gt;&lt;key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Horgan and Braddock, "Rehabilitating the Terrorists?: Challenges in Assessing the Effectiveness of De-Radicalization Programs."</w:t>
      </w:r>
      <w:r>
        <w:fldChar w:fldCharType="end"/>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w:t>
      </w:r>
    </w:p>
  </w:footnote>
  <w:footnote w:id="51">
    <w:p w14:paraId="425124E4" w14:textId="72955F47"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&lt;EndNote&gt;&lt;Cite&gt;&lt;Author&gt;Silke&lt;/Author&gt;&lt;Year&gt;1999&lt;/Year&gt;&lt;RecNum&gt;277&lt;/RecNum&gt;&lt;DisplayText&gt;Andrew Silke, &amp;quot;Rebel&amp;apos;s Dilemma: The Changing Relationship between the Ira, Sinn Fein and Paramilitary Vigilantism in Northern Ireland,&amp;quot; &lt;style face="italic"&gt;Terrorism and Political Violence&lt;/style&gt; 11 (1) (1999).&lt;/DisplayText&gt;&lt;record&gt;&lt;rec-number&gt;277&lt;/rec-number&gt;&lt;foreign-keys&gt;&lt;key app="EN" db-id="s0ftft29jf2psaezx93xwz5s00fwpa9avrwv"&gt;277&lt;/key&gt;&lt;/foreign-keys&gt;&lt;ref-type name="Journal Article"&gt;17&lt;/ref-type&gt;&lt;contributors&gt;&lt;authors&gt;&lt;author&gt;Silke, Andrew&lt;/author&gt;&lt;/authors&gt;&lt;/contributors&gt;&lt;titles&gt;&lt;title&gt;Rebel&amp;apos;s Dilemma: The Changing Relationship Between the IRA, Sinn Fein and Paramilitary Vigilantism in Northern Ireland&lt;/title&gt;&lt;secondary-title&gt;Terrorism and Political Violence&lt;/secondary-title&gt;&lt;/titles&gt;&lt;periodical&gt;&lt;full-title&gt;Terrorism and Political Violence&lt;/full-title&gt;&lt;/periodical&gt;&lt;pages&gt;pp. 55-93&lt;/pages&gt;&lt;volume&gt;11 (1) &lt;/volume&gt;&lt;dates&gt;&lt;year&gt;1999&lt;/year&gt;&lt;/dates&gt;&lt;urls&gt;&lt;/urls&gt;&lt;/record&gt;&lt;/Cite&gt;&lt;/EndNote&gt;</w:instrText>
      </w:r>
      <w:r>
        <w:fldChar w:fldCharType="separate"/>
      </w:r>
      <w:r>
        <w:rPr>
          <w:noProof/>
        </w:rPr>
        <w:t xml:space="preserve">Andrew Silke, "Rebel's Dilemma: The Changing Relationship between the Ira, Sinn Fein and Paramilitary Vigilantism in Northern Ireland," </w:t>
      </w:r>
      <w:r w:rsidRPr="003D17E7">
        <w:rPr>
          <w:i/>
          <w:noProof/>
        </w:rPr>
        <w:t>Terrorism and Political Violence</w:t>
      </w:r>
      <w:r>
        <w:rPr>
          <w:noProof/>
        </w:rPr>
        <w:t xml:space="preserve"> 11 (1) (1999).</w:t>
      </w:r>
      <w:r>
        <w:fldChar w:fldCharType="end"/>
      </w:r>
    </w:p>
  </w:footnote>
  <w:footnote w:id="52">
    <w:p w14:paraId="3E01275B" w14:textId="380801F4"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p>
  </w:footnote>
  <w:footnote w:id="53">
    <w:p w14:paraId="4D4F9072" w14:textId="14FBADD7"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&lt;EndNote&gt;&lt;Cite&gt;&lt;Author&gt;Ross&lt;/Author&gt;&lt;Year&gt;1989&lt;/Year&gt;&lt;RecNum&gt;146&lt;/RecNum&gt;&lt;DisplayText&gt;Jeffrey Ross and Ted R Gurr, &amp;quot;Why Terrorism Subsides: A Comparative Study of Canada and the United States,&amp;quot; &lt;style face="italic"&gt;Comparative Politics&lt;/style&gt; 21 (4)(1989).&lt;/DisplayText&gt;&lt;record&gt;&lt;rec-number&gt;146&lt;/rec-number&gt;&lt;foreign-keys&gt;&lt;key app="EN" db-id="s0ftft29jf2psaezx93xwz5s00fwpa9avrwv"&gt;146&lt;/key&gt;&lt;/foreign-keys&gt;&lt;ref-type name="Journal Article"&gt;17&lt;/ref-type&gt;&lt;contributors&gt;&lt;authors&gt;&lt;author&gt;Ross, Jeffrey&lt;/author&gt;&lt;author&gt;Gurr, Ted R&lt;/author&gt;&lt;/authors&gt;&lt;/contributors&gt;&lt;titles&gt;&lt;title&gt;Why Terrorism Subsides: A Comparative Study of Canada and the United States&lt;/title&gt;&lt;secondary-title&gt;Comparative Politics&lt;/secondary-title&gt;&lt;/titles&gt;&lt;pages&gt;pp. 405-426&lt;/pages&gt;&lt;volume&gt;21 (4)&lt;/volume&gt;&lt;dates&gt;&lt;year&gt;1989&lt;/year&gt;&lt;/dates&gt;&lt;urls&gt;&lt;/urls&gt;&lt;/record&gt;&lt;/Cite&gt;&lt;/EndNote&gt;</w:instrText>
      </w:r>
      <w:r>
        <w:fldChar w:fldCharType="separate"/>
      </w:r>
      <w:r>
        <w:rPr>
          <w:noProof/>
        </w:rPr>
        <w:t xml:space="preserve">Jeffrey Ross and Ted R Gurr, "Why Terrorism Subsides: A Comparative Study of Canada and the United States," </w:t>
      </w:r>
      <w:r w:rsidRPr="003D17E7">
        <w:rPr>
          <w:i/>
          <w:noProof/>
        </w:rPr>
        <w:t>Comparative Politics</w:t>
      </w:r>
      <w:r>
        <w:rPr>
          <w:noProof/>
        </w:rPr>
        <w:t xml:space="preserve"> 21 (4)(1989).</w:t>
      </w:r>
      <w:r>
        <w:fldChar w:fldCharType="end"/>
      </w:r>
      <w:r>
        <w:t xml:space="preserve"> </w:t>
      </w:r>
    </w:p>
  </w:footnote>
  <w:footnote w:id="54">
    <w:p w14:paraId="00653CB6" w14:textId="58AE43D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&lt;EndNote&gt;&lt;Cite&gt;&lt;Author&gt;Transnational Terrorism&lt;/Author&gt;&lt;Year&gt;2008&lt;/Year&gt;&lt;RecNum&gt;164&lt;/RecNum&gt;&lt;DisplayText&gt;Transnational Terrorism, &amp;quot;Concepts of Terrorism: Analysis of the Rise, Decline, Trends and Risk.&amp;quot;&lt;/DisplayText&gt;&lt;record&gt;&lt;rec-number&gt;164&lt;/rec-number&gt;&lt;foreign-keys&gt;&lt;key app="EN" db-id="s0ftft29jf2psaezx93xwz5s00fwpa9avrwv"&gt;164&lt;/key&gt;&lt;/foreign-keys&gt;&lt;ref-type name="Report"&gt;27&lt;/ref-type&gt;&lt;contributors&gt;&lt;authors&gt;&lt;author&gt;Transnational Terrorism, Security &amp;amp; the Rule of Law&lt;/author&gt;&lt;/authors&gt;&lt;/contributors&gt;&lt;titles&gt;&lt;title&gt;Concepts of Terrorism: Analysis of the rise, decline, trends and risk&lt;/title&gt;&lt;/titles&gt;&lt;dates&gt;&lt;year&gt;2008&lt;/year&gt;&lt;/dates&gt;&lt;urls&gt;&lt;/urls&gt;&lt;/record&gt;&lt;/Cite&gt;&lt;/EndNote&gt;</w:instrText>
      </w:r>
      <w:r>
        <w:fldChar w:fldCharType="separate"/>
      </w:r>
      <w:r>
        <w:rPr>
          <w:noProof/>
        </w:rPr>
        <w:t>Transnational Terrorism, "Concepts of Terrorism: Analysis of the Rise, Decline, Trends and Risk."</w:t>
      </w:r>
      <w:r>
        <w:fldChar w:fldCharType="end"/>
      </w:r>
    </w:p>
  </w:footnote>
  <w:footnote w:id="55">
    <w:p w14:paraId="2C89AF18" w14:textId="3D73818A"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&lt;EndNote&gt;&lt;Cite&gt;&lt;Author&gt;Ross&lt;/Author&gt;&lt;Year&gt;1989&lt;/Year&gt;&lt;RecNum&gt;146&lt;/RecNum&gt;&lt;DisplayText&gt;Ross and Gurr, &amp;quot;Why Terrorism Subsides: A Comparative Study of Canada and the United States.&amp;quot;&lt;/DisplayText&gt;&lt;record&gt;&lt;rec-number&gt;146&lt;/rec-number&gt;&lt;foreign-keys&gt;&lt;key app="EN" db-id="s0ftft29jf2psaezx93xwz5s00fwpa9avrwv"&gt;146&lt;/key&gt;&lt;/foreign-keys&gt;&lt;ref-type name="Journal Article"&gt;17&lt;/ref-type&gt;&lt;contributors&gt;&lt;authors&gt;&lt;author&gt;Ross, Jeffrey&lt;/author&gt;&lt;author&gt;Gurr, Ted R&lt;/author&gt;&lt;/authors&gt;&lt;/contributors&gt;&lt;titles&gt;&lt;title&gt;Why Terrorism Subsides: A Comparative Study of Canada and the United States&lt;/title&gt;&lt;secondary-title&gt;Comparative Politics&lt;/secondary-title&gt;&lt;/titles&gt;&lt;pages&gt;pp. 405-426&lt;/pages&gt;&lt;volume&gt;21 (4)&lt;/volume&gt;&lt;dates&gt;&lt;year&gt;1989&lt;/year&gt;&lt;/dates&gt;&lt;urls&gt;&lt;/urls&gt;&lt;/record&gt;&lt;/Cite&gt;&lt;/EndNote&gt;</w:instrText>
      </w:r>
      <w:r>
        <w:fldChar w:fldCharType="separate"/>
      </w:r>
      <w:r>
        <w:rPr>
          <w:noProof/>
        </w:rPr>
        <w:t>Ross and Gurr, "Why Terrorism Subsides: A Comparative Study of Canada and the United States."</w:t>
      </w:r>
      <w:r>
        <w:fldChar w:fldCharType="end"/>
      </w:r>
      <w:r>
        <w:t xml:space="preserve"> pp. 409</w:t>
      </w:r>
    </w:p>
  </w:footnote>
  <w:footnote w:id="56">
    <w:p w14:paraId="46D6B6AF" w14:textId="207A6DD9"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&lt;EndNote&gt;&lt;Cite&gt;&lt;Author&gt;Ross&lt;/Author&gt;&lt;Year&gt;1989&lt;/Year&gt;&lt;RecNum&gt;146&lt;/RecNum&gt;&lt;DisplayText&gt;Ibid.&lt;/DisplayText&gt;&lt;record&gt;&lt;rec-number&gt;146&lt;/rec-number&gt;&lt;foreign-keys&gt;&lt;key app="EN" db-id="s0ftft29jf2psaezx93xwz5s00fwpa9avrwv"&gt;146&lt;/key&gt;&lt;/foreign-keys&gt;&lt;ref-type name="Journal Article"&gt;17&lt;/ref-type&gt;&lt;contributors&gt;&lt;authors&gt;&lt;author&gt;Ross, Jeffrey&lt;/author&gt;&lt;author&gt;Gurr, Ted R&lt;/author&gt;&lt;/authors&gt;&lt;/contributors&gt;&lt;titles&gt;&lt;title&gt;Why Terrorism Subsides: A Comparative Study of Canada and the United States&lt;/title&gt;&lt;secondary-title&gt;Comparative Politics&lt;/secondary-title&gt;&lt;/titles&gt;&lt;pages&gt;pp. 405-426&lt;/pages&gt;&lt;volume&gt;21 (4)&lt;/volume&gt;&lt;dates&gt;&lt;year&gt;1989&lt;/year&gt;&lt;/dates&gt;&lt;urls&gt;&lt;/urls&gt;&lt;/record&gt;&lt;/Cite&gt;&lt;/EndNote&gt;</w:instrText>
      </w:r>
      <w:r>
        <w:fldChar w:fldCharType="separate"/>
      </w:r>
      <w:r>
        <w:rPr>
          <w:noProof/>
        </w:rPr>
        <w:t>Ibid.</w:t>
      </w:r>
      <w:r>
        <w:fldChar w:fldCharType="end"/>
      </w:r>
    </w:p>
  </w:footnote>
  <w:footnote w:id="57">
    <w:p w14:paraId="362B23A1" w14:textId="2A831D31"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&lt;EndNote&gt;&lt;Cite&gt;&lt;Author&gt;Crenshaw&lt;/Author&gt;&lt;Year&gt;1991&lt;/Year&gt;&lt;RecNum&gt;48&lt;/RecNum&gt;&lt;DisplayText&gt;Crenshaw, &amp;quot;How Terrorism Declines.&amp;quot;&lt;/DisplayText&gt;&lt;record&gt;&lt;rec-number&gt;48&lt;/rec-number&gt;&lt;foreign-keys&gt;&lt;key app="EN" db-id="s0ftft29jf2psaezx93xwz5s00fwpa9avrwv"&gt;48&lt;/key&gt;&lt;/foreign-keys&gt;&lt;ref-type name="Journal Article"&gt;17&lt;/ref-type&gt;&lt;contributors&gt;&lt;authors&gt;&lt;author&gt;Crenshaw, Martha&lt;/author&gt;&lt;/authors&gt;&lt;/contributors&gt;&lt;titles&gt;&lt;title&gt;How Terrorism Declines&lt;/title&gt;&lt;secondary-title&gt;Terrorism and Political Violence&lt;/secondary-title&gt;&lt;/titles&gt;&lt;periodical&gt;&lt;full-title&gt;Terrorism and Political Violence&lt;/full-title&gt;&lt;/periodical&gt;&lt;pages&gt;pp. 69-87&lt;/pages&gt;&lt;volume&gt;3 (1)&lt;/volume&gt;&lt;dates&gt;&lt;year&gt;1991&lt;/year&gt;&lt;/dates&gt;&lt;urls&gt;&lt;/urls&gt;&lt;/record&gt;&lt;/Cite&gt;&lt;/EndNote&gt;</w:instrText>
      </w:r>
      <w:r>
        <w:fldChar w:fldCharType="separate"/>
      </w:r>
      <w:r>
        <w:rPr>
          <w:noProof/>
        </w:rPr>
        <w:t>Crenshaw, "How Terrorism Declines."</w:t>
      </w:r>
      <w:r>
        <w:fldChar w:fldCharType="end"/>
      </w:r>
    </w:p>
  </w:footnote>
  <w:footnote w:id="58">
    <w:p w14:paraId="3002A75D" w14:textId="7D8CCF60"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&lt;EndNote&gt;&lt;Cite&gt;&lt;Author&gt;Cronin&lt;/Author&gt;&lt;Year&gt;2009&lt;/Year&gt;&lt;RecNum&gt;207&lt;/RecNum&gt;&lt;DisplayText&gt;Cronin, &lt;style face="italic"&gt;How Terrorism Ends: Understanding the Decline and Demise of Terrorist Campaigns&lt;/style&gt;.&lt;/DisplayText&gt;&lt;record&gt;&lt;rec-number&gt;207&lt;/rec-number&gt;&lt;foreign-keys&gt;&lt;key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Cronin, </w:t>
      </w:r>
      <w:r w:rsidRPr="003D17E7">
        <w:rPr>
          <w:i/>
          <w:noProof/>
        </w:rPr>
        <w:t>How Terrorism Ends: Understanding the Decline and Demise of Terrorist Campaigns</w:t>
      </w:r>
      <w:r>
        <w:rPr>
          <w:noProof/>
        </w:rPr>
        <w:t>.</w:t>
      </w:r>
      <w:r>
        <w:fldChar w:fldCharType="end"/>
      </w:r>
    </w:p>
  </w:footnote>
  <w:footnote w:id="59">
    <w:p w14:paraId="70DB6663" w14:textId="2C2A325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60">
    <w:p w14:paraId="2BF3C85F" w14:textId="18B369DF"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&lt;EndNote&gt;&lt;Cite&gt;&lt;Author&gt;Jones&lt;/Author&gt;&lt;Year&gt;2008&lt;/Year&gt;&lt;RecNum&gt;92&lt;/RecNum&gt;&lt;DisplayText&gt;Jones and Libicki, &lt;style face="italic"&gt;How Terrorist Groups End : Lessons for Countering Al Qa&amp;apos;ida&lt;/style&gt;.&lt;/DisplayText&gt;&lt;record&gt;&lt;rec-number&gt;92&lt;/rec-number&gt;&lt;foreign-keys&gt;&lt;key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Jones and Libicki, </w:t>
      </w:r>
      <w:r w:rsidRPr="003D17E7">
        <w:rPr>
          <w:i/>
          <w:noProof/>
        </w:rPr>
        <w:t>How Terrorist Groups End : Lessons for Countering Al Qa'ida</w:t>
      </w:r>
      <w:r>
        <w:rPr>
          <w:noProof/>
        </w:rPr>
        <w:t>.</w:t>
      </w:r>
      <w:r>
        <w:fldChar w:fldCharType="end"/>
      </w:r>
    </w:p>
  </w:footnote>
  <w:footnote w:id="61">
    <w:p w14:paraId="425AA746" w14:textId="7E3C065C"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&lt;EndNote&gt;&lt;Cite&gt;&lt;Author&gt;Weinberg&lt;/Author&gt;&lt;Year&gt;2010&lt;/Year&gt;&lt;RecNum&gt;169&lt;/RecNum&gt;&lt;DisplayText&gt;Weinberg and Perliger, &amp;quot;How Terrorist Groups End.&amp;quot;&lt;/DisplayText&gt;&lt;record&gt;&lt;rec-number&gt;169&lt;/rec-number&gt;&lt;foreign-keys&gt;&lt;key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fldChar w:fldCharType="separate"/>
      </w:r>
      <w:r>
        <w:rPr>
          <w:noProof/>
        </w:rPr>
        <w:t>Weinberg and Perliger, "How Terrorist Groups End."</w:t>
      </w:r>
      <w:r>
        <w:fldChar w:fldCharType="end"/>
      </w:r>
    </w:p>
  </w:footnote>
  <w:footnote w:id="62">
    <w:p w14:paraId="2ACFFC33" w14:textId="7FDA54A8"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&lt;EndNote&gt;&lt;Cite&gt;&lt;Author&gt;Cronin&lt;/Author&gt;&lt;Year&gt;2010&lt;/Year&gt;&lt;RecNum&gt;52&lt;/RecNum&gt;&lt;DisplayText&gt;Audrey Kurth Cronin, &amp;quot;No Silver Bullet: Explaining Research on How Terrorism Ends,&amp;quot; ibid.3 (4).&lt;/DisplayText&gt;&lt;record&gt;&lt;rec-number&gt;52&lt;/rec-number&gt;&lt;foreign-keys&gt;&lt;key app="EN" db-id="s0ftft29jf2psaezx93xwz5s00fwpa9avrwv"&gt;52&lt;/key&gt;&lt;/foreign-keys&gt;&lt;ref-type name="Journal Article"&gt;17&lt;/ref-type&gt;&lt;contributors&gt;&lt;authors&gt;&lt;author&gt;Cronin, Audrey Kurth&lt;/author&gt;&lt;/authors&gt;&lt;/contributors&gt;&lt;titles&gt;&lt;title&gt;No Silver Bullet: Explaining Research on How Terrorism Ends&lt;/title&gt;&lt;secondary-title&gt;CTC Sentinel&lt;/secondary-title&gt;&lt;/titles&gt;&lt;pages&gt;pp. 1-4&lt;/pages&gt;&lt;volume&gt;3 (4)&lt;/volume&gt;&lt;dates&gt;&lt;year&gt;2010&lt;/year&gt;&lt;/dates&gt;&lt;urls&gt;&lt;/urls&gt;&lt;/record&gt;&lt;/Cite&gt;&lt;/EndNote&gt;</w:instrText>
      </w:r>
      <w:r>
        <w:fldChar w:fldCharType="separate"/>
      </w:r>
      <w:r>
        <w:rPr>
          <w:noProof/>
        </w:rPr>
        <w:t>Audrey Kurth Cronin, "No Silver Bullet: Explaining Research on How Terrorism Ends," ibid.3 (4).</w:t>
      </w:r>
      <w:r>
        <w:fldChar w:fldCharType="end"/>
      </w:r>
    </w:p>
  </w:footnote>
  <w:footnote w:id="63">
    <w:p w14:paraId="080B0D38" w14:textId="60D1991E"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&lt;EndNote&gt;&lt;Cite&gt;&lt;Author&gt;Cronin&lt;/Author&gt;&lt;Year&gt;2010&lt;/Year&gt;&lt;RecNum&gt;52&lt;/RecNum&gt;&lt;DisplayText&gt;Ibid.&lt;/DisplayText&gt;&lt;record&gt;&lt;rec-number&gt;52&lt;/rec-number&gt;&lt;foreign-keys&gt;&lt;key app="EN" db-id="s0ftft29jf2psaezx93xwz5s00fwpa9avrwv"&gt;52&lt;/key&gt;&lt;/foreign-keys&gt;&lt;ref-type name="Journal Article"&gt;17&lt;/ref-type&gt;&lt;contributors&gt;&lt;authors&gt;&lt;author&gt;Cronin, Audrey Kurth&lt;/author&gt;&lt;/authors&gt;&lt;/contributors&gt;&lt;titles&gt;&lt;title&gt;No Silver Bullet: Explaining Research on How Terrorism Ends&lt;/title&gt;&lt;secondary-title&gt;CTC Sentinel&lt;/secondary-title&gt;&lt;/titles&gt;&lt;pages&gt;pp. 1-4&lt;/pages&gt;&lt;volume&gt;3 (4)&lt;/volume&gt;&lt;dates&gt;&lt;year&gt;2010&lt;/year&gt;&lt;/dates&gt;&lt;urls&gt;&lt;/urls&gt;&lt;/record&gt;&lt;/Cite&gt;&lt;/EndNote&gt;</w:instrText>
      </w:r>
      <w:r>
        <w:fldChar w:fldCharType="separate"/>
      </w:r>
      <w:r>
        <w:rPr>
          <w:noProof/>
        </w:rPr>
        <w:t>Ibid.</w:t>
      </w:r>
      <w:r>
        <w:fldChar w:fldCharType="end"/>
      </w:r>
    </w:p>
  </w:footnote>
  <w:footnote w:id="64">
    <w:p w14:paraId="2B06C4E8" w14:textId="6C17AEB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&lt;EndNote&gt;&lt;Cite&gt;&lt;Author&gt;Pedahzur&lt;/Author&gt;&lt;Year&gt;2010&lt;/Year&gt;&lt;RecNum&gt;138&lt;/RecNum&gt;&lt;DisplayText&gt;Ami Pedahzur, William Eubank, and Leonard Weinberg, &amp;quot;The War on Terrorism and the Decline of Terrorist Group Formation: A Research Note,&amp;quot; &lt;style face="italic"&gt;Terrorism and Political Violence&lt;/style&gt; 14 (3)(2010).&lt;/DisplayText&gt;&lt;record&gt;&lt;rec-number&gt;138&lt;/rec-number&gt;&lt;foreign-keys&gt;&lt;key app="EN" db-id="s0ftft29jf2psaezx93xwz5s00fwpa9avrwv"&gt;138&lt;/key&gt;&lt;/foreign-keys&gt;&lt;ref-type name="Journal Article"&gt;17&lt;/ref-type&gt;&lt;contributors&gt;&lt;authors&gt;&lt;author&gt;Pedahzur, Ami&lt;/author&gt;&lt;author&gt;Eubank, William&lt;/author&gt;&lt;author&gt;Weinberg, Leonard&lt;/author&gt;&lt;/authors&gt;&lt;/contributors&gt;&lt;titles&gt;&lt;title&gt;The War on Terrorism and the Decline of Terrorist Group Formation: a Research Note&lt;/title&gt;&lt;secondary-title&gt;Terrorism and Political Violence&lt;/secondary-title&gt;&lt;/titles&gt;&lt;periodical&gt;&lt;full-title&gt;Terrorism and Political Violence&lt;/full-title&gt;&lt;/periodical&gt;&lt;pages&gt;pp. 141-147&lt;/pages&gt;&lt;volume&gt;14 (3)&lt;/volume&gt;&lt;dates&gt;&lt;year&gt;2010&lt;/year&gt;&lt;/dates&gt;&lt;urls&gt;&lt;/urls&gt;&lt;/record&gt;&lt;/Cite&gt;&lt;/EndNote&gt;</w:instrText>
      </w:r>
      <w:r>
        <w:fldChar w:fldCharType="separate"/>
      </w:r>
      <w:r>
        <w:rPr>
          <w:noProof/>
        </w:rPr>
        <w:t xml:space="preserve">Ami Pedahzur, William Eubank, and Leonard Weinberg, "The War on Terrorism and the Decline of Terrorist Group Formation: A Research Note," </w:t>
      </w:r>
      <w:r w:rsidRPr="003D17E7">
        <w:rPr>
          <w:i/>
          <w:noProof/>
        </w:rPr>
        <w:t>Terrorism and Political Violence</w:t>
      </w:r>
      <w:r>
        <w:rPr>
          <w:noProof/>
        </w:rPr>
        <w:t xml:space="preserve"> 14 (3)(2010).</w:t>
      </w:r>
      <w:r>
        <w:fldChar w:fldCharType="end"/>
      </w:r>
      <w:r>
        <w:t xml:space="preserve"> </w:t>
      </w:r>
      <w:r>
        <w:fldChar w:fldCharType="begin"/>
      </w:r>
      <w:r>
        <w:instrText xml:space="preserve"> ADDIN EN.CITE &lt;EndNote&gt;&lt;Cite&gt;&lt;Author&gt;Transnational Terrorism&lt;/Author&gt;&lt;Year&gt;2008&lt;/Year&gt;&lt;RecNum&gt;164&lt;/RecNum&gt;&lt;DisplayText&gt;Transnational Terrorism, &amp;quot;Concepts of Terrorism: Analysis of the Rise, Decline, Trends and Risk.&amp;quot;&lt;/DisplayText&gt;&lt;record&gt;&lt;rec-number&gt;164&lt;/rec-number&gt;&lt;foreign-keys&gt;&lt;key app="EN" db-id="s0ftft29jf2psaezx93xwz5s00fwpa9avrwv"&gt;164&lt;/key&gt;&lt;/foreign-keys&gt;&lt;ref-type name="Report"&gt;27&lt;/ref-type&gt;&lt;contributors&gt;&lt;authors&gt;&lt;author&gt;Transnational Terrorism, Security &amp;amp; the Rule of Law&lt;/author&gt;&lt;/authors&gt;&lt;/contributors&gt;&lt;titles&gt;&lt;title&gt;Concepts of Terrorism: Analysis of the rise, decline, trends and risk&lt;/title&gt;&lt;/titles&gt;&lt;dates&gt;&lt;year&gt;2008&lt;/year&gt;&lt;/dates&gt;&lt;urls&gt;&lt;/urls&gt;&lt;/record&gt;&lt;/Cite&gt;&lt;/EndNote&gt;</w:instrText>
      </w:r>
      <w:r>
        <w:fldChar w:fldCharType="separate"/>
      </w:r>
      <w:r>
        <w:rPr>
          <w:noProof/>
        </w:rPr>
        <w:t>Transnational Terrorism, "Concepts of Terrorism: Analysis of the Rise, Decline, Trends and Risk."</w:t>
      </w:r>
      <w:r>
        <w:fldChar w:fldCharType="end"/>
      </w:r>
    </w:p>
  </w:footnote>
  <w:footnote w:id="65">
    <w:p w14:paraId="3DBCCE86" w14:textId="1EB899CA"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&lt;EndNote&gt;&lt;Cite&gt;&lt;Author&gt;Cronin&lt;/Author&gt;&lt;Year&gt;2006&lt;/Year&gt;&lt;RecNum&gt;50&lt;/RecNum&gt;&lt;DisplayText&gt;Audrey Kurth Cronin, &amp;quot;How Al-Qaida Ends: The Decline and Demise of Terrorist Groups,&amp;quot; &lt;style face="italic"&gt;International Security&lt;/style&gt; 31 (1)(2006).&lt;/DisplayText&gt;&lt;record&gt;&lt;rec-number&gt;50&lt;/rec-number&gt;&lt;foreign-keys&gt;&lt;key app="EN" db-id="s0ftft29jf2psaezx93xwz5s00fwpa9avrwv"&gt;50&lt;/key&gt;&lt;/foreign-keys&gt;&lt;ref-type name="Journal Article"&gt;17&lt;/ref-type&gt;&lt;contributors&gt;&lt;authors&gt;&lt;author&gt;Cronin, Audrey Kurth&lt;/author&gt;&lt;/authors&gt;&lt;/contributors&gt;&lt;titles&gt;&lt;title&gt;How al-Qaida Ends: The Decline and Demise of Terrorist Groups&lt;/title&gt;&lt;secondary-title&gt;International Security&lt;/secondary-title&gt;&lt;/titles&gt;&lt;pages&gt;pp. 7-48&lt;/pages&gt;&lt;volume&gt;31 (1)&lt;/volume&gt;&lt;dates&gt;&lt;year&gt;2006&lt;/year&gt;&lt;/dates&gt;&lt;urls&gt;&lt;/urls&gt;&lt;/record&gt;&lt;/Cite&gt;&lt;/EndNote&gt;</w:instrText>
      </w:r>
      <w:r>
        <w:fldChar w:fldCharType="separate"/>
      </w:r>
      <w:r>
        <w:rPr>
          <w:noProof/>
        </w:rPr>
        <w:t xml:space="preserve">Audrey Kurth Cronin, "How Al-Qaida Ends: The Decline and Demise of Terrorist Groups," </w:t>
      </w:r>
      <w:r w:rsidRPr="003D17E7">
        <w:rPr>
          <w:i/>
          <w:noProof/>
        </w:rPr>
        <w:t>International Security</w:t>
      </w:r>
      <w:r>
        <w:rPr>
          <w:noProof/>
        </w:rPr>
        <w:t xml:space="preserve"> 31 (1)(2006).</w:t>
      </w:r>
      <w:r>
        <w:fldChar w:fldCharType="end"/>
      </w:r>
    </w:p>
  </w:footnote>
  <w:footnote w:id="66">
    <w:p w14:paraId="0F4BC725" w14:textId="1A8724D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&lt;EndNote&gt;&lt;Cite&gt;&lt;Author&gt;Weinberg&lt;/Author&gt;&lt;Year&gt;2010&lt;/Year&gt;&lt;RecNum&gt;169&lt;/RecNum&gt;&lt;DisplayText&gt;Weinberg and Perliger, &amp;quot;How Terrorist Groups End.&amp;quot;&lt;/DisplayText&gt;&lt;record&gt;&lt;rec-number&gt;169&lt;/rec-number&gt;&lt;foreign-keys&gt;&lt;key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fldChar w:fldCharType="separate"/>
      </w:r>
      <w:r>
        <w:rPr>
          <w:noProof/>
        </w:rPr>
        <w:t>Weinberg and Perliger, "How Terrorist Groups End."</w:t>
      </w:r>
      <w:r>
        <w:fldChar w:fldCharType="end"/>
      </w:r>
    </w:p>
  </w:footnote>
  <w:footnote w:id="67">
    <w:p w14:paraId="69238F76" w14:textId="03F6D034"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&lt;EndNote&gt;&lt;Cite&gt;&lt;Author&gt;Jones&lt;/Author&gt;&lt;Year&gt;2008&lt;/Year&gt;&lt;RecNum&gt;92&lt;/RecNum&gt;&lt;DisplayText&gt;Jones and Libicki, &lt;style face="italic"&gt;How Terrorist Groups End : Lessons for Countering Al Qa&amp;apos;ida&lt;/style&gt;.&lt;/DisplayText&gt;&lt;record&gt;&lt;rec-number&gt;92&lt;/rec-number&gt;&lt;foreign-keys&gt;&lt;key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Jones and Libicki, </w:t>
      </w:r>
      <w:r w:rsidRPr="003D17E7">
        <w:rPr>
          <w:i/>
          <w:noProof/>
        </w:rPr>
        <w:t>How Terrorist Groups End : Lessons for Countering Al Qa'ida</w:t>
      </w:r>
      <w:r>
        <w:rPr>
          <w:noProof/>
        </w:rPr>
        <w:t>.</w:t>
      </w:r>
      <w:r>
        <w:fldChar w:fldCharType="end"/>
      </w:r>
    </w:p>
  </w:footnote>
  <w:footnote w:id="68">
    <w:p w14:paraId="1443847A" w14:textId="0FBE3A6F"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&lt;EndNote&gt;&lt;Cite&gt;&lt;Author&gt;Rapoport&lt;/Author&gt;&lt;Year&gt;2004&lt;/Year&gt;&lt;RecNum&gt;142&lt;/RecNum&gt;&lt;DisplayText&gt;David Rapoport, &amp;quot;The Four Waves of Modern Terrorism,&amp;quot; in &lt;style face="italic"&gt;Attacking Terrorism: Elements of a Grand Strategy&lt;/style&gt;, ed. Audrey Kurth Cronin and James Ludes (Washington: Georgetown University Press, 2004).&lt;/DisplayText&gt;&lt;record&gt;&lt;rec-number&gt;142&lt;/rec-number&gt;&lt;foreign-keys&gt;&lt;key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 xml:space="preserve">David Rapoport, "The Four Waves of Modern Terrorism," in </w:t>
      </w:r>
      <w:r w:rsidRPr="00341C5F">
        <w:rPr>
          <w:i/>
          <w:noProof/>
        </w:rPr>
        <w:t>Attacking Terrorism: Elements of a Grand Strategy</w:t>
      </w:r>
      <w:r>
        <w:rPr>
          <w:noProof/>
        </w:rPr>
        <w:t>, ed. Audrey Kurth Cronin and James Ludes (Washington: Georgetown University Press, 2004).</w:t>
      </w:r>
      <w:r>
        <w:fldChar w:fldCharType="end"/>
      </w:r>
    </w:p>
  </w:footnote>
  <w:footnote w:id="69">
    <w:p w14:paraId="7D3DF14B" w14:textId="7E5C9904"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&lt;EndNote&gt;&lt;Cite&gt;&lt;Author&gt;Jones&lt;/Author&gt;&lt;Year&gt;2008&lt;/Year&gt;&lt;RecNum&gt;92&lt;/RecNum&gt;&lt;DisplayText&gt;Jones and Libicki, &lt;style face="italic"&gt;How Terrorist Groups End : Lessons for Countering Al Qa&amp;apos;ida&lt;/style&gt;.&lt;/DisplayText&gt;&lt;record&gt;&lt;rec-number&gt;92&lt;/rec-number&gt;&lt;foreign-keys&gt;&lt;key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Jones and Libicki, </w:t>
      </w:r>
      <w:r w:rsidRPr="003D17E7">
        <w:rPr>
          <w:i/>
          <w:noProof/>
        </w:rPr>
        <w:t>How Terrorist Groups End : Lessons for Countering Al Qa'ida</w:t>
      </w:r>
      <w:r>
        <w:rPr>
          <w:noProof/>
        </w:rPr>
        <w:t>.</w:t>
      </w:r>
      <w:r>
        <w:fldChar w:fldCharType="end"/>
      </w:r>
    </w:p>
  </w:footnote>
  <w:footnote w:id="70">
    <w:p w14:paraId="4C5EB432" w14:textId="6559549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&lt;EndNote&gt;&lt;Cite&gt;&lt;Author&gt;Alterman&lt;/Author&gt;&lt;Year&gt;1999&lt;/Year&gt;&lt;RecNum&gt;19&lt;/RecNum&gt;&lt;DisplayText&gt;Alterman, &amp;quot;How Terrorism Ends.&amp;quot;&lt;/DisplayText&gt;&lt;record&gt;&lt;rec-number&gt;19&lt;/rec-number&gt;&lt;foreign-keys&gt;&lt;key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fldChar w:fldCharType="separate"/>
      </w:r>
      <w:r>
        <w:rPr>
          <w:noProof/>
        </w:rPr>
        <w:t>Alterman, "How Terrorism Ends."</w:t>
      </w:r>
      <w:r>
        <w:fldChar w:fldCharType="end"/>
      </w:r>
    </w:p>
  </w:footnote>
  <w:footnote w:id="71">
    <w:p w14:paraId="6833B602" w14:textId="52732893"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72">
    <w:p w14:paraId="22DA4E62" w14:textId="747DFBAC"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&lt;EndNote&gt;&lt;Cite&gt;&lt;Author&gt;Cronin&lt;/Author&gt;&lt;Year&gt;2008&lt;/Year&gt;&lt;RecNum&gt;51&lt;/RecNum&gt;&lt;DisplayText&gt;Audrey Kurth Cronin, &lt;style face="italic"&gt;Ending Terrorism : Lessons for Defeating Al-Qaeda&lt;/style&gt;  (Abingdon: Routledge, 2008).&lt;/DisplayText&gt;&lt;record&gt;&lt;rec-number&gt;51&lt;/rec-number&gt;&lt;foreign-keys&gt;&lt;key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fldChar w:fldCharType="separate"/>
      </w:r>
      <w:r>
        <w:rPr>
          <w:noProof/>
        </w:rPr>
        <w:t xml:space="preserve">Audrey Kurth Cronin, </w:t>
      </w:r>
      <w:r w:rsidRPr="003D17E7">
        <w:rPr>
          <w:i/>
          <w:noProof/>
        </w:rPr>
        <w:t>Ending Terrorism : Lessons for Defeating Al-Qaeda</w:t>
      </w:r>
      <w:r>
        <w:rPr>
          <w:noProof/>
        </w:rPr>
        <w:t xml:space="preserve">  (Abingdon: Routledge, 2008).</w:t>
      </w:r>
      <w:r>
        <w:fldChar w:fldCharType="end"/>
      </w:r>
    </w:p>
  </w:footnote>
  <w:footnote w:id="73">
    <w:p w14:paraId="2BFDCF68" w14:textId="39D74A56"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74">
    <w:p w14:paraId="430A9F66" w14:textId="66BD8E90"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&lt;EndNote&gt;&lt;Cite&gt;&lt;Author&gt;Tsvetovat&lt;/Author&gt;&lt;Year&gt;2005&lt;/Year&gt;&lt;RecNum&gt;165&lt;/RecNum&gt;&lt;DisplayText&gt;Maksim Tsvetovat and Kathleen Carley, &amp;quot;Structural Knowledge and Success of Anti-Terrorist Activity:The Downside of Structural Equivalence,&amp;quot; &lt;style face="italic"&gt;Institute for Software Research&lt;/style&gt; 6(2005).&lt;/DisplayText&gt;&lt;record&gt;&lt;rec-number&gt;165&lt;/rec-number&gt;&lt;foreign-keys&gt;&lt;key app="EN" db-id="s0ftft29jf2psaezx93xwz5s00fwpa9avrwv"&gt;165&lt;/key&gt;&lt;/foreign-keys&gt;&lt;ref-type name="Journal Article"&gt;17&lt;/ref-type&gt;&lt;contributors&gt;&lt;authors&gt;&lt;author&gt;Tsvetovat, Maksim&lt;/author&gt;&lt;author&gt;Carley, Kathleen&lt;/author&gt;&lt;/authors&gt;&lt;/contributors&gt;&lt;titles&gt;&lt;title&gt;Structural Knowledge and Success of Anti-Terrorist Activity:The Downside of Structural Equivalence&lt;/title&gt;&lt;secondary-title&gt;Institute for Software Research&lt;/secondary-title&gt;&lt;/titles&gt;&lt;volume&gt;6&lt;/volume&gt;&lt;dates&gt;&lt;year&gt;2005&lt;/year&gt;&lt;/dates&gt;&lt;urls&gt;&lt;/urls&gt;&lt;/record&gt;&lt;/Cite&gt;&lt;/EndNote&gt;</w:instrText>
      </w:r>
      <w:r>
        <w:fldChar w:fldCharType="separate"/>
      </w:r>
      <w:r>
        <w:rPr>
          <w:noProof/>
        </w:rPr>
        <w:t xml:space="preserve">Maksim Tsvetovat and Kathleen Carley, "Structural Knowledge and Success of Anti-Terrorist Activity:The Downside of Structural Equivalence," </w:t>
      </w:r>
      <w:r w:rsidRPr="003D17E7">
        <w:rPr>
          <w:i/>
          <w:noProof/>
        </w:rPr>
        <w:t>Institute for Software Research</w:t>
      </w:r>
      <w:r>
        <w:rPr>
          <w:noProof/>
        </w:rPr>
        <w:t xml:space="preserve"> 6(2005).</w:t>
      </w:r>
      <w:r>
        <w:fldChar w:fldCharType="end"/>
      </w:r>
    </w:p>
  </w:footnote>
  <w:footnote w:id="75">
    <w:p w14:paraId="0991E500" w14:textId="6166D542"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&lt;EndNote&gt;&lt;Cite&gt;&lt;Author&gt;Weinberg&lt;/Author&gt;&lt;Year&gt;2010&lt;/Year&gt;&lt;RecNum&gt;169&lt;/RecNum&gt;&lt;DisplayText&gt;Weinberg and Perliger, &amp;quot;How Terrorist Groups End.&amp;quot;&lt;/DisplayText&gt;&lt;record&gt;&lt;rec-number&gt;169&lt;/rec-number&gt;&lt;foreign-keys&gt;&lt;key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fldChar w:fldCharType="separate"/>
      </w:r>
      <w:r>
        <w:rPr>
          <w:noProof/>
        </w:rPr>
        <w:t>Weinberg and Perliger, "How Terrorist Groups End."</w:t>
      </w:r>
      <w:r>
        <w:fldChar w:fldCharType="end"/>
      </w:r>
    </w:p>
  </w:footnote>
  <w:footnote w:id="76">
    <w:p w14:paraId="3D0AD56A" w14:textId="2845B57D"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&lt;EndNote&gt;&lt;Cite&gt;&lt;Author&gt;Cronin&lt;/Author&gt;&lt;Year&gt;2008&lt;/Year&gt;&lt;RecNum&gt;51&lt;/RecNum&gt;&lt;DisplayText&gt;Cronin, &lt;style face="italic"&gt;Ending Terrorism : Lessons for Defeating Al-Qaeda&lt;/style&gt;.&lt;/DisplayText&gt;&lt;record&gt;&lt;rec-number&gt;51&lt;/rec-number&gt;&lt;foreign-keys&gt;&lt;key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fldChar w:fldCharType="separate"/>
      </w:r>
      <w:r>
        <w:rPr>
          <w:noProof/>
        </w:rPr>
        <w:t xml:space="preserve">Cronin, </w:t>
      </w:r>
      <w:r w:rsidRPr="003D17E7">
        <w:rPr>
          <w:i/>
          <w:noProof/>
        </w:rPr>
        <w:t>Ending Terrorism : Lessons for Defeating Al-Qaeda</w:t>
      </w:r>
      <w:r>
        <w:rPr>
          <w:noProof/>
        </w:rPr>
        <w:t>.</w:t>
      </w:r>
      <w:r>
        <w:fldChar w:fldCharType="end"/>
      </w:r>
    </w:p>
  </w:footnote>
  <w:footnote w:id="77">
    <w:p w14:paraId="63AA27FC" w14:textId="51D0727D"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&lt;EndNote&gt;&lt;Cite&gt;&lt;Author&gt;Jones&lt;/Author&gt;&lt;Year&gt;2008&lt;/Year&gt;&lt;RecNum&gt;92&lt;/RecNum&gt;&lt;DisplayText&gt;Jones and Libicki, &lt;style face="italic"&gt;How Terrorist Groups End : Lessons for Countering Al Qa&amp;apos;ida&lt;/style&gt;.&lt;/DisplayText&gt;&lt;record&gt;&lt;rec-number&gt;92&lt;/rec-number&gt;&lt;foreign-keys&gt;&lt;key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Jones and Libicki, </w:t>
      </w:r>
      <w:r w:rsidRPr="003D17E7">
        <w:rPr>
          <w:i/>
          <w:noProof/>
        </w:rPr>
        <w:t>How Terrorist Groups End : Lessons for Countering Al Qa'ida</w:t>
      </w:r>
      <w:r>
        <w:rPr>
          <w:noProof/>
        </w:rPr>
        <w:t>.</w:t>
      </w:r>
      <w:r>
        <w:fldChar w:fldCharType="end"/>
      </w:r>
    </w:p>
  </w:footnote>
  <w:footnote w:id="78">
    <w:p w14:paraId="11CCDEA5" w14:textId="152FA38D" w:rsidR="007A04F6" w:rsidRDefault="007A04F6" w:rsidP="00007D71">
      <w:pPr>
        <w:pStyle w:val="FootnoteText"/>
        <w:spacing w:line="276" w:lineRule="auto"/>
      </w:pPr>
      <w:r>
        <w:rPr>
          <w:rStyle w:val="FootnoteReference"/>
        </w:rPr>
        <w:footnoteRef/>
      </w:r>
      <w:r>
        <w:t xml:space="preserve"> </w:t>
      </w:r>
      <w:r>
        <w:fldChar w:fldCharType="begin"/>
      </w:r>
      <w:r>
        <w:instrText xml:space="preserve"> ADDIN EN.CITE &lt;EndNote&gt;&lt;Cite&gt;&lt;Author&gt;Cronin&lt;/Author&gt;&lt;Year&gt;2008&lt;/Year&gt;&lt;RecNum&gt;51&lt;/RecNum&gt;&lt;DisplayText&gt;Cronin, &lt;style face="italic"&gt;Ending Terrorism : Lessons for Defeating Al-Qaeda&lt;/style&gt;.&lt;/DisplayText&gt;&lt;record&gt;&lt;rec-number&gt;51&lt;/rec-number&gt;&lt;foreign-keys&gt;&lt;key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fldChar w:fldCharType="separate"/>
      </w:r>
      <w:r>
        <w:rPr>
          <w:noProof/>
        </w:rPr>
        <w:t xml:space="preserve">Cronin, </w:t>
      </w:r>
      <w:r w:rsidRPr="003D17E7">
        <w:rPr>
          <w:i/>
          <w:noProof/>
        </w:rPr>
        <w:t>Ending Terrorism : Lessons for Defeating Al-Qaeda</w:t>
      </w:r>
      <w:r>
        <w:rPr>
          <w:noProof/>
        </w:rPr>
        <w:t>.</w:t>
      </w:r>
      <w:r>
        <w:fldChar w:fldCharType="end"/>
      </w:r>
    </w:p>
  </w:footnote>
  <w:footnote w:id="79">
    <w:p w14:paraId="7B860939" w14:textId="39D4C764" w:rsidR="007A04F6" w:rsidRDefault="007A04F6" w:rsidP="00007D71">
      <w:pPr>
        <w:pStyle w:val="FootnoteText"/>
        <w:spacing w:line="276" w:lineRule="auto"/>
      </w:pPr>
      <w:r>
        <w:rPr>
          <w:rStyle w:val="FootnoteReference"/>
        </w:rPr>
        <w:footnoteRef/>
      </w:r>
      <w:r>
        <w:t xml:space="preserve"> </w:t>
      </w:r>
      <w:r>
        <w:fldChar w:fldCharType="begin"/>
      </w:r>
      <w:r>
        <w:instrText xml:space="preserve"> ADDIN EN.CITE &lt;EndNote&gt;&lt;Cite&gt;&lt;Author&gt;Moghadam&lt;/Author&gt;&lt;Year&gt;2012&lt;/Year&gt;&lt;RecNum&gt;228&lt;/RecNum&gt;&lt;DisplayText&gt;Assaf Moghadam, &amp;quot;Failure and Disengagement in the Red Army Faction,&amp;quot; &lt;style face="italic"&gt;Studies in Conflict &amp;amp; Terrorism&lt;/style&gt; 35 (2)(2012).&lt;/DisplayText&gt;&lt;record&gt;&lt;rec-number&gt;228&lt;/rec-number&gt;&lt;foreign-keys&gt;&lt;key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 xml:space="preserve">Assaf Moghadam, "Failure and Disengagement in the Red Army Faction," </w:t>
      </w:r>
      <w:r w:rsidRPr="003D17E7">
        <w:rPr>
          <w:i/>
          <w:noProof/>
        </w:rPr>
        <w:t>Studies in Conflict &amp; Terrorism</w:t>
      </w:r>
      <w:r>
        <w:rPr>
          <w:noProof/>
        </w:rPr>
        <w:t xml:space="preserve"> 35 (2)(2012).</w:t>
      </w:r>
      <w:r>
        <w:fldChar w:fldCharType="end"/>
      </w:r>
    </w:p>
  </w:footnote>
  <w:footnote w:id="80">
    <w:p w14:paraId="601CD321" w14:textId="6DDB2822" w:rsidR="007A04F6" w:rsidRDefault="007A04F6" w:rsidP="00007D71">
      <w:pPr>
        <w:pStyle w:val="FootnoteText"/>
        <w:spacing w:line="276" w:lineRule="auto"/>
      </w:pPr>
      <w:r>
        <w:rPr>
          <w:rStyle w:val="FootnoteReference"/>
        </w:rPr>
        <w:footnoteRef/>
      </w:r>
      <w:r>
        <w:t xml:space="preserve"> </w:t>
      </w:r>
      <w:r>
        <w:fldChar w:fldCharType="begin"/>
      </w:r>
      <w:r>
        <w:instrText xml:space="preserve"> ADDIN EN.CITE &lt;EndNote&gt;&lt;Cite&gt;&lt;Author&gt;Shirlow&lt;/Author&gt;&lt;Year&gt;2010&lt;/Year&gt;&lt;RecNum&gt;205&lt;/RecNum&gt;&lt;DisplayText&gt;Peter Shirlow et al., &lt;style face="italic"&gt;Abandoning Historical Conflict?: Former Political Prisoners and Reconciliation in Northern Ireland&lt;/style&gt;  (Manchester: Manchester University Press, 2010).&lt;/DisplayText&gt;&lt;record&gt;&lt;rec-number&gt;205&lt;/rec-number&gt;&lt;foreign-keys&gt;&lt;key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Peter Shirlow et al., </w:t>
      </w:r>
      <w:r w:rsidRPr="003D17E7">
        <w:rPr>
          <w:i/>
          <w:noProof/>
        </w:rPr>
        <w:t>Abandoning Historical Conflict?: Former Political Prisoners and Reconciliation in Northern Ireland</w:t>
      </w:r>
      <w:r>
        <w:rPr>
          <w:noProof/>
        </w:rPr>
        <w:t xml:space="preserve">  (Manchester: Manchester University Press, 2010).</w:t>
      </w:r>
      <w:r>
        <w:fldChar w:fldCharType="end"/>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81">
    <w:p w14:paraId="4CDC89E8" w14:textId="1DBF93E4" w:rsidR="007A04F6" w:rsidRDefault="007A04F6" w:rsidP="00007D71">
      <w:pPr>
        <w:pStyle w:val="FootnoteText"/>
        <w:spacing w:line="276" w:lineRule="auto"/>
      </w:pPr>
      <w:r>
        <w:rPr>
          <w:rStyle w:val="FootnoteReference"/>
        </w:rPr>
        <w:footnoteRef/>
      </w:r>
      <w:r>
        <w:t xml:space="preserve"> </w:t>
      </w:r>
      <w:r>
        <w:fldChar w:fldCharType="begin"/>
      </w:r>
      <w:r>
        <w:instrText xml:space="preserve"> ADDIN EN.CITE &lt;EndNote&gt;&lt;Cite&gt;&lt;Author&gt;Cronin&lt;/Author&gt;&lt;Year&gt;2008&lt;/Year&gt;&lt;RecNum&gt;51&lt;/RecNum&gt;&lt;DisplayText&gt;Cronin, &lt;style face="italic"&gt;Ending Terrorism : Lessons for Defeating Al-Qaeda&lt;/style&gt;.&lt;/DisplayText&gt;&lt;record&gt;&lt;rec-number&gt;51&lt;/rec-number&gt;&lt;foreign-keys&gt;&lt;key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fldChar w:fldCharType="separate"/>
      </w:r>
      <w:r>
        <w:rPr>
          <w:noProof/>
        </w:rPr>
        <w:t xml:space="preserve">Cronin, </w:t>
      </w:r>
      <w:r w:rsidRPr="003D17E7">
        <w:rPr>
          <w:i/>
          <w:noProof/>
        </w:rPr>
        <w:t>Ending Terrorism : Lessons for Defeating Al-Qaeda</w:t>
      </w:r>
      <w:r>
        <w:rPr>
          <w:noProof/>
        </w:rPr>
        <w:t>.</w:t>
      </w:r>
      <w:r>
        <w:fldChar w:fldCharType="end"/>
      </w:r>
      <w:r>
        <w:t xml:space="preserve"> pp. 23</w:t>
      </w:r>
    </w:p>
  </w:footnote>
  <w:footnote w:id="82">
    <w:p w14:paraId="43A358DB" w14:textId="27DB85A3" w:rsidR="007A04F6" w:rsidRDefault="007A04F6" w:rsidP="00007D71">
      <w:pPr>
        <w:pStyle w:val="FootnoteText"/>
        <w:spacing w:line="276" w:lineRule="auto"/>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83">
    <w:p w14:paraId="6C949FA6" w14:textId="1F6B0D30" w:rsidR="007A04F6" w:rsidRDefault="007A04F6" w:rsidP="00007D71">
      <w:pPr>
        <w:pStyle w:val="FootnoteText"/>
        <w:spacing w:line="360" w:lineRule="auto"/>
      </w:pPr>
      <w:r>
        <w:rPr>
          <w:rStyle w:val="FootnoteReference"/>
        </w:rPr>
        <w:footnoteRef/>
      </w:r>
      <w:r>
        <w:t xml:space="preserve"> </w:t>
      </w:r>
      <w:r>
        <w:fldChar w:fldCharType="begin"/>
      </w:r>
      <w:r>
        <w:instrText xml:space="preserve"> ADDIN EN.CITE &lt;EndNote&gt;&lt;Cite&gt;&lt;Author&gt;Gvineria&lt;/Author&gt;&lt;Year&gt;2009&lt;/Year&gt;&lt;RecNum&gt;78&lt;/RecNum&gt;&lt;DisplayText&gt;Ibid.&lt;/DisplayText&gt;&lt;record&gt;&lt;rec-number&gt;78&lt;/rec-number&gt;&lt;foreign-keys&gt;&lt;key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Ibid.</w:t>
      </w:r>
      <w:r>
        <w:fldChar w:fldCharType="end"/>
      </w:r>
      <w:r>
        <w:t xml:space="preserve"> pp. 271</w:t>
      </w:r>
    </w:p>
  </w:footnote>
  <w:footnote w:id="84">
    <w:p w14:paraId="1CBD9832" w14:textId="1B11233D" w:rsidR="007A04F6" w:rsidRDefault="007A04F6">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&lt;EndNote&gt;&lt;Cite&gt;&lt;Author&gt;Gvineria&lt;/Author&gt;&lt;Year&gt;2009&lt;/Year&gt;&lt;RecNum&gt;78&lt;/RecNum&gt;&lt;DisplayText&gt;Ibid.&lt;/DisplayText&gt;&lt;record&gt;&lt;rec-number&gt;78&lt;/rec-number&gt;&lt;foreign-keys&gt;&lt;key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Ibid.</w:t>
      </w:r>
      <w:r>
        <w:fldChar w:fldCharType="end"/>
      </w:r>
    </w:p>
  </w:footnote>
  <w:footnote w:id="85">
    <w:p w14:paraId="3084776E" w14:textId="4E3F3C12" w:rsidR="007A04F6" w:rsidRDefault="007A04F6">
      <w:pPr>
        <w:pStyle w:val="FootnoteText"/>
      </w:pPr>
      <w:r>
        <w:rPr>
          <w:rStyle w:val="FootnoteReference"/>
        </w:rPr>
        <w:footnoteRef/>
      </w:r>
      <w:r>
        <w:t xml:space="preserve"> </w:t>
      </w:r>
      <w:r>
        <w:fldChar w:fldCharType="begin"/>
      </w:r>
      <w:r>
        <w:instrText xml:space="preserve"> ADDIN EN.CITE &lt;EndNote&gt;&lt;Cite&gt;&lt;Author&gt;Jones&lt;/Author&gt;&lt;Year&gt;2008&lt;/Year&gt;&lt;RecNum&gt;92&lt;/RecNum&gt;&lt;DisplayText&gt;Jones and Libicki, &lt;style face="italic"&gt;How Terrorist Groups End : Lessons for Countering Al Qa&amp;apos;ida&lt;/style&gt;.&lt;/DisplayText&gt;&lt;record&gt;&lt;rec-number&gt;92&lt;/rec-number&gt;&lt;foreign-keys&gt;&lt;key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Jones and Libicki, </w:t>
      </w:r>
      <w:r w:rsidRPr="003D17E7">
        <w:rPr>
          <w:i/>
          <w:noProof/>
        </w:rPr>
        <w:t>How Terrorist Groups End : Lessons for Countering Al Qa'ida</w:t>
      </w:r>
      <w:r>
        <w:rPr>
          <w:noProof/>
        </w:rPr>
        <w:t>.</w:t>
      </w:r>
      <w:r>
        <w:fldChar w:fldCharType="end"/>
      </w:r>
    </w:p>
  </w:footnote>
  <w:footnote w:id="86">
    <w:p w14:paraId="64E67274" w14:textId="436EF80F" w:rsidR="007A04F6" w:rsidRDefault="007A04F6">
      <w:pPr>
        <w:pStyle w:val="FootnoteText"/>
      </w:pPr>
      <w:r>
        <w:rPr>
          <w:rStyle w:val="FootnoteReference"/>
        </w:rPr>
        <w:footnoteRef/>
      </w:r>
      <w:r>
        <w:t xml:space="preserve"> </w:t>
      </w:r>
      <w:r>
        <w:fldChar w:fldCharType="begin"/>
      </w:r>
      <w:r>
        <w:instrText xml:space="preserve"> ADDIN EN.CITE &lt;EndNote&gt;&lt;Cite&gt;&lt;Author&gt;Alterman&lt;/Author&gt;&lt;Year&gt;1999&lt;/Year&gt;&lt;RecNum&gt;19&lt;/RecNum&gt;&lt;DisplayText&gt;Alterman, &amp;quot;How Terrorism Ends.&amp;quot;&lt;/DisplayText&gt;&lt;record&gt;&lt;rec-number&gt;19&lt;/rec-number&gt;&lt;foreign-keys&gt;&lt;key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fldChar w:fldCharType="separate"/>
      </w:r>
      <w:r>
        <w:rPr>
          <w:noProof/>
        </w:rPr>
        <w:t>Alterman, "How Terrorism Ends."</w:t>
      </w:r>
      <w:r>
        <w:fldChar w:fldCharType="end"/>
      </w:r>
    </w:p>
  </w:footnote>
  <w:footnote w:id="87">
    <w:p w14:paraId="77C1AE85" w14:textId="0FCB2792" w:rsidR="007A04F6" w:rsidRDefault="007A04F6">
      <w:pPr>
        <w:pStyle w:val="FootnoteText"/>
      </w:pPr>
      <w:r>
        <w:rPr>
          <w:rStyle w:val="FootnoteReference"/>
        </w:rPr>
        <w:footnoteRef/>
      </w:r>
      <w:r>
        <w:t xml:space="preserve"> </w:t>
      </w:r>
      <w:r>
        <w:fldChar w:fldCharType="begin"/>
      </w:r>
      <w:r>
        <w:instrText xml:space="preserve"> ADDIN EN.CITE &lt;EndNote&gt;&lt;Cite&gt;&lt;Author&gt;Jones&lt;/Author&gt;&lt;Year&gt;2008&lt;/Year&gt;&lt;RecNum&gt;92&lt;/RecNum&gt;&lt;DisplayText&gt;Jones and Libicki, &lt;style face="italic"&gt;How Terrorist Groups End : Lessons for Countering Al Qa&amp;apos;ida&lt;/style&gt;.&lt;/DisplayText&gt;&lt;record&gt;&lt;rec-number&gt;92&lt;/rec-number&gt;&lt;foreign-keys&gt;&lt;key app="EN" db-id="s0ftft29jf2psaezx93xwz5s00fwpa9avrwv"&gt;92&lt;/key&gt;&lt;/foreign-keys&gt;&lt;ref-type name="Book"&gt;6&lt;/ref-type&gt;&lt;contributors&gt;&lt;authors&gt;&lt;author&gt;Jones, Seth G.&lt;/author&gt;&lt;author&gt;Libicki, Martin C.&lt;/author&gt;&lt;/authors&gt;&lt;/contributors&gt;&lt;titles&gt;&lt;title&gt;How terrorist groups end : lessons for countering Al Qa&amp;apos;ida&lt;/title&gt;&lt;/titles&gt;&lt;pages&gt;xxiii, 227 p.&lt;/pages&gt;&lt;keywords&gt;&lt;keyword&gt;Qaida (Organization)&lt;/keyword&gt;&lt;keyword&gt;Terrorism.&lt;/keyword&gt;&lt;keyword&gt;Terrorism Prevention International cooperation.&lt;/keyword&gt;&lt;keyword&gt;Intelligence service.&lt;/keyword&gt;&lt;keyword&gt;Problem-oriented policing.&lt;/keyword&gt;&lt;/keywords&gt;&lt;dates&gt;&lt;year&gt;2008&lt;/year&gt;&lt;/dates&gt;&lt;pub-location&gt;Santa Monica, Calif.&lt;/pub-location&gt;&lt;publisher&gt;Rand&lt;/publisher&gt;&lt;isbn&gt;9780833044655 (pbk. alk. paper)&lt;/isbn&gt;&lt;call-num&gt;1.&amp;#xD;Brotherton West floor&amp;amp;nbsp;2 Politics R-5.4 JON DUE 11-06-11&lt;/call-num&gt;&lt;urls&gt;&lt;/urls&gt;&lt;/record&gt;&lt;/Cite&gt;&lt;/EndNote&gt;</w:instrText>
      </w:r>
      <w:r>
        <w:fldChar w:fldCharType="separate"/>
      </w:r>
      <w:r>
        <w:rPr>
          <w:noProof/>
        </w:rPr>
        <w:t xml:space="preserve">Jones and Libicki, </w:t>
      </w:r>
      <w:r w:rsidRPr="003D17E7">
        <w:rPr>
          <w:i/>
          <w:noProof/>
        </w:rPr>
        <w:t>How Terrorist Groups End : Lessons for Countering Al Qa'ida</w:t>
      </w:r>
      <w:r>
        <w:rPr>
          <w:noProof/>
        </w:rPr>
        <w:t>.</w:t>
      </w:r>
      <w:r>
        <w:fldChar w:fldCharType="end"/>
      </w:r>
    </w:p>
  </w:footnote>
  <w:footnote w:id="88">
    <w:p w14:paraId="5C51111C" w14:textId="5C2B5496" w:rsidR="007A04F6" w:rsidRDefault="007A04F6">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89">
    <w:p w14:paraId="2D0A557C" w14:textId="51D25668" w:rsidR="007A04F6" w:rsidRDefault="007A04F6">
      <w:pPr>
        <w:pStyle w:val="FootnoteText"/>
      </w:pPr>
      <w:r>
        <w:rPr>
          <w:rStyle w:val="FootnoteReference"/>
        </w:rPr>
        <w:footnoteRef/>
      </w:r>
      <w:r>
        <w:t xml:space="preserve"> </w:t>
      </w:r>
      <w:r>
        <w:fldChar w:fldCharType="begin"/>
      </w:r>
      <w:r>
        <w:instrText xml:space="preserve"> ADDIN EN.CITE &lt;EndNote&gt;&lt;Cite&gt;&lt;Author&gt;Alterman&lt;/Author&gt;&lt;Year&gt;1999&lt;/Year&gt;&lt;RecNum&gt;19&lt;/RecNum&gt;&lt;DisplayText&gt;Alterman, &amp;quot;How Terrorism Ends.&amp;quot;&lt;/DisplayText&gt;&lt;record&gt;&lt;rec-number&gt;19&lt;/rec-number&gt;&lt;foreign-keys&gt;&lt;key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fldChar w:fldCharType="separate"/>
      </w:r>
      <w:r>
        <w:rPr>
          <w:noProof/>
        </w:rPr>
        <w:t>Alterman, "How Terrorism Ends."</w:t>
      </w:r>
      <w:r>
        <w:fldChar w:fldCharType="end"/>
      </w:r>
      <w:r>
        <w:t xml:space="preserve">; </w:t>
      </w:r>
      <w:r>
        <w:fldChar w:fldCharType="begin"/>
      </w:r>
      <w:r>
        <w:instrText xml:space="preserve"> ADDIN EN.CITE &lt;EndNote&gt;&lt;Cite&gt;&lt;Author&gt;Crenshaw&lt;/Author&gt;&lt;Year&gt;1991&lt;/Year&gt;&lt;RecNum&gt;48&lt;/RecNum&gt;&lt;DisplayText&gt;Crenshaw, &amp;quot;How Terrorism Declines.&amp;quot;&lt;/DisplayText&gt;&lt;record&gt;&lt;rec-number&gt;48&lt;/rec-number&gt;&lt;foreign-keys&gt;&lt;key app="EN" db-id="s0ftft29jf2psaezx93xwz5s00fwpa9avrwv"&gt;48&lt;/key&gt;&lt;/foreign-keys&gt;&lt;ref-type name="Journal Article"&gt;17&lt;/ref-type&gt;&lt;contributors&gt;&lt;authors&gt;&lt;author&gt;Crenshaw, Martha&lt;/author&gt;&lt;/authors&gt;&lt;/contributors&gt;&lt;titles&gt;&lt;title&gt;How Terrorism Declines&lt;/title&gt;&lt;secondary-title&gt;Terrorism and Political Violence&lt;/secondary-title&gt;&lt;/titles&gt;&lt;periodical&gt;&lt;full-title&gt;Terrorism and Political Violence&lt;/full-title&gt;&lt;/periodical&gt;&lt;pages&gt;pp. 69-87&lt;/pages&gt;&lt;volume&gt;3 (1)&lt;/volume&gt;&lt;dates&gt;&lt;year&gt;1991&lt;/year&gt;&lt;/dates&gt;&lt;urls&gt;&lt;/urls&gt;&lt;/record&gt;&lt;/Cite&gt;&lt;/EndNote&gt;</w:instrText>
      </w:r>
      <w:r>
        <w:fldChar w:fldCharType="separate"/>
      </w:r>
      <w:r>
        <w:rPr>
          <w:noProof/>
        </w:rPr>
        <w:t>Crenshaw, "How Terrorism Declines."</w:t>
      </w:r>
      <w:r>
        <w:fldChar w:fldCharType="end"/>
      </w:r>
    </w:p>
  </w:footnote>
  <w:footnote w:id="90">
    <w:p w14:paraId="007E489F" w14:textId="704E8B3A" w:rsidR="007A04F6" w:rsidRDefault="007A04F6">
      <w:pPr>
        <w:pStyle w:val="FootnoteText"/>
      </w:pPr>
      <w:r>
        <w:rPr>
          <w:rStyle w:val="FootnoteReference"/>
        </w:rPr>
        <w:footnoteRef/>
      </w:r>
      <w:r>
        <w:t xml:space="preserve"> </w:t>
      </w:r>
      <w:r>
        <w:fldChar w:fldCharType="begin"/>
      </w:r>
      <w:r>
        <w:instrText xml:space="preserve"> ADDIN EN.CITE &lt;EndNote&gt;&lt;Cite&gt;&lt;Author&gt;Cronin&lt;/Author&gt;&lt;Year&gt;2006&lt;/Year&gt;&lt;RecNum&gt;50&lt;/RecNum&gt;&lt;DisplayText&gt;Cronin, &amp;quot;How Al-Qaida Ends: The Decline and Demise of Terrorist Groups.&amp;quot;&lt;/DisplayText&gt;&lt;record&gt;&lt;rec-number&gt;50&lt;/rec-number&gt;&lt;foreign-keys&gt;&lt;key app="EN" db-id="s0ftft29jf2psaezx93xwz5s00fwpa9avrwv"&gt;50&lt;/key&gt;&lt;/foreign-keys&gt;&lt;ref-type name="Journal Article"&gt;17&lt;/ref-type&gt;&lt;contributors&gt;&lt;authors&gt;&lt;author&gt;Cronin, Audrey Kurth&lt;/author&gt;&lt;/authors&gt;&lt;/contributors&gt;&lt;titles&gt;&lt;title&gt;How al-Qaida Ends: The Decline and Demise of Terrorist Groups&lt;/title&gt;&lt;secondary-title&gt;International Security&lt;/secondary-title&gt;&lt;/titles&gt;&lt;pages&gt;pp. 7-48&lt;/pages&gt;&lt;volume&gt;31 (1)&lt;/volume&gt;&lt;dates&gt;&lt;year&gt;2006&lt;/year&gt;&lt;/dates&gt;&lt;urls&gt;&lt;/urls&gt;&lt;/record&gt;&lt;/Cite&gt;&lt;/EndNote&gt;</w:instrText>
      </w:r>
      <w:r>
        <w:fldChar w:fldCharType="separate"/>
      </w:r>
      <w:r>
        <w:rPr>
          <w:noProof/>
        </w:rPr>
        <w:t>Cronin, "How Al-Qaida Ends: The Decline and Demise of Terrorist Groups."</w:t>
      </w:r>
      <w:r>
        <w:fldChar w:fldCharType="end"/>
      </w:r>
    </w:p>
  </w:footnote>
  <w:footnote w:id="91">
    <w:p w14:paraId="07B4B5AF" w14:textId="5775F3DD" w:rsidR="007A04F6" w:rsidRPr="00D7366D" w:rsidRDefault="007A04F6">
      <w:pPr>
        <w:pStyle w:val="FootnoteText"/>
        <w:rPr>
          <w:rFonts w:cs="Times New Roman"/>
          <w:sz w:val="22"/>
          <w:szCs w:val="22"/>
        </w:rPr>
      </w:pPr>
      <w:r w:rsidRPr="00D7366D">
        <w:rPr>
          <w:rStyle w:val="FootnoteReference"/>
          <w:rFonts w:cs="Times New Roman"/>
          <w:sz w:val="22"/>
          <w:szCs w:val="22"/>
        </w:rPr>
        <w:footnoteRef/>
      </w:r>
      <w:r w:rsidRPr="00D7366D">
        <w:rPr>
          <w:rFonts w:cs="Times New Roman"/>
          <w:sz w:val="22"/>
          <w:szCs w:val="22"/>
        </w:rPr>
        <w:t xml:space="preserve"> </w:t>
      </w:r>
      <w:r w:rsidRPr="00D7366D">
        <w:rPr>
          <w:rFonts w:cs="Times New Roman"/>
          <w:szCs w:val="21"/>
        </w:rPr>
        <w:fldChar w:fldCharType="begin"/>
      </w:r>
      <w:r>
        <w:rPr>
          <w:rFonts w:cs="Times New Roman"/>
          <w:szCs w:val="21"/>
        </w:rPr>
        <w:instrText xml:space="preserve"> ADDIN EN.CITE &lt;EndNote&gt;&lt;Cite&gt;&lt;Author&gt;Cronin&lt;/Author&gt;&lt;Year&gt;2006&lt;/Year&gt;&lt;RecNum&gt;50&lt;/RecNum&gt;&lt;DisplayText&gt;Ibid.&lt;/DisplayText&gt;&lt;record&gt;&lt;rec-number&gt;50&lt;/rec-number&gt;&lt;foreign-keys&gt;&lt;key app="EN" db-id="s0ftft29jf2psaezx93xwz5s00fwpa9avrwv"&gt;50&lt;/key&gt;&lt;/foreign-keys&gt;&lt;ref-type name="Journal Article"&gt;17&lt;/ref-type&gt;&lt;contributors&gt;&lt;authors&gt;&lt;author&gt;Cronin, Audrey Kurth&lt;/author&gt;&lt;/authors&gt;&lt;/contributors&gt;&lt;titles&gt;&lt;title&gt;How al-Qaida Ends: The Decline and Demise of Terrorist Groups&lt;/title&gt;&lt;secondary-title&gt;International Security&lt;/secondary-title&gt;&lt;/titles&gt;&lt;pages&gt;pp. 7-48&lt;/pages&gt;&lt;volume&gt;31 (1)&lt;/volume&gt;&lt;dates&gt;&lt;year&gt;2006&lt;/year&gt;&lt;/dates&gt;&lt;urls&gt;&lt;/urls&gt;&lt;/record&gt;&lt;/Cite&gt;&lt;/EndNote&gt;</w:instrText>
      </w:r>
      <w:r w:rsidRPr="00D7366D">
        <w:rPr>
          <w:rFonts w:cs="Times New Roman"/>
          <w:szCs w:val="21"/>
        </w:rPr>
        <w:fldChar w:fldCharType="separate"/>
      </w:r>
      <w:r>
        <w:rPr>
          <w:rFonts w:cs="Times New Roman"/>
          <w:noProof/>
          <w:szCs w:val="21"/>
        </w:rPr>
        <w:t>Ibid.</w:t>
      </w:r>
      <w:r w:rsidRPr="00D7366D">
        <w:rPr>
          <w:rFonts w:cs="Times New Roman"/>
          <w:szCs w:val="21"/>
        </w:rPr>
        <w:fldChar w:fldCharType="end"/>
      </w:r>
    </w:p>
  </w:footnote>
  <w:footnote w:id="92">
    <w:p w14:paraId="3AAABDB6" w14:textId="0B0F56C3" w:rsidR="007A04F6" w:rsidRPr="00D7366D" w:rsidRDefault="007A04F6" w:rsidP="00D7366D">
      <w:pPr>
        <w:pStyle w:val="FootnoteText"/>
      </w:pPr>
      <w:r w:rsidRPr="00D7366D">
        <w:rPr>
          <w:rStyle w:val="FootnoteReference"/>
          <w:rFonts w:cs="Times New Roman"/>
          <w:sz w:val="22"/>
          <w:szCs w:val="22"/>
        </w:rPr>
        <w:footnoteRef/>
      </w:r>
      <w:r w:rsidRPr="00D7366D">
        <w:t xml:space="preserve"> </w:t>
      </w:r>
      <w:r w:rsidRPr="00D7366D">
        <w:fldChar w:fldCharType="begin"/>
      </w:r>
      <w:r>
        <w:instrText xml:space="preserve"> ADDIN EN.CITE &lt;EndNote&gt;&lt;Cite&gt;&lt;Author&gt;Alterman&lt;/Author&gt;&lt;Year&gt;1999&lt;/Year&gt;&lt;RecNum&gt;19&lt;/RecNum&gt;&lt;DisplayText&gt;Alterman, &amp;quot;How Terrorism Ends.&amp;quot;&lt;/DisplayText&gt;&lt;record&gt;&lt;rec-number&gt;19&lt;/rec-number&gt;&lt;foreign-keys&gt;&lt;key app="EN" db-id="s0ftft29jf2psaezx93xwz5s00fwpa9avrwv"&gt;19&lt;/key&gt;&lt;/foreign-keys&gt;&lt;ref-type name="Report"&gt;27&lt;/ref-type&gt;&lt;contributors&gt;&lt;authors&gt;&lt;author&gt;Alterman, John&lt;/author&gt;&lt;/authors&gt;&lt;/contributors&gt;&lt;titles&gt;&lt;title&gt;How Terrorism Ends&lt;/title&gt;&lt;/titles&gt;&lt;dates&gt;&lt;year&gt;1999&lt;/year&gt;&lt;/dates&gt;&lt;pub-location&gt;Washington&lt;/pub-location&gt;&lt;publisher&gt;United States Institute of Peace&lt;/publisher&gt;&lt;urls&gt;&lt;/urls&gt;&lt;/record&gt;&lt;/Cite&gt;&lt;/EndNote&gt;</w:instrText>
      </w:r>
      <w:r w:rsidRPr="00D7366D">
        <w:fldChar w:fldCharType="separate"/>
      </w:r>
      <w:r>
        <w:rPr>
          <w:noProof/>
        </w:rPr>
        <w:t>Alterman, "How Terrorism Ends."</w:t>
      </w:r>
      <w:r w:rsidRPr="00D7366D">
        <w:fldChar w:fldCharType="end"/>
      </w:r>
    </w:p>
  </w:footnote>
  <w:footnote w:id="93">
    <w:p w14:paraId="433CCADE" w14:textId="77777777" w:rsidR="007A04F6" w:rsidRDefault="007A04F6" w:rsidP="000F395D">
      <w:pPr>
        <w:pStyle w:val="NoSpacing"/>
      </w:pPr>
      <w:r w:rsidRPr="00D7366D">
        <w:rPr>
          <w:rStyle w:val="FootnoteReference"/>
          <w:rFonts w:ascii="Times New Roman" w:hAnsi="Times New Roman" w:cs="Times New Roman"/>
          <w:sz w:val="22"/>
          <w:szCs w:val="22"/>
        </w:rPr>
        <w:footnoteRef/>
      </w:r>
      <w:r w:rsidRPr="00D7366D">
        <w:rPr>
          <w:rFonts w:ascii="Times New Roman" w:hAnsi="Times New Roman" w:cs="Times New Roman"/>
          <w:sz w:val="22"/>
          <w:szCs w:val="22"/>
        </w:rPr>
        <w:t xml:space="preserve"> </w:t>
      </w:r>
      <w:r>
        <w:rPr>
          <w:rFonts w:ascii="Times New Roman" w:hAnsi="Times New Roman" w:cs="Times New Roman"/>
          <w:sz w:val="21"/>
          <w:szCs w:val="21"/>
        </w:rPr>
        <w:t>Interview, Former Provisional IRA Member 2, Belfast, 2nd September 2013</w:t>
      </w:r>
    </w:p>
  </w:footnote>
  <w:footnote w:id="94">
    <w:p w14:paraId="0E3F7D6B" w14:textId="6F42833C"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95">
    <w:p w14:paraId="34BB3263" w14:textId="4DEF960B" w:rsidR="007A04F6" w:rsidRDefault="007A04F6">
      <w:pPr>
        <w:pStyle w:val="FootnoteText"/>
      </w:pPr>
      <w:r>
        <w:rPr>
          <w:rStyle w:val="FootnoteReference"/>
        </w:rPr>
        <w:footnoteRef/>
      </w:r>
      <w:r>
        <w:t xml:space="preserve"> </w:t>
      </w:r>
      <w:r>
        <w:fldChar w:fldCharType="begin"/>
      </w:r>
      <w:r>
        <w:instrText xml:space="preserve"> ADDIN EN.CITE &lt;EndNote&gt;&lt;Cite&gt;&lt;Author&gt;Gupta&lt;/Author&gt;&lt;Year&gt;2008&lt;/Year&gt;&lt;RecNum&gt;75&lt;/RecNum&gt;&lt;DisplayText&gt;Dipak K Gupta, &lt;style face="italic"&gt;Understanding Terrorism and Political Violence: The Life Cycle of Birth, Growth, Transformation, and Demise&lt;/style&gt;  (Oxon: Routledge, 2008).&lt;/DisplayText&gt;&lt;record&gt;&lt;rec-number&gt;75&lt;/rec-number&gt;&lt;foreign-keys&gt;&lt;key app="EN" db-id="s0ftft29jf2psaezx93xwz5s00fwpa9avrwv"&gt;75&lt;/key&gt;&lt;/foreign-keys&gt;&lt;ref-type name="Book"&gt;6&lt;/ref-type&gt;&lt;contributors&gt;&lt;authors&gt;&lt;author&gt;Gupta, Dipak K&lt;/author&gt;&lt;/authors&gt;&lt;/contributors&gt;&lt;titles&gt;&lt;title&gt;Understanding Terrorism and Political Violence: The life cycle of birth, growth, transformation, and demise&lt;/title&gt;&lt;/titles&gt;&lt;dates&gt;&lt;year&gt;2008&lt;/year&gt;&lt;/dates&gt;&lt;pub-location&gt;Oxon&lt;/pub-location&gt;&lt;publisher&gt;Routledge&lt;/publisher&gt;&lt;urls&gt;&lt;/urls&gt;&lt;/record&gt;&lt;/Cite&gt;&lt;/EndNote&gt;</w:instrText>
      </w:r>
      <w:r>
        <w:fldChar w:fldCharType="separate"/>
      </w:r>
      <w:r>
        <w:rPr>
          <w:noProof/>
        </w:rPr>
        <w:t xml:space="preserve">Dipak K Gupta, </w:t>
      </w:r>
      <w:r w:rsidRPr="003D17E7">
        <w:rPr>
          <w:i/>
          <w:noProof/>
        </w:rPr>
        <w:t>Understanding Terrorism and Political Violence: The Life Cycle of Birth, Growth, Transformation, and Demise</w:t>
      </w:r>
      <w:r>
        <w:rPr>
          <w:noProof/>
        </w:rPr>
        <w:t xml:space="preserve">  (Oxon: Routledge, 2008).</w:t>
      </w:r>
      <w:r>
        <w:fldChar w:fldCharType="end"/>
      </w:r>
      <w:r>
        <w:t xml:space="preserve">; </w:t>
      </w:r>
    </w:p>
  </w:footnote>
  <w:footnote w:id="96">
    <w:p w14:paraId="0C88C281" w14:textId="7616AD17" w:rsidR="007A04F6" w:rsidRDefault="007A04F6">
      <w:pPr>
        <w:pStyle w:val="FootnoteText"/>
      </w:pPr>
      <w:r>
        <w:rPr>
          <w:rStyle w:val="FootnoteReference"/>
        </w:rPr>
        <w:footnoteRef/>
      </w:r>
      <w:r>
        <w:t xml:space="preserve"> </w:t>
      </w:r>
      <w:r>
        <w:fldChar w:fldCharType="begin"/>
      </w:r>
      <w:r>
        <w:instrText xml:space="preserve"> ADDIN EN.CITE &lt;EndNote&gt;&lt;Cite&gt;&lt;Author&gt;Moghadam&lt;/Author&gt;&lt;Year&gt;2012&lt;/Year&gt;&lt;RecNum&gt;228&lt;/RecNum&gt;&lt;DisplayText&gt;Moghadam, &amp;quot;Failure and Disengagement in the Red Army Faction.&amp;quot;&lt;/DisplayText&gt;&lt;record&gt;&lt;rec-number&gt;228&lt;/rec-number&gt;&lt;foreign-keys&gt;&lt;key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Moghadam, "Failure and Disengagement in the Red Army Faction."</w:t>
      </w:r>
      <w:r>
        <w:fldChar w:fldCharType="end"/>
      </w:r>
    </w:p>
  </w:footnote>
  <w:footnote w:id="97">
    <w:p w14:paraId="759A8DBA" w14:textId="63FC1E95" w:rsidR="007A04F6" w:rsidRDefault="007A04F6">
      <w:pPr>
        <w:pStyle w:val="FootnoteText"/>
      </w:pPr>
      <w:r>
        <w:rPr>
          <w:rStyle w:val="FootnoteReference"/>
        </w:rPr>
        <w:footnoteRef/>
      </w:r>
      <w:r>
        <w:t xml:space="preserve"> </w:t>
      </w:r>
      <w:r>
        <w:fldChar w:fldCharType="begin"/>
      </w:r>
      <w:r>
        <w:instrText xml:space="preserve"> ADDIN EN.CITE &lt;EndNote&gt;&lt;Cite&gt;&lt;Author&gt;Moghadam&lt;/Author&gt;&lt;Year&gt;2012&lt;/Year&gt;&lt;RecNum&gt;228&lt;/RecNum&gt;&lt;DisplayText&gt;Ibid.&lt;/DisplayText&gt;&lt;record&gt;&lt;rec-number&gt;228&lt;/rec-number&gt;&lt;foreign-keys&gt;&lt;key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Ibid.</w:t>
      </w:r>
      <w:r>
        <w:fldChar w:fldCharType="end"/>
      </w:r>
    </w:p>
  </w:footnote>
  <w:footnote w:id="98">
    <w:p w14:paraId="453C019F" w14:textId="412DA99D" w:rsidR="007A04F6" w:rsidRDefault="007A04F6">
      <w:pPr>
        <w:pStyle w:val="FootnoteText"/>
      </w:pPr>
      <w:r>
        <w:rPr>
          <w:rStyle w:val="FootnoteReference"/>
        </w:rPr>
        <w:footnoteRef/>
      </w:r>
      <w:r>
        <w:t xml:space="preserve"> </w:t>
      </w:r>
      <w:r>
        <w:fldChar w:fldCharType="begin"/>
      </w:r>
      <w:r>
        <w:instrText xml:space="preserve"> ADDIN EN.CITE &lt;EndNote&gt;&lt;Cite&gt;&lt;Author&gt;Cronin&lt;/Author&gt;&lt;Year&gt;2006&lt;/Year&gt;&lt;RecNum&gt;50&lt;/RecNum&gt;&lt;DisplayText&gt;Cronin, &amp;quot;How Al-Qaida Ends: The Decline and Demise of Terrorist Groups.&amp;quot;&lt;/DisplayText&gt;&lt;record&gt;&lt;rec-number&gt;50&lt;/rec-number&gt;&lt;foreign-keys&gt;&lt;key app="EN" db-id="s0ftft29jf2psaezx93xwz5s00fwpa9avrwv"&gt;50&lt;/key&gt;&lt;/foreign-keys&gt;&lt;ref-type name="Journal Article"&gt;17&lt;/ref-type&gt;&lt;contributors&gt;&lt;authors&gt;&lt;author&gt;Cronin, Audrey Kurth&lt;/author&gt;&lt;/authors&gt;&lt;/contributors&gt;&lt;titles&gt;&lt;title&gt;How al-Qaida Ends: The Decline and Demise of Terrorist Groups&lt;/title&gt;&lt;secondary-title&gt;International Security&lt;/secondary-title&gt;&lt;/titles&gt;&lt;pages&gt;pp. 7-48&lt;/pages&gt;&lt;volume&gt;31 (1)&lt;/volume&gt;&lt;dates&gt;&lt;year&gt;2006&lt;/year&gt;&lt;/dates&gt;&lt;urls&gt;&lt;/urls&gt;&lt;/record&gt;&lt;/Cite&gt;&lt;/EndNote&gt;</w:instrText>
      </w:r>
      <w:r>
        <w:fldChar w:fldCharType="separate"/>
      </w:r>
      <w:r>
        <w:rPr>
          <w:noProof/>
        </w:rPr>
        <w:t>Cronin, "How Al-Qaida Ends: The Decline and Demise of Terrorist Groups."</w:t>
      </w:r>
      <w:r>
        <w:fldChar w:fldCharType="end"/>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99">
    <w:p w14:paraId="2A16FDB7" w14:textId="4DD6540F" w:rsidR="007A04F6" w:rsidRDefault="007A04F6">
      <w:pPr>
        <w:pStyle w:val="FootnoteText"/>
      </w:pPr>
      <w:r>
        <w:rPr>
          <w:rStyle w:val="FootnoteReference"/>
        </w:rPr>
        <w:footnoteRef/>
      </w:r>
      <w:r>
        <w:t xml:space="preserve"> </w:t>
      </w:r>
      <w:r>
        <w:fldChar w:fldCharType="begin"/>
      </w:r>
      <w:r>
        <w:instrText xml:space="preserve"> ADDIN EN.CITE &lt;EndNote&gt;&lt;Cite&gt;&lt;Author&gt;McAllister&lt;/Author&gt;&lt;Year&gt;2011&lt;/Year&gt;&lt;RecNum&gt;120&lt;/RecNum&gt;&lt;DisplayText&gt;Bradley McAllister and Alex P. Schmid, &amp;quot;Theories of Terrorism,&amp;quot; in &lt;style face="italic"&gt;The Routledge Handbook of Terrorism Research&lt;/style&gt;, ed. Alex P. Schmid (Oxon: Routledge, 2011).&lt;/DisplayText&gt;&lt;record&gt;&lt;rec-number&gt;120&lt;/rec-number&gt;&lt;foreign-keys&gt;&lt;key app="EN" db-id="s0ftft29jf2psaezx93xwz5s00fwpa9avrwv"&gt;120&lt;/key&gt;&lt;/foreign-keys&gt;&lt;ref-type name="Book Section"&gt;5&lt;/ref-type&gt;&lt;contributors&gt;&lt;authors&gt;&lt;author&gt;McAllister, Bradley&lt;/author&gt;&lt;author&gt;Schmid, Alex P.&lt;/author&gt;&lt;/authors&gt;&lt;secondary-authors&gt;&lt;author&gt;Schmid, Alex P.&lt;/author&gt;&lt;/secondary-authors&gt;&lt;/contributors&gt;&lt;titles&gt;&lt;title&gt;Theories of Terrorism&lt;/title&gt;&lt;secondary-title&gt;The Routledge Handbook of Terrorism Research&lt;/secondary-title&gt;&lt;/titles&gt;&lt;dates&gt;&lt;year&gt;2011&lt;/year&gt;&lt;/dates&gt;&lt;pub-location&gt;Oxon&lt;/pub-location&gt;&lt;publisher&gt;Routledge&lt;/publisher&gt;&lt;urls&gt;&lt;/urls&gt;&lt;/record&gt;&lt;/Cite&gt;&lt;/EndNote&gt;</w:instrText>
      </w:r>
      <w:r>
        <w:fldChar w:fldCharType="separate"/>
      </w:r>
      <w:r>
        <w:rPr>
          <w:noProof/>
        </w:rPr>
        <w:t xml:space="preserve">Bradley McAllister and Alex P. Schmid, "Theories of Terrorism," in </w:t>
      </w:r>
      <w:r w:rsidRPr="00341C5F">
        <w:rPr>
          <w:i/>
          <w:noProof/>
        </w:rPr>
        <w:t>The Routledge Handbook of Terrorism Research</w:t>
      </w:r>
      <w:r>
        <w:rPr>
          <w:noProof/>
        </w:rPr>
        <w:t>, ed. Alex P. Schmid (Oxon: Routledge, 2011).</w:t>
      </w:r>
      <w:r>
        <w:fldChar w:fldCharType="end"/>
      </w:r>
    </w:p>
  </w:footnote>
  <w:footnote w:id="100">
    <w:p w14:paraId="4F101DDC" w14:textId="68A11B05" w:rsidR="007A04F6" w:rsidRDefault="007A04F6" w:rsidP="00D3750C">
      <w:pPr>
        <w:pStyle w:val="FootnoteText"/>
      </w:pPr>
      <w:r>
        <w:rPr>
          <w:rStyle w:val="FootnoteReference"/>
        </w:rPr>
        <w:footnoteRef/>
      </w:r>
      <w:r>
        <w:t xml:space="preserve"> </w:t>
      </w:r>
      <w:r>
        <w:fldChar w:fldCharType="begin"/>
      </w:r>
      <w:r>
        <w:instrText xml:space="preserve"> ADDIN EN.CITE &lt;EndNote&gt;&lt;Cite&gt;&lt;Author&gt;Wight&lt;/Author&gt;&lt;Year&gt;2009&lt;/Year&gt;&lt;RecNum&gt;172&lt;/RecNum&gt;&lt;DisplayText&gt;Colin Wight, &amp;quot;Theorising Terrorism: The State, Structure and History,&amp;quot; &lt;style face="italic"&gt;International Relations&lt;/style&gt; 23 (1)(2009).&lt;/DisplayText&gt;&lt;record&gt;&lt;rec-number&gt;172&lt;/rec-number&gt;&lt;foreign-keys&gt;&lt;key app="EN" db-id="s0ftft29jf2psaezx93xwz5s00fwpa9avrwv"&gt;172&lt;/key&gt;&lt;/foreign-keys&gt;&lt;ref-type name="Journal Article"&gt;17&lt;/ref-type&gt;&lt;contributors&gt;&lt;authors&gt;&lt;author&gt;Wight, Colin&lt;/author&gt;&lt;/authors&gt;&lt;/contributors&gt;&lt;titles&gt;&lt;title&gt;Theorising Terrorism: the State, Structure and History&lt;/title&gt;&lt;secondary-title&gt;International Relations&lt;/secondary-title&gt;&lt;/titles&gt;&lt;pages&gt;pp. 99-106&lt;/pages&gt;&lt;volume&gt;23 (1)&lt;/volume&gt;&lt;dates&gt;&lt;year&gt;2009&lt;/year&gt;&lt;/dates&gt;&lt;urls&gt;&lt;/urls&gt;&lt;/record&gt;&lt;/Cite&gt;&lt;/EndNote&gt;</w:instrText>
      </w:r>
      <w:r>
        <w:fldChar w:fldCharType="separate"/>
      </w:r>
      <w:r>
        <w:rPr>
          <w:noProof/>
        </w:rPr>
        <w:t xml:space="preserve">Colin Wight, "Theorising Terrorism: The State, Structure and History," </w:t>
      </w:r>
      <w:r w:rsidRPr="003D17E7">
        <w:rPr>
          <w:i/>
          <w:noProof/>
        </w:rPr>
        <w:t>International Relations</w:t>
      </w:r>
      <w:r>
        <w:rPr>
          <w:noProof/>
        </w:rPr>
        <w:t xml:space="preserve"> 23 (1)(2009).</w:t>
      </w:r>
      <w:r>
        <w:fldChar w:fldCharType="end"/>
      </w:r>
    </w:p>
  </w:footnote>
  <w:footnote w:id="101">
    <w:p w14:paraId="38566C98" w14:textId="021643D8" w:rsidR="007A04F6" w:rsidRDefault="007A04F6">
      <w:pPr>
        <w:pStyle w:val="FootnoteText"/>
      </w:pPr>
      <w:r>
        <w:rPr>
          <w:rStyle w:val="FootnoteReference"/>
        </w:rPr>
        <w:footnoteRef/>
      </w:r>
      <w:r>
        <w:t xml:space="preserve"> </w:t>
      </w:r>
      <w:r>
        <w:fldChar w:fldCharType="begin"/>
      </w:r>
      <w:r>
        <w:instrText xml:space="preserve"> ADDIN EN.CITE &lt;EndNote&gt;&lt;Cite&gt;&lt;Author&gt;Schmid&lt;/Author&gt;&lt;Year&gt;2005&lt;/Year&gt;&lt;RecNum&gt;194&lt;/RecNum&gt;&lt;DisplayText&gt;Alex P. Schmid, &amp;quot;Root Causes of Terrorism: Some Conceptual Notes, a Set of Indicators, and a Model,&amp;quot; &lt;style face="italic"&gt;Democracy and Security&lt;/style&gt; 1 (2)(2005).&lt;/DisplayText&gt;&lt;record&gt;&lt;rec-number&gt;194&lt;/rec-number&gt;&lt;foreign-keys&gt;&lt;key app="EN" db-id="s0ftft29jf2psaezx93xwz5s00fwpa9avrwv"&gt;194&lt;/key&gt;&lt;/foreign-keys&gt;&lt;ref-type name="Journal Article"&gt;17&lt;/ref-type&gt;&lt;contributors&gt;&lt;authors&gt;&lt;author&gt;Schmid, Alex P.&lt;/author&gt;&lt;/authors&gt;&lt;/contributors&gt;&lt;titles&gt;&lt;title&gt;Root Causes of Terrorism: Some Conceptual Notes, a Set of Indicators, and a Model&lt;/title&gt;&lt;secondary-title&gt;Democracy and Security&lt;/secondary-title&gt;&lt;/titles&gt;&lt;pages&gt;pp. 127-136&lt;/pages&gt;&lt;volume&gt;1 (2)&lt;/volume&gt;&lt;dates&gt;&lt;year&gt;2005&lt;/year&gt;&lt;/dates&gt;&lt;urls&gt;&lt;/urls&gt;&lt;/record&gt;&lt;/Cite&gt;&lt;/EndNote&gt;</w:instrText>
      </w:r>
      <w:r>
        <w:fldChar w:fldCharType="separate"/>
      </w:r>
      <w:r>
        <w:rPr>
          <w:noProof/>
        </w:rPr>
        <w:t xml:space="preserve">Alex P. Schmid, "Root Causes of Terrorism: Some Conceptual Notes, a Set of Indicators, and a Model," </w:t>
      </w:r>
      <w:r w:rsidRPr="003D17E7">
        <w:rPr>
          <w:i/>
          <w:noProof/>
        </w:rPr>
        <w:t>Democracy and Security</w:t>
      </w:r>
      <w:r>
        <w:rPr>
          <w:noProof/>
        </w:rPr>
        <w:t xml:space="preserve"> 1 (2)(2005).</w:t>
      </w:r>
      <w:r>
        <w:fldChar w:fldCharType="end"/>
      </w:r>
    </w:p>
  </w:footnote>
  <w:footnote w:id="102">
    <w:p w14:paraId="6690DDBB" w14:textId="1A593E3A" w:rsidR="007A04F6" w:rsidRDefault="007A04F6">
      <w:pPr>
        <w:pStyle w:val="FootnoteText"/>
      </w:pPr>
      <w:r>
        <w:rPr>
          <w:rStyle w:val="FootnoteReference"/>
        </w:rPr>
        <w:footnoteRef/>
      </w:r>
      <w:r>
        <w:t xml:space="preserve"> Cited in </w:t>
      </w:r>
      <w:r>
        <w:fldChar w:fldCharType="begin"/>
      </w:r>
      <w:r>
        <w:instrText xml:space="preserve"> ADDIN EN.CITE &lt;EndNote&gt;&lt;Cite&gt;&lt;Author&gt;Schmid&lt;/Author&gt;&lt;Year&gt;2013&lt;/Year&gt;&lt;RecNum&gt;222&lt;/RecNum&gt;&lt;DisplayText&gt;&amp;quot;Radicalisation,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"Radicalisation, De-Radicalisation, Counter-Radicalisation: A Conceptual Discussion and Literature Review."</w:t>
      </w:r>
      <w:r>
        <w:fldChar w:fldCharType="end"/>
      </w:r>
      <w:r>
        <w:t xml:space="preserve"> pp. 50</w:t>
      </w:r>
    </w:p>
  </w:footnote>
  <w:footnote w:id="103">
    <w:p w14:paraId="5E9738F5" w14:textId="3A1CC8BE" w:rsidR="007A04F6" w:rsidRDefault="007A04F6">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&lt;EndNote&gt;&lt;Cite&gt;&lt;Author&gt;Schmid&lt;/Author&gt;&lt;Year&gt;2013&lt;/Year&gt;&lt;RecNum&gt;222&lt;/RecNum&gt;&lt;DisplayText&gt;Ibid.&lt;/DisplayText&gt;&lt;record&gt;&lt;rec-number&gt;222&lt;/rec-number&gt;&lt;foreign-keys&gt;&lt;key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Ibid.</w:t>
      </w:r>
      <w:r>
        <w:fldChar w:fldCharType="end"/>
      </w:r>
    </w:p>
  </w:footnote>
  <w:footnote w:id="104">
    <w:p w14:paraId="6A70E9AA" w14:textId="012564E8" w:rsidR="007A04F6" w:rsidRDefault="007A04F6">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&lt;EndNote&gt;&lt;Cite&gt;&lt;Author&gt;Schmid&lt;/Author&gt;&lt;Year&gt;2013&lt;/Year&gt;&lt;RecNum&gt;222&lt;/RecNum&gt;&lt;DisplayText&gt;Ibid.&lt;/DisplayText&gt;&lt;record&gt;&lt;rec-number&gt;222&lt;/rec-number&gt;&lt;foreign-keys&gt;&lt;key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Ibid.</w:t>
      </w:r>
      <w:r>
        <w:fldChar w:fldCharType="end"/>
      </w:r>
    </w:p>
  </w:footnote>
  <w:footnote w:id="105">
    <w:p w14:paraId="08C116B9" w14:textId="77777777" w:rsidR="007A04F6" w:rsidRDefault="007A04F6" w:rsidP="00D7366D">
      <w:pPr>
        <w:pStyle w:val="NoSpacing"/>
      </w:pPr>
      <w:r w:rsidRPr="00D7366D">
        <w:rPr>
          <w:rStyle w:val="FootnoteReference"/>
          <w:rFonts w:ascii="Times New Roman" w:hAnsi="Times New Roman" w:cs="Times New Roman"/>
          <w:sz w:val="21"/>
          <w:szCs w:val="21"/>
        </w:rPr>
        <w:footnoteRef/>
      </w:r>
      <w:r w:rsidRPr="00D7366D">
        <w:rPr>
          <w:rFonts w:ascii="Times New Roman" w:hAnsi="Times New Roman" w:cs="Times New Roman"/>
          <w:sz w:val="21"/>
          <w:szCs w:val="21"/>
        </w:rPr>
        <w:t xml:space="preserve"> </w:t>
      </w:r>
      <w:r>
        <w:rPr>
          <w:rFonts w:ascii="Times New Roman" w:hAnsi="Times New Roman" w:cs="Times New Roman"/>
          <w:sz w:val="21"/>
          <w:szCs w:val="21"/>
        </w:rPr>
        <w:t>Interview, Home Office Security Official, London, 9th August 2013</w:t>
      </w:r>
      <w:r>
        <w:t xml:space="preserve"> </w:t>
      </w:r>
    </w:p>
  </w:footnote>
  <w:footnote w:id="106">
    <w:p w14:paraId="72916343" w14:textId="383F64BC" w:rsidR="007A04F6" w:rsidRDefault="007A04F6" w:rsidP="00A25BB4">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p>
  </w:footnote>
  <w:footnote w:id="107">
    <w:p w14:paraId="4E99FA0C" w14:textId="72DD3A8B" w:rsidR="007A04F6" w:rsidRDefault="007A04F6">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&lt;EndNote&gt;&lt;Cite&gt;&lt;Author&gt;Rapoport&lt;/Author&gt;&lt;Year&gt;2004&lt;/Year&gt;&lt;RecNum&gt;142&lt;/RecNum&gt;&lt;DisplayText&gt;Ibid.&lt;/DisplayText&gt;&lt;record&gt;&lt;rec-number&gt;142&lt;/rec-number&gt;&lt;foreign-keys&gt;&lt;key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Ibid.</w:t>
      </w:r>
      <w:r>
        <w:fldChar w:fldCharType="end"/>
      </w:r>
    </w:p>
  </w:footnote>
  <w:footnote w:id="108">
    <w:p w14:paraId="041A902E" w14:textId="41AE5C40"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&lt;EndNote&gt;&lt;Cite&gt;&lt;Author&gt;Rasler&lt;/Author&gt;&lt;Year&gt;2009&lt;/Year&gt;&lt;RecNum&gt;143&lt;/RecNum&gt;&lt;DisplayText&gt;Karen Rasler and William Thompson, &amp;quot;Looking for Waves of Terrorism,&amp;quot; &lt;style face="italic"&gt;Terrorism and Political Violence&lt;/style&gt; 21 (1)(2009).&lt;/DisplayText&gt;&lt;record&gt;&lt;rec-number&gt;143&lt;/rec-number&gt;&lt;foreign-keys&gt;&lt;key app="EN" db-id="s0ftft29jf2psaezx93xwz5s00fwpa9avrwv"&gt;143&lt;/key&gt;&lt;/foreign-keys&gt;&lt;ref-type name="Journal Article"&gt;17&lt;/ref-type&gt;&lt;contributors&gt;&lt;authors&gt;&lt;author&gt;Rasler, Karen&lt;/author&gt;&lt;author&gt;Thompson, William&lt;/author&gt;&lt;/authors&gt;&lt;/contributors&gt;&lt;titles&gt;&lt;title&gt;Looking for Waves of Terrorism&lt;/title&gt;&lt;secondary-title&gt;Terrorism and Political Violence&lt;/secondary-title&gt;&lt;/titles&gt;&lt;periodical&gt;&lt;full-title&gt;Terrorism and Political Violence&lt;/full-title&gt;&lt;/periodical&gt;&lt;pages&gt;pp. 28-41&lt;/pages&gt;&lt;volume&gt;21 (1)&lt;/volume&gt;&lt;dates&gt;&lt;year&gt;2009&lt;/year&gt;&lt;/dates&gt;&lt;urls&gt;&lt;/urls&gt;&lt;/record&gt;&lt;/Cite&gt;&lt;/EndNote&gt;</w:instrText>
      </w:r>
      <w:r>
        <w:fldChar w:fldCharType="separate"/>
      </w:r>
      <w:r>
        <w:rPr>
          <w:noProof/>
        </w:rPr>
        <w:t xml:space="preserve">Karen Rasler and William Thompson, "Looking for Waves of Terrorism," </w:t>
      </w:r>
      <w:r w:rsidRPr="003D17E7">
        <w:rPr>
          <w:i/>
          <w:noProof/>
        </w:rPr>
        <w:t>Terrorism and Political Violence</w:t>
      </w:r>
      <w:r>
        <w:rPr>
          <w:noProof/>
        </w:rPr>
        <w:t xml:space="preserve"> 21 (1)(2009).</w:t>
      </w:r>
      <w:r>
        <w:fldChar w:fldCharType="end"/>
      </w:r>
    </w:p>
  </w:footnote>
  <w:footnote w:id="109">
    <w:p w14:paraId="0A19E4D2" w14:textId="4135ED75"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r>
        <w:t xml:space="preserve"> pp. 47</w:t>
      </w:r>
    </w:p>
  </w:footnote>
  <w:footnote w:id="110">
    <w:p w14:paraId="1E6BF0EE" w14:textId="50EE1847"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&lt;EndNote&gt;&lt;Cite&gt;&lt;Author&gt;Rapoport&lt;/Author&gt;&lt;Year&gt;2004&lt;/Year&gt;&lt;RecNum&gt;142&lt;/RecNum&gt;&lt;DisplayText&gt;Ibid.&lt;/DisplayText&gt;&lt;record&gt;&lt;rec-number&gt;142&lt;/rec-number&gt;&lt;foreign-keys&gt;&lt;key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Ibid.</w:t>
      </w:r>
      <w:r>
        <w:fldChar w:fldCharType="end"/>
      </w:r>
      <w:r>
        <w:t xml:space="preserve"> pp. 48</w:t>
      </w:r>
    </w:p>
  </w:footnote>
  <w:footnote w:id="111">
    <w:p w14:paraId="2E06AD7C" w14:textId="78ED6798"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&lt;EndNote&gt;&lt;Cite&gt;&lt;Author&gt;Rapoport&lt;/Author&gt;&lt;Year&gt;2004&lt;/Year&gt;&lt;RecNum&gt;142&lt;/RecNum&gt;&lt;DisplayText&gt;Ibid.&lt;/DisplayText&gt;&lt;record&gt;&lt;rec-number&gt;142&lt;/rec-number&gt;&lt;foreign-keys&gt;&lt;key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Ibid.</w:t>
      </w:r>
      <w:r>
        <w:fldChar w:fldCharType="end"/>
      </w:r>
    </w:p>
  </w:footnote>
  <w:footnote w:id="112">
    <w:p w14:paraId="513A2B6A" w14:textId="38161333"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&lt;EndNote&gt;&lt;Cite&gt;&lt;Author&gt;Weinberg&lt;/Author&gt;&lt;Year&gt;2010&lt;/Year&gt;&lt;RecNum&gt;168&lt;/RecNum&gt;&lt;DisplayText&gt;Leonard Weinberg and William Eubank, &amp;quot;An End to the Fourth Wave of Terrorism?,&amp;quot; &lt;style face="italic"&gt;Studies of Conflict &amp;amp; Terrorism&lt;/style&gt; 33 (7)(2010).&lt;/DisplayText&gt;&lt;record&gt;&lt;rec-number&gt;168&lt;/rec-number&gt;&lt;foreign-keys&gt;&lt;key app="EN" db-id="s0ftft29jf2psaezx93xwz5s00fwpa9avrwv"&gt;168&lt;/key&gt;&lt;/foreign-keys&gt;&lt;ref-type name="Journal Article"&gt;17&lt;/ref-type&gt;&lt;contributors&gt;&lt;authors&gt;&lt;author&gt;Weinberg, Leonard&lt;/author&gt;&lt;author&gt;Eubank, William&lt;/author&gt;&lt;/authors&gt;&lt;/contributors&gt;&lt;titles&gt;&lt;title&gt;An End to the Fourth Wave of Terrorism?&lt;/title&gt;&lt;secondary-title&gt;Studies of Conflict &amp;amp; Terrorism&lt;/secondary-title&gt;&lt;/titles&gt;&lt;pages&gt;pp. 594-602&lt;/pages&gt;&lt;volume&gt;33 (7)&lt;/volume&gt;&lt;dates&gt;&lt;year&gt;2010&lt;/year&gt;&lt;/dates&gt;&lt;urls&gt;&lt;/urls&gt;&lt;/record&gt;&lt;/Cite&gt;&lt;/EndNote&gt;</w:instrText>
      </w:r>
      <w:r>
        <w:fldChar w:fldCharType="separate"/>
      </w:r>
      <w:r>
        <w:rPr>
          <w:noProof/>
        </w:rPr>
        <w:t xml:space="preserve">Leonard Weinberg and William Eubank, "An End to the Fourth Wave of Terrorism?," </w:t>
      </w:r>
      <w:r w:rsidRPr="003D17E7">
        <w:rPr>
          <w:i/>
          <w:noProof/>
        </w:rPr>
        <w:t>Studies of Conflict &amp; Terrorism</w:t>
      </w:r>
      <w:r>
        <w:rPr>
          <w:noProof/>
        </w:rPr>
        <w:t xml:space="preserve"> 33 (7)(2010).</w:t>
      </w:r>
      <w:r>
        <w:fldChar w:fldCharType="end"/>
      </w:r>
    </w:p>
  </w:footnote>
  <w:footnote w:id="113">
    <w:p w14:paraId="3FA05248" w14:textId="04CB1959"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&lt;EndNote&gt;&lt;Cite&gt;&lt;Author&gt;Cronin&lt;/Author&gt;&lt;Year&gt;2008&lt;/Year&gt;&lt;RecNum&gt;51&lt;/RecNum&gt;&lt;DisplayText&gt;Cronin, &lt;style face="italic"&gt;Ending Terrorism : Lessons for Defeating Al-Qaeda&lt;/style&gt;.&lt;/DisplayText&gt;&lt;record&gt;&lt;rec-number&gt;51&lt;/rec-number&gt;&lt;foreign-keys&gt;&lt;key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fldChar w:fldCharType="separate"/>
      </w:r>
      <w:r>
        <w:rPr>
          <w:noProof/>
        </w:rPr>
        <w:t xml:space="preserve">Cronin, </w:t>
      </w:r>
      <w:r w:rsidRPr="003D17E7">
        <w:rPr>
          <w:i/>
          <w:noProof/>
        </w:rPr>
        <w:t>Ending Terrorism : Lessons for Defeating Al-Qaeda</w:t>
      </w:r>
      <w:r>
        <w:rPr>
          <w:noProof/>
        </w:rPr>
        <w:t>.</w:t>
      </w:r>
      <w:r>
        <w:fldChar w:fldCharType="end"/>
      </w:r>
    </w:p>
  </w:footnote>
  <w:footnote w:id="114">
    <w:p w14:paraId="048166A8" w14:textId="20E0B21F"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&lt;EndNote&gt;&lt;Cite&gt;&lt;Author&gt;Sageman&lt;/Author&gt;&lt;Year&gt;2011&lt;/Year&gt;&lt;RecNum&gt;151&lt;/RecNum&gt;&lt;DisplayText&gt;Mark Sageman, &amp;quot;Ripples in the Waves: Fantasies and Fashions,&amp;quot; in &lt;style face="italic"&gt;Terrorism, Identity and Legitimacy: The Four Waves Theory and Political Violence&lt;/style&gt;, ed. J Rosenfeld (Oxon: Routledge, 2011).&lt;/DisplayText&gt;&lt;record&gt;&lt;rec-number&gt;151&lt;/rec-number&gt;&lt;foreign-keys&gt;&lt;key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 xml:space="preserve">Mark Sageman, "Ripples in the Waves: Fantasies and Fashions," in </w:t>
      </w:r>
      <w:r w:rsidRPr="003D17E7">
        <w:rPr>
          <w:i/>
          <w:noProof/>
        </w:rPr>
        <w:t>Terrorism, Identity and Legitimacy: The Four Waves Theory and Political Violence</w:t>
      </w:r>
      <w:r>
        <w:rPr>
          <w:noProof/>
        </w:rPr>
        <w:t>, ed. J Rosenfeld (Oxon: Routledge, 2011).</w:t>
      </w:r>
      <w:r>
        <w:fldChar w:fldCharType="end"/>
      </w:r>
    </w:p>
  </w:footnote>
  <w:footnote w:id="115">
    <w:p w14:paraId="4E05D30B" w14:textId="38A1D9A7" w:rsidR="007A04F6" w:rsidRDefault="007A04F6" w:rsidP="00C041A7">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r>
        <w:t xml:space="preserve"> pp. 52</w:t>
      </w:r>
    </w:p>
  </w:footnote>
  <w:footnote w:id="116">
    <w:p w14:paraId="42F5A3CE" w14:textId="5BF8F84F"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&lt;EndNote&gt;&lt;Cite&gt;&lt;Author&gt;Rapoport&lt;/Author&gt;&lt;Year&gt;2004&lt;/Year&gt;&lt;RecNum&gt;142&lt;/RecNum&gt;&lt;DisplayText&gt;Ibid.&lt;/DisplayText&gt;&lt;record&gt;&lt;rec-number&gt;142&lt;/rec-number&gt;&lt;foreign-keys&gt;&lt;key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Ibid.</w:t>
      </w:r>
      <w:r>
        <w:fldChar w:fldCharType="end"/>
      </w:r>
      <w:r>
        <w:t xml:space="preserve"> </w:t>
      </w:r>
    </w:p>
  </w:footnote>
  <w:footnote w:id="117">
    <w:p w14:paraId="6499E5C8" w14:textId="6C2E0F76"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&lt;EndNote&gt;&lt;Cite&gt;&lt;Author&gt;Gvineria&lt;/Author&gt;&lt;Year&gt;2009&lt;/Year&gt;&lt;RecNum&gt;78&lt;/RecNum&gt;&lt;DisplayText&gt;Gvineria, &amp;quot;How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Gvineria, "How Does Terrorism End?."</w:t>
      </w:r>
      <w:r>
        <w:fldChar w:fldCharType="end"/>
      </w:r>
    </w:p>
  </w:footnote>
  <w:footnote w:id="118">
    <w:p w14:paraId="7F112296" w14:textId="3B8AE03C"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p>
  </w:footnote>
  <w:footnote w:id="119">
    <w:p w14:paraId="4F68DB23" w14:textId="336A613B"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&lt;EndNote&gt;&lt;Cite&gt;&lt;Author&gt;Rasler&lt;/Author&gt;&lt;Year&gt;2009&lt;/Year&gt;&lt;RecNum&gt;143&lt;/RecNum&gt;&lt;DisplayText&gt;Rasler and Thompson, &amp;quot;Looking for Waves of Terrorism.&amp;quot;&lt;/DisplayText&gt;&lt;record&gt;&lt;rec-number&gt;143&lt;/rec-number&gt;&lt;foreign-keys&gt;&lt;key app="EN" db-id="s0ftft29jf2psaezx93xwz5s00fwpa9avrwv"&gt;143&lt;/key&gt;&lt;/foreign-keys&gt;&lt;ref-type name="Journal Article"&gt;17&lt;/ref-type&gt;&lt;contributors&gt;&lt;authors&gt;&lt;author&gt;Rasler, Karen&lt;/author&gt;&lt;author&gt;Thompson, William&lt;/author&gt;&lt;/authors&gt;&lt;/contributors&gt;&lt;titles&gt;&lt;title&gt;Looking for Waves of Terrorism&lt;/title&gt;&lt;secondary-title&gt;Terrorism and Political Violence&lt;/secondary-title&gt;&lt;/titles&gt;&lt;periodical&gt;&lt;full-title&gt;Terrorism and Political Violence&lt;/full-title&gt;&lt;/periodical&gt;&lt;pages&gt;pp. 28-41&lt;/pages&gt;&lt;volume&gt;21 (1)&lt;/volume&gt;&lt;dates&gt;&lt;year&gt;2009&lt;/year&gt;&lt;/dates&gt;&lt;urls&gt;&lt;/urls&gt;&lt;/record&gt;&lt;/Cite&gt;&lt;/EndNote&gt;</w:instrText>
      </w:r>
      <w:r>
        <w:fldChar w:fldCharType="separate"/>
      </w:r>
      <w:r>
        <w:rPr>
          <w:noProof/>
        </w:rPr>
        <w:t>Rasler and Thompson, "Looking for Waves of Terrorism."</w:t>
      </w:r>
      <w:r>
        <w:fldChar w:fldCharType="end"/>
      </w:r>
    </w:p>
  </w:footnote>
  <w:footnote w:id="120">
    <w:p w14:paraId="04ABB74B" w14:textId="5A5486D2"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&lt;EndNote&gt;&lt;Cite&gt;&lt;Author&gt;Rasler&lt;/Author&gt;&lt;Year&gt;2009&lt;/Year&gt;&lt;RecNum&gt;143&lt;/RecNum&gt;&lt;DisplayText&gt;Ibid.&lt;/DisplayText&gt;&lt;record&gt;&lt;rec-number&gt;143&lt;/rec-number&gt;&lt;foreign-keys&gt;&lt;key app="EN" db-id="s0ftft29jf2psaezx93xwz5s00fwpa9avrwv"&gt;143&lt;/key&gt;&lt;/foreign-keys&gt;&lt;ref-type name="Journal Article"&gt;17&lt;/ref-type&gt;&lt;contributors&gt;&lt;authors&gt;&lt;author&gt;Rasler, Karen&lt;/author&gt;&lt;author&gt;Thompson, William&lt;/author&gt;&lt;/authors&gt;&lt;/contributors&gt;&lt;titles&gt;&lt;title&gt;Looking for Waves of Terrorism&lt;/title&gt;&lt;secondary-title&gt;Terrorism and Political Violence&lt;/secondary-title&gt;&lt;/titles&gt;&lt;periodical&gt;&lt;full-title&gt;Terrorism and Political Violence&lt;/full-title&gt;&lt;/periodical&gt;&lt;pages&gt;pp. 28-41&lt;/pages&gt;&lt;volume&gt;21 (1)&lt;/volume&gt;&lt;dates&gt;&lt;year&gt;2009&lt;/year&gt;&lt;/dates&gt;&lt;urls&gt;&lt;/urls&gt;&lt;/record&gt;&lt;/Cite&gt;&lt;/EndNote&gt;</w:instrText>
      </w:r>
      <w:r>
        <w:fldChar w:fldCharType="separate"/>
      </w:r>
      <w:r>
        <w:rPr>
          <w:noProof/>
        </w:rPr>
        <w:t>Ibid.</w:t>
      </w:r>
      <w:r>
        <w:fldChar w:fldCharType="end"/>
      </w:r>
    </w:p>
  </w:footnote>
  <w:footnote w:id="121">
    <w:p w14:paraId="4AA36919" w14:textId="2A9109BA"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&lt;EndNote&gt;&lt;Cite&gt;&lt;Author&gt;Weinberg&lt;/Author&gt;&lt;Year&gt;2010&lt;/Year&gt;&lt;RecNum&gt;168&lt;/RecNum&gt;&lt;DisplayText&gt;Weinberg and Eubank, &amp;quot;An End to the Fourth Wave of Terrorism?.&amp;quot;&lt;/DisplayText&gt;&lt;record&gt;&lt;rec-number&gt;168&lt;/rec-number&gt;&lt;foreign-keys&gt;&lt;key app="EN" db-id="s0ftft29jf2psaezx93xwz5s00fwpa9avrwv"&gt;168&lt;/key&gt;&lt;/foreign-keys&gt;&lt;ref-type name="Journal Article"&gt;17&lt;/ref-type&gt;&lt;contributors&gt;&lt;authors&gt;&lt;author&gt;Weinberg, Leonard&lt;/author&gt;&lt;author&gt;Eubank, William&lt;/author&gt;&lt;/authors&gt;&lt;/contributors&gt;&lt;titles&gt;&lt;title&gt;An End to the Fourth Wave of Terrorism?&lt;/title&gt;&lt;secondary-title&gt;Studies of Conflict &amp;amp; Terrorism&lt;/secondary-title&gt;&lt;/titles&gt;&lt;pages&gt;pp. 594-602&lt;/pages&gt;&lt;volume&gt;33 (7)&lt;/volume&gt;&lt;dates&gt;&lt;year&gt;2010&lt;/year&gt;&lt;/dates&gt;&lt;urls&gt;&lt;/urls&gt;&lt;/record&gt;&lt;/Cite&gt;&lt;/EndNote&gt;</w:instrText>
      </w:r>
      <w:r>
        <w:fldChar w:fldCharType="separate"/>
      </w:r>
      <w:r>
        <w:rPr>
          <w:noProof/>
        </w:rPr>
        <w:t>Weinberg and Eubank, "An End to the Fourth Wave of Terrorism?."</w:t>
      </w:r>
      <w:r>
        <w:fldChar w:fldCharType="end"/>
      </w:r>
    </w:p>
  </w:footnote>
  <w:footnote w:id="122">
    <w:p w14:paraId="7A03CE67" w14:textId="32302425" w:rsidR="007A04F6" w:rsidRDefault="007A04F6" w:rsidP="000B0CCA">
      <w:pPr>
        <w:pStyle w:val="FootnoteText"/>
      </w:pPr>
      <w:r>
        <w:rPr>
          <w:rStyle w:val="FootnoteReference"/>
        </w:rPr>
        <w:footnoteRef/>
      </w:r>
      <w:r>
        <w:t xml:space="preserve"> </w:t>
      </w:r>
      <w:r>
        <w:fldChar w:fldCharType="begin"/>
      </w:r>
      <w:r>
        <w:instrText xml:space="preserve"> ADDIN EN.CITE &lt;EndNote&gt;&lt;Cite&gt;&lt;Author&gt;Sageman&lt;/Author&gt;&lt;Year&gt;2011&lt;/Year&gt;&lt;RecNum&gt;151&lt;/RecNum&gt;&lt;DisplayText&gt;Sageman, &amp;quot;Ripples in the Waves: Fantasies and Fashions.&amp;quot;&lt;/DisplayText&gt;&lt;record&gt;&lt;rec-number&gt;151&lt;/rec-number&gt;&lt;foreign-keys&gt;&lt;key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Sageman, "Ripples in the Waves: Fantasies and Fashions."</w:t>
      </w:r>
      <w:r>
        <w:fldChar w:fldCharType="end"/>
      </w:r>
    </w:p>
  </w:footnote>
  <w:footnote w:id="123">
    <w:p w14:paraId="7F123BF3" w14:textId="5870CF3B" w:rsidR="007A04F6" w:rsidRDefault="007A04F6">
      <w:pPr>
        <w:pStyle w:val="FootnoteText"/>
      </w:pPr>
      <w:r>
        <w:rPr>
          <w:rStyle w:val="FootnoteReference"/>
        </w:rPr>
        <w:footnoteRef/>
      </w:r>
      <w:r>
        <w:t xml:space="preserve"> </w:t>
      </w:r>
      <w:r>
        <w:fldChar w:fldCharType="begin"/>
      </w:r>
      <w:r>
        <w:instrText xml:space="preserve"> ADDIN EN.CITE &lt;EndNote&gt;&lt;Cite&gt;&lt;Author&gt;Noricks&lt;/Author&gt;&lt;Year&gt;2009&lt;/Year&gt;&lt;RecNum&gt;129&lt;/RecNum&gt;&lt;DisplayText&gt;Noricks, &amp;quot;The Root Causes of Terrorism.&amp;quot;&lt;/DisplayText&gt;&lt;record&gt;&lt;rec-number&gt;129&lt;/rec-number&gt;&lt;foreign-keys&gt;&lt;key app="EN" db-id="s0ftft29jf2psaezx93xwz5s00fwpa9avrwv"&gt;129&lt;/key&gt;&lt;/foreign-keys&gt;&lt;ref-type name="Book Section"&gt;5&lt;/ref-type&gt;&lt;contributors&gt;&lt;authors&gt;&lt;author&gt;Noricks, Darcy&lt;/author&gt;&lt;/authors&gt;&lt;secondary-authors&gt;&lt;author&gt;Davis,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Defense.,&lt;/author&gt;&lt;/secondary-authors&gt;&lt;/contributors&gt;&lt;titles&gt;&lt;title&gt;The Root Causes of Terrorism&lt;/title&gt;&lt;secondary-title&gt;Social science for counter terrorism : putting the pieces together&lt;/secondary-title&gt;&lt;/titles&gt;&lt;dates&gt;&lt;year&gt;2009&lt;/year&gt;&lt;/dates&gt;&lt;pub-location&gt;New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Noricks, "The Root Causes of Terrorism."</w:t>
      </w:r>
      <w:r>
        <w:fldChar w:fldCharType="end"/>
      </w:r>
    </w:p>
  </w:footnote>
  <w:footnote w:id="124">
    <w:p w14:paraId="7992E743" w14:textId="078D3CF6" w:rsidR="007A04F6" w:rsidRDefault="007A04F6">
      <w:pPr>
        <w:pStyle w:val="FootnoteText"/>
      </w:pPr>
      <w:r>
        <w:rPr>
          <w:rStyle w:val="FootnoteReference"/>
        </w:rPr>
        <w:footnoteRef/>
      </w:r>
      <w:r>
        <w:t xml:space="preserve"> </w:t>
      </w:r>
      <w:r>
        <w:fldChar w:fldCharType="begin"/>
      </w:r>
      <w:r>
        <w:instrText xml:space="preserve"> ADDIN EN.CITE &lt;EndNote&gt;&lt;Cite&gt;&lt;Author&gt;Alonso&lt;/Author&gt;&lt;Year&gt;2007&lt;/Year&gt;&lt;RecNum&gt;254&lt;/RecNum&gt;&lt;DisplayText&gt;Rogelio Alonso, &lt;style face="italic"&gt;The Ira and Armed Struggle&lt;/style&gt;  (Abingdon: Routledge, 2007).&lt;/DisplayText&gt;&lt;record&gt;&lt;rec-number&gt;254&lt;/rec-number&gt;&lt;foreign-keys&gt;&lt;key app="EN" db-id="s0ftft29jf2psaezx93xwz5s00fwpa9avrwv"&gt;254&lt;/key&gt;&lt;/foreign-keys&gt;&lt;ref-type name="Book"&gt;6&lt;/ref-type&gt;&lt;contributors&gt;&lt;authors&gt;&lt;author&gt;Alonso, Rogelio&lt;/author&gt;&lt;/authors&gt;&lt;/contributors&gt;&lt;titles&gt;&lt;title&gt;The IRA and Armed Struggle&lt;/title&gt;&lt;/titles&gt;&lt;dates&gt;&lt;year&gt;2007&lt;/year&gt;&lt;/dates&gt;&lt;pub-location&gt;Abingdon&lt;/pub-location&gt;&lt;publisher&gt;Routledge&lt;/publisher&gt;&lt;urls&gt;&lt;/urls&gt;&lt;/record&gt;&lt;/Cite&gt;&lt;/EndNote&gt;</w:instrText>
      </w:r>
      <w:r>
        <w:fldChar w:fldCharType="separate"/>
      </w:r>
      <w:r>
        <w:rPr>
          <w:noProof/>
        </w:rPr>
        <w:t xml:space="preserve">Rogelio Alonso, </w:t>
      </w:r>
      <w:r w:rsidRPr="003D17E7">
        <w:rPr>
          <w:i/>
          <w:noProof/>
        </w:rPr>
        <w:t>The Ira and Armed Struggle</w:t>
      </w:r>
      <w:r>
        <w:rPr>
          <w:noProof/>
        </w:rPr>
        <w:t xml:space="preserve">  (Abingdon: Routledge, 2007).</w:t>
      </w:r>
      <w:r>
        <w:fldChar w:fldCharType="end"/>
      </w:r>
      <w:r>
        <w:t xml:space="preserve"> </w:t>
      </w:r>
      <w:r>
        <w:fldChar w:fldCharType="begin"/>
      </w:r>
      <w:r>
        <w:instrText xml:space="preserve"> ADDIN EN.CITE &lt;EndNote&gt;&lt;Cite&gt;&lt;Author&gt;Horgan&lt;/Author&gt;&lt;Year&gt;2009&lt;/Year&gt;&lt;RecNum&gt;217&lt;/RecNum&gt;&lt;DisplayText&gt;Horgan, &lt;style face="italic"&gt;Walking Away from Terrorism: Accounts of Disengagement from Radical and Extremist Movements&lt;/style&gt;.&lt;/DisplayText&gt;&lt;record&gt;&lt;rec-number&gt;217&lt;/rec-number&gt;&lt;foreign-keys&gt;&lt;key app="EN" db-id="s0ftft29jf2psaezx93xwz5s00fwpa9avrwv"&gt;217&lt;/key&gt;&lt;/foreign-keys&gt;&lt;ref-type name="Book"&gt;6&lt;/ref-type&gt;&lt;contributors&gt;&lt;authors&gt;&lt;author&gt;Horgan, John&lt;/author&gt;&lt;/authors&gt;&lt;/contributors&gt;&lt;titles&gt;&lt;title&gt;Walking Away from Terrorism: accounts of disengagement from radical and extremist movements&lt;/title&gt;&lt;/titles&gt;&lt;dates&gt;&lt;year&gt;2009&lt;/year&gt;&lt;/dates&gt;&lt;pub-location&gt;Routledge&lt;/pub-location&gt;&lt;publisher&gt;London&lt;/publisher&gt;&lt;urls&gt;&lt;/urls&gt;&lt;/record&gt;&lt;/Cite&gt;&lt;/EndNote&gt;</w:instrText>
      </w:r>
      <w:r>
        <w:fldChar w:fldCharType="separate"/>
      </w:r>
      <w:r>
        <w:rPr>
          <w:noProof/>
        </w:rPr>
        <w:t xml:space="preserve">Horgan, </w:t>
      </w:r>
      <w:r w:rsidRPr="003D17E7">
        <w:rPr>
          <w:i/>
          <w:noProof/>
        </w:rPr>
        <w:t>Walking Away from Terrorism: Accounts of Disengagement from Radical and Extremist Movements</w:t>
      </w:r>
      <w:r>
        <w:rPr>
          <w:noProof/>
        </w:rPr>
        <w:t>.</w:t>
      </w:r>
      <w:r>
        <w:fldChar w:fldCharType="end"/>
      </w:r>
    </w:p>
  </w:footnote>
  <w:footnote w:id="125">
    <w:p w14:paraId="13BEFDA3" w14:textId="6C87D848" w:rsidR="007A04F6" w:rsidRDefault="007A04F6" w:rsidP="004C27E9">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p>
  </w:footnote>
  <w:footnote w:id="126">
    <w:p w14:paraId="21151947" w14:textId="17B7658B" w:rsidR="007A04F6" w:rsidRDefault="007A04F6" w:rsidP="004C27E9">
      <w:pPr>
        <w:pStyle w:val="FootnoteText"/>
      </w:pPr>
      <w:r>
        <w:rPr>
          <w:rStyle w:val="FootnoteReference"/>
        </w:rPr>
        <w:footnoteRef/>
      </w:r>
      <w:r>
        <w:t xml:space="preserve"> </w:t>
      </w:r>
      <w:r>
        <w:fldChar w:fldCharType="begin"/>
      </w:r>
      <w:r>
        <w:instrText xml:space="preserve"> ADDIN EN.CITE &lt;EndNote&gt;&lt;Cite&gt;&lt;Author&gt;Noricks&lt;/Author&gt;&lt;Year&gt;2009&lt;/Year&gt;&lt;RecNum&gt;129&lt;/RecNum&gt;&lt;DisplayText&gt;Noricks, &amp;quot;The Root Causes of Terrorism.&amp;quot;&lt;/DisplayText&gt;&lt;record&gt;&lt;rec-number&gt;129&lt;/rec-number&gt;&lt;foreign-keys&gt;&lt;key app="EN" db-id="s0ftft29jf2psaezx93xwz5s00fwpa9avrwv"&gt;129&lt;/key&gt;&lt;/foreign-keys&gt;&lt;ref-type name="Book Section"&gt;5&lt;/ref-type&gt;&lt;contributors&gt;&lt;authors&gt;&lt;author&gt;Noricks, Darcy&lt;/author&gt;&lt;/authors&gt;&lt;secondary-authors&gt;&lt;author&gt;Davis,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Defense.,&lt;/author&gt;&lt;/secondary-authors&gt;&lt;/contributors&gt;&lt;titles&gt;&lt;title&gt;The Root Causes of Terrorism&lt;/title&gt;&lt;secondary-title&gt;Social science for counter terrorism : putting the pieces together&lt;/secondary-title&gt;&lt;/titles&gt;&lt;dates&gt;&lt;year&gt;2009&lt;/year&gt;&lt;/dates&gt;&lt;pub-location&gt;New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Noricks, "The Root Causes of Terrorism."</w:t>
      </w:r>
      <w:r>
        <w:fldChar w:fldCharType="end"/>
      </w:r>
    </w:p>
  </w:footnote>
  <w:footnote w:id="127">
    <w:p w14:paraId="41778213" w14:textId="222C8900" w:rsidR="007A04F6" w:rsidRDefault="007A04F6" w:rsidP="004C27E9">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128">
    <w:p w14:paraId="20C5DF1B" w14:textId="354D0656" w:rsidR="007A04F6" w:rsidRDefault="007A04F6" w:rsidP="004C27E9">
      <w:pPr>
        <w:pStyle w:val="FootnoteText"/>
      </w:pPr>
      <w:r>
        <w:rPr>
          <w:rStyle w:val="FootnoteReference"/>
        </w:rPr>
        <w:footnoteRef/>
      </w:r>
      <w:r>
        <w:t xml:space="preserve"> </w:t>
      </w:r>
      <w:r>
        <w:fldChar w:fldCharType="begin"/>
      </w:r>
      <w:r>
        <w:instrText xml:space="preserve"> ADDIN EN.CITE &lt;EndNote&gt;&lt;Cite&gt;&lt;Author&gt;Spalek&lt;/Author&gt;&lt;Year&gt;2012&lt;/Year&gt;&lt;RecNum&gt;199&lt;/RecNum&gt;&lt;DisplayText&gt;Basia Spalek, ed. &lt;style face="italic"&gt;Counter-Terrorism: Community-Based Approaches to Preventing Terror Crime&lt;/style&gt; (Basingstoke: Palgrave Macmillan, 2012).&lt;/DisplayText&gt;&lt;record&gt;&lt;rec-number&gt;199&lt;/rec-number&gt;&lt;foreign-keys&gt;&lt;key app="EN" db-id="s0ftft29jf2psaezx93xwz5s00fwpa9avrwv"&gt;199&lt;/key&gt;&lt;/foreign-keys&gt;&lt;ref-type name="Edited Book"&gt;28&lt;/ref-type&gt;&lt;contributors&gt;&lt;authors&gt;&lt;author&gt;Spalek, Basia&lt;/author&gt;&lt;/authors&gt;&lt;/contributors&gt;&lt;titles&gt;&lt;title&gt;Counter-Terrorism: Community-Based Approaches to Preventing Terror Crime&lt;/title&gt;&lt;/titles&gt;&lt;dates&gt;&lt;year&gt;2012&lt;/year&gt;&lt;/dates&gt;&lt;pub-location&gt;Basingstoke&lt;/pub-location&gt;&lt;publisher&gt;Palgrave Macmillan&lt;/publisher&gt;&lt;urls&gt;&lt;/urls&gt;&lt;/record&gt;&lt;/Cite&gt;&lt;/EndNote&gt;</w:instrText>
      </w:r>
      <w:r>
        <w:fldChar w:fldCharType="separate"/>
      </w:r>
      <w:r>
        <w:rPr>
          <w:noProof/>
        </w:rPr>
        <w:t xml:space="preserve">Basia Spalek, ed. </w:t>
      </w:r>
      <w:r>
        <w:rPr>
          <w:i/>
          <w:noProof/>
        </w:rPr>
        <w:t>Counter-Terrorism: Community-Based Approaches to Preventing Terror Crime</w:t>
      </w:r>
      <w:r>
        <w:rPr>
          <w:noProof/>
        </w:rPr>
        <w:t xml:space="preserve"> (Basingstoke: Palgrave Macmillan, 2012).</w:t>
      </w:r>
      <w:r>
        <w:fldChar w:fldCharType="end"/>
      </w:r>
    </w:p>
  </w:footnote>
  <w:footnote w:id="129">
    <w:p w14:paraId="620CDE3B" w14:textId="723AA4B1"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130">
    <w:p w14:paraId="22B66BF4" w14:textId="0517CC3D"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&lt;EndNote&gt;&lt;Cite&gt;&lt;Author&gt;Horgan&lt;/Author&gt;&lt;Year&gt;2008&lt;/Year&gt;&lt;RecNum&gt;86&lt;/RecNum&gt;&lt;DisplayText&gt;Horgan, &amp;quot;Deradicalization or Disengagement?.&amp;quot;&lt;/DisplayText&gt;&lt;record&gt;&lt;rec-number&gt;86&lt;/rec-number&gt;&lt;foreign-keys&gt;&lt;key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Horgan, "Deradicalization or Disengagement?."</w:t>
      </w:r>
      <w:r>
        <w:fldChar w:fldCharType="end"/>
      </w:r>
    </w:p>
  </w:footnote>
  <w:footnote w:id="131">
    <w:p w14:paraId="4B584668" w14:textId="69F02635"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132">
    <w:p w14:paraId="1491EAA9" w14:textId="795154A0"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&lt;EndNote&gt;&lt;Cite&gt;&lt;Author&gt;Gunaratna&lt;/Author&gt;&lt;Year&gt;2009&lt;/Year&gt;&lt;RecNum&gt;73&lt;/RecNum&gt;&lt;DisplayText&gt;Gunaratna and Bin Ali, &amp;quot;De-Radicalization Initiatives in Egypt: A Preliminary Insight.&amp;quot;&lt;/DisplayText&gt;&lt;record&gt;&lt;rec-number&gt;73&lt;/rec-number&gt;&lt;foreign-keys&gt;&lt;key app="EN" db-id="s0ftft29jf2psaezx93xwz5s00fwpa9avrwv"&gt;73&lt;/key&gt;&lt;/foreign-keys&gt;&lt;ref-type name="Journal Article"&gt;17&lt;/ref-type&gt;&lt;contributors&gt;&lt;authors&gt;&lt;author&gt;Gunaratna, Rohan&lt;/author&gt;&lt;author&gt;Bin Ali, Mohamed&lt;/author&gt;&lt;/authors&gt;&lt;/contributors&gt;&lt;titles&gt;&lt;title&gt;De-Radicalization Initiatives in Egypt: A Preliminary Insight&lt;/title&gt;&lt;secondary-title&gt;Studies of Conflict &amp;amp; Terrorism&lt;/secondary-title&gt;&lt;/titles&gt;&lt;pages&gt;pp. 277-291&lt;/pages&gt;&lt;volume&gt;32 (4)&lt;/volume&gt;&lt;dates&gt;&lt;year&gt;2009&lt;/year&gt;&lt;/dates&gt;&lt;urls&gt;&lt;/urls&gt;&lt;/record&gt;&lt;/Cite&gt;&lt;/EndNote&gt;</w:instrText>
      </w:r>
      <w:r>
        <w:fldChar w:fldCharType="separate"/>
      </w:r>
      <w:r>
        <w:rPr>
          <w:noProof/>
        </w:rPr>
        <w:t>Gunaratna and Bin Ali, "De-Radicalization Initiatives in Egypt: A Preliminary Insight."</w:t>
      </w:r>
      <w:r>
        <w:fldChar w:fldCharType="end"/>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133">
    <w:p w14:paraId="3CE417EE" w14:textId="6CFADE4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p>
  </w:footnote>
  <w:footnote w:id="134">
    <w:p w14:paraId="1576EAB1" w14:textId="1327987E"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&lt;EndNote&gt;&lt;Cite&gt;&lt;Author&gt;Moghadam&lt;/Author&gt;&lt;Year&gt;2012&lt;/Year&gt;&lt;RecNum&gt;228&lt;/RecNum&gt;&lt;DisplayText&gt;Moghadam, &amp;quot;Failure and Disengagement in the Red Army Faction.&amp;quot;&lt;/DisplayText&gt;&lt;record&gt;&lt;rec-number&gt;228&lt;/rec-number&gt;&lt;foreign-keys&gt;&lt;key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Moghadam, "Failure and Disengagement in the Red Army Faction."</w:t>
      </w:r>
      <w:r>
        <w:fldChar w:fldCharType="end"/>
      </w:r>
    </w:p>
  </w:footnote>
  <w:footnote w:id="135">
    <w:p w14:paraId="0E164AFE" w14:textId="34F4D81F"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&lt;EndNote&gt;&lt;Cite&gt;&lt;Author&gt;Sageman&lt;/Author&gt;&lt;Year&gt;2011&lt;/Year&gt;&lt;RecNum&gt;151&lt;/RecNum&gt;&lt;DisplayText&gt;Sageman, &amp;quot;Ripples in the Waves: Fantasies and Fashions.&amp;quot;&lt;/DisplayText&gt;&lt;record&gt;&lt;rec-number&gt;151&lt;/rec-number&gt;&lt;foreign-keys&gt;&lt;key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Sageman, "Ripples in the Waves: Fantasies and Fashions."</w:t>
      </w:r>
      <w:r>
        <w:fldChar w:fldCharType="end"/>
      </w:r>
    </w:p>
  </w:footnote>
  <w:footnote w:id="136">
    <w:p w14:paraId="1D1274DF"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&lt;EndNote&gt;&lt;Cite&gt;&lt;Author&gt;Schmid&lt;/Author&gt;&lt;Year&gt;2011&lt;/Year&gt;&lt;RecNum&gt;193&lt;/RecNum&gt;&lt;DisplayText&gt;Alex P. Schmid, ed. &lt;style face="italic"&gt;The Routledge Handbook of Terrorism Research&lt;/style&gt; (Oxon: Routledge, 2011).&lt;/DisplayText&gt;&lt;record&gt;&lt;rec-number&gt;193&lt;/rec-number&gt;&lt;foreign-keys&gt;&lt;key app="EN" db-id="s0ftft29jf2psaezx93xwz5s00fwpa9avrwv"&gt;193&lt;/key&gt;&lt;/foreign-keys&gt;&lt;ref-type name="Edited Book"&gt;28&lt;/ref-type&gt;&lt;contributors&gt;&lt;authors&gt;&lt;author&gt;Schmid, Alex P.&lt;/author&gt;&lt;/authors&gt;&lt;/contributors&gt;&lt;titles&gt;&lt;title&gt;The Routledge Handbook of Terrorism Research&lt;/title&gt;&lt;/titles&gt;&lt;dates&gt;&lt;year&gt;2011&lt;/year&gt;&lt;/dates&gt;&lt;pub-location&gt;Oxon&lt;/pub-location&gt;&lt;publisher&gt;Routledge&lt;/publisher&gt;&lt;urls&gt;&lt;/urls&gt;&lt;/record&gt;&lt;/Cite&gt;&lt;/EndNote&gt;</w:instrText>
      </w:r>
      <w:r>
        <w:fldChar w:fldCharType="separate"/>
      </w:r>
      <w:r>
        <w:rPr>
          <w:noProof/>
        </w:rPr>
        <w:t xml:space="preserve">Alex P. Schmid, ed. </w:t>
      </w:r>
      <w:r w:rsidRPr="00341C5F">
        <w:rPr>
          <w:i/>
          <w:noProof/>
        </w:rPr>
        <w:t>The Routledge Handbook of Terrorism Research</w:t>
      </w:r>
      <w:r>
        <w:rPr>
          <w:noProof/>
        </w:rPr>
        <w:t xml:space="preserve"> (Oxon: Routledge, 2011).</w:t>
      </w:r>
      <w:r>
        <w:fldChar w:fldCharType="end"/>
      </w:r>
    </w:p>
  </w:footnote>
  <w:footnote w:id="137">
    <w:p w14:paraId="681A4FF9"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&lt;EndNote&gt;&lt;Cite&gt;&lt;Author&gt;Crenshaw&lt;/Author&gt;&lt;Year&gt;1995&lt;/Year&gt;&lt;RecNum&gt;257&lt;/RecNum&gt;&lt;DisplayText&gt;Martha Crenshaw, &lt;style face="italic"&gt;Terrorism in Context&lt;/style&gt;  (Pennsylvania: The Pennsylvania State University Press, 1995).&lt;/DisplayText&gt;&lt;record&gt;&lt;rec-number&gt;257&lt;/rec-number&gt;&lt;foreign-keys&gt;&lt;key app="EN" db-id="s0ftft29jf2psaezx93xwz5s00fwpa9avrwv"&gt;257&lt;/key&gt;&lt;/foreign-keys&gt;&lt;ref-type name="Book"&gt;6&lt;/ref-type&gt;&lt;contributors&gt;&lt;authors&gt;&lt;author&gt;Crenshaw, Martha&lt;/author&gt;&lt;/authors&gt;&lt;/contributors&gt;&lt;titles&gt;&lt;title&gt;Terrorism in Context&lt;/title&gt;&lt;/titles&gt;&lt;dates&gt;&lt;year&gt;1995&lt;/year&gt;&lt;/dates&gt;&lt;pub-location&gt;Pennsylvania&lt;/pub-location&gt;&lt;publisher&gt;The Pennsylvania State University Press&lt;/publisher&gt;&lt;urls&gt;&lt;/urls&gt;&lt;/record&gt;&lt;/Cite&gt;&lt;/EndNote&gt;</w:instrText>
      </w:r>
      <w:r>
        <w:fldChar w:fldCharType="separate"/>
      </w:r>
      <w:r>
        <w:rPr>
          <w:noProof/>
        </w:rPr>
        <w:t xml:space="preserve">Martha Crenshaw, </w:t>
      </w:r>
      <w:r w:rsidRPr="00D7366D">
        <w:rPr>
          <w:i/>
          <w:noProof/>
        </w:rPr>
        <w:t>Terrorism in Context</w:t>
      </w:r>
      <w:r>
        <w:rPr>
          <w:noProof/>
        </w:rPr>
        <w:t xml:space="preserve">  (Pennsylvania: The Pennsylvania State University Press, 1995).</w:t>
      </w:r>
      <w:r>
        <w:fldChar w:fldCharType="end"/>
      </w:r>
    </w:p>
  </w:footnote>
  <w:footnote w:id="138">
    <w:p w14:paraId="547AEFCD"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&lt;EndNote&gt;&lt;Cite&gt;&lt;Author&gt;Jackson&lt;/Author&gt;&lt;Year&gt;2009&lt;/Year&gt;&lt;RecNum&gt;258&lt;/RecNum&gt;&lt;DisplayText&gt;Richard Jackson, &amp;quot;Knowledge, Power and Politics in the Study of Political Terrorism,&amp;quot; in &lt;style face="italic"&gt;Critical Terrorism Studies: A New Research Agenda&lt;/style&gt;, ed. Richard Jackson, Marie Breen Smyth, and Jeroen Gunning (Oxon: Routledge, 2009).&lt;/DisplayText&gt;&lt;record&gt;&lt;rec-number&gt;258&lt;/rec-number&gt;&lt;foreign-keys&gt;&lt;key app="EN" db-id="s0ftft29jf2psaezx93xwz5s00fwpa9avrwv"&gt;258&lt;/key&gt;&lt;/foreign-keys&gt;&lt;ref-type name="Book Section"&gt;5&lt;/ref-type&gt;&lt;contributors&gt;&lt;authors&gt;&lt;author&gt;Jackson, Richard&lt;/author&gt;&lt;/authors&gt;&lt;secondary-authors&gt;&lt;author&gt;Jackson, Richard&lt;/author&gt;&lt;author&gt;Breen Smyth, Marie&lt;/author&gt;&lt;author&gt;Gunning, Jeroen&lt;/author&gt;&lt;/secondary-authors&gt;&lt;/contributors&gt;&lt;titles&gt;&lt;title&gt;Knowledge, power and politics in the study of political terrorism&lt;/title&gt;&lt;secondary-title&gt;Critical Terrorism Studies: a new research agenda&lt;/secondary-title&gt;&lt;/titles&gt;&lt;dates&gt;&lt;year&gt;2009&lt;/year&gt;&lt;/dates&gt;&lt;pub-location&gt;Oxon&lt;/pub-location&gt;&lt;publisher&gt;Routledge&lt;/publisher&gt;&lt;urls&gt;&lt;/urls&gt;&lt;/record&gt;&lt;/Cite&gt;&lt;/EndNote&gt;</w:instrText>
      </w:r>
      <w:r>
        <w:fldChar w:fldCharType="separate"/>
      </w:r>
      <w:r>
        <w:rPr>
          <w:noProof/>
        </w:rPr>
        <w:t xml:space="preserve">Richard Jackson, "Knowledge, Power and Politics in the Study of Political Terrorism," in </w:t>
      </w:r>
      <w:r w:rsidRPr="003D17E7">
        <w:rPr>
          <w:i/>
          <w:noProof/>
        </w:rPr>
        <w:t>Critical Terrorism Studies: A New Research Agenda</w:t>
      </w:r>
      <w:r>
        <w:rPr>
          <w:noProof/>
        </w:rPr>
        <w:t>, ed. Richard Jackson, Marie Breen Smyth, and Jeroen Gunning (Oxon: Routledge, 2009).</w:t>
      </w:r>
      <w:r>
        <w:fldChar w:fldCharType="end"/>
      </w:r>
    </w:p>
  </w:footnote>
  <w:footnote w:id="139">
    <w:p w14:paraId="0B4E7E57" w14:textId="5A2F831B"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&lt;EndNote&gt;&lt;Cite&gt;&lt;Author&gt;Toros&lt;/Author&gt;&lt;Year&gt;2009&lt;/Year&gt;&lt;RecNum&gt;163&lt;/RecNum&gt;&lt;DisplayText&gt;Toros and Gunning, &amp;quot;Exploring a Critical Theory Approach to Terrorism Studies.&amp;quot;&lt;/DisplayText&gt;&lt;record&gt;&lt;rec-number&gt;163&lt;/rec-number&gt;&lt;foreign-keys&gt;&lt;key app="EN" db-id="s0ftft29jf2psaezx93xwz5s00fwpa9avrwv"&gt;163&lt;/key&gt;&lt;/foreign-keys&gt;&lt;ref-type name="Book Section"&gt;5&lt;/ref-type&gt;&lt;contributors&gt;&lt;authors&gt;&lt;author&gt;Toros, Harmonie&lt;/author&gt;&lt;author&gt;Gunning, Jeroen&lt;/author&gt;&lt;/authors&gt;&lt;secondary-authors&gt;&lt;author&gt;Jackson, Richard&lt;/author&gt;&lt;author&gt;Breen Smyth, Marie&lt;/author&gt;&lt;author&gt;Gunning, Jeroen&lt;/author&gt;&lt;/secondary-authors&gt;&lt;/contributors&gt;&lt;titles&gt;&lt;title&gt;Exploring a critical theory approach to terrorism studies&lt;/title&gt;&lt;secondary-title&gt;Critical Terrorism Studies&lt;/secondary-title&gt;&lt;/titles&gt;&lt;dates&gt;&lt;year&gt;2009&lt;/year&gt;&lt;/dates&gt;&lt;pub-location&gt;New York&lt;/pub-location&gt;&lt;publisher&gt;Routledge&lt;/publisher&gt;&lt;urls&gt;&lt;/urls&gt;&lt;/record&gt;&lt;/Cite&gt;&lt;/EndNote&gt;</w:instrText>
      </w:r>
      <w:r>
        <w:fldChar w:fldCharType="separate"/>
      </w:r>
      <w:r>
        <w:rPr>
          <w:noProof/>
        </w:rPr>
        <w:t>Toros and Gunning, "Exploring a Critical Theory Approach to Terrorism Studies."</w:t>
      </w:r>
      <w:r>
        <w:fldChar w:fldCharType="end"/>
      </w:r>
    </w:p>
  </w:footnote>
  <w:footnote w:id="140">
    <w:p w14:paraId="5D51948A"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&lt;EndNote&gt;&lt;Cite&gt;&lt;Author&gt;Cruickshank&lt;/Author&gt;&lt;Year&gt;2003&lt;/Year&gt;&lt;RecNum&gt;53&lt;/RecNum&gt;&lt;DisplayText&gt;J Cruickshank, ed. &lt;style face="italic"&gt;Critical Realism: The Difference That It Makes&lt;/style&gt; (London: Routledge, 2003).&lt;/DisplayText&gt;&lt;record&gt;&lt;rec-number&gt;53&lt;/rec-number&gt;&lt;foreign-keys&gt;&lt;key app="EN" db-id="s0ftft29jf2psaezx93xwz5s00fwpa9avrwv"&gt;53&lt;/key&gt;&lt;/foreign-keys&gt;&lt;ref-type name="Edited Book"&gt;28&lt;/ref-type&gt;&lt;contributors&gt;&lt;authors&gt;&lt;author&gt;Cruickshank, J&lt;/author&gt;&lt;/authors&gt;&lt;/contributors&gt;&lt;titles&gt;&lt;title&gt;Critical Realism: The difference that it makes&lt;/title&gt;&lt;/titles&gt;&lt;dates&gt;&lt;year&gt;2003&lt;/year&gt;&lt;/dates&gt;&lt;pub-location&gt;London&lt;/pub-location&gt;&lt;publisher&gt;Routledge&lt;/publisher&gt;&lt;urls&gt;&lt;/urls&gt;&lt;/record&gt;&lt;/Cite&gt;&lt;/EndNote&gt;</w:instrText>
      </w:r>
      <w:r>
        <w:fldChar w:fldCharType="separate"/>
      </w:r>
      <w:r>
        <w:rPr>
          <w:noProof/>
        </w:rPr>
        <w:t xml:space="preserve">J Cruickshank, ed. </w:t>
      </w:r>
      <w:r w:rsidRPr="00E75BAC">
        <w:rPr>
          <w:i/>
          <w:noProof/>
        </w:rPr>
        <w:t>Critical Realism: The Difference That It Makes</w:t>
      </w:r>
      <w:r>
        <w:rPr>
          <w:noProof/>
        </w:rPr>
        <w:t xml:space="preserve"> (London: Routledge, 2003).</w:t>
      </w:r>
      <w:r>
        <w:fldChar w:fldCharType="end"/>
      </w:r>
    </w:p>
  </w:footnote>
  <w:footnote w:id="141">
    <w:p w14:paraId="1DBC502C"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&lt;EndNote&gt;&lt;Cite&gt;&lt;Author&gt;Patomaki&lt;/Author&gt;&lt;Year&gt;2000&lt;/Year&gt;&lt;RecNum&gt;135&lt;/RecNum&gt;&lt;DisplayText&gt;H Patomaki and C Wight, &amp;quot;After Postpositivism? The Promises of Critical Realism,&amp;quot; &lt;style face="italic"&gt;International Studies Quarterly&lt;/style&gt; (2000).&lt;/DisplayText&gt;&lt;record&gt;&lt;rec-number&gt;135&lt;/rec-number&gt;&lt;foreign-keys&gt;&lt;key app="EN" db-id="s0ftft29jf2psaezx93xwz5s00fwpa9avrwv"&gt;135&lt;/key&gt;&lt;/foreign-keys&gt;&lt;ref-type name="Journal Article"&gt;17&lt;/ref-type&gt;&lt;contributors&gt;&lt;authors&gt;&lt;author&gt;Patomaki, H&lt;/author&gt;&lt;author&gt;Wight, C&lt;/author&gt;&lt;/authors&gt;&lt;/contributors&gt;&lt;titles&gt;&lt;title&gt;After Postpositivism? The Promises of Critical Realism&lt;/title&gt;&lt;secondary-title&gt;International Studies Quarterly&lt;/secondary-title&gt;&lt;/titles&gt;&lt;dates&gt;&lt;year&gt;2000&lt;/year&gt;&lt;/dates&gt;&lt;urls&gt;&lt;/urls&gt;&lt;/record&gt;&lt;/Cite&gt;&lt;/EndNote&gt;</w:instrText>
      </w:r>
      <w:r>
        <w:fldChar w:fldCharType="separate"/>
      </w:r>
      <w:r>
        <w:rPr>
          <w:noProof/>
        </w:rPr>
        <w:t xml:space="preserve">H Patomaki and C Wight, "After Postpositivism? The Promises of Critical Realism," </w:t>
      </w:r>
      <w:r w:rsidRPr="00E75BAC">
        <w:rPr>
          <w:i/>
          <w:noProof/>
        </w:rPr>
        <w:t>International Studies Quarterly</w:t>
      </w:r>
      <w:r>
        <w:rPr>
          <w:noProof/>
        </w:rPr>
        <w:t xml:space="preserve"> (2000).</w:t>
      </w:r>
      <w:r>
        <w:fldChar w:fldCharType="end"/>
      </w:r>
    </w:p>
  </w:footnote>
  <w:footnote w:id="142">
    <w:p w14:paraId="5C5C59E3"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&lt;EndNote&gt;&lt;Cite&gt;&lt;Author&gt;Herring&lt;/Author&gt;&lt;Year&gt;2011&lt;/Year&gt;&lt;RecNum&gt;83&lt;/RecNum&gt;&lt;DisplayText&gt;E Herring and D Stokes, &amp;quot;Critical Realism and Historical Materialism as Resources for Critical Terrorism Studies,&amp;quot; &lt;style face="italic"&gt;Critical Studies on Terrorism&lt;/style&gt; Vol. 4, no. No. 1 (2011).&lt;/DisplayText&gt;&lt;record&gt;&lt;rec-number&gt;83&lt;/rec-number&gt;&lt;foreign-keys&gt;&lt;key app="EN" db-id="s0ftft29jf2psaezx93xwz5s00fwpa9avrwv"&gt;83&lt;/key&gt;&lt;/foreign-keys&gt;&lt;ref-type name="Journal Article"&gt;17&lt;/ref-type&gt;&lt;contributors&gt;&lt;authors&gt;&lt;author&gt;Herring, E&lt;/author&gt;&lt;author&gt;Stokes, D&lt;/author&gt;&lt;/authors&gt;&lt;/contributors&gt;&lt;titles&gt;&lt;title&gt;Critical Realism and Historical Materialism as Resources for Critical Terrorism Studies&lt;/title&gt;&lt;secondary-title&gt;Critical Studies on Terrorism&lt;/secondary-title&gt;&lt;/titles&gt;&lt;volume&gt;Vol. 4&lt;/volume&gt;&lt;number&gt;No. 1&lt;/number&gt;&lt;dates&gt;&lt;year&gt;2011&lt;/year&gt;&lt;/dates&gt;&lt;urls&gt;&lt;/urls&gt;&lt;/record&gt;&lt;/Cite&gt;&lt;/EndNote&gt;</w:instrText>
      </w:r>
      <w:r>
        <w:fldChar w:fldCharType="separate"/>
      </w:r>
      <w:r>
        <w:rPr>
          <w:noProof/>
        </w:rPr>
        <w:t xml:space="preserve">E Herring and D Stokes, "Critical Realism and Historical Materialism as Resources for Critical Terrorism Studies," </w:t>
      </w:r>
      <w:r w:rsidRPr="00E75BAC">
        <w:rPr>
          <w:i/>
          <w:noProof/>
        </w:rPr>
        <w:t>Critical Studies on Terrorism</w:t>
      </w:r>
      <w:r>
        <w:rPr>
          <w:noProof/>
        </w:rPr>
        <w:t xml:space="preserve"> Vol. 4, no. No. 1 (2011).</w:t>
      </w:r>
      <w:r>
        <w:fldChar w:fldCharType="end"/>
      </w:r>
    </w:p>
  </w:footnote>
  <w:footnote w:id="143">
    <w:p w14:paraId="5DF13241"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&lt;EndNote&gt;&lt;Cite&gt;&lt;Author&gt;Patomaki&lt;/Author&gt;&lt;Year&gt;2002&lt;/Year&gt;&lt;RecNum&gt;133&lt;/RecNum&gt;&lt;DisplayText&gt;H Patomaki, &lt;style face="italic"&gt;After International Relations&lt;/style&gt;  (London: Routledge, 2002).&lt;/DisplayText&gt;&lt;record&gt;&lt;rec-number&gt;133&lt;/rec-number&gt;&lt;foreign-keys&gt;&lt;key app="EN" db-id="s0ftft29jf2psaezx93xwz5s00fwpa9avrwv"&gt;133&lt;/key&gt;&lt;/foreign-keys&gt;&lt;ref-type name="Book"&gt;6&lt;/ref-type&gt;&lt;contributors&gt;&lt;authors&gt;&lt;author&gt;Patomaki, H&lt;/author&gt;&lt;/authors&gt;&lt;/contributors&gt;&lt;titles&gt;&lt;title&gt;After International Relations&lt;/title&gt;&lt;/titles&gt;&lt;dates&gt;&lt;year&gt;2002&lt;/year&gt;&lt;/dates&gt;&lt;pub-location&gt;London&lt;/pub-location&gt;&lt;publisher&gt;Routledge&lt;/publisher&gt;&lt;urls&gt;&lt;/urls&gt;&lt;/record&gt;&lt;/Cite&gt;&lt;/EndNote&gt;</w:instrText>
      </w:r>
      <w:r>
        <w:fldChar w:fldCharType="separate"/>
      </w:r>
      <w:r>
        <w:rPr>
          <w:noProof/>
        </w:rPr>
        <w:t xml:space="preserve">H Patomaki, </w:t>
      </w:r>
      <w:r w:rsidRPr="00E75BAC">
        <w:rPr>
          <w:i/>
          <w:noProof/>
        </w:rPr>
        <w:t>After International Relations</w:t>
      </w:r>
      <w:r>
        <w:rPr>
          <w:noProof/>
        </w:rPr>
        <w:t xml:space="preserve">  (London: Routledge, 2002).</w:t>
      </w:r>
      <w:r>
        <w:fldChar w:fldCharType="end"/>
      </w:r>
    </w:p>
  </w:footnote>
  <w:footnote w:id="144">
    <w:p w14:paraId="0921CAD2"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&lt;EndNote&gt;&lt;Cite&gt;&lt;Author&gt;Sayer&lt;/Author&gt;&lt;Year&gt;1992&lt;/Year&gt;&lt;RecNum&gt;152&lt;/RecNum&gt;&lt;DisplayText&gt;A Sayer, &lt;style face="italic"&gt;Method in Social Science: A Realist Approach&lt;/style&gt;  (London: Routledge, 1992).&lt;/DisplayText&gt;&lt;record&gt;&lt;rec-number&gt;152&lt;/rec-number&gt;&lt;foreign-keys&gt;&lt;key app="EN" db-id="s0ftft29jf2psaezx93xwz5s00fwpa9avrwv"&gt;152&lt;/key&gt;&lt;/foreign-keys&gt;&lt;ref-type name="Book"&gt;6&lt;/ref-type&gt;&lt;contributors&gt;&lt;authors&gt;&lt;author&gt;Sayer, A&lt;/author&gt;&lt;/authors&gt;&lt;/contributors&gt;&lt;titles&gt;&lt;title&gt;Method in Social Science: a realist approach&lt;/title&gt;&lt;/titles&gt;&lt;dates&gt;&lt;year&gt;1992&lt;/year&gt;&lt;/dates&gt;&lt;pub-location&gt;London&lt;/pub-location&gt;&lt;publisher&gt;Routledge&lt;/publisher&gt;&lt;urls&gt;&lt;/urls&gt;&lt;/record&gt;&lt;/Cite&gt;&lt;/EndNote&gt;</w:instrText>
      </w:r>
      <w:r>
        <w:fldChar w:fldCharType="separate"/>
      </w:r>
      <w:r>
        <w:rPr>
          <w:noProof/>
        </w:rPr>
        <w:t xml:space="preserve">A Sayer, </w:t>
      </w:r>
      <w:r w:rsidRPr="00E75BAC">
        <w:rPr>
          <w:i/>
          <w:noProof/>
        </w:rPr>
        <w:t>Method in Social Science: A Realist Approach</w:t>
      </w:r>
      <w:r>
        <w:rPr>
          <w:noProof/>
        </w:rPr>
        <w:t xml:space="preserve">  (London: Routledge, 1992).</w:t>
      </w:r>
      <w:r>
        <w:fldChar w:fldCharType="end"/>
      </w:r>
      <w:r>
        <w:t xml:space="preserve"> </w:t>
      </w:r>
      <w:r>
        <w:fldChar w:fldCharType="begin"/>
      </w:r>
      <w:r>
        <w:instrText xml:space="preserve"> ADDIN EN.CITE &lt;EndNote&gt;&lt;Cite&gt;&lt;Author&gt;Easton&lt;/Author&gt;&lt;Year&gt;2010&lt;/Year&gt;&lt;RecNum&gt;59&lt;/RecNum&gt;&lt;DisplayText&gt;G Easton, &amp;quot;Critical Realism in Case Study Research,&amp;quot; &lt;style face="italic"&gt;Industrial Marketing Management&lt;/style&gt; Vol. 39(2010).&lt;/DisplayText&gt;&lt;record&gt;&lt;rec-number&gt;59&lt;/rec-number&gt;&lt;foreign-keys&gt;&lt;key app="EN" db-id="s0ftft29jf2psaezx93xwz5s00fwpa9avrwv"&gt;59&lt;/key&gt;&lt;/foreign-keys&gt;&lt;ref-type name="Journal Article"&gt;17&lt;/ref-type&gt;&lt;contributors&gt;&lt;authors&gt;&lt;author&gt;Easton, G&lt;/author&gt;&lt;/authors&gt;&lt;/contributors&gt;&lt;titles&gt;&lt;title&gt;Critical Realism in Case Study Research&lt;/title&gt;&lt;secondary-title&gt;Industrial Marketing Management&lt;/secondary-title&gt;&lt;/titles&gt;&lt;volume&gt;Vol. 39&lt;/volume&gt;&lt;dates&gt;&lt;year&gt;2010&lt;/year&gt;&lt;/dates&gt;&lt;urls&gt;&lt;/urls&gt;&lt;/record&gt;&lt;/Cite&gt;&lt;/EndNote&gt;</w:instrText>
      </w:r>
      <w:r>
        <w:fldChar w:fldCharType="separate"/>
      </w:r>
      <w:r>
        <w:rPr>
          <w:noProof/>
        </w:rPr>
        <w:t xml:space="preserve">G Easton, "Critical Realism in Case Study Research," </w:t>
      </w:r>
      <w:r w:rsidRPr="00E75BAC">
        <w:rPr>
          <w:i/>
          <w:noProof/>
        </w:rPr>
        <w:t>Industrial Marketing Management</w:t>
      </w:r>
      <w:r>
        <w:rPr>
          <w:noProof/>
        </w:rPr>
        <w:t xml:space="preserve"> Vol. 39(2010).</w:t>
      </w:r>
      <w:r>
        <w:fldChar w:fldCharType="end"/>
      </w:r>
    </w:p>
  </w:footnote>
  <w:footnote w:id="145">
    <w:p w14:paraId="706EA0A5" w14:textId="77777777" w:rsidR="007A04F6" w:rsidRDefault="007A04F6" w:rsidP="00985943">
      <w:pPr>
        <w:pStyle w:val="FootnoteText"/>
      </w:pPr>
      <w:r>
        <w:rPr>
          <w:rStyle w:val="FootnoteReference"/>
        </w:rPr>
        <w:footnoteRef/>
      </w:r>
      <w:r>
        <w:t xml:space="preserve"> </w:t>
      </w:r>
      <w:r>
        <w:fldChar w:fldCharType="begin"/>
      </w:r>
      <w:r>
        <w:instrText xml:space="preserve"> ADDIN EN.CITE &lt;EndNote&gt;&lt;Cite&gt;&lt;Author&gt;Wendt&lt;/Author&gt;&lt;Year&gt;1987&lt;/Year&gt;&lt;RecNum&gt;170&lt;/RecNum&gt;&lt;DisplayText&gt;Alex Wendt, &amp;quot;The Agent-Structure Problem in International Relations Theory,&amp;quot; &lt;style face="italic"&gt;International Organization&lt;/style&gt; 41 (3)(1987); &lt;style face="italic"&gt;Social Theory of International Politics&lt;/style&gt;  (Cambridge: Cambridge University Press, 1999).&lt;/DisplayText&gt;&lt;record&gt;&lt;rec-number&gt;170&lt;/rec-number&gt;&lt;foreign-keys&gt;&lt;key app="EN" db-id="s0ftft29jf2psaezx93xwz5s00fwpa9avrwv"&gt;170&lt;/key&gt;&lt;/foreign-keys&gt;&lt;ref-type name="Journal Article"&gt;17&lt;/ref-type&gt;&lt;contributors&gt;&lt;authors&gt;&lt;author&gt;Wendt, Alex&lt;/author&gt;&lt;/authors&gt;&lt;/contributors&gt;&lt;titles&gt;&lt;title&gt;The agent-structure problem in international relations theory&lt;/title&gt;&lt;secondary-title&gt;International Organization&lt;/secondary-title&gt;&lt;/titles&gt;&lt;pages&gt;pp. 335-370&lt;/pages&gt;&lt;volume&gt;41 (3)&lt;/volume&gt;&lt;dates&gt;&lt;year&gt;1987&lt;/year&gt;&lt;/dates&gt;&lt;urls&gt;&lt;/urls&gt;&lt;/record&gt;&lt;/Cite&gt;&lt;Cite&gt;&lt;Author&gt;Wendt&lt;/Author&gt;&lt;Year&gt;1999&lt;/Year&gt;&lt;RecNum&gt;171&lt;/RecNum&gt;&lt;record&gt;&lt;rec-number&gt;171&lt;/rec-number&gt;&lt;foreign-keys&gt;&lt;key app="EN" db-id="s0ftft29jf2psaezx93xwz5s00fwpa9avrwv"&gt;171&lt;/key&gt;&lt;/foreign-keys&gt;&lt;ref-type name="Book"&gt;6&lt;/ref-type&gt;&lt;contributors&gt;&lt;authors&gt;&lt;author&gt;Wendt, Alex&lt;/author&gt;&lt;/authors&gt;&lt;/contributors&gt;&lt;titles&gt;&lt;title&gt;Social Theory of International Politics&lt;/title&gt;&lt;/titles&gt;&lt;dates&gt;&lt;year&gt;1999&lt;/year&gt;&lt;/dates&gt;&lt;pub-location&gt;Cambridge&lt;/pub-location&gt;&lt;publisher&gt;Cambridge University Press&lt;/publisher&gt;&lt;urls&gt;&lt;/urls&gt;&lt;/record&gt;&lt;/Cite&gt;&lt;/EndNote&gt;</w:instrText>
      </w:r>
      <w:r>
        <w:fldChar w:fldCharType="separate"/>
      </w:r>
      <w:r>
        <w:rPr>
          <w:noProof/>
        </w:rPr>
        <w:t xml:space="preserve">Alex Wendt, "The Agent-Structure Problem in International Relations Theory," </w:t>
      </w:r>
      <w:r w:rsidRPr="00E75BAC">
        <w:rPr>
          <w:i/>
          <w:noProof/>
        </w:rPr>
        <w:t>International Organization</w:t>
      </w:r>
      <w:r>
        <w:rPr>
          <w:noProof/>
        </w:rPr>
        <w:t xml:space="preserve"> 41 (3)(1987); </w:t>
      </w:r>
      <w:r w:rsidRPr="00E75BAC">
        <w:rPr>
          <w:i/>
          <w:noProof/>
        </w:rPr>
        <w:t>Social Theory of International Politics</w:t>
      </w:r>
      <w:r>
        <w:rPr>
          <w:noProof/>
        </w:rPr>
        <w:t xml:space="preserve">  (Cambridge: Cambridge University Press, 1999).</w:t>
      </w:r>
      <w:r>
        <w:fldChar w:fldCharType="end"/>
      </w:r>
    </w:p>
  </w:footnote>
  <w:footnote w:id="146">
    <w:p w14:paraId="355CB421" w14:textId="7D6CD9F3" w:rsidR="007A04F6" w:rsidRDefault="007A04F6">
      <w:pPr>
        <w:pStyle w:val="FootnoteText"/>
      </w:pPr>
      <w:r>
        <w:rPr>
          <w:rStyle w:val="FootnoteReference"/>
        </w:rPr>
        <w:footnoteRef/>
      </w:r>
      <w:r>
        <w:t xml:space="preserve"> </w:t>
      </w:r>
      <w:r>
        <w:fldChar w:fldCharType="begin"/>
      </w:r>
      <w:r>
        <w:instrText xml:space="preserve"> ADDIN EN.CITE &lt;EndNote&gt;&lt;Cite&gt;&lt;Author&gt;Archer&lt;/Author&gt;&lt;Year&gt;1995&lt;/Year&gt;&lt;RecNum&gt;22&lt;/RecNum&gt;&lt;DisplayText&gt;Margaret Archer, &lt;style face="italic"&gt;Realist Social Theory: The Morphogenetic Approach&lt;/style&gt;  (Cambridge University Press, 1995).&lt;/DisplayText&gt;&lt;record&gt;&lt;rec-number&gt;22&lt;/rec-number&gt;&lt;foreign-keys&gt;&lt;key app="EN" db-id="s0ftft29jf2psaezx93xwz5s00fwpa9avrwv"&gt;22&lt;/key&gt;&lt;/foreign-keys&gt;&lt;ref-type name="Book"&gt;6&lt;/ref-type&gt;&lt;contributors&gt;&lt;authors&gt;&lt;author&gt;Archer, Margaret&lt;/author&gt;&lt;/authors&gt;&lt;/contributors&gt;&lt;titles&gt;&lt;title&gt;Realist social theory: the morphogenetic approach&lt;/title&gt;&lt;/titles&gt;&lt;dates&gt;&lt;year&gt;1995&lt;/year&gt;&lt;/dates&gt;&lt;publisher&gt;Cambridge University Press&lt;/publisher&gt;&lt;urls&gt;&lt;/urls&gt;&lt;/record&gt;&lt;/Cite&gt;&lt;/EndNote&gt;</w:instrText>
      </w:r>
      <w:r>
        <w:fldChar w:fldCharType="separate"/>
      </w:r>
      <w:r>
        <w:rPr>
          <w:noProof/>
        </w:rPr>
        <w:t xml:space="preserve">Margaret Archer, </w:t>
      </w:r>
      <w:r w:rsidRPr="00595B8E">
        <w:rPr>
          <w:i/>
          <w:noProof/>
        </w:rPr>
        <w:t>Realist Social Theory: The Morphogenetic Approach</w:t>
      </w:r>
      <w:r>
        <w:rPr>
          <w:noProof/>
        </w:rPr>
        <w:t xml:space="preserve">  (Cambridge University Press, 1995).</w:t>
      </w:r>
      <w:r>
        <w:fldChar w:fldCharType="end"/>
      </w:r>
    </w:p>
  </w:footnote>
  <w:footnote w:id="147">
    <w:p w14:paraId="67D714E5" w14:textId="7ECFBC12" w:rsidR="007A04F6" w:rsidRDefault="007A04F6">
      <w:pPr>
        <w:pStyle w:val="FootnoteText"/>
      </w:pPr>
      <w:r>
        <w:rPr>
          <w:rStyle w:val="FootnoteReference"/>
        </w:rPr>
        <w:footnoteRef/>
      </w:r>
      <w:r>
        <w:t xml:space="preserve"> </w:t>
      </w:r>
      <w:r>
        <w:fldChar w:fldCharType="begin">
          <w:fldData xml:space="preserve">PEVuZE5vdGU+PENpdGU+PEF1dGhvcj5BcmNoZXI8L0F1dGhvcj48WWVhcj4xOTk1PC9ZZWFyPjxS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</w:fldData>
        </w:fldChar>
      </w:r>
      <w:r>
        <w:instrText xml:space="preserve"> ADDIN EN.CITE </w:instrText>
      </w:r>
      <w:r>
        <w:fldChar w:fldCharType="begin">
          <w:fldData xml:space="preserve">PEVuZE5vdGU+PENpdGU+PEF1dGhvcj5BcmNoZXI8L0F1dGhvcj48WWVhcj4xOTk1PC9ZZWFyPjxS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</w:fldData>
        </w:fldChar>
      </w:r>
      <w:r>
        <w:instrText xml:space="preserve"> ADDIN EN.CITE.DATA </w:instrText>
      </w:r>
      <w:r>
        <w:fldChar w:fldCharType="end"/>
      </w:r>
      <w:r>
        <w:fldChar w:fldCharType="separate"/>
      </w:r>
      <w:r>
        <w:rPr>
          <w:noProof/>
        </w:rPr>
        <w:t xml:space="preserve">Ibid; M Archer, </w:t>
      </w:r>
      <w:r w:rsidRPr="00595B8E">
        <w:rPr>
          <w:i/>
          <w:noProof/>
        </w:rPr>
        <w:t>Culture and Agency: The Place of Culture in Social Theory</w:t>
      </w:r>
      <w:r>
        <w:rPr>
          <w:noProof/>
        </w:rPr>
        <w:t xml:space="preserve">, vol. Revised edition (Cambridge University Press, 1996); </w:t>
      </w:r>
      <w:r w:rsidRPr="00595B8E">
        <w:rPr>
          <w:i/>
          <w:noProof/>
        </w:rPr>
        <w:t>Being Human: The Problem of Agency</w:t>
      </w:r>
      <w:r>
        <w:rPr>
          <w:noProof/>
        </w:rPr>
        <w:t xml:space="preserve">  (Cambridge University Press, 2000); "For Structure: Its Reality, Properties and Powers: A Reply to Anthony King," </w:t>
      </w:r>
      <w:r w:rsidRPr="00595B8E">
        <w:rPr>
          <w:i/>
          <w:noProof/>
        </w:rPr>
        <w:t>The Sociological Review</w:t>
      </w:r>
      <w:r>
        <w:rPr>
          <w:noProof/>
        </w:rPr>
        <w:t xml:space="preserve"> Vol. 48 Issue 3(2000); Elder-Vass, "Reconciling Archer and Bourdieu in an Emergentist Theory of Action," </w:t>
      </w:r>
      <w:r w:rsidRPr="00595B8E">
        <w:rPr>
          <w:i/>
          <w:noProof/>
        </w:rPr>
        <w:t>Sociology Theory</w:t>
      </w:r>
      <w:r>
        <w:rPr>
          <w:noProof/>
        </w:rPr>
        <w:t xml:space="preserve"> (2007); Joseph Maxwell, "Causal Explanation, Qualitative Research, and Scientific Inquiry in Education," </w:t>
      </w:r>
      <w:r w:rsidRPr="00595B8E">
        <w:rPr>
          <w:i/>
          <w:noProof/>
        </w:rPr>
        <w:t>Educational Researcher</w:t>
      </w:r>
      <w:r>
        <w:rPr>
          <w:noProof/>
        </w:rPr>
        <w:t xml:space="preserve"> 33 (2)(2004).</w:t>
      </w:r>
      <w:r>
        <w:fldChar w:fldCharType="end"/>
      </w:r>
    </w:p>
  </w:footnote>
  <w:footnote w:id="148">
    <w:p w14:paraId="30569AF3" w14:textId="1C2B8137" w:rsidR="007A04F6" w:rsidRDefault="007A04F6">
      <w:pPr>
        <w:pStyle w:val="FootnoteText"/>
      </w:pPr>
      <w:r>
        <w:rPr>
          <w:rStyle w:val="FootnoteReference"/>
        </w:rPr>
        <w:footnoteRef/>
      </w:r>
      <w:r>
        <w:t xml:space="preserve"> </w:t>
      </w:r>
      <w:r>
        <w:fldChar w:fldCharType="begin"/>
      </w:r>
      <w:r>
        <w:instrText xml:space="preserve"> ADDIN EN.CITE &lt;EndNote&gt;&lt;Cite&gt;&lt;Author&gt;Wight&lt;/Author&gt;&lt;Year&gt;2009&lt;/Year&gt;&lt;RecNum&gt;172&lt;/RecNum&gt;&lt;DisplayText&gt;Wight, &amp;quot;Theorising Terrorism: The State, Structure and History.&amp;quot;&lt;/DisplayText&gt;&lt;record&gt;&lt;rec-number&gt;172&lt;/rec-number&gt;&lt;foreign-keys&gt;&lt;key app="EN" db-id="s0ftft29jf2psaezx93xwz5s00fwpa9avrwv"&gt;172&lt;/key&gt;&lt;/foreign-keys&gt;&lt;ref-type name="Journal Article"&gt;17&lt;/ref-type&gt;&lt;contributors&gt;&lt;authors&gt;&lt;author&gt;Wight, Colin&lt;/author&gt;&lt;/authors&gt;&lt;/contributors&gt;&lt;titles&gt;&lt;title&gt;Theorising Terrorism: the State, Structure and History&lt;/title&gt;&lt;secondary-title&gt;International Relations&lt;/secondary-title&gt;&lt;/titles&gt;&lt;pages&gt;pp. 99-106&lt;/pages&gt;&lt;volume&gt;23 (1)&lt;/volume&gt;&lt;dates&gt;&lt;year&gt;2009&lt;/year&gt;&lt;/dates&gt;&lt;urls&gt;&lt;/urls&gt;&lt;/record&gt;&lt;/Cite&gt;&lt;/EndNote&gt;</w:instrText>
      </w:r>
      <w:r>
        <w:fldChar w:fldCharType="separate"/>
      </w:r>
      <w:r>
        <w:rPr>
          <w:noProof/>
        </w:rPr>
        <w:t>Wight, "Theorising Terrorism: The State, Structure and History."</w:t>
      </w:r>
      <w:r>
        <w:fldChar w:fldCharType="end"/>
      </w:r>
      <w:r>
        <w:t xml:space="preserve"> </w:t>
      </w:r>
      <w:r>
        <w:fldChar w:fldCharType="begin"/>
      </w:r>
      <w:r>
        <w:instrText xml:space="preserve"> ADDIN EN.CITE &lt;EndNote&gt;&lt;Cite&gt;&lt;Author&gt;Patomaki&lt;/Author&gt;&lt;Year&gt;2002&lt;/Year&gt;&lt;RecNum&gt;133&lt;/RecNum&gt;&lt;DisplayText&gt;Patomaki, &lt;style face="italic"&gt;After International Relations&lt;/style&gt;; &amp;quot;After Critical Realism?,&amp;quot; &lt;style face="italic"&gt;Journal of Critical Realism&lt;/style&gt; Vol. 9, no. No. 1 (2009); Patomaki and Wight, &amp;quot;After Postpositivism? The Promises of Critical Realism.&amp;quot;&lt;/DisplayText&gt;&lt;record&gt;&lt;rec-number&gt;133&lt;/rec-number&gt;&lt;foreign-keys&gt;&lt;key app="EN" db-id="s0ftft29jf2psaezx93xwz5s00fwpa9avrwv"&gt;133&lt;/key&gt;&lt;/foreign-keys&gt;&lt;ref-type name="Book"&gt;6&lt;/ref-type&gt;&lt;contributors&gt;&lt;authors&gt;&lt;author&gt;Patomaki, H&lt;/author&gt;&lt;/authors&gt;&lt;/contributors&gt;&lt;titles&gt;&lt;title&gt;After International Relations&lt;/title&gt;&lt;/titles&gt;&lt;dates&gt;&lt;year&gt;2002&lt;/year&gt;&lt;/dates&gt;&lt;pub-location&gt;London&lt;/pub-location&gt;&lt;publisher&gt;Routledge&lt;/publisher&gt;&lt;urls&gt;&lt;/urls&gt;&lt;/record&gt;&lt;/Cite&gt;&lt;Cite&gt;&lt;Author&gt;Patomaki&lt;/Author&gt;&lt;Year&gt;2009&lt;/Year&gt;&lt;RecNum&gt;134&lt;/RecNum&gt;&lt;record&gt;&lt;rec-number&gt;134&lt;/rec-number&gt;&lt;foreign-keys&gt;&lt;key app="EN" db-id="s0ftft29jf2psaezx93xwz5s00fwpa9avrwv"&gt;134&lt;/key&gt;&lt;/foreign-keys&gt;&lt;ref-type name="Journal Article"&gt;17&lt;/ref-type&gt;&lt;contributors&gt;&lt;authors&gt;&lt;author&gt;Patomaki, H&lt;/author&gt;&lt;/authors&gt;&lt;/contributors&gt;&lt;titles&gt;&lt;title&gt;After Critical Realism?&lt;/title&gt;&lt;secondary-title&gt;Journal of Critical Realism&lt;/secondary-title&gt;&lt;/titles&gt;&lt;volume&gt;Vol. 9&lt;/volume&gt;&lt;number&gt;No. 1&lt;/number&gt;&lt;dates&gt;&lt;year&gt;2009&lt;/year&gt;&lt;/dates&gt;&lt;urls&gt;&lt;/urls&gt;&lt;/record&gt;&lt;/Cite&gt;&lt;Cite&gt;&lt;Author&gt;Patomaki&lt;/Author&gt;&lt;Year&gt;2000&lt;/Year&gt;&lt;RecNum&gt;135&lt;/RecNum&gt;&lt;record&gt;&lt;rec-number&gt;135&lt;/rec-number&gt;&lt;foreign-keys&gt;&lt;key app="EN" db-id="s0ftft29jf2psaezx93xwz5s00fwpa9avrwv"&gt;135&lt;/key&gt;&lt;/foreign-keys&gt;&lt;ref-type name="Journal Article"&gt;17&lt;/ref-type&gt;&lt;contributors&gt;&lt;authors&gt;&lt;author&gt;Patomaki, H&lt;/author&gt;&lt;author&gt;Wight, C&lt;/author&gt;&lt;/authors&gt;&lt;/contributors&gt;&lt;titles&gt;&lt;title&gt;After Postpositivism? The Promises of Critical Realism&lt;/title&gt;&lt;secondary-title&gt;International Studies Quarterly&lt;/secondary-title&gt;&lt;/titles&gt;&lt;dates&gt;&lt;year&gt;2000&lt;/year&gt;&lt;/dates&gt;&lt;urls&gt;&lt;/urls&gt;&lt;/record&gt;&lt;/Cite&gt;&lt;/EndNote&gt;</w:instrText>
      </w:r>
      <w:r>
        <w:fldChar w:fldCharType="separate"/>
      </w:r>
      <w:r>
        <w:rPr>
          <w:noProof/>
        </w:rPr>
        <w:t xml:space="preserve">Patomaki, </w:t>
      </w:r>
      <w:r w:rsidRPr="00985943">
        <w:rPr>
          <w:i/>
          <w:noProof/>
        </w:rPr>
        <w:t>After International Relations</w:t>
      </w:r>
      <w:r>
        <w:rPr>
          <w:noProof/>
        </w:rPr>
        <w:t xml:space="preserve">; "After Critical Realism?," </w:t>
      </w:r>
      <w:r w:rsidRPr="00985943">
        <w:rPr>
          <w:i/>
          <w:noProof/>
        </w:rPr>
        <w:t>Journal of Critical Realism</w:t>
      </w:r>
      <w:r>
        <w:rPr>
          <w:noProof/>
        </w:rPr>
        <w:t xml:space="preserve"> Vol. 9, no. No. 1 (2009); Patomaki and Wight, "After Postpositivism? The Promises of Critical Realism."</w:t>
      </w:r>
      <w:r>
        <w:fldChar w:fldCharType="end"/>
      </w:r>
    </w:p>
  </w:footnote>
  <w:footnote w:id="149">
    <w:p w14:paraId="160A68AE" w14:textId="4F489D05" w:rsidR="007A04F6" w:rsidRDefault="007A04F6">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p>
  </w:footnote>
  <w:footnote w:id="150">
    <w:p w14:paraId="5FE76B26" w14:textId="5EC5D2D1" w:rsidR="007A04F6" w:rsidRDefault="007A04F6">
      <w:pPr>
        <w:pStyle w:val="FootnoteText"/>
      </w:pPr>
      <w:r>
        <w:rPr>
          <w:rStyle w:val="FootnoteReference"/>
        </w:rPr>
        <w:footnoteRef/>
      </w:r>
      <w:r>
        <w:t xml:space="preserve"> </w:t>
      </w:r>
      <w:r>
        <w:fldChar w:fldCharType="begin"/>
      </w:r>
      <w:r>
        <w:instrText xml:space="preserve"> ADDIN EN.CITE &lt;EndNote&gt;&lt;Cite&gt;&lt;Author&gt;Buzan&lt;/Author&gt;&lt;Year&gt;2003&lt;/Year&gt;&lt;RecNum&gt;314&lt;/RecNum&gt;&lt;DisplayText&gt;Barry Buzan and Ole Waever, &lt;style face="italic"&gt;Regions and Powers: The Structure of International Security&lt;/style&gt;  (Cambridge: Cambridge University Press, 2003).&lt;/DisplayText&gt;&lt;record&gt;&lt;rec-number&gt;314&lt;/rec-number&gt;&lt;foreign-keys&gt;&lt;key app="EN" db-id="s0ftft29jf2psaezx93xwz5s00fwpa9avrwv"&gt;314&lt;/key&gt;&lt;/foreign-keys&gt;&lt;ref-type name="Book"&gt;6&lt;/ref-type&gt;&lt;contributors&gt;&lt;authors&gt;&lt;author&gt;Buzan, Barry&lt;/author&gt;&lt;author&gt;Waever, Ole&lt;/author&gt;&lt;/authors&gt;&lt;/contributors&gt;&lt;titles&gt;&lt;title&gt;Regions and Powers: The Structure of International Security&lt;/title&gt;&lt;/titles&gt;&lt;dates&gt;&lt;year&gt;2003&lt;/year&gt;&lt;/dates&gt;&lt;pub-location&gt;Cambridge&lt;/pub-location&gt;&lt;publisher&gt;Cambridge University Press&lt;/publisher&gt;&lt;urls&gt;&lt;/urls&gt;&lt;/record&gt;&lt;/Cite&gt;&lt;/EndNote&gt;</w:instrText>
      </w:r>
      <w:r>
        <w:fldChar w:fldCharType="separate"/>
      </w:r>
      <w:r>
        <w:rPr>
          <w:noProof/>
        </w:rPr>
        <w:t xml:space="preserve">Barry Buzan and Ole Waever, </w:t>
      </w:r>
      <w:r w:rsidRPr="00246A7C">
        <w:rPr>
          <w:i/>
          <w:noProof/>
        </w:rPr>
        <w:t>Regions and Powers: The Structure of International Security</w:t>
      </w:r>
      <w:r>
        <w:rPr>
          <w:noProof/>
        </w:rPr>
        <w:t xml:space="preserve">  (Cambridge: Cambridge University Press, 2003).</w:t>
      </w:r>
      <w:r>
        <w:fldChar w:fldCharType="end"/>
      </w:r>
    </w:p>
  </w:footnote>
  <w:footnote w:id="151">
    <w:p w14:paraId="301B5BA2" w14:textId="000CC34F" w:rsidR="007A04F6" w:rsidRDefault="007A04F6">
      <w:pPr>
        <w:pStyle w:val="FootnoteText"/>
      </w:pPr>
      <w:r>
        <w:rPr>
          <w:rStyle w:val="FootnoteReference"/>
        </w:rPr>
        <w:footnoteRef/>
      </w:r>
      <w:r>
        <w:t xml:space="preserve"> </w:t>
      </w:r>
      <w:r>
        <w:fldChar w:fldCharType="begin"/>
      </w:r>
      <w:r>
        <w:instrText xml:space="preserve"> ADDIN EN.CITE &lt;EndNote&gt;&lt;Cite&gt;&lt;Author&gt;Wright&lt;/Author&gt;&lt;Year&gt;1993&lt;/Year&gt;&lt;RecNum&gt;315&lt;/RecNum&gt;&lt;DisplayText&gt;Joane Wright, &amp;quot;Northern Ireland - a British Isles Security Complex,&amp;quot; &lt;style face="italic"&gt;Terrorism and Political Violence&lt;/style&gt; 5, no. 4 (1993).&lt;/DisplayText&gt;&lt;record&gt;&lt;rec-number&gt;315&lt;/rec-number&gt;&lt;foreign-keys&gt;&lt;key app="EN" db-id="s0ftft29jf2psaezx93xwz5s00fwpa9avrwv"&gt;315&lt;/key&gt;&lt;/foreign-keys&gt;&lt;ref-type name="Journal Article"&gt;17&lt;/ref-type&gt;&lt;contributors&gt;&lt;authors&gt;&lt;author&gt;Wright, Joane&lt;/author&gt;&lt;/authors&gt;&lt;/contributors&gt;&lt;titles&gt;&lt;title&gt;Northern Ireland - a British isles security complex&lt;/title&gt;&lt;secondary-title&gt;Terrorism and Political Violence&lt;/secondary-title&gt;&lt;/titles&gt;&lt;periodical&gt;&lt;full-title&gt;Terrorism and Political Violence&lt;/full-title&gt;&lt;/periodical&gt;&lt;pages&gt;266-287&lt;/pages&gt;&lt;volume&gt;5&lt;/volume&gt;&lt;number&gt;4&lt;/number&gt;&lt;dates&gt;&lt;year&gt;1993&lt;/year&gt;&lt;/dates&gt;&lt;urls&gt;&lt;/urls&gt;&lt;/record&gt;&lt;/Cite&gt;&lt;/EndNote&gt;</w:instrText>
      </w:r>
      <w:r>
        <w:fldChar w:fldCharType="separate"/>
      </w:r>
      <w:r>
        <w:rPr>
          <w:noProof/>
        </w:rPr>
        <w:t xml:space="preserve">Joane Wright, "Northern Ireland - a British Isles Security Complex," </w:t>
      </w:r>
      <w:r w:rsidRPr="00246A7C">
        <w:rPr>
          <w:i/>
          <w:noProof/>
        </w:rPr>
        <w:t>Terrorism and Political Violence</w:t>
      </w:r>
      <w:r>
        <w:rPr>
          <w:noProof/>
        </w:rPr>
        <w:t xml:space="preserve"> 5, no. 4 (1993).</w:t>
      </w:r>
      <w:r>
        <w:fldChar w:fldCharType="end"/>
      </w:r>
    </w:p>
  </w:footnote>
  <w:footnote w:id="152">
    <w:p w14:paraId="03E817B0" w14:textId="66BCC21C" w:rsidR="007A04F6" w:rsidRDefault="007A04F6">
      <w:pPr>
        <w:pStyle w:val="FootnoteText"/>
      </w:pPr>
      <w:r>
        <w:rPr>
          <w:rStyle w:val="FootnoteReference"/>
        </w:rPr>
        <w:footnoteRef/>
      </w:r>
      <w:r>
        <w:t xml:space="preserve"> </w:t>
      </w:r>
      <w:r>
        <w:fldChar w:fldCharType="begin"/>
      </w:r>
      <w:r>
        <w:instrText xml:space="preserve"> ADDIN EN.CITE &lt;EndNote&gt;&lt;Cite&gt;&lt;Author&gt;Jackson&lt;/Author&gt;&lt;Year&gt;2009&lt;/Year&gt;&lt;RecNum&gt;90&lt;/RecNum&gt;&lt;DisplayText&gt;Richard Jackson, Marie Breen Smyth, and Jeroen Gunning, eds., &lt;style face="italic"&gt;Critical Terrorism Studies: A New Research Agenda&lt;/style&gt; (Abingdon: Routledge, 2009).&lt;/DisplayText&gt;&lt;record&gt;&lt;rec-number&gt;90&lt;/rec-number&gt;&lt;foreign-keys&gt;&lt;key app="EN" db-id="s0ftft29jf2psaezx93xwz5s00fwpa9avrwv"&gt;90&lt;/key&gt;&lt;/foreign-keys&gt;&lt;ref-type name="Edited Book"&gt;28&lt;/ref-type&gt;&lt;contributors&gt;&lt;authors&gt;&lt;author&gt;Jackson, Richard&lt;/author&gt;&lt;author&gt;Breen Smyth, Marie&lt;/author&gt;&lt;author&gt;Gunning, Jeroen&lt;/author&gt;&lt;/authors&gt;&lt;/contributors&gt;&lt;titles&gt;&lt;title&gt;Critical Terrorism Studies: A new research agenda&lt;/title&gt;&lt;/titles&gt;&lt;dates&gt;&lt;year&gt;2009&lt;/year&gt;&lt;/dates&gt;&lt;pub-location&gt;Abingdon&lt;/pub-location&gt;&lt;publisher&gt;Routledge&lt;/publisher&gt;&lt;urls&gt;&lt;/urls&gt;&lt;/record&gt;&lt;/Cite&gt;&lt;/EndNote&gt;</w:instrText>
      </w:r>
      <w:r>
        <w:fldChar w:fldCharType="separate"/>
      </w:r>
      <w:r>
        <w:rPr>
          <w:noProof/>
        </w:rPr>
        <w:t xml:space="preserve">Richard Jackson, Marie Breen Smyth, and Jeroen Gunning, eds., </w:t>
      </w:r>
      <w:r w:rsidRPr="002F731F">
        <w:rPr>
          <w:i/>
          <w:noProof/>
        </w:rPr>
        <w:t>Critical Terrorism Studies: A New Research Agenda</w:t>
      </w:r>
      <w:r>
        <w:rPr>
          <w:noProof/>
        </w:rPr>
        <w:t xml:space="preserve"> (Abingdon: Routledge, 2009).</w:t>
      </w:r>
      <w:r>
        <w:fldChar w:fldCharType="end"/>
      </w:r>
    </w:p>
  </w:footnote>
  <w:footnote w:id="153">
    <w:p w14:paraId="608E3DFF" w14:textId="4DD3DDF2" w:rsidR="007A04F6" w:rsidRDefault="007A04F6">
      <w:pPr>
        <w:pStyle w:val="FootnoteText"/>
      </w:pPr>
      <w:r>
        <w:rPr>
          <w:rStyle w:val="FootnoteReference"/>
        </w:rPr>
        <w:footnoteRef/>
      </w:r>
      <w:r>
        <w:t xml:space="preserve"> </w:t>
      </w:r>
      <w:r>
        <w:fldChar w:fldCharType="begin"/>
      </w:r>
      <w:r>
        <w:instrText xml:space="preserve"> ADDIN EN.CITE &lt;EndNote&gt;&lt;Cite&gt;&lt;Author&gt;Toros&lt;/Author&gt;&lt;Year&gt;2009&lt;/Year&gt;&lt;RecNum&gt;163&lt;/RecNum&gt;&lt;DisplayText&gt;Toros and Gunning, &amp;quot;Exploring a Critical Theory Approach to Terrorism Studies.&amp;quot;&lt;/DisplayText&gt;&lt;record&gt;&lt;rec-number&gt;163&lt;/rec-number&gt;&lt;foreign-keys&gt;&lt;key app="EN" db-id="s0ftft29jf2psaezx93xwz5s00fwpa9avrwv"&gt;163&lt;/key&gt;&lt;/foreign-keys&gt;&lt;ref-type name="Book Section"&gt;5&lt;/ref-type&gt;&lt;contributors&gt;&lt;authors&gt;&lt;author&gt;Toros, Harmonie&lt;/author&gt;&lt;author&gt;Gunning, Jeroen&lt;/author&gt;&lt;/authors&gt;&lt;secondary-authors&gt;&lt;author&gt;Jackson, Richard&lt;/author&gt;&lt;author&gt;Breen Smyth, Marie&lt;/author&gt;&lt;author&gt;Gunning, Jeroen&lt;/author&gt;&lt;/secondary-authors&gt;&lt;/contributors&gt;&lt;titles&gt;&lt;title&gt;Exploring a critical theory approach to terrorism studies&lt;/title&gt;&lt;secondary-title&gt;Critical Terrorism Studies&lt;/secondary-title&gt;&lt;/titles&gt;&lt;dates&gt;&lt;year&gt;2009&lt;/year&gt;&lt;/dates&gt;&lt;pub-location&gt;New York&lt;/pub-location&gt;&lt;publisher&gt;Routledge&lt;/publisher&gt;&lt;urls&gt;&lt;/urls&gt;&lt;/record&gt;&lt;/Cite&gt;&lt;/EndNote&gt;</w:instrText>
      </w:r>
      <w:r>
        <w:fldChar w:fldCharType="separate"/>
      </w:r>
      <w:r>
        <w:rPr>
          <w:noProof/>
        </w:rPr>
        <w:t>Toros and Gunning, "Exploring a Critical Theory Approach to Terrorism Studies."</w:t>
      </w:r>
      <w:r>
        <w:fldChar w:fldCharType="end"/>
      </w:r>
    </w:p>
  </w:footnote>
  <w:footnote w:id="154">
    <w:p w14:paraId="7AFE8B0D" w14:textId="54B60251" w:rsidR="007A04F6" w:rsidRDefault="007A04F6">
      <w:pPr>
        <w:pStyle w:val="FootnoteText"/>
      </w:pPr>
      <w:r>
        <w:rPr>
          <w:rStyle w:val="FootnoteReference"/>
        </w:rPr>
        <w:footnoteRef/>
      </w:r>
      <w:r>
        <w:t xml:space="preserve"> For example, </w:t>
      </w:r>
      <w:r>
        <w:fldChar w:fldCharType="begin"/>
      </w:r>
      <w:r>
        <w:instrText xml:space="preserve"> ADDIN EN.CITE &lt;EndNote&gt;&lt;Cite&gt;&lt;Author&gt;King&lt;/Author&gt;&lt;Year&gt;2011&lt;/Year&gt;&lt;RecNum&gt;102&lt;/RecNum&gt;&lt;DisplayText&gt;Michael King, Haula Noor, and Donald Taylor, &amp;quot;Normative Support for Terrorism: The Attitudes and Beliefs of Immediate Relatives of Jema&amp;apos;ah Islamiyah Members,&amp;quot; &lt;style face="italic"&gt;Studies of Conflict &amp;amp; Terrorism&lt;/style&gt; 34 (5)(2011).&lt;/DisplayText&gt;&lt;record&gt;&lt;rec-number&gt;102&lt;/rec-number&gt;&lt;foreign-keys&gt;&lt;key app="EN" db-id="s0ftft29jf2psaezx93xwz5s00fwpa9avrwv"&gt;102&lt;/key&gt;&lt;/foreign-keys&gt;&lt;ref-type name="Journal Article"&gt;17&lt;/ref-type&gt;&lt;contributors&gt;&lt;authors&gt;&lt;author&gt;King, Michael&lt;/author&gt;&lt;author&gt;Noor, Haula&lt;/author&gt;&lt;author&gt;Taylor, Donald&lt;/author&gt;&lt;/authors&gt;&lt;/contributors&gt;&lt;titles&gt;&lt;title&gt;Normative Support for Terrorism: The Attitudes and Beliefs of Immediate Relatives of Jema&amp;apos;ah Islamiyah Members&lt;/title&gt;&lt;secondary-title&gt;Studies of Conflict &amp;amp; Terrorism&lt;/secondary-title&gt;&lt;/titles&gt;&lt;pages&gt;pp. 402-417&lt;/pages&gt;&lt;volume&gt;34 (5)&lt;/volume&gt;&lt;dates&gt;&lt;year&gt;2011&lt;/year&gt;&lt;/dates&gt;&lt;urls&gt;&lt;/urls&gt;&lt;/record&gt;&lt;/Cite&gt;&lt;/EndNote&gt;</w:instrText>
      </w:r>
      <w:r>
        <w:fldChar w:fldCharType="separate"/>
      </w:r>
      <w:r>
        <w:rPr>
          <w:noProof/>
        </w:rPr>
        <w:t xml:space="preserve">Michael King, Haula Noor, and Donald Taylor, "Normative Support for Terrorism: The Attitudes and Beliefs of Immediate Relatives of Jema'ah Islamiyah Members," </w:t>
      </w:r>
      <w:r w:rsidRPr="002A06C7">
        <w:rPr>
          <w:i/>
          <w:noProof/>
        </w:rPr>
        <w:t>Studies of Conflict &amp; Terrorism</w:t>
      </w:r>
      <w:r>
        <w:rPr>
          <w:noProof/>
        </w:rPr>
        <w:t xml:space="preserve"> 34 (5)(2011).</w:t>
      </w:r>
      <w:r>
        <w:fldChar w:fldCharType="end"/>
      </w:r>
      <w:r>
        <w:t xml:space="preserve"> </w:t>
      </w:r>
    </w:p>
  </w:footnote>
  <w:footnote w:id="155">
    <w:p w14:paraId="0C8BAF3F" w14:textId="579BE35A" w:rsidR="007A04F6" w:rsidRDefault="007A04F6">
      <w:pPr>
        <w:pStyle w:val="FootnoteText"/>
      </w:pPr>
      <w:r>
        <w:rPr>
          <w:rStyle w:val="FootnoteReference"/>
        </w:rPr>
        <w:footnoteRef/>
      </w:r>
      <w:r>
        <w:t xml:space="preserve"> </w:t>
      </w:r>
      <w:r>
        <w:fldChar w:fldCharType="begin"/>
      </w:r>
      <w:r>
        <w:instrText xml:space="preserve"> ADDIN EN.CITE &lt;EndNote&gt;&lt;Cite&gt;&lt;Author&gt;Jackson&lt;/Author&gt;&lt;Year&gt;2009&lt;/Year&gt;&lt;RecNum&gt;258&lt;/RecNum&gt;&lt;DisplayText&gt;Jackson, &amp;quot;Knowledge, Power and Politics in the Study of Political Terrorism.&amp;quot;&lt;/DisplayText&gt;&lt;record&gt;&lt;rec-number&gt;258&lt;/rec-number&gt;&lt;foreign-keys&gt;&lt;key app="EN" db-id="s0ftft29jf2psaezx93xwz5s00fwpa9avrwv"&gt;258&lt;/key&gt;&lt;/foreign-keys&gt;&lt;ref-type name="Book Section"&gt;5&lt;/ref-type&gt;&lt;contributors&gt;&lt;authors&gt;&lt;author&gt;Jackson, Richard&lt;/author&gt;&lt;/authors&gt;&lt;secondary-authors&gt;&lt;author&gt;Jackson, Richard&lt;/author&gt;&lt;author&gt;Breen Smyth, Marie&lt;/author&gt;&lt;author&gt;Gunning, Jeroen&lt;/author&gt;&lt;/secondary-authors&gt;&lt;/contributors&gt;&lt;titles&gt;&lt;title&gt;Knowledge, power and politics in the study of political terrorism&lt;/title&gt;&lt;secondary-title&gt;Critical Terrorism Studies: a new research agenda&lt;/secondary-title&gt;&lt;/titles&gt;&lt;dates&gt;&lt;year&gt;2009&lt;/year&gt;&lt;/dates&gt;&lt;pub-location&gt;Oxon&lt;/pub-location&gt;&lt;publisher&gt;Routledge&lt;/publisher&gt;&lt;urls&gt;&lt;/urls&gt;&lt;/record&gt;&lt;/Cite&gt;&lt;/EndNote&gt;</w:instrText>
      </w:r>
      <w:r>
        <w:fldChar w:fldCharType="separate"/>
      </w:r>
      <w:r>
        <w:rPr>
          <w:noProof/>
        </w:rPr>
        <w:t>Jackson, "Knowledge, Power and Politics in the Study of Political Terrorism."</w:t>
      </w:r>
      <w:r>
        <w:fldChar w:fldCharType="end"/>
      </w:r>
    </w:p>
  </w:footnote>
  <w:footnote w:id="156">
    <w:p w14:paraId="5867EE08" w14:textId="65325622" w:rsidR="007A04F6" w:rsidRDefault="007A04F6">
      <w:pPr>
        <w:pStyle w:val="FootnoteText"/>
      </w:pPr>
      <w:r>
        <w:rPr>
          <w:rStyle w:val="FootnoteReference"/>
        </w:rPr>
        <w:footnoteRef/>
      </w:r>
      <w:r>
        <w:t xml:space="preserve"> </w:t>
      </w:r>
      <w:r>
        <w:fldChar w:fldCharType="begin"/>
      </w:r>
      <w:r>
        <w:instrText xml:space="preserve"> ADDIN EN.CITE &lt;EndNote&gt;&lt;Cite&gt;&lt;Author&gt;Toros&lt;/Author&gt;&lt;Year&gt;2009&lt;/Year&gt;&lt;RecNum&gt;163&lt;/RecNum&gt;&lt;DisplayText&gt;Toros and Gunning, &amp;quot;Exploring a Critical Theory Approach to Terrorism Studies.&amp;quot;&lt;/DisplayText&gt;&lt;record&gt;&lt;rec-number&gt;163&lt;/rec-number&gt;&lt;foreign-keys&gt;&lt;key app="EN" db-id="s0ftft29jf2psaezx93xwz5s00fwpa9avrwv"&gt;163&lt;/key&gt;&lt;/foreign-keys&gt;&lt;ref-type name="Book Section"&gt;5&lt;/ref-type&gt;&lt;contributors&gt;&lt;authors&gt;&lt;author&gt;Toros, Harmonie&lt;/author&gt;&lt;author&gt;Gunning, Jeroen&lt;/author&gt;&lt;/authors&gt;&lt;secondary-authors&gt;&lt;author&gt;Jackson, Richard&lt;/author&gt;&lt;author&gt;Breen Smyth, Marie&lt;/author&gt;&lt;author&gt;Gunning, Jeroen&lt;/author&gt;&lt;/secondary-authors&gt;&lt;/contributors&gt;&lt;titles&gt;&lt;title&gt;Exploring a critical theory approach to terrorism studies&lt;/title&gt;&lt;secondary-title&gt;Critical Terrorism Studies&lt;/secondary-title&gt;&lt;/titles&gt;&lt;dates&gt;&lt;year&gt;2009&lt;/year&gt;&lt;/dates&gt;&lt;pub-location&gt;New York&lt;/pub-location&gt;&lt;publisher&gt;Routledge&lt;/publisher&gt;&lt;urls&gt;&lt;/urls&gt;&lt;/record&gt;&lt;/Cite&gt;&lt;/EndNote&gt;</w:instrText>
      </w:r>
      <w:r>
        <w:fldChar w:fldCharType="separate"/>
      </w:r>
      <w:r>
        <w:rPr>
          <w:noProof/>
        </w:rPr>
        <w:t>Toros and Gunning, "Exploring a Critical Theory Approach to Terrorism Studies."</w:t>
      </w:r>
      <w:r>
        <w:fldChar w:fldCharType="end"/>
      </w:r>
    </w:p>
  </w:footnote>
  <w:footnote w:id="157">
    <w:p w14:paraId="26239D1F" w14:textId="0A6E715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&lt;EndNote&gt;&lt;Cite&gt;&lt;Author&gt;Boyle&lt;/Author&gt;&lt;Year&gt;2012&lt;/Year&gt;&lt;RecNum&gt;192&lt;/RecNum&gt;&lt;DisplayText&gt;Boyle, &amp;quot;Progress and Pitfalls in the Study of Political Violence.&amp;quot;&lt;/DisplayText&gt;&lt;record&gt;&lt;rec-number&gt;192&lt;/rec-number&gt;&lt;foreign-keys&gt;&lt;key app="EN" db-id="s0ftft29jf2psaezx93xwz5s00fwpa9avrwv"&gt;192&lt;/key&gt;&lt;/foreign-keys&gt;&lt;ref-type name="Journal Article"&gt;17&lt;/ref-type&gt;&lt;contributors&gt;&lt;authors&gt;&lt;author&gt;Boyle, Michael J.&lt;/author&gt;&lt;/authors&gt;&lt;/contributors&gt;&lt;titles&gt;&lt;title&gt;Progress and Pitfalls in the Study of Political Violence&lt;/title&gt;&lt;secondary-title&gt;Terrorism and Political Violence&lt;/secondary-title&gt;&lt;/titles&gt;&lt;periodical&gt;&lt;full-title&gt;Terrorism and Political Violence&lt;/full-title&gt;&lt;/periodical&gt;&lt;pages&gt;pp. 527-543&lt;/pages&gt;&lt;volume&gt;24 (2)&lt;/volume&gt;&lt;dates&gt;&lt;year&gt;2012&lt;/year&gt;&lt;/dates&gt;&lt;urls&gt;&lt;/urls&gt;&lt;/record&gt;&lt;/Cite&gt;&lt;/EndNote&gt;</w:instrText>
      </w:r>
      <w:r>
        <w:fldChar w:fldCharType="separate"/>
      </w:r>
      <w:r>
        <w:rPr>
          <w:noProof/>
        </w:rPr>
        <w:t>Boyle, "Progress and Pitfalls in the Study of Political Violence."</w:t>
      </w:r>
      <w:r>
        <w:fldChar w:fldCharType="end"/>
      </w:r>
    </w:p>
  </w:footnote>
  <w:footnote w:id="158">
    <w:p w14:paraId="3F4F7D89" w14:textId="252EDC1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&lt;EndNote&gt;&lt;Cite&gt;&lt;Author&gt;Smith&lt;/Author&gt;&lt;Year&gt;1995&lt;/Year&gt;&lt;RecNum&gt;204&lt;/RecNum&gt;&lt;DisplayText&gt;M.L.R. Smith, &lt;style face="italic"&gt;Fighting for Ireland? The Military Strategy of the Irish Republican Movement&lt;/style&gt;  (London: Routledge, 1995).&lt;/DisplayText&gt;&lt;record&gt;&lt;rec-number&gt;204&lt;/rec-number&gt;&lt;foreign-keys&gt;&lt;key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M.L.R. Smith, </w:t>
      </w:r>
      <w:r w:rsidRPr="006D77F7">
        <w:rPr>
          <w:i/>
          <w:noProof/>
        </w:rPr>
        <w:t>Fighting for Ireland? The Military Strategy of the Irish Republican Movement</w:t>
      </w:r>
      <w:r>
        <w:rPr>
          <w:noProof/>
        </w:rPr>
        <w:t xml:space="preserve">  (London: Routledge, 1995).</w:t>
      </w:r>
      <w:r>
        <w:fldChar w:fldCharType="end"/>
      </w:r>
    </w:p>
  </w:footnote>
  <w:footnote w:id="159">
    <w:p w14:paraId="678FD15A" w14:textId="31C154B1"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&lt;EndNote&gt;&lt;Cite&gt;&lt;Author&gt;Toros&lt;/Author&gt;&lt;Year&gt;2009&lt;/Year&gt;&lt;RecNum&gt;163&lt;/RecNum&gt;&lt;DisplayText&gt;Toros and Gunning, &amp;quot;Exploring a Critical Theory Approach to Terrorism Studies.&amp;quot;&lt;/DisplayText&gt;&lt;record&gt;&lt;rec-number&gt;163&lt;/rec-number&gt;&lt;foreign-keys&gt;&lt;key app="EN" db-id="s0ftft29jf2psaezx93xwz5s00fwpa9avrwv"&gt;163&lt;/key&gt;&lt;/foreign-keys&gt;&lt;ref-type name="Book Section"&gt;5&lt;/ref-type&gt;&lt;contributors&gt;&lt;authors&gt;&lt;author&gt;Toros, Harmonie&lt;/author&gt;&lt;author&gt;Gunning, Jeroen&lt;/author&gt;&lt;/authors&gt;&lt;secondary-authors&gt;&lt;author&gt;Jackson, Richard&lt;/author&gt;&lt;author&gt;Breen Smyth, Marie&lt;/author&gt;&lt;author&gt;Gunning, Jeroen&lt;/author&gt;&lt;/secondary-authors&gt;&lt;/contributors&gt;&lt;titles&gt;&lt;title&gt;Exploring a critical theory approach to terrorism studies&lt;/title&gt;&lt;secondary-title&gt;Critical Terrorism Studies&lt;/secondary-title&gt;&lt;/titles&gt;&lt;dates&gt;&lt;year&gt;2009&lt;/year&gt;&lt;/dates&gt;&lt;pub-location&gt;New York&lt;/pub-location&gt;&lt;publisher&gt;Routledge&lt;/publisher&gt;&lt;urls&gt;&lt;/urls&gt;&lt;/record&gt;&lt;/Cite&gt;&lt;/EndNote&gt;</w:instrText>
      </w:r>
      <w:r>
        <w:fldChar w:fldCharType="separate"/>
      </w:r>
      <w:r>
        <w:rPr>
          <w:noProof/>
        </w:rPr>
        <w:t>Toros and Gunning, "Exploring a Critical Theory Approach to Terrorism Studies."</w:t>
      </w:r>
      <w:r>
        <w:fldChar w:fldCharType="end"/>
      </w:r>
    </w:p>
  </w:footnote>
  <w:footnote w:id="160">
    <w:p w14:paraId="135F48B5" w14:textId="62163184" w:rsidR="007A04F6" w:rsidRDefault="007A04F6" w:rsidP="00D51325">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161">
    <w:p w14:paraId="49750785" w14:textId="08D0AA5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sidRPr="003D17E7">
        <w:rPr>
          <w:i/>
          <w:noProof/>
        </w:rPr>
        <w:t>Abandoning Historical Conflict?: Former Political Prisoners and Reconciliation in Northern Ireland</w:t>
      </w:r>
      <w:r>
        <w:rPr>
          <w:noProof/>
        </w:rPr>
        <w:t>.</w:t>
      </w:r>
      <w:r>
        <w:fldChar w:fldCharType="end"/>
      </w:r>
    </w:p>
  </w:footnote>
  <w:footnote w:id="162">
    <w:p w14:paraId="29AE42E6" w14:textId="1DB43860" w:rsidR="007A04F6" w:rsidRDefault="007A04F6">
      <w:pPr>
        <w:pStyle w:val="FootnoteText"/>
      </w:pPr>
      <w:r>
        <w:rPr>
          <w:rStyle w:val="FootnoteReference"/>
        </w:rPr>
        <w:footnoteRef/>
      </w:r>
      <w:r>
        <w:t xml:space="preserve"> </w:t>
      </w:r>
      <w:r>
        <w:fldChar w:fldCharType="begin"/>
      </w:r>
      <w:r>
        <w:instrText xml:space="preserve"> ADDIN EN.CITE &lt;EndNote&gt;&lt;Cite&gt;&lt;Author&gt;Journal&lt;/Author&gt;&lt;Year&gt;30th April 2013&lt;/Year&gt;&lt;RecNum&gt;248&lt;/RecNum&gt;&lt;DisplayText&gt;The Journal, &amp;quot;Video: Martin Mcguinness Mixes up His Ifa and His Ira.&amp;quot;&lt;/DisplayText&gt;&lt;record&gt;&lt;rec-number&gt;248&lt;/rec-number&gt;&lt;foreign-keys&gt;&lt;key app="EN" db-id="s0ftft29jf2psaezx93xwz5s00fwpa9avrwv"&gt;248&lt;/key&gt;&lt;/foreign-keys&gt;&lt;ref-type name="Web Page"&gt;12&lt;/ref-type&gt;&lt;contributors&gt;&lt;authors&gt;&lt;author&gt;The Journal&lt;/author&gt;&lt;/authors&gt;&lt;/contributors&gt;&lt;titles&gt;&lt;title&gt;Video: Martin McGuinness mixes up his IFA and his IRA&lt;/title&gt;&lt;/titles&gt;&lt;volume&gt;2014&lt;/volume&gt;&lt;number&gt;10th January&lt;/number&gt;&lt;dates&gt;&lt;year&gt;30th April 2013&lt;/year&gt;&lt;/dates&gt;&lt;pub-location&gt;http://www.thejournal.ie/martin-mcguinness-ira-ifa-mixup-890949-Apr2013/&lt;/pub-location&gt;&lt;urls&gt;&lt;/urls&gt;&lt;/record&gt;&lt;/Cite&gt;&lt;/EndNote&gt;</w:instrText>
      </w:r>
      <w:r>
        <w:fldChar w:fldCharType="separate"/>
      </w:r>
      <w:r>
        <w:rPr>
          <w:noProof/>
        </w:rPr>
        <w:t>The Journal, "Video: Martin Mcguinness Mixes up His Ifa and His Ira."</w:t>
      </w:r>
      <w:r>
        <w:fldChar w:fldCharType="end"/>
      </w:r>
      <w:r>
        <w:t xml:space="preserve"> Accessed on 10</w:t>
      </w:r>
      <w:r w:rsidRPr="00D94623">
        <w:rPr>
          <w:vertAlign w:val="superscript"/>
        </w:rPr>
        <w:t>th</w:t>
      </w:r>
      <w:r>
        <w:t xml:space="preserve"> January 2014, </w:t>
      </w:r>
      <w:r w:rsidRPr="00D94623">
        <w:t>http://www.thejournal.ie/martin-mcguinness-ira-ifa-mixup-890949-Apr2013/</w:t>
      </w:r>
    </w:p>
  </w:footnote>
  <w:footnote w:id="163">
    <w:p w14:paraId="1D493345" w14:textId="223D095A" w:rsidR="007A04F6" w:rsidRDefault="007A04F6" w:rsidP="009E3DF5">
      <w:pPr>
        <w:pStyle w:val="FootnoteText"/>
      </w:pPr>
      <w:r>
        <w:rPr>
          <w:rStyle w:val="FootnoteReference"/>
        </w:rPr>
        <w:footnoteRef/>
      </w:r>
      <w:r>
        <w:t xml:space="preserve"> </w:t>
      </w:r>
      <w:r w:rsidRPr="005B3DFC">
        <w:rPr>
          <w:rFonts w:cs="Times New Roman"/>
        </w:rPr>
        <w:fldChar w:fldCharType="begin"/>
      </w:r>
      <w:r>
        <w:rPr>
          <w:rFonts w:cs="Times New Roman"/>
        </w:rPr>
        <w:instrText xml:space="preserve"> ADDIN EN.CITE &lt;EndNote&gt;&lt;Cite ExcludeAuth="1"&gt;&lt;Author&gt;Gvineria&lt;/Author&gt;&lt;Year&gt;2009&lt;/Year&gt;&lt;RecNum&gt;78&lt;/RecNum&gt;&lt;DisplayText&gt;&amp;quot;How Does Terrorism End?.&amp;quot;&lt;/DisplayText&gt;&lt;record&gt;&lt;rec-number&gt;78&lt;/rec-number&gt;&lt;foreign-keys&gt;&lt;key app="EN" db-id="s0ftft29jf2psaezx93xwz5s00fwpa9avrwv"&gt;78&lt;/key&gt;&lt;/foreign-keys&gt;&lt;ref-type name="Book Section"&gt;5&lt;/ref-type&gt;&lt;contributors&gt;&lt;authors&gt;&lt;author&gt;Gvineria, Gaga&lt;/author&gt;&lt;/authors&gt;&lt;secondary-authors&gt;&lt;author&gt;Davis,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Defense.,&lt;/author&gt;&lt;/secondary-authors&gt;&lt;/contributors&gt;&lt;titles&gt;&lt;title&gt;How Does Terrorism End?&lt;/title&gt;&lt;secondary-title&gt;Social science for counter terrorism : putting the pieces together&lt;/secondary-title&gt;&lt;/titles&gt;&lt;pages&gt;liii, 486 p.&lt;/pages&gt;&lt;dates&gt;&lt;year&gt;2009&lt;/year&gt;&lt;/dates&gt;&lt;pub-location&gt;New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rsidRPr="005B3DFC">
        <w:rPr>
          <w:rFonts w:cs="Times New Roman"/>
        </w:rPr>
        <w:fldChar w:fldCharType="separate"/>
      </w:r>
      <w:r>
        <w:rPr>
          <w:rFonts w:cs="Times New Roman"/>
          <w:noProof/>
        </w:rPr>
        <w:t>"How Does Terrorism End?."</w:t>
      </w:r>
      <w:r w:rsidRPr="005B3DFC">
        <w:rPr>
          <w:rFonts w:cs="Times New Roman"/>
        </w:rPr>
        <w:fldChar w:fldCharType="end"/>
      </w:r>
    </w:p>
  </w:footnote>
  <w:footnote w:id="164">
    <w:p w14:paraId="1C409D02" w14:textId="7F0AA042" w:rsidR="007A04F6" w:rsidRDefault="007A04F6" w:rsidP="009E3DF5">
      <w:pPr>
        <w:pStyle w:val="FootnoteText"/>
      </w:pPr>
      <w:r>
        <w:rPr>
          <w:rStyle w:val="FootnoteReference"/>
        </w:rPr>
        <w:footnoteRef/>
      </w:r>
      <w:r>
        <w:t xml:space="preserve"> </w:t>
      </w:r>
      <w:r w:rsidRPr="005B3DFC">
        <w:rPr>
          <w:rFonts w:cs="Times New Roman"/>
        </w:rPr>
        <w:fldChar w:fldCharType="begin"/>
      </w:r>
      <w:r>
        <w:rPr>
          <w:rFonts w:cs="Times New Roman"/>
        </w:rPr>
        <w:instrText xml:space="preserve"> ADDIN EN.CITE &lt;EndNote&gt;&lt;Cite ExcludeAuth="1"&gt;&lt;Author&gt;Crenshaw&lt;/Author&gt;&lt;Year&gt;1991&lt;/Year&gt;&lt;RecNum&gt;48&lt;/RecNum&gt;&lt;DisplayText&gt;&amp;quot;How Terrorism Declines.&amp;quot;&lt;/DisplayText&gt;&lt;record&gt;&lt;rec-number&gt;48&lt;/rec-number&gt;&lt;foreign-keys&gt;&lt;key app="EN" db-id="s0ftft29jf2psaezx93xwz5s00fwpa9avrwv"&gt;48&lt;/key&gt;&lt;/foreign-keys&gt;&lt;ref-type name="Journal Article"&gt;17&lt;/ref-type&gt;&lt;contributors&gt;&lt;authors&gt;&lt;author&gt;Crenshaw, Martha&lt;/author&gt;&lt;/authors&gt;&lt;/contributors&gt;&lt;titles&gt;&lt;title&gt;How Terrorism Declines&lt;/title&gt;&lt;secondary-title&gt;Terrorism and Political Violence&lt;/secondary-title&gt;&lt;/titles&gt;&lt;periodical&gt;&lt;full-title&gt;Terrorism and Political Violence&lt;/full-title&gt;&lt;/periodical&gt;&lt;pages&gt;pp. 69-87&lt;/pages&gt;&lt;volume&gt;3 (1)&lt;/volume&gt;&lt;dates&gt;&lt;year&gt;1991&lt;/year&gt;&lt;/dates&gt;&lt;urls&gt;&lt;/urls&gt;&lt;/record&gt;&lt;/Cite&gt;&lt;/EndNote&gt;</w:instrText>
      </w:r>
      <w:r w:rsidRPr="005B3DFC">
        <w:rPr>
          <w:rFonts w:cs="Times New Roman"/>
        </w:rPr>
        <w:fldChar w:fldCharType="separate"/>
      </w:r>
      <w:r>
        <w:rPr>
          <w:rFonts w:cs="Times New Roman"/>
          <w:noProof/>
        </w:rPr>
        <w:t>"How Terrorism Declines."</w:t>
      </w:r>
      <w:r w:rsidRPr="005B3DFC">
        <w:rPr>
          <w:rFonts w:cs="Times New Roman"/>
        </w:rPr>
        <w:fldChar w:fldCharType="end"/>
      </w:r>
    </w:p>
  </w:footnote>
  <w:footnote w:id="165">
    <w:p w14:paraId="75D41F61" w14:textId="55056ABD"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&lt;EndNote&gt;&lt;Cite&gt;&lt;Author&gt;Moghadam&lt;/Author&gt;&lt;Year&gt;2012&lt;/Year&gt;&lt;RecNum&gt;228&lt;/RecNum&gt;&lt;DisplayText&gt;Moghadam, &amp;quot;Failure and Disengagement in the Red Army Faction.&amp;quot;&lt;/DisplayText&gt;&lt;record&gt;&lt;rec-number&gt;228&lt;/rec-number&gt;&lt;foreign-keys&gt;&lt;key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Moghadam, "Failure and Disengagement in the Red Army Faction."</w:t>
      </w:r>
      <w:r>
        <w:fldChar w:fldCharType="end"/>
      </w:r>
      <w:r>
        <w:t xml:space="preserve"> </w:t>
      </w:r>
      <w:r>
        <w:fldChar w:fldCharType="begin"/>
      </w:r>
      <w:r>
        <w:instrText xml:space="preserve"> ADDIN EN.CITE &lt;EndNote&gt;&lt;Cite&gt;&lt;Author&gt;Clubb&lt;/Author&gt;&lt;Year&gt;2009&lt;/Year&gt;&lt;RecNum&gt;46&lt;/RecNum&gt;&lt;DisplayText&gt;Clubb, &amp;quot;Re-Evaluating the Disengagement Process: The Case of Fatah.&amp;quot;&lt;/DisplayText&gt;&lt;record&gt;&lt;rec-number&gt;46&lt;/rec-number&gt;&lt;foreign-keys&gt;&lt;key app="EN" db-id="s0ftft29jf2psaezx93xwz5s00fwpa9avrwv"&gt;46&lt;/key&gt;&lt;/foreign-keys&gt;&lt;ref-type name="Journal Article"&gt;17&lt;/ref-type&gt;&lt;contributors&gt;&lt;authors&gt;&lt;author&gt;Clubb, Gordon&lt;/author&gt;&lt;/authors&gt;&lt;/contributors&gt;&lt;titles&gt;&lt;title&gt;Re-evaluating the Disengagement Process: the Case of Fatah&lt;/title&gt;&lt;secondary-title&gt;Perspectives on Terrorism&lt;/secondary-title&gt;&lt;/titles&gt;&lt;volume&gt;3 (3)&lt;/volume&gt;&lt;dates&gt;&lt;year&gt;2009&lt;/year&gt;&lt;/dates&gt;&lt;urls&gt;&lt;/urls&gt;&lt;/record&gt;&lt;/Cite&gt;&lt;/EndNote&gt;</w:instrText>
      </w:r>
      <w:r>
        <w:fldChar w:fldCharType="separate"/>
      </w:r>
      <w:r>
        <w:rPr>
          <w:noProof/>
        </w:rPr>
        <w:t>Clubb, "Re-Evaluating the Disengagement Process: The Case of Fatah."</w:t>
      </w:r>
      <w:r>
        <w:fldChar w:fldCharType="end"/>
      </w:r>
    </w:p>
  </w:footnote>
  <w:footnote w:id="166">
    <w:p w14:paraId="65C4BB48" w14:textId="05F3DAF0"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&lt;EndNote&gt;&lt;Cite&gt;&lt;Author&gt;Beaumont&lt;/Author&gt;&lt;Year&gt;18th January 2014&lt;/Year&gt;&lt;RecNum&gt;267&lt;/RecNum&gt;&lt;DisplayText&gt;Beaumont, &amp;quot;&amp;apos;Living Suicide Bomb&amp;apos; Rejoins Al-Qaida after Saudi Deprogramming.&amp;quot;&lt;/DisplayText&gt;&lt;record&gt;&lt;rec-number&gt;267&lt;/rec-number&gt;&lt;foreign-keys&gt;&lt;key app="EN" db-id="s0ftft29jf2psaezx93xwz5s00fwpa9avrwv"&gt;267&lt;/key&gt;&lt;/foreign-keys&gt;&lt;ref-type name="Newspaper Article"&gt;23&lt;/ref-type&gt;&lt;contributors&gt;&lt;authors&gt;&lt;author&gt;Beaumont, Peter&lt;/author&gt;&lt;/authors&gt;&lt;/contributors&gt;&lt;titles&gt;&lt;title&gt;&amp;apos;Living suicide bomb&amp;apos; rejoins al-Qaida after Saudi deprogramming&lt;/title&gt;&lt;secondary-title&gt;The Observer&lt;/secondary-title&gt;&lt;/titles&gt;&lt;dates&gt;&lt;year&gt;18th January 2014&lt;/year&gt;&lt;/dates&gt;&lt;pub-location&gt;Manchester&lt;/pub-location&gt;&lt;urls&gt;&lt;/urls&gt;&lt;/record&gt;&lt;/Cite&gt;&lt;/EndNote&gt;</w:instrText>
      </w:r>
      <w:r>
        <w:fldChar w:fldCharType="separate"/>
      </w:r>
      <w:r>
        <w:rPr>
          <w:noProof/>
        </w:rPr>
        <w:t>Beaumont, "'Living Suicide Bomb' Rejoins Al-Qaida after Saudi Deprogramming."</w:t>
      </w:r>
      <w:r>
        <w:fldChar w:fldCharType="end"/>
      </w:r>
    </w:p>
  </w:footnote>
  <w:footnote w:id="167">
    <w:p w14:paraId="47519A7D" w14:textId="1928E2A8"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&lt;EndNote&gt;&lt;Cite&gt;&lt;Author&gt;Bjorgo&lt;/Author&gt;&lt;Year&gt;2009&lt;/Year&gt;&lt;RecNum&gt;35&lt;/RecNum&gt;&lt;DisplayText&gt;Bjorgo and Horgan, &lt;style face="italic"&gt;Leaving Terrorism Behind: Individual and Collective Disengagement&lt;/style&gt;.&lt;/DisplayText&gt;&lt;record&gt;&lt;rec-number&gt;35&lt;/rec-number&gt;&lt;foreign-keys&gt;&lt;key app="EN" db-id="s0ftft29jf2psaezx93xwz5s00fwpa9avrwv"&gt;35&lt;/key&gt;&lt;/foreign-keys&gt;&lt;ref-type name="Edited Book"&gt;28&lt;/ref-type&gt;&lt;contributors&gt;&lt;authors&gt;&lt;author&gt;Bjorgo, Tore&lt;/author&gt;&lt;author&gt;Horgan, John&lt;/author&gt;&lt;/authors&gt;&lt;/contributors&gt;&lt;titles&gt;&lt;title&gt;Leaving Terrorism Behind: individual and collective disengagement&lt;/title&gt;&lt;/titles&gt;&lt;dates&gt;&lt;year&gt;2009&lt;/year&gt;&lt;/dates&gt;&lt;pub-location&gt;Oxon&lt;/pub-location&gt;&lt;publisher&gt;Routledge&lt;/publisher&gt;&lt;urls&gt;&lt;/urls&gt;&lt;/record&gt;&lt;/Cite&gt;&lt;/EndNote&gt;</w:instrText>
      </w:r>
      <w:r>
        <w:fldChar w:fldCharType="separate"/>
      </w:r>
      <w:r>
        <w:rPr>
          <w:noProof/>
        </w:rPr>
        <w:t xml:space="preserve">Bjorgo and Horgan, </w:t>
      </w:r>
      <w:r w:rsidRPr="003D17E7">
        <w:rPr>
          <w:i/>
          <w:noProof/>
        </w:rPr>
        <w:t>Leaving Terrorism Behind: Individual and Collective Disengagement</w:t>
      </w:r>
      <w:r>
        <w:rPr>
          <w:noProof/>
        </w:rPr>
        <w:t>.</w:t>
      </w:r>
      <w:r>
        <w:fldChar w:fldCharType="end"/>
      </w:r>
    </w:p>
  </w:footnote>
  <w:footnote w:id="168">
    <w:p w14:paraId="20A08561" w14:textId="21FFC437"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r>
        <w:t xml:space="preserve"> </w:t>
      </w:r>
      <w:r>
        <w:fldChar w:fldCharType="begin"/>
      </w:r>
      <w:r>
        <w:instrText xml:space="preserve"> ADDIN EN.CITE &lt;EndNote&gt;&lt;Cite&gt;&lt;Author&gt;Gunning&lt;/Author&gt;&lt;Year&gt;2009&lt;/Year&gt;&lt;RecNum&gt;74&lt;/RecNum&gt;&lt;DisplayText&gt;Jeroen Gunning, &amp;quot;Social Movement Theory and the Study of Terrorism,&amp;quot; in &lt;style face="italic"&gt;Critical Terrorism Studies&lt;/style&gt;, ed. Richard Jackson, Marie Breen Smyth, and Jeroen Gunning (London: Routledge, 2009).&lt;/DisplayText&gt;&lt;record&gt;&lt;rec-number&gt;74&lt;/rec-number&gt;&lt;foreign-keys&gt;&lt;key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 xml:space="preserve">Jeroen Gunning, "Social Movement Theory and the Study of Terrorism," in </w:t>
      </w:r>
      <w:r w:rsidRPr="003D17E7">
        <w:rPr>
          <w:i/>
          <w:noProof/>
        </w:rPr>
        <w:t>Critical Terrorism Studies</w:t>
      </w:r>
      <w:r>
        <w:rPr>
          <w:noProof/>
        </w:rPr>
        <w:t>, ed. Richard Jackson, Marie Breen Smyth, and Jeroen Gunning (London: Routledge, 2009).</w:t>
      </w:r>
      <w:r>
        <w:fldChar w:fldCharType="end"/>
      </w:r>
    </w:p>
  </w:footnote>
  <w:footnote w:id="169">
    <w:p w14:paraId="49299728" w14:textId="307740F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170">
    <w:p w14:paraId="5B98A6DB" w14:textId="47C2035A" w:rsidR="007A04F6" w:rsidRDefault="007A04F6" w:rsidP="00220517">
      <w:pPr>
        <w:pStyle w:val="FootnoteText"/>
      </w:pPr>
      <w:r>
        <w:rPr>
          <w:rStyle w:val="FootnoteReference"/>
        </w:rPr>
        <w:footnoteRef/>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r>
        <w:t xml:space="preserve"> </w:t>
      </w:r>
    </w:p>
  </w:footnote>
  <w:footnote w:id="171">
    <w:p w14:paraId="0A460AC9" w14:textId="1968BCD3"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&lt;EndNote&gt;&lt;Cite&gt;&lt;Author&gt;Della Porta&lt;/Author&gt;&lt;Year&gt;1999&lt;/Year&gt;&lt;RecNum&gt;300&lt;/RecNum&gt;&lt;DisplayText&gt;Donatella Della Porta and Mario Diani, &lt;style face="italic"&gt;Social Movements: An Introduction&lt;/style&gt;  (Oxford: Basil Blackwell, 1999).&lt;/DisplayText&gt;&lt;record&gt;&lt;rec-number&gt;300&lt;/rec-number&gt;&lt;foreign-keys&gt;&lt;key app="EN" db-id="s0ftft29jf2psaezx93xwz5s00fwpa9avrwv"&gt;300&lt;/key&gt;&lt;/foreign-keys&gt;&lt;ref-type name="Book"&gt;6&lt;/ref-type&gt;&lt;contributors&gt;&lt;authors&gt;&lt;author&gt;Della Porta, Donatella&lt;/author&gt;&lt;author&gt;Diani, Mario&lt;/author&gt;&lt;/authors&gt;&lt;/contributors&gt;&lt;titles&gt;&lt;title&gt;Social Movements: An Introduction&lt;/title&gt;&lt;/titles&gt;&lt;dates&gt;&lt;year&gt;1999&lt;/year&gt;&lt;/dates&gt;&lt;pub-location&gt;Oxford&lt;/pub-location&gt;&lt;publisher&gt;Basil Blackwell&lt;/publisher&gt;&lt;urls&gt;&lt;/urls&gt;&lt;/record&gt;&lt;/Cite&gt;&lt;/EndNote&gt;</w:instrText>
      </w:r>
      <w:r>
        <w:fldChar w:fldCharType="separate"/>
      </w:r>
      <w:r>
        <w:rPr>
          <w:noProof/>
        </w:rPr>
        <w:t xml:space="preserve">Donatella Della Porta and Mario Diani, </w:t>
      </w:r>
      <w:r w:rsidRPr="00341B12">
        <w:rPr>
          <w:i/>
          <w:noProof/>
        </w:rPr>
        <w:t>Social Movements: An Introduction</w:t>
      </w:r>
      <w:r>
        <w:rPr>
          <w:noProof/>
        </w:rPr>
        <w:t xml:space="preserve">  (Oxford: Basil Blackwell, 1999).</w:t>
      </w:r>
      <w:r>
        <w:fldChar w:fldCharType="end"/>
      </w:r>
    </w:p>
  </w:footnote>
  <w:footnote w:id="172">
    <w:p w14:paraId="053534CF" w14:textId="5D6A0A01" w:rsidR="007A04F6" w:rsidRDefault="007A04F6" w:rsidP="0011394B">
      <w:pPr>
        <w:pStyle w:val="FootnoteText"/>
      </w:pPr>
      <w:r>
        <w:rPr>
          <w:rStyle w:val="FootnoteReference"/>
        </w:rPr>
        <w:footnoteRef/>
      </w:r>
      <w:r>
        <w:t xml:space="preserve"> </w:t>
      </w:r>
      <w:r>
        <w:fldChar w:fldCharType="begin"/>
      </w:r>
      <w:r>
        <w:instrText xml:space="preserve"> ADDIN EN.CITE &lt;EndNote&gt;&lt;Cite&gt;&lt;Author&gt;Diani&lt;/Author&gt;&lt;Year&gt;2003&lt;/Year&gt;&lt;RecNum&gt;57&lt;/RecNum&gt;&lt;DisplayText&gt;Mario Diani and Doug McAdam, eds., &lt;style face="italic"&gt;Social Movements and Networks: Relational Approaches to Collective Action&lt;/style&gt; (New York: Oxford University Press, 2003).&lt;/DisplayText&gt;&lt;record&gt;&lt;rec-number&gt;57&lt;/rec-number&gt;&lt;foreign-keys&gt;&lt;key app="EN" db-id="s0ftft29jf2psaezx93xwz5s00fwpa9avrwv"&gt;57&lt;/key&gt;&lt;/foreign-keys&gt;&lt;ref-type name="Edited Book"&gt;28&lt;/ref-type&gt;&lt;contributors&gt;&lt;authors&gt;&lt;author&gt;Diani, Mario&lt;/author&gt;&lt;author&gt;McAdam, Doug&lt;/author&gt;&lt;/authors&gt;&lt;/contributors&gt;&lt;titles&gt;&lt;title&gt;Social Movements and Networks: Relational Approaches to Collective Action&lt;/title&gt;&lt;/titles&gt;&lt;dates&gt;&lt;year&gt;2003&lt;/year&gt;&lt;/dates&gt;&lt;pub-location&gt;New York&lt;/pub-location&gt;&lt;publisher&gt;Oxford University Press&lt;/publisher&gt;&lt;urls&gt;&lt;/urls&gt;&lt;/record&gt;&lt;/Cite&gt;&lt;/EndNote&gt;</w:instrText>
      </w:r>
      <w:r>
        <w:fldChar w:fldCharType="separate"/>
      </w:r>
      <w:r>
        <w:rPr>
          <w:noProof/>
        </w:rPr>
        <w:t xml:space="preserve">Mario Diani and Doug McAdam, eds., </w:t>
      </w:r>
      <w:r w:rsidRPr="00404527">
        <w:rPr>
          <w:i/>
          <w:noProof/>
        </w:rPr>
        <w:t>Social Movements and Networks: Relational Approaches to Collective Action</w:t>
      </w:r>
      <w:r>
        <w:rPr>
          <w:noProof/>
        </w:rPr>
        <w:t xml:space="preserve"> (New York: Oxford University Press, 2003).</w:t>
      </w:r>
      <w:r>
        <w:fldChar w:fldCharType="end"/>
      </w:r>
      <w:r>
        <w:t xml:space="preserve"> Pp. 7-12</w:t>
      </w:r>
    </w:p>
  </w:footnote>
  <w:footnote w:id="173">
    <w:p w14:paraId="6FD84E55" w14:textId="2F658BA2" w:rsidR="007A04F6" w:rsidRDefault="007A04F6">
      <w:pPr>
        <w:pStyle w:val="FootnoteText"/>
      </w:pPr>
      <w:r>
        <w:rPr>
          <w:rStyle w:val="FootnoteReference"/>
        </w:rPr>
        <w:footnoteRef/>
      </w:r>
      <w:r>
        <w:t xml:space="preserve"> </w:t>
      </w:r>
      <w:r>
        <w:fldChar w:fldCharType="begin"/>
      </w:r>
      <w:r>
        <w:instrText xml:space="preserve"> ADDIN EN.CITE &lt;EndNote&gt;&lt;Cite&gt;&lt;Author&gt;Diani&lt;/Author&gt;&lt;Year&gt;2003&lt;/Year&gt;&lt;RecNum&gt;57&lt;/RecNum&gt;&lt;DisplayText&gt;Ibid.&lt;/DisplayText&gt;&lt;record&gt;&lt;rec-number&gt;57&lt;/rec-number&gt;&lt;foreign-keys&gt;&lt;key app="EN" db-id="s0ftft29jf2psaezx93xwz5s00fwpa9avrwv"&gt;57&lt;/key&gt;&lt;/foreign-keys&gt;&lt;ref-type name="Edited Book"&gt;28&lt;/ref-type&gt;&lt;contributors&gt;&lt;authors&gt;&lt;author&gt;Diani, Mario&lt;/author&gt;&lt;author&gt;McAdam, Doug&lt;/author&gt;&lt;/authors&gt;&lt;/contributors&gt;&lt;titles&gt;&lt;title&gt;Social Movements and Networks: Relational Approaches to Collective Action&lt;/title&gt;&lt;/titles&gt;&lt;dates&gt;&lt;year&gt;2003&lt;/year&gt;&lt;/dates&gt;&lt;pub-location&gt;New York&lt;/pub-location&gt;&lt;publisher&gt;Oxford University Press&lt;/publisher&gt;&lt;urls&gt;&lt;/urls&gt;&lt;/record&gt;&lt;/Cite&gt;&lt;/EndNote&gt;</w:instrText>
      </w:r>
      <w:r>
        <w:fldChar w:fldCharType="separate"/>
      </w:r>
      <w:r>
        <w:rPr>
          <w:noProof/>
        </w:rPr>
        <w:t>Ibid.</w:t>
      </w:r>
      <w:r>
        <w:fldChar w:fldCharType="end"/>
      </w:r>
    </w:p>
  </w:footnote>
  <w:footnote w:id="174">
    <w:p w14:paraId="10CFA299" w14:textId="24BD1141" w:rsidR="007A04F6" w:rsidRDefault="007A04F6" w:rsidP="00340399">
      <w:pPr>
        <w:pStyle w:val="FootnoteText"/>
      </w:pPr>
      <w:r>
        <w:rPr>
          <w:rStyle w:val="FootnoteReference"/>
        </w:rPr>
        <w:footnoteRef/>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p>
  </w:footnote>
  <w:footnote w:id="175">
    <w:p w14:paraId="089D79A3" w14:textId="64C9026F" w:rsidR="007A04F6" w:rsidRDefault="007A04F6">
      <w:pPr>
        <w:pStyle w:val="FootnoteText"/>
      </w:pPr>
      <w:r>
        <w:rPr>
          <w:rStyle w:val="FootnoteReference"/>
        </w:rPr>
        <w:footnoteRef/>
      </w:r>
      <w:r>
        <w:t xml:space="preserve"> </w:t>
      </w:r>
      <w:r>
        <w:fldChar w:fldCharType="begin"/>
      </w:r>
      <w:r>
        <w:instrText xml:space="preserve"> ADDIN EN.CITE &lt;EndNote&gt;&lt;Cite&gt;&lt;Author&gt;Gunning&lt;/Author&gt;&lt;Year&gt;2009&lt;/Year&gt;&lt;RecNum&gt;74&lt;/RecNum&gt;&lt;DisplayText&gt;Ibid.&lt;/DisplayText&gt;&lt;record&gt;&lt;rec-number&gt;74&lt;/rec-number&gt;&lt;foreign-keys&gt;&lt;key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Ibid.</w:t>
      </w:r>
      <w:r>
        <w:fldChar w:fldCharType="end"/>
      </w:r>
    </w:p>
  </w:footnote>
  <w:footnote w:id="176">
    <w:p w14:paraId="1C502295" w14:textId="5B52F3E4" w:rsidR="007A04F6" w:rsidRDefault="007A04F6">
      <w:pPr>
        <w:pStyle w:val="FootnoteText"/>
      </w:pPr>
      <w:r>
        <w:rPr>
          <w:rStyle w:val="FootnoteReference"/>
        </w:rPr>
        <w:footnoteRef/>
      </w:r>
      <w:r>
        <w:t xml:space="preserve"> </w:t>
      </w:r>
      <w:r>
        <w:fldChar w:fldCharType="begin"/>
      </w:r>
      <w:r>
        <w:instrText xml:space="preserve"> ADDIN EN.CITE &lt;EndNote&gt;&lt;Cite&gt;&lt;Author&gt;Dwyer&lt;/Author&gt;&lt;Year&gt;2012&lt;/Year&gt;&lt;RecNum&gt;241&lt;/RecNum&gt;&lt;DisplayText&gt;Clare Dwyer, &amp;quot;Expanding Ddr: The Transformative Role of Former Prisoners in Community-Based Reintegration in Northern Ireland,&amp;quot; &lt;style face="italic"&gt;The International Journal of Transitional Justice&lt;/style&gt; 6 (2)(2012).&lt;/DisplayText&gt;&lt;record&gt;&lt;rec-number&gt;241&lt;/rec-number&gt;&lt;foreign-keys&gt;&lt;key app="EN" db-id="s0ftft29jf2psaezx93xwz5s00fwpa9avrwv"&gt;241&lt;/key&gt;&lt;/foreign-keys&gt;&lt;ref-type name="Journal Article"&gt;17&lt;/ref-type&gt;&lt;contributors&gt;&lt;authors&gt;&lt;author&gt;Dwyer, Clare&lt;/author&gt;&lt;/authors&gt;&lt;/contributors&gt;&lt;titles&gt;&lt;title&gt;Expanding DDR: The Transformative Role of Former Prisoners in Community-Based Reintegration in Northern Ireland&lt;/title&gt;&lt;secondary-title&gt;The International Journal of Transitional Justice&lt;/secondary-title&gt;&lt;/titles&gt;&lt;pages&gt;pp. 274-295&lt;/pages&gt;&lt;volume&gt;6 (2)&lt;/volume&gt;&lt;dates&gt;&lt;year&gt;2012&lt;/year&gt;&lt;/dates&gt;&lt;urls&gt;&lt;/urls&gt;&lt;/record&gt;&lt;/Cite&gt;&lt;/EndNote&gt;</w:instrText>
      </w:r>
      <w:r>
        <w:fldChar w:fldCharType="separate"/>
      </w:r>
      <w:r>
        <w:rPr>
          <w:noProof/>
        </w:rPr>
        <w:t xml:space="preserve">Clare Dwyer, "Expanding Ddr: The Transformative Role of Former Prisoners in Community-Based Reintegration in Northern Ireland," </w:t>
      </w:r>
      <w:r w:rsidRPr="003D17E7">
        <w:rPr>
          <w:i/>
          <w:noProof/>
        </w:rPr>
        <w:t>The International Journal of Transitional Justice</w:t>
      </w:r>
      <w:r>
        <w:rPr>
          <w:noProof/>
        </w:rPr>
        <w:t xml:space="preserve"> 6 (2)(2012).</w:t>
      </w:r>
      <w:r>
        <w:fldChar w:fldCharType="end"/>
      </w:r>
    </w:p>
  </w:footnote>
  <w:footnote w:id="177">
    <w:p w14:paraId="494B62BA" w14:textId="11621B4F" w:rsidR="007A04F6" w:rsidRDefault="007A04F6" w:rsidP="008A44F8">
      <w:pPr>
        <w:pStyle w:val="FootnoteText"/>
      </w:pPr>
      <w:r>
        <w:rPr>
          <w:rStyle w:val="FootnoteReference"/>
        </w:rPr>
        <w:footnoteRef/>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p>
  </w:footnote>
  <w:footnote w:id="178">
    <w:p w14:paraId="6C17670A" w14:textId="6ADFEAB9"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179">
    <w:p w14:paraId="58D8D2EF" w14:textId="1C350B12"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&lt;EndNote&gt;&lt;Cite&gt;&lt;Author&gt;Ashour&lt;/Author&gt;&lt;Year&gt;2009&lt;/Year&gt;&lt;RecNum&gt;27&lt;/RecNum&gt;&lt;DisplayText&gt;Ibid.&lt;/DisplayText&gt;&lt;record&gt;&lt;rec-number&gt;27&lt;/rec-number&gt;&lt;foreign-keys&gt;&lt;key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Ibid.</w:t>
      </w:r>
      <w:r>
        <w:fldChar w:fldCharType="end"/>
      </w:r>
    </w:p>
  </w:footnote>
  <w:footnote w:id="180">
    <w:p w14:paraId="1120EEAC" w14:textId="5AC9D89B" w:rsidR="007A04F6" w:rsidRDefault="007A04F6">
      <w:pPr>
        <w:pStyle w:val="FootnoteText"/>
      </w:pPr>
      <w:r>
        <w:rPr>
          <w:rStyle w:val="FootnoteReference"/>
        </w:rPr>
        <w:footnoteRef/>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r>
        <w:t xml:space="preserve"> pp. 158</w:t>
      </w:r>
    </w:p>
  </w:footnote>
  <w:footnote w:id="181">
    <w:p w14:paraId="3770F9C7" w14:textId="020DFFF8" w:rsidR="007A04F6" w:rsidRDefault="007A04F6">
      <w:pPr>
        <w:pStyle w:val="FootnoteText"/>
      </w:pPr>
      <w:r>
        <w:rPr>
          <w:rStyle w:val="FootnoteReference"/>
        </w:rPr>
        <w:footnoteRef/>
      </w:r>
      <w:r>
        <w:t xml:space="preserve"> </w:t>
      </w:r>
      <w:r>
        <w:fldChar w:fldCharType="begin"/>
      </w:r>
      <w:r>
        <w:instrText xml:space="preserve"> ADDIN EN.CITE &lt;EndNote&gt;&lt;Cite&gt;&lt;Author&gt;McAdam&lt;/Author&gt;&lt;Year&gt;1996&lt;/Year&gt;&lt;RecNum&gt;301&lt;/RecNum&gt;&lt;DisplayText&gt;Doug McAdam, John McCarthy, and Mayer Zald, eds., &lt;style face="italic"&gt;Comparative Perspectives on Social Movements: Political Opportunities, Mobilizing Structures, and Cultural Framing&lt;/style&gt; (New York: Cambridge University Press, 1996).&lt;/DisplayText&gt;&lt;record&gt;&lt;rec-number&gt;301&lt;/rec-number&gt;&lt;foreign-keys&gt;&lt;key app="EN" db-id="s0ftft29jf2psaezx93xwz5s00fwpa9avrwv"&gt;301&lt;/key&gt;&lt;/foreign-keys&gt;&lt;ref-type name="Edited Book"&gt;28&lt;/ref-type&gt;&lt;contributors&gt;&lt;authors&gt;&lt;author&gt;McAdam, Doug&lt;/author&gt;&lt;author&gt;McCarthy, John&lt;/author&gt;&lt;author&gt;Zald, Mayer&lt;/author&gt;&lt;/authors&gt;&lt;/contributors&gt;&lt;titles&gt;&lt;title&gt;Comparative Perspectives on Social Movements: Political opportunities, mobilizing structures, and cultural framing&lt;/title&gt;&lt;/titles&gt;&lt;dates&gt;&lt;year&gt;1996&lt;/year&gt;&lt;/dates&gt;&lt;pub-location&gt;New York&lt;/pub-location&gt;&lt;publisher&gt;Cambridge University Press&lt;/publisher&gt;&lt;urls&gt;&lt;/urls&gt;&lt;/record&gt;&lt;/Cite&gt;&lt;/EndNote&gt;</w:instrText>
      </w:r>
      <w:r>
        <w:fldChar w:fldCharType="separate"/>
      </w:r>
      <w:r>
        <w:rPr>
          <w:noProof/>
        </w:rPr>
        <w:t xml:space="preserve">Doug McAdam, John McCarthy, and Mayer Zald, eds., </w:t>
      </w:r>
      <w:r w:rsidRPr="003D17E7">
        <w:rPr>
          <w:i/>
          <w:noProof/>
        </w:rPr>
        <w:t>Comparative Perspectives on Social Movements: Political Opportunities, Mobilizing Structures, and Cultural Framing</w:t>
      </w:r>
      <w:r>
        <w:rPr>
          <w:noProof/>
        </w:rPr>
        <w:t xml:space="preserve"> (New York: Cambridge University Press, 1996).</w:t>
      </w:r>
      <w:r>
        <w:fldChar w:fldCharType="end"/>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p>
  </w:footnote>
  <w:footnote w:id="182">
    <w:p w14:paraId="042B111A" w14:textId="1058CA3A" w:rsidR="007A04F6" w:rsidRDefault="007A04F6">
      <w:pPr>
        <w:pStyle w:val="FootnoteText"/>
      </w:pPr>
      <w:r>
        <w:rPr>
          <w:rStyle w:val="FootnoteReference"/>
        </w:rPr>
        <w:footnoteRef/>
      </w:r>
      <w:r>
        <w:t xml:space="preserve"> </w:t>
      </w:r>
      <w:r>
        <w:fldChar w:fldCharType="begin"/>
      </w:r>
      <w:r>
        <w:instrText xml:space="preserve"> ADDIN EN.CITE &lt;EndNote&gt;&lt;Cite&gt;&lt;Author&gt;Diani&lt;/Author&gt;&lt;Year&gt;2003&lt;/Year&gt;&lt;RecNum&gt;57&lt;/RecNum&gt;&lt;DisplayText&gt;Diani and McAdam, &lt;style face="italic"&gt;Social Movements and Networks: Relational Approaches to Collective Action&lt;/style&gt;.&lt;/DisplayText&gt;&lt;record&gt;&lt;rec-number&gt;57&lt;/rec-number&gt;&lt;foreign-keys&gt;&lt;key app="EN" db-id="s0ftft29jf2psaezx93xwz5s00fwpa9avrwv"&gt;57&lt;/key&gt;&lt;/foreign-keys&gt;&lt;ref-type name="Edited Book"&gt;28&lt;/ref-type&gt;&lt;contributors&gt;&lt;authors&gt;&lt;author&gt;Diani, Mario&lt;/author&gt;&lt;author&gt;McAdam, Doug&lt;/author&gt;&lt;/authors&gt;&lt;/contributors&gt;&lt;titles&gt;&lt;title&gt;Social Movements and Networks: Relational Approaches to Collective Action&lt;/title&gt;&lt;/titles&gt;&lt;dates&gt;&lt;year&gt;2003&lt;/year&gt;&lt;/dates&gt;&lt;pub-location&gt;New York&lt;/pub-location&gt;&lt;publisher&gt;Oxford University Press&lt;/publisher&gt;&lt;urls&gt;&lt;/urls&gt;&lt;/record&gt;&lt;/Cite&gt;&lt;/EndNote&gt;</w:instrText>
      </w:r>
      <w:r>
        <w:fldChar w:fldCharType="separate"/>
      </w:r>
      <w:r>
        <w:rPr>
          <w:noProof/>
        </w:rPr>
        <w:t xml:space="preserve">Diani and McAdam, </w:t>
      </w:r>
      <w:r w:rsidRPr="003D17E7">
        <w:rPr>
          <w:i/>
          <w:noProof/>
        </w:rPr>
        <w:t>Social Movements and Networks: Relational Approaches to Collective Action</w:t>
      </w:r>
      <w:r>
        <w:rPr>
          <w:noProof/>
        </w:rPr>
        <w:t>.</w:t>
      </w:r>
      <w:r>
        <w:fldChar w:fldCharType="end"/>
      </w:r>
    </w:p>
  </w:footnote>
  <w:footnote w:id="183">
    <w:p w14:paraId="033BC2B4" w14:textId="5A952F01" w:rsidR="007A04F6" w:rsidRDefault="007A04F6">
      <w:pPr>
        <w:pStyle w:val="FootnoteText"/>
      </w:pPr>
      <w:r>
        <w:rPr>
          <w:rStyle w:val="FootnoteReference"/>
        </w:rPr>
        <w:footnoteRef/>
      </w:r>
      <w:r>
        <w:t xml:space="preserve"> </w:t>
      </w:r>
      <w:r>
        <w:fldChar w:fldCharType="begin"/>
      </w:r>
      <w:r>
        <w:instrText xml:space="preserve"> ADDIN EN.CITE &lt;EndNote&gt;&lt;Cite&gt;&lt;Author&gt;Della Porta&lt;/Author&gt;&lt;Year&gt;2008&lt;/Year&gt;&lt;RecNum&gt;302&lt;/RecNum&gt;&lt;DisplayText&gt;Donatella Della Porta, &amp;quot;Research on Social Movements and Political Violence,&amp;quot; &lt;style face="italic"&gt;Qualitative Sociology&lt;/style&gt; 31 (3)(2008).&lt;/DisplayText&gt;&lt;record&gt;&lt;rec-number&gt;302&lt;/rec-number&gt;&lt;foreign-keys&gt;&lt;key app="EN" db-id="s0ftft29jf2psaezx93xwz5s00fwpa9avrwv"&gt;302&lt;/key&gt;&lt;/foreign-keys&gt;&lt;ref-type name="Journal Article"&gt;17&lt;/ref-type&gt;&lt;contributors&gt;&lt;authors&gt;&lt;author&gt;Della Porta, Donatella&lt;/author&gt;&lt;/authors&gt;&lt;/contributors&gt;&lt;titles&gt;&lt;title&gt;Research on Social Movements and Political Violence&lt;/title&gt;&lt;secondary-title&gt;Qualitative Sociology&lt;/secondary-title&gt;&lt;/titles&gt;&lt;pages&gt;pp. 221-230&lt;/pages&gt;&lt;volume&gt;31 (3)&lt;/volume&gt;&lt;dates&gt;&lt;year&gt;2008&lt;/year&gt;&lt;/dates&gt;&lt;urls&gt;&lt;/urls&gt;&lt;/record&gt;&lt;/Cite&gt;&lt;/EndNote&gt;</w:instrText>
      </w:r>
      <w:r>
        <w:fldChar w:fldCharType="separate"/>
      </w:r>
      <w:r>
        <w:rPr>
          <w:noProof/>
        </w:rPr>
        <w:t xml:space="preserve">Donatella Della Porta, "Research on Social Movements and Political Violence," </w:t>
      </w:r>
      <w:r w:rsidRPr="003D17E7">
        <w:rPr>
          <w:i/>
          <w:noProof/>
        </w:rPr>
        <w:t>Qualitative Sociology</w:t>
      </w:r>
      <w:r>
        <w:rPr>
          <w:noProof/>
        </w:rPr>
        <w:t xml:space="preserve"> 31 (3)(2008).</w:t>
      </w:r>
      <w:r>
        <w:fldChar w:fldCharType="end"/>
      </w:r>
    </w:p>
  </w:footnote>
  <w:footnote w:id="184">
    <w:p w14:paraId="26A925F8" w14:textId="2E4E1E3B" w:rsidR="007A04F6" w:rsidRDefault="007A04F6">
      <w:pPr>
        <w:pStyle w:val="FootnoteText"/>
      </w:pPr>
      <w:r>
        <w:rPr>
          <w:rStyle w:val="FootnoteReference"/>
        </w:rPr>
        <w:footnoteRef/>
      </w:r>
      <w:r>
        <w:t xml:space="preserve"> </w:t>
      </w:r>
      <w:r>
        <w:fldChar w:fldCharType="begin"/>
      </w:r>
      <w:r>
        <w:instrText xml:space="preserve"> ADDIN EN.CITE &lt;EndNote&gt;&lt;Cite&gt;&lt;Author&gt;McAdam&lt;/Author&gt;&lt;Year&gt;1996&lt;/Year&gt;&lt;RecNum&gt;301&lt;/RecNum&gt;&lt;DisplayText&gt;McAdam, McCarthy, and Zald, &lt;style face="italic"&gt;Comparative Perspectives on Social Movements: Political Opportunities, Mobilizing Structures, and Cultural Framing&lt;/style&gt;.&lt;/DisplayText&gt;&lt;record&gt;&lt;rec-number&gt;301&lt;/rec-number&gt;&lt;foreign-keys&gt;&lt;key app="EN" db-id="s0ftft29jf2psaezx93xwz5s00fwpa9avrwv"&gt;301&lt;/key&gt;&lt;/foreign-keys&gt;&lt;ref-type name="Edited Book"&gt;28&lt;/ref-type&gt;&lt;contributors&gt;&lt;authors&gt;&lt;author&gt;McAdam, Doug&lt;/author&gt;&lt;author&gt;McCarthy, John&lt;/author&gt;&lt;author&gt;Zald, Mayer&lt;/author&gt;&lt;/authors&gt;&lt;/contributors&gt;&lt;titles&gt;&lt;title&gt;Comparative Perspectives on Social Movements: Political opportunities, mobilizing structures, and cultural framing&lt;/title&gt;&lt;/titles&gt;&lt;dates&gt;&lt;year&gt;1996&lt;/year&gt;&lt;/dates&gt;&lt;pub-location&gt;New York&lt;/pub-location&gt;&lt;publisher&gt;Cambridge University Press&lt;/publisher&gt;&lt;urls&gt;&lt;/urls&gt;&lt;/record&gt;&lt;/Cite&gt;&lt;/EndNote&gt;</w:instrText>
      </w:r>
      <w:r>
        <w:fldChar w:fldCharType="separate"/>
      </w:r>
      <w:r>
        <w:rPr>
          <w:noProof/>
        </w:rPr>
        <w:t xml:space="preserve">McAdam, McCarthy, and Zald, </w:t>
      </w:r>
      <w:r w:rsidRPr="003D17E7">
        <w:rPr>
          <w:i/>
          <w:noProof/>
        </w:rPr>
        <w:t>Comparative Perspectives on Social Movements: Political Opportunities, Mobilizing Structures, and Cultural Framing</w:t>
      </w:r>
      <w:r>
        <w:rPr>
          <w:noProof/>
        </w:rPr>
        <w:t>.</w:t>
      </w:r>
      <w:r>
        <w:fldChar w:fldCharType="end"/>
      </w:r>
    </w:p>
  </w:footnote>
  <w:footnote w:id="185">
    <w:p w14:paraId="422265E0" w14:textId="6A8E1470"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186">
    <w:p w14:paraId="3CAB177E" w14:textId="2557628F" w:rsidR="007A04F6" w:rsidRDefault="007A04F6">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187">
    <w:p w14:paraId="0AB123CE" w14:textId="5C90DDF1" w:rsidR="007A04F6" w:rsidRDefault="007A04F6">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188">
    <w:p w14:paraId="48B73FF2" w14:textId="77777777" w:rsidR="007A04F6" w:rsidRDefault="007A04F6" w:rsidP="009E3DF5">
      <w:pPr>
        <w:pStyle w:val="FootnoteText"/>
      </w:pPr>
      <w:r>
        <w:rPr>
          <w:rStyle w:val="FootnoteReference"/>
        </w:rPr>
        <w:footnoteRef/>
      </w:r>
      <w:r>
        <w:t xml:space="preserve"> </w:t>
      </w:r>
      <w:r w:rsidRPr="003472BE">
        <w:t>Interview, Home Office Security Official, London, 9th August 2013</w:t>
      </w:r>
    </w:p>
  </w:footnote>
  <w:footnote w:id="189">
    <w:p w14:paraId="391D03E7" w14:textId="2A3CADD1"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190">
    <w:p w14:paraId="292B785B" w14:textId="77777777" w:rsidR="007A04F6" w:rsidRDefault="007A04F6" w:rsidP="009E3DF5">
      <w:pPr>
        <w:pStyle w:val="FootnoteText"/>
      </w:pPr>
      <w:r>
        <w:rPr>
          <w:rStyle w:val="FootnoteReference"/>
        </w:rPr>
        <w:footnoteRef/>
      </w:r>
      <w:r>
        <w:t xml:space="preserve"> </w:t>
      </w:r>
      <w:r w:rsidRPr="003472BE">
        <w:t>Interview, Home Office Security Official, London, 9th August 2013</w:t>
      </w:r>
    </w:p>
  </w:footnote>
  <w:footnote w:id="191">
    <w:p w14:paraId="03B500D2" w14:textId="10335249"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&lt;EndNote&gt;&lt;Cite&gt;&lt;Author&gt;Fishbein&lt;/Author&gt;&lt;Year&gt;2011&lt;/Year&gt;&lt;RecNum&gt;223&lt;/RecNum&gt;&lt;DisplayText&gt;Martin Fishbein and Icek Ajzen, &lt;style face="italic"&gt;Predicting and Changing Behavior: The Reasoned Action Approach&lt;/style&gt;  (New York: Psychology Press - Taylor Francis Group, 2011).&lt;/DisplayText&gt;&lt;record&gt;&lt;rec-number&gt;223&lt;/rec-number&gt;&lt;foreign-keys&gt;&lt;key app="EN" db-id="s0ftft29jf2psaezx93xwz5s00fwpa9avrwv"&gt;223&lt;/key&gt;&lt;/foreign-keys&gt;&lt;ref-type name="Book"&gt;6&lt;/ref-type&gt;&lt;contributors&gt;&lt;authors&gt;&lt;author&gt;Fishbein, Martin&lt;/author&gt;&lt;author&gt;Ajzen, Icek&lt;/author&gt;&lt;/authors&gt;&lt;/contributors&gt;&lt;titles&gt;&lt;title&gt;Predicting and Changing Behavior: The Reasoned Action Approach&lt;/title&gt;&lt;/titles&gt;&lt;dates&gt;&lt;year&gt;2011&lt;/year&gt;&lt;/dates&gt;&lt;pub-location&gt;New York&lt;/pub-location&gt;&lt;publisher&gt;Psychology Press - Taylor Francis Group&lt;/publisher&gt;&lt;urls&gt;&lt;/urls&gt;&lt;/record&gt;&lt;/Cite&gt;&lt;/EndNote&gt;</w:instrText>
      </w:r>
      <w:r>
        <w:fldChar w:fldCharType="separate"/>
      </w:r>
      <w:r>
        <w:rPr>
          <w:noProof/>
        </w:rPr>
        <w:t xml:space="preserve">Martin Fishbein and Icek Ajzen, </w:t>
      </w:r>
      <w:r w:rsidRPr="006D4BCB">
        <w:rPr>
          <w:i/>
          <w:noProof/>
        </w:rPr>
        <w:t>Predicting and Changing Behavior: The Reasoned Action Approach</w:t>
      </w:r>
      <w:r>
        <w:rPr>
          <w:noProof/>
        </w:rPr>
        <w:t xml:space="preserve">  (New York: Psychology Press - Taylor Francis Group, 2011).</w:t>
      </w:r>
      <w:r>
        <w:fldChar w:fldCharType="end"/>
      </w:r>
    </w:p>
  </w:footnote>
  <w:footnote w:id="192">
    <w:p w14:paraId="51ED2FE3" w14:textId="5629A5BA"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&lt;EndNote&gt;&lt;Cite&gt;&lt;Author&gt;Fishbein&lt;/Author&gt;&lt;Year&gt;2011&lt;/Year&gt;&lt;RecNum&gt;223&lt;/RecNum&gt;&lt;DisplayText&gt;Ibid.&lt;/DisplayText&gt;&lt;record&gt;&lt;rec-number&gt;223&lt;/rec-number&gt;&lt;foreign-keys&gt;&lt;key app="EN" db-id="s0ftft29jf2psaezx93xwz5s00fwpa9avrwv"&gt;223&lt;/key&gt;&lt;/foreign-keys&gt;&lt;ref-type name="Book"&gt;6&lt;/ref-type&gt;&lt;contributors&gt;&lt;authors&gt;&lt;author&gt;Fishbein, Martin&lt;/author&gt;&lt;author&gt;Ajzen, Icek&lt;/author&gt;&lt;/authors&gt;&lt;/contributors&gt;&lt;titles&gt;&lt;title&gt;Predicting and Changing Behavior: The Reasoned Action Approach&lt;/title&gt;&lt;/titles&gt;&lt;dates&gt;&lt;year&gt;2011&lt;/year&gt;&lt;/dates&gt;&lt;pub-location&gt;New York&lt;/pub-location&gt;&lt;publisher&gt;Psychology Press - Taylor Francis Group&lt;/publisher&gt;&lt;urls&gt;&lt;/urls&gt;&lt;/record&gt;&lt;/Cite&gt;&lt;/EndNote&gt;</w:instrText>
      </w:r>
      <w:r>
        <w:fldChar w:fldCharType="separate"/>
      </w:r>
      <w:r>
        <w:rPr>
          <w:noProof/>
        </w:rPr>
        <w:t>Ibid.</w:t>
      </w:r>
      <w:r>
        <w:fldChar w:fldCharType="end"/>
      </w:r>
    </w:p>
  </w:footnote>
  <w:footnote w:id="193">
    <w:p w14:paraId="1352E8C4" w14:textId="0D404434"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&lt;EndNote&gt;&lt;Cite&gt;&lt;Author&gt;Goffman&lt;/Author&gt;&lt;Year&gt;1974&lt;/Year&gt;&lt;RecNum&gt;268&lt;/RecNum&gt;&lt;DisplayText&gt;Erving Goffman, &lt;style face="italic"&gt;Frame Analysis: An Essay on the Organization of Experience&lt;/style&gt;  (New Hampshire: Northeastern University Press, 1974).&lt;/DisplayText&gt;&lt;record&gt;&lt;rec-number&gt;268&lt;/rec-number&gt;&lt;foreign-keys&gt;&lt;key app="EN" db-id="s0ftft29jf2psaezx93xwz5s00fwpa9avrwv"&gt;268&lt;/key&gt;&lt;/foreign-keys&gt;&lt;ref-type name="Book"&gt;6&lt;/ref-type&gt;&lt;contributors&gt;&lt;authors&gt;&lt;author&gt;Goffman, Erving&lt;/author&gt;&lt;/authors&gt;&lt;/contributors&gt;&lt;titles&gt;&lt;title&gt;Frame Analysis: an Essay on the Organization of Experience&lt;/title&gt;&lt;/titles&gt;&lt;dates&gt;&lt;year&gt;1974&lt;/year&gt;&lt;/dates&gt;&lt;pub-location&gt;New Hampshire&lt;/pub-location&gt;&lt;publisher&gt;Northeastern University Press&lt;/publisher&gt;&lt;urls&gt;&lt;/urls&gt;&lt;/record&gt;&lt;/Cite&gt;&lt;/EndNote&gt;</w:instrText>
      </w:r>
      <w:r>
        <w:fldChar w:fldCharType="separate"/>
      </w:r>
      <w:r>
        <w:rPr>
          <w:noProof/>
        </w:rPr>
        <w:t xml:space="preserve">Erving Goffman, </w:t>
      </w:r>
      <w:r w:rsidRPr="003D17E7">
        <w:rPr>
          <w:i/>
          <w:noProof/>
        </w:rPr>
        <w:t>Frame Analysis: An Essay on the Organization of Experience</w:t>
      </w:r>
      <w:r>
        <w:rPr>
          <w:noProof/>
        </w:rPr>
        <w:t xml:space="preserve">  (New Hampshire: Northeastern University Press, 1974).</w:t>
      </w:r>
      <w:r>
        <w:fldChar w:fldCharType="end"/>
      </w:r>
    </w:p>
  </w:footnote>
  <w:footnote w:id="194">
    <w:p w14:paraId="6EB85DC0" w14:textId="25228D01" w:rsidR="007A04F6" w:rsidRDefault="007A04F6" w:rsidP="009E3DF5">
      <w:pPr>
        <w:pStyle w:val="FootnoteText"/>
      </w:pPr>
      <w:r>
        <w:rPr>
          <w:rStyle w:val="FootnoteReference"/>
        </w:rPr>
        <w:footnoteRef/>
      </w:r>
      <w:r>
        <w:t xml:space="preserve"> </w:t>
      </w:r>
      <w:r>
        <w:rPr>
          <w:rFonts w:cs="Times New Roman"/>
        </w:rPr>
        <w:fldChar w:fldCharType="begin"/>
      </w:r>
      <w:r>
        <w:rPr>
          <w:rFonts w:cs="Times New Roman"/>
        </w:rPr>
        <w:instrText xml:space="preserve"> ADDIN EN.CITE &lt;EndNote&gt;&lt;Cite&gt;&lt;Author&gt;Snow&lt;/Author&gt;&lt;Year&gt;1986&lt;/Year&gt;&lt;RecNum&gt;187&lt;/RecNum&gt;&lt;DisplayText&gt;David Snow et al., &amp;quot;Frame Alignment Processes, Micromobilization, and Movement Participation,&amp;quot; &lt;style face="italic"&gt;American Sociological Review&lt;/style&gt; 54 (4)(1986).&lt;/DisplayText&gt;&lt;record&gt;&lt;rec-number&gt;187&lt;/rec-number&gt;&lt;foreign-keys&gt;&lt;key app="EN" db-id="s0ftft29jf2psaezx93xwz5s00fwpa9avrwv"&gt;187&lt;/key&gt;&lt;/foreign-keys&gt;&lt;ref-type name="Journal Article"&gt;17&lt;/ref-type&gt;&lt;contributors&gt;&lt;authors&gt;&lt;author&gt;Snow, David&lt;/author&gt;&lt;author&gt;Rochford, E. Burke&lt;/author&gt;&lt;author&gt;Worden, Steven&lt;/author&gt;&lt;author&gt;Benford, Robert&lt;/author&gt;&lt;/authors&gt;&lt;/contributors&gt;&lt;titles&gt;&lt;title&gt;Frame Alignment Processes, Micromobilization, and Movement Participation&lt;/title&gt;&lt;secondary-title&gt;American Sociological Review&lt;/secondary-title&gt;&lt;/titles&gt;&lt;pages&gt;pp. 464-481&lt;/pages&gt;&lt;volume&gt;54 (4)&lt;/volume&gt;&lt;dates&gt;&lt;year&gt;1986&lt;/year&gt;&lt;/dates&gt;&lt;urls&gt;&lt;/urls&gt;&lt;/record&gt;&lt;/Cite&gt;&lt;/EndNote&gt;</w:instrText>
      </w:r>
      <w:r>
        <w:rPr>
          <w:rFonts w:cs="Times New Roman"/>
        </w:rPr>
        <w:fldChar w:fldCharType="separate"/>
      </w:r>
      <w:r>
        <w:rPr>
          <w:rFonts w:cs="Times New Roman"/>
          <w:noProof/>
        </w:rPr>
        <w:t xml:space="preserve">David Snow et al., "Frame Alignment Processes, Micromobilization, and Movement Participation," </w:t>
      </w:r>
      <w:r w:rsidRPr="003D17E7">
        <w:rPr>
          <w:rFonts w:cs="Times New Roman"/>
          <w:i/>
          <w:noProof/>
        </w:rPr>
        <w:t>American Sociological Review</w:t>
      </w:r>
      <w:r>
        <w:rPr>
          <w:rFonts w:cs="Times New Roman"/>
          <w:noProof/>
        </w:rPr>
        <w:t xml:space="preserve"> 54 (4)(1986).</w:t>
      </w:r>
      <w:r>
        <w:rPr>
          <w:rFonts w:cs="Times New Roman"/>
        </w:rPr>
        <w:fldChar w:fldCharType="end"/>
      </w:r>
    </w:p>
  </w:footnote>
  <w:footnote w:id="195">
    <w:p w14:paraId="31F17195" w14:textId="69B36D89" w:rsidR="007A04F6" w:rsidRDefault="007A04F6" w:rsidP="009E3DF5">
      <w:pPr>
        <w:pStyle w:val="FootnoteText"/>
      </w:pPr>
      <w:r>
        <w:rPr>
          <w:rStyle w:val="FootnoteReference"/>
        </w:rPr>
        <w:footnoteRef/>
      </w:r>
      <w:r>
        <w:t xml:space="preserve"> </w:t>
      </w:r>
      <w:r w:rsidRPr="00AD1B1D">
        <w:rPr>
          <w:rFonts w:cs="Times New Roman"/>
        </w:rPr>
        <w:fldChar w:fldCharType="begin"/>
      </w:r>
      <w:r>
        <w:rPr>
          <w:rFonts w:cs="Times New Roman"/>
        </w:rPr>
        <w:instrText xml:space="preserve"> ADDIN EN.CITE &lt;EndNote&gt;&lt;Cite&gt;&lt;Author&gt;Karagiannis&lt;/Author&gt;&lt;Year&gt;2009&lt;/Year&gt;&lt;RecNum&gt;11&lt;/RecNum&gt;&lt;DisplayText&gt;Emmanuel Karagiannis, &amp;quot;Hizballah as a Social Movement Organization: A Framing Approach,&amp;quot; &lt;style face="italic"&gt;Mediterranean Politics&lt;/style&gt; 14 (3) (2009).&lt;/DisplayText&gt;&lt;record&gt;&lt;rec-number&gt;11&lt;/rec-number&gt;&lt;foreign-keys&gt;&lt;key app="EN" db-id="s0ftft29jf2psaezx93xwz5s00fwpa9avrwv"&gt;11&lt;/key&gt;&lt;/foreign-keys&gt;&lt;ref-type name="Journal Article"&gt;17&lt;/ref-type&gt;&lt;contributors&gt;&lt;authors&gt;&lt;author&gt;Karagiannis, Emmanuel&lt;/author&gt;&lt;/authors&gt;&lt;/contributors&gt;&lt;titles&gt;&lt;title&gt;Hizballah as a Social Movement Organization: A Framing Approach&lt;/title&gt;&lt;secondary-title&gt;Mediterranean Politics&lt;/secondary-title&gt;&lt;/titles&gt;&lt;pages&gt;pp. 365-383&lt;/pages&gt;&lt;volume&gt;14 (3) &lt;/volume&gt;&lt;dates&gt;&lt;year&gt;2009&lt;/year&gt;&lt;/dates&gt;&lt;urls&gt;&lt;/urls&gt;&lt;/record&gt;&lt;/Cite&gt;&lt;/EndNote&gt;</w:instrText>
      </w:r>
      <w:r w:rsidRPr="00AD1B1D">
        <w:rPr>
          <w:rFonts w:cs="Times New Roman"/>
        </w:rPr>
        <w:fldChar w:fldCharType="separate"/>
      </w:r>
      <w:r>
        <w:rPr>
          <w:rFonts w:cs="Times New Roman"/>
          <w:noProof/>
        </w:rPr>
        <w:t xml:space="preserve">Emmanuel Karagiannis, "Hizballah as a Social Movement Organization: A Framing Approach," </w:t>
      </w:r>
      <w:r w:rsidRPr="003D17E7">
        <w:rPr>
          <w:rFonts w:cs="Times New Roman"/>
          <w:i/>
          <w:noProof/>
        </w:rPr>
        <w:t>Mediterranean Politics</w:t>
      </w:r>
      <w:r>
        <w:rPr>
          <w:rFonts w:cs="Times New Roman"/>
          <w:noProof/>
        </w:rPr>
        <w:t xml:space="preserve"> 14 (3) (2009).</w:t>
      </w:r>
      <w:r w:rsidRPr="00AD1B1D">
        <w:rPr>
          <w:rFonts w:cs="Times New Roman"/>
        </w:rPr>
        <w:fldChar w:fldCharType="end"/>
      </w:r>
    </w:p>
  </w:footnote>
  <w:footnote w:id="196">
    <w:p w14:paraId="169F2B16" w14:textId="4863DF84"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&lt;EndNote&gt;&lt;Cite&gt;&lt;Author&gt;Benford&lt;/Author&gt;&lt;Year&gt;2000&lt;/Year&gt;&lt;RecNum&gt;186&lt;/RecNum&gt;&lt;DisplayText&gt;Robert Benford and David Snow, &amp;quot;Framing Processes and Social Movements: An Overview and Assessment,&amp;quot; &lt;style face="italic"&gt;Annual Review of Sociology&lt;/style&gt; 26 (1)(2000).&lt;/DisplayText&gt;&lt;record&gt;&lt;rec-number&gt;186&lt;/rec-number&gt;&lt;foreign-keys&gt;&lt;key app="EN" db-id="s0ftft29jf2psaezx93xwz5s00fwpa9avrwv"&gt;186&lt;/key&gt;&lt;/foreign-keys&gt;&lt;ref-type name="Journal Article"&gt;17&lt;/ref-type&gt;&lt;contributors&gt;&lt;authors&gt;&lt;author&gt;Benford, Robert&lt;/author&gt;&lt;author&gt;Snow, David&lt;/author&gt;&lt;/authors&gt;&lt;/contributors&gt;&lt;titles&gt;&lt;title&gt;Framing Processes and Social Movements: An Overview and Assessment&lt;/title&gt;&lt;secondary-title&gt;Annual Review of Sociology&lt;/secondary-title&gt;&lt;/titles&gt;&lt;pages&gt;pp. 611-639&lt;/pages&gt;&lt;volume&gt;26 (1)&lt;/volume&gt;&lt;dates&gt;&lt;year&gt;2000&lt;/year&gt;&lt;/dates&gt;&lt;urls&gt;&lt;/urls&gt;&lt;/record&gt;&lt;/Cite&gt;&lt;/EndNote&gt;</w:instrText>
      </w:r>
      <w:r>
        <w:fldChar w:fldCharType="separate"/>
      </w:r>
      <w:r>
        <w:rPr>
          <w:noProof/>
        </w:rPr>
        <w:t xml:space="preserve">Robert Benford and David Snow, "Framing Processes and Social Movements: An Overview and Assessment," </w:t>
      </w:r>
      <w:r w:rsidRPr="003D17E7">
        <w:rPr>
          <w:i/>
          <w:noProof/>
        </w:rPr>
        <w:t>Annual Review of Sociology</w:t>
      </w:r>
      <w:r>
        <w:rPr>
          <w:noProof/>
        </w:rPr>
        <w:t xml:space="preserve"> 26 (1)(2000).</w:t>
      </w:r>
      <w:r>
        <w:fldChar w:fldCharType="end"/>
      </w:r>
    </w:p>
  </w:footnote>
  <w:footnote w:id="197">
    <w:p w14:paraId="7344A92E" w14:textId="2E7A0791"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&lt;EndNote&gt;&lt;Cite&gt;&lt;Author&gt;Benford&lt;/Author&gt;&lt;Year&gt;2000&lt;/Year&gt;&lt;RecNum&gt;186&lt;/RecNum&gt;&lt;DisplayText&gt;Ibid.&lt;/DisplayText&gt;&lt;record&gt;&lt;rec-number&gt;186&lt;/rec-number&gt;&lt;foreign-keys&gt;&lt;key app="EN" db-id="s0ftft29jf2psaezx93xwz5s00fwpa9avrwv"&gt;186&lt;/key&gt;&lt;/foreign-keys&gt;&lt;ref-type name="Journal Article"&gt;17&lt;/ref-type&gt;&lt;contributors&gt;&lt;authors&gt;&lt;author&gt;Benford, Robert&lt;/author&gt;&lt;author&gt;Snow, David&lt;/author&gt;&lt;/authors&gt;&lt;/contributors&gt;&lt;titles&gt;&lt;title&gt;Framing Processes and Social Movements: An Overview and Assessment&lt;/title&gt;&lt;secondary-title&gt;Annual Review of Sociology&lt;/secondary-title&gt;&lt;/titles&gt;&lt;pages&gt;pp. 611-639&lt;/pages&gt;&lt;volume&gt;26 (1)&lt;/volume&gt;&lt;dates&gt;&lt;year&gt;2000&lt;/year&gt;&lt;/dates&gt;&lt;urls&gt;&lt;/urls&gt;&lt;/record&gt;&lt;/Cite&gt;&lt;/EndNote&gt;</w:instrText>
      </w:r>
      <w:r>
        <w:fldChar w:fldCharType="separate"/>
      </w:r>
      <w:r>
        <w:rPr>
          <w:noProof/>
        </w:rPr>
        <w:t>Ibid.</w:t>
      </w:r>
      <w:r>
        <w:fldChar w:fldCharType="end"/>
      </w:r>
    </w:p>
  </w:footnote>
  <w:footnote w:id="198">
    <w:p w14:paraId="2C1B40C6" w14:textId="0EB413BF"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199">
    <w:p w14:paraId="2C90B789" w14:textId="632C9174"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&lt;EndNote&gt;&lt;Cite&gt;&lt;Author&gt;Risse&lt;/Author&gt;&lt;Year&gt;2000&lt;/Year&gt;&lt;RecNum&gt;299&lt;/RecNum&gt;&lt;DisplayText&gt;Thomas Risse, &amp;quot;&amp;apos;Let&amp;apos;s Argue!&amp;apos;: Communicative Action in World Politics,&amp;quot; &lt;style face="italic"&gt;International Organization&lt;/style&gt; 54 (1)(2000).&lt;/DisplayText&gt;&lt;record&gt;&lt;rec-number&gt;299&lt;/rec-number&gt;&lt;foreign-keys&gt;&lt;key app="EN" db-id="s0ftft29jf2psaezx93xwz5s00fwpa9avrwv"&gt;299&lt;/key&gt;&lt;/foreign-keys&gt;&lt;ref-type name="Journal Article"&gt;17&lt;/ref-type&gt;&lt;contributors&gt;&lt;authors&gt;&lt;author&gt;Risse, Thomas&lt;/author&gt;&lt;/authors&gt;&lt;/contributors&gt;&lt;titles&gt;&lt;title&gt;&amp;apos;Let&amp;apos;s Argue!&amp;apos;: Communicative Action in World Politics&lt;/title&gt;&lt;secondary-title&gt;International Organization&lt;/secondary-title&gt;&lt;/titles&gt;&lt;pages&gt;pp. 1-40&lt;/pages&gt;&lt;volume&gt;54 (1)&lt;/volume&gt;&lt;dates&gt;&lt;year&gt;2000&lt;/year&gt;&lt;/dates&gt;&lt;urls&gt;&lt;/urls&gt;&lt;/record&gt;&lt;/Cite&gt;&lt;/EndNote&gt;</w:instrText>
      </w:r>
      <w:r>
        <w:fldChar w:fldCharType="separate"/>
      </w:r>
      <w:r>
        <w:rPr>
          <w:noProof/>
        </w:rPr>
        <w:t xml:space="preserve">Thomas Risse, "'Let's Argue!': Communicative Action in World Politics," </w:t>
      </w:r>
      <w:r w:rsidRPr="003D17E7">
        <w:rPr>
          <w:i/>
          <w:noProof/>
        </w:rPr>
        <w:t>International Organization</w:t>
      </w:r>
      <w:r>
        <w:rPr>
          <w:noProof/>
        </w:rPr>
        <w:t xml:space="preserve"> 54 (1)(2000).</w:t>
      </w:r>
      <w:r>
        <w:fldChar w:fldCharType="end"/>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200">
    <w:p w14:paraId="46DDC0CF" w14:textId="056E75A6"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201">
    <w:p w14:paraId="443AAE53" w14:textId="3DDADDD2" w:rsidR="007A04F6" w:rsidRDefault="007A04F6">
      <w:pPr>
        <w:pStyle w:val="FootnoteText"/>
      </w:pPr>
      <w:r>
        <w:rPr>
          <w:rStyle w:val="FootnoteReference"/>
        </w:rPr>
        <w:footnoteRef/>
      </w:r>
      <w:r>
        <w:t xml:space="preserve"> </w:t>
      </w:r>
      <w:r>
        <w:fldChar w:fldCharType="begin"/>
      </w:r>
      <w:r>
        <w:instrText xml:space="preserve"> ADDIN EN.CITE &lt;EndNote&gt;&lt;Cite&gt;&lt;Author&gt;Clubb&lt;/Author&gt;&lt;Year&gt;2009&lt;/Year&gt;&lt;RecNum&gt;46&lt;/RecNum&gt;&lt;DisplayText&gt;Clubb, &amp;quot;Re-Evaluating the Disengagement Process: The Case of Fatah.&amp;quot;&lt;/DisplayText&gt;&lt;record&gt;&lt;rec-number&gt;46&lt;/rec-number&gt;&lt;foreign-keys&gt;&lt;key app="EN" db-id="s0ftft29jf2psaezx93xwz5s00fwpa9avrwv"&gt;46&lt;/key&gt;&lt;/foreign-keys&gt;&lt;ref-type name="Journal Article"&gt;17&lt;/ref-type&gt;&lt;contributors&gt;&lt;authors&gt;&lt;author&gt;Clubb, Gordon&lt;/author&gt;&lt;/authors&gt;&lt;/contributors&gt;&lt;titles&gt;&lt;title&gt;Re-evaluating the Disengagement Process: the Case of Fatah&lt;/title&gt;&lt;secondary-title&gt;Perspectives on Terrorism&lt;/secondary-title&gt;&lt;/titles&gt;&lt;volume&gt;3 (3)&lt;/volume&gt;&lt;dates&gt;&lt;year&gt;2009&lt;/year&gt;&lt;/dates&gt;&lt;urls&gt;&lt;/urls&gt;&lt;/record&gt;&lt;/Cite&gt;&lt;/EndNote&gt;</w:instrText>
      </w:r>
      <w:r>
        <w:fldChar w:fldCharType="separate"/>
      </w:r>
      <w:r>
        <w:rPr>
          <w:noProof/>
        </w:rPr>
        <w:t>Clubb, "Re-Evaluating the Disengagement Process: The Case of Fatah."</w:t>
      </w:r>
      <w:r>
        <w:fldChar w:fldCharType="end"/>
      </w:r>
    </w:p>
  </w:footnote>
  <w:footnote w:id="202">
    <w:p w14:paraId="1A3E79ED" w14:textId="77777777" w:rsidR="007A04F6" w:rsidRDefault="007A04F6">
      <w:pPr>
        <w:pStyle w:val="FootnoteText"/>
      </w:pPr>
      <w:r>
        <w:rPr>
          <w:rStyle w:val="FootnoteReference"/>
        </w:rPr>
        <w:footnoteRef/>
      </w:r>
      <w:r>
        <w:t xml:space="preserve"> </w:t>
      </w:r>
      <w:r w:rsidRPr="003472BE">
        <w:t>Interview, Home Office Security Official, London, 9th August 2013</w:t>
      </w:r>
    </w:p>
  </w:footnote>
  <w:footnote w:id="203">
    <w:p w14:paraId="69D82F6B" w14:textId="41DC671A" w:rsidR="007A04F6" w:rsidRDefault="007A04F6">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204">
    <w:p w14:paraId="25A01029" w14:textId="557F92ED" w:rsidR="007A04F6" w:rsidRDefault="007A04F6">
      <w:pPr>
        <w:pStyle w:val="FootnoteText"/>
      </w:pPr>
      <w:r>
        <w:rPr>
          <w:rStyle w:val="FootnoteReference"/>
        </w:rPr>
        <w:footnoteRef/>
      </w:r>
      <w:r>
        <w:t xml:space="preserve"> Interview, Charles Farr; </w:t>
      </w:r>
      <w:r>
        <w:fldChar w:fldCharType="begin"/>
      </w:r>
      <w:r>
        <w:instrText xml:space="preserve"> ADDIN EN.CITE &lt;EndNote&gt;&lt;Cite&gt;&lt;Author&gt;Horgan&lt;/Author&gt;&lt;Year&gt;2010&lt;/Year&gt;&lt;RecNum&gt;87&lt;/RecNum&gt;&lt;DisplayText&gt;Horgan and Braddock, &amp;quot;Rehabilitating the Terrorists?: Challenges in Assessing the Effectiveness of De-Radicalization Programs.&amp;quot;&lt;/DisplayText&gt;&lt;record&gt;&lt;rec-number&gt;87&lt;/rec-number&gt;&lt;foreign-keys&gt;&lt;key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Horgan and Braddock, "Rehabilitating the Terrorists?: Challenges in Assessing the Effectiveness of De-Radicalization Programs."</w:t>
      </w:r>
      <w:r>
        <w:fldChar w:fldCharType="end"/>
      </w:r>
    </w:p>
  </w:footnote>
  <w:footnote w:id="205">
    <w:p w14:paraId="0898CB24" w14:textId="37623CC7" w:rsidR="007A04F6" w:rsidRDefault="007A04F6">
      <w:pPr>
        <w:pStyle w:val="FootnoteText"/>
      </w:pPr>
      <w:r>
        <w:rPr>
          <w:rStyle w:val="FootnoteReference"/>
        </w:rPr>
        <w:footnoteRef/>
      </w:r>
      <w:r>
        <w:t xml:space="preserve"> </w:t>
      </w:r>
      <w:r>
        <w:fldChar w:fldCharType="begin"/>
      </w:r>
      <w:r>
        <w:instrText xml:space="preserve"> ADDIN EN.CITE &lt;EndNote&gt;&lt;Cite&gt;&lt;Author&gt;Clark&lt;/Author&gt;&lt;Year&gt;2005&lt;/Year&gt;&lt;RecNum&gt;269&lt;/RecNum&gt;&lt;DisplayText&gt;Ian Clark, &lt;style face="italic"&gt;Legitimacy in International Society&lt;/style&gt;  (Oxford: Oxford University Press, 2005).&lt;/DisplayText&gt;&lt;record&gt;&lt;rec-number&gt;269&lt;/rec-number&gt;&lt;foreign-keys&gt;&lt;key app="EN" db-id="s0ftft29jf2psaezx93xwz5s00fwpa9avrwv"&gt;269&lt;/key&gt;&lt;/foreign-keys&gt;&lt;ref-type name="Book"&gt;6&lt;/ref-type&gt;&lt;contributors&gt;&lt;authors&gt;&lt;author&gt;Clark, Ian&lt;/author&gt;&lt;/authors&gt;&lt;/contributors&gt;&lt;titles&gt;&lt;title&gt;Legitimacy in International Society&lt;/title&gt;&lt;/titles&gt;&lt;dates&gt;&lt;year&gt;2005&lt;/year&gt;&lt;/dates&gt;&lt;pub-location&gt;Oxford&lt;/pub-location&gt;&lt;publisher&gt;Oxford University Press&lt;/publisher&gt;&lt;urls&gt;&lt;/urls&gt;&lt;/record&gt;&lt;/Cite&gt;&lt;/EndNote&gt;</w:instrText>
      </w:r>
      <w:r>
        <w:fldChar w:fldCharType="separate"/>
      </w:r>
      <w:r>
        <w:rPr>
          <w:noProof/>
        </w:rPr>
        <w:t xml:space="preserve">Ian Clark, </w:t>
      </w:r>
      <w:r w:rsidRPr="00DA7B03">
        <w:rPr>
          <w:i/>
          <w:noProof/>
        </w:rPr>
        <w:t>Legitimacy in International Society</w:t>
      </w:r>
      <w:r>
        <w:rPr>
          <w:noProof/>
        </w:rPr>
        <w:t xml:space="preserve">  (Oxford: Oxford University Press, 2005).</w:t>
      </w:r>
      <w:r>
        <w:fldChar w:fldCharType="end"/>
      </w:r>
    </w:p>
  </w:footnote>
  <w:footnote w:id="206">
    <w:p w14:paraId="68B5DA2D" w14:textId="77777777" w:rsidR="007A04F6" w:rsidRDefault="007A04F6">
      <w:pPr>
        <w:pStyle w:val="FootnoteText"/>
      </w:pPr>
      <w:r>
        <w:rPr>
          <w:rStyle w:val="FootnoteReference"/>
        </w:rPr>
        <w:footnoteRef/>
      </w:r>
      <w:r>
        <w:t xml:space="preserve"> Interview, Former Provisional IRA Member 5, Belfast, 3rd September 2013; Given the history of the Provisional IRA’s struggle to fight the criminalisation as prisoners, this is a substantial statement which encapsulates how they are now de-legitimising current violence on the basis of legality. </w:t>
      </w:r>
    </w:p>
  </w:footnote>
  <w:footnote w:id="207">
    <w:p w14:paraId="237FCFBC" w14:textId="77777777" w:rsidR="007A04F6" w:rsidRDefault="007A04F6">
      <w:pPr>
        <w:pStyle w:val="FootnoteText"/>
      </w:pPr>
      <w:r>
        <w:rPr>
          <w:rStyle w:val="FootnoteReference"/>
        </w:rPr>
        <w:footnoteRef/>
      </w:r>
      <w:r>
        <w:t xml:space="preserve"> Interview, Former Provisional IRA Member 5, Belfast, 3rd September 2013</w:t>
      </w:r>
    </w:p>
  </w:footnote>
  <w:footnote w:id="208">
    <w:p w14:paraId="79511B89" w14:textId="77777777" w:rsidR="007A04F6" w:rsidRDefault="007A04F6">
      <w:pPr>
        <w:pStyle w:val="FootnoteText"/>
      </w:pPr>
      <w:r>
        <w:rPr>
          <w:rStyle w:val="FootnoteReference"/>
        </w:rPr>
        <w:footnoteRef/>
      </w:r>
      <w:r>
        <w:t xml:space="preserve"> Interview, Former Provisional IRA Member 4, Belfast, 3rd September 2013</w:t>
      </w:r>
    </w:p>
  </w:footnote>
  <w:footnote w:id="209">
    <w:p w14:paraId="379A5879" w14:textId="378D2651" w:rsidR="007A04F6" w:rsidRDefault="007A04F6">
      <w:pPr>
        <w:pStyle w:val="FootnoteText"/>
      </w:pPr>
      <w:r>
        <w:rPr>
          <w:rStyle w:val="FootnoteReference"/>
        </w:rPr>
        <w:footnoteRef/>
      </w:r>
      <w:r>
        <w:t xml:space="preserve"> For example, the same interviewee sought to show the negative sides of violence, described it as a necessary evil and as a last resort but was quite clear in emphasising that the the current conditions did not legitimate violence.</w:t>
      </w:r>
    </w:p>
  </w:footnote>
  <w:footnote w:id="210">
    <w:p w14:paraId="3740DD9E" w14:textId="60BA247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&lt;EndNote&gt;&lt;Cite&gt;&lt;Author&gt;Cronin&lt;/Author&gt;&lt;Year&gt;2009&lt;/Year&gt;&lt;RecNum&gt;207&lt;/RecNum&gt;&lt;DisplayText&gt;Cronin, &lt;style face="italic"&gt;How Terrorism Ends: Understanding the Decline and Demise of Terrorist Campaigns&lt;/style&gt;.&lt;/DisplayText&gt;&lt;record&gt;&lt;rec-number&gt;207&lt;/rec-number&gt;&lt;foreign-keys&gt;&lt;key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Cronin, </w:t>
      </w:r>
      <w:r w:rsidRPr="003D17E7">
        <w:rPr>
          <w:i/>
          <w:noProof/>
        </w:rPr>
        <w:t>How Terrorism Ends: Understanding the Decline and Demise of Terrorist Campaigns</w:t>
      </w:r>
      <w:r>
        <w:rPr>
          <w:noProof/>
        </w:rPr>
        <w:t>.</w:t>
      </w:r>
      <w:r>
        <w:fldChar w:fldCharType="end"/>
      </w:r>
    </w:p>
  </w:footnote>
  <w:footnote w:id="211">
    <w:p w14:paraId="4E82D110" w14:textId="446E5FB9"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212">
    <w:p w14:paraId="0B9B246A" w14:textId="43A7D087"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&lt;EndNote&gt;&lt;Cite&gt;&lt;Author&gt;Muggah&lt;/Author&gt;&lt;Year&gt;2005&lt;/Year&gt;&lt;RecNum&gt;303&lt;/RecNum&gt;&lt;DisplayText&gt;Robert Muggah, &amp;quot;No Magic Bullet: A Critical Perspective on Disarmament, Demobilization and Reintegration (Ddr) and Weapons in Post-Conflict Context,&amp;quot; (The Round Table 94, 2005).&lt;/DisplayText&gt;&lt;record&gt;&lt;rec-number&gt;303&lt;/rec-number&gt;&lt;foreign-keys&gt;&lt;key app="EN" db-id="s0ftft29jf2psaezx93xwz5s00fwpa9avrwv"&gt;303&lt;/key&gt;&lt;/foreign-keys&gt;&lt;ref-type name="Report"&gt;27&lt;/ref-type&gt;&lt;contributors&gt;&lt;authors&gt;&lt;author&gt;Muggah, Robert&lt;/author&gt;&lt;/authors&gt;&lt;/contributors&gt;&lt;titles&gt;&lt;title&gt;No magic bullet: a critical perspective on disarmament, demobilization and reintegration (DDR) and weapons in post-conflict context&lt;/title&gt;&lt;/titles&gt;&lt;pages&gt;pp. 239-252&lt;/pages&gt;&lt;volume&gt;379&lt;/volume&gt;&lt;dates&gt;&lt;year&gt;2005&lt;/year&gt;&lt;/dates&gt;&lt;publisher&gt;The Round Table 94&lt;/publisher&gt;&lt;urls&gt;&lt;/urls&gt;&lt;/record&gt;&lt;/Cite&gt;&lt;/EndNote&gt;</w:instrText>
      </w:r>
      <w:r>
        <w:fldChar w:fldCharType="separate"/>
      </w:r>
      <w:r>
        <w:rPr>
          <w:noProof/>
        </w:rPr>
        <w:t>Robert Muggah, "No Magic Bullet: A Critical Perspective on Disarmament, Demobilization and Reintegration (Ddr) and Weapons in Post-Conflict Context," (The Round Table 94, 2005).</w:t>
      </w:r>
      <w:r>
        <w:fldChar w:fldCharType="end"/>
      </w:r>
    </w:p>
  </w:footnote>
  <w:footnote w:id="213">
    <w:p w14:paraId="59D0A290" w14:textId="52492771"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r>
        <w:t xml:space="preserve"> pp. 29</w:t>
      </w:r>
    </w:p>
  </w:footnote>
  <w:footnote w:id="214">
    <w:p w14:paraId="33F96706" w14:textId="1C0443CF"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&lt;EndNote&gt;&lt;Cite&gt;&lt;Author&gt;Kingma&lt;/Author&gt;&lt;Year&gt;1997&lt;/Year&gt;&lt;RecNum&gt;304&lt;/RecNum&gt;&lt;DisplayText&gt;Kees Kingma, &amp;quot;Demobilisation of Combatants after Civil Wars in Africa and Their Reintegration into Civilian Life,&amp;quot; &lt;style face="italic"&gt;Policy Sciences&lt;/style&gt; 30 (3)(1997).&lt;/DisplayText&gt;&lt;record&gt;&lt;rec-number&gt;304&lt;/rec-number&gt;&lt;foreign-keys&gt;&lt;key app="EN" db-id="s0ftft29jf2psaezx93xwz5s00fwpa9avrwv"&gt;304&lt;/key&gt;&lt;/foreign-keys&gt;&lt;ref-type name="Journal Article"&gt;17&lt;/ref-type&gt;&lt;contributors&gt;&lt;authors&gt;&lt;author&gt;Kingma, Kees&lt;/author&gt;&lt;/authors&gt;&lt;/contributors&gt;&lt;titles&gt;&lt;title&gt;Demobilisation of combatants after civil wars in Africa and their reintegration into civilian life&lt;/title&gt;&lt;secondary-title&gt;Policy Sciences&lt;/secondary-title&gt;&lt;/titles&gt;&lt;pages&gt;pp. 151-165&lt;/pages&gt;&lt;volume&gt;30 (3)&lt;/volume&gt;&lt;dates&gt;&lt;year&gt;1997&lt;/year&gt;&lt;/dates&gt;&lt;urls&gt;&lt;/urls&gt;&lt;/record&gt;&lt;/Cite&gt;&lt;/EndNote&gt;</w:instrText>
      </w:r>
      <w:r>
        <w:fldChar w:fldCharType="separate"/>
      </w:r>
      <w:r>
        <w:rPr>
          <w:noProof/>
        </w:rPr>
        <w:t xml:space="preserve">Kees Kingma, "Demobilisation of Combatants after Civil Wars in Africa and Their Reintegration into Civilian Life," </w:t>
      </w:r>
      <w:r w:rsidRPr="003D17E7">
        <w:rPr>
          <w:i/>
          <w:noProof/>
        </w:rPr>
        <w:t>Policy Sciences</w:t>
      </w:r>
      <w:r>
        <w:rPr>
          <w:noProof/>
        </w:rPr>
        <w:t xml:space="preserve"> 30 (3)(1997).</w:t>
      </w:r>
      <w:r>
        <w:fldChar w:fldCharType="end"/>
      </w:r>
    </w:p>
  </w:footnote>
  <w:footnote w:id="215">
    <w:p w14:paraId="01F21C90" w14:textId="5AFAD58C"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&lt;EndNote&gt;&lt;Cite&gt;&lt;Author&gt;Ozerdem&lt;/Author&gt;&lt;Year&gt;2002&lt;/Year&gt;&lt;RecNum&gt;275&lt;/RecNum&gt;&lt;DisplayText&gt;Alpaslan Ozerdem, &amp;quot;Disarmament, Demobilization and Reintegration of Former Combatants in Afghanistan: Lessons Learned from a Cross-Cultural Perspective,&amp;quot; &lt;style face="italic"&gt;Third World Quarterly&lt;/style&gt; 23 (5)(2002).&lt;/DisplayText&gt;&lt;record&gt;&lt;rec-number&gt;275&lt;/rec-number&gt;&lt;foreign-keys&gt;&lt;key app="EN" db-id="s0ftft29jf2psaezx93xwz5s00fwpa9avrwv"&gt;275&lt;/key&gt;&lt;/foreign-keys&gt;&lt;ref-type name="Journal Article"&gt;17&lt;/ref-type&gt;&lt;contributors&gt;&lt;authors&gt;&lt;author&gt;Ozerdem, Alpaslan&lt;/author&gt;&lt;/authors&gt;&lt;/contributors&gt;&lt;titles&gt;&lt;title&gt;Disarmament, demobilization and reintegration of former combatants in Afghanistan: lessons learned from a cross-cultural perspective&lt;/title&gt;&lt;secondary-title&gt;Third World Quarterly&lt;/secondary-title&gt;&lt;/titles&gt;&lt;periodical&gt;&lt;full-title&gt;Third World Quarterly&lt;/full-title&gt;&lt;/periodical&gt;&lt;pages&gt;pp. 961-975&lt;/pages&gt;&lt;volume&gt;23 (5)&lt;/volume&gt;&lt;dates&gt;&lt;year&gt;2002&lt;/year&gt;&lt;/dates&gt;&lt;urls&gt;&lt;/urls&gt;&lt;/record&gt;&lt;/Cite&gt;&lt;/EndNote&gt;</w:instrText>
      </w:r>
      <w:r>
        <w:fldChar w:fldCharType="separate"/>
      </w:r>
      <w:r>
        <w:rPr>
          <w:noProof/>
        </w:rPr>
        <w:t xml:space="preserve">Alpaslan Ozerdem, "Disarmament, Demobilization and Reintegration of Former Combatants in Afghanistan: Lessons Learned from a Cross-Cultural Perspective," </w:t>
      </w:r>
      <w:r w:rsidRPr="003D17E7">
        <w:rPr>
          <w:i/>
          <w:noProof/>
        </w:rPr>
        <w:t>Third World Quarterly</w:t>
      </w:r>
      <w:r>
        <w:rPr>
          <w:noProof/>
        </w:rPr>
        <w:t xml:space="preserve"> 23 (5)(2002).</w:t>
      </w:r>
      <w:r>
        <w:fldChar w:fldCharType="end"/>
      </w:r>
    </w:p>
  </w:footnote>
  <w:footnote w:id="216">
    <w:p w14:paraId="403E6973" w14:textId="388FCF25" w:rsidR="007A04F6" w:rsidRDefault="007A04F6">
      <w:pPr>
        <w:pStyle w:val="FootnoteText"/>
      </w:pPr>
      <w:r>
        <w:rPr>
          <w:rStyle w:val="FootnoteReference"/>
        </w:rPr>
        <w:footnoteRef/>
      </w:r>
      <w:r>
        <w:t xml:space="preserve"> </w:t>
      </w:r>
      <w:r>
        <w:fldChar w:fldCharType="begin"/>
      </w:r>
      <w:r>
        <w:instrText xml:space="preserve"> ADDIN EN.CITE &lt;EndNote&gt;&lt;Cite&gt;&lt;Author&gt;Diani&lt;/Author&gt;&lt;Year&gt;2003&lt;/Year&gt;&lt;RecNum&gt;57&lt;/RecNum&gt;&lt;DisplayText&gt;Diani and McAdam, &lt;style face="italic"&gt;Social Movements and Networks: Relational Approaches to Collective Action&lt;/style&gt;.&lt;/DisplayText&gt;&lt;record&gt;&lt;rec-number&gt;57&lt;/rec-number&gt;&lt;foreign-keys&gt;&lt;key app="EN" db-id="s0ftft29jf2psaezx93xwz5s00fwpa9avrwv"&gt;57&lt;/key&gt;&lt;/foreign-keys&gt;&lt;ref-type name="Edited Book"&gt;28&lt;/ref-type&gt;&lt;contributors&gt;&lt;authors&gt;&lt;author&gt;Diani, Mario&lt;/author&gt;&lt;author&gt;McAdam, Doug&lt;/author&gt;&lt;/authors&gt;&lt;/contributors&gt;&lt;titles&gt;&lt;title&gt;Social Movements and Networks: Relational Approaches to Collective Action&lt;/title&gt;&lt;/titles&gt;&lt;dates&gt;&lt;year&gt;2003&lt;/year&gt;&lt;/dates&gt;&lt;pub-location&gt;New York&lt;/pub-location&gt;&lt;publisher&gt;Oxford University Press&lt;/publisher&gt;&lt;urls&gt;&lt;/urls&gt;&lt;/record&gt;&lt;/Cite&gt;&lt;/EndNote&gt;</w:instrText>
      </w:r>
      <w:r>
        <w:fldChar w:fldCharType="separate"/>
      </w:r>
      <w:r>
        <w:rPr>
          <w:noProof/>
        </w:rPr>
        <w:t xml:space="preserve">Diani and McAdam, </w:t>
      </w:r>
      <w:r w:rsidRPr="003D17E7">
        <w:rPr>
          <w:i/>
          <w:noProof/>
        </w:rPr>
        <w:t>Social Movements and Networks: Relational Approaches to Collective Action</w:t>
      </w:r>
      <w:r>
        <w:rPr>
          <w:noProof/>
        </w:rPr>
        <w:t>.</w:t>
      </w:r>
      <w:r>
        <w:fldChar w:fldCharType="end"/>
      </w:r>
    </w:p>
  </w:footnote>
  <w:footnote w:id="217">
    <w:p w14:paraId="35602FE8" w14:textId="61EE3DD7"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p>
  </w:footnote>
  <w:footnote w:id="218">
    <w:p w14:paraId="461A9A91" w14:textId="4E28ED11" w:rsidR="007A04F6" w:rsidRDefault="007A04F6">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219">
    <w:p w14:paraId="05A88ADD" w14:textId="015AA9FB"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&lt;EndNote&gt;&lt;Cite&gt;&lt;Author&gt;McAdam&lt;/Author&gt;&lt;Year&gt;2003&lt;/Year&gt;&lt;RecNum&gt;119&lt;/RecNum&gt;&lt;DisplayText&gt;Doug McAdam, &amp;quot;Beyond Structural Analysis: Toward a More Dynamic Understanding of Social Movements,&amp;quot; in &lt;style face="italic"&gt;Social Movements and Networks: Relational Approaches to Collective Action&lt;/style&gt;, ed. Mario Diani and Doug McAdam (Oxford: Oxford University Press, 2003).&lt;/DisplayText&gt;&lt;record&gt;&lt;rec-number&gt;119&lt;/rec-number&gt;&lt;foreign-keys&gt;&lt;key app="EN" db-id="s0ftft29jf2psaezx93xwz5s00fwpa9avrwv"&gt;119&lt;/key&gt;&lt;/foreign-keys&gt;&lt;ref-type name="Book Section"&gt;5&lt;/ref-type&gt;&lt;contributors&gt;&lt;authors&gt;&lt;author&gt;McAdam, Doug&lt;/author&gt;&lt;/authors&gt;&lt;secondary-authors&gt;&lt;author&gt;Diani, Mario&lt;/author&gt;&lt;author&gt;McAdam, Doug&lt;/author&gt;&lt;/secondary-authors&gt;&lt;/contributors&gt;&lt;titles&gt;&lt;title&gt;Beyond Structural Analysis: Toward a More Dynamic Understanding of Social Movements&lt;/title&gt;&lt;secondary-title&gt;Social Movements and Networks: Relational Approaches to Collective Action&lt;/secondary-title&gt;&lt;/titles&gt;&lt;dates&gt;&lt;year&gt;2003&lt;/year&gt;&lt;/dates&gt;&lt;pub-location&gt;Oxford&lt;/pub-location&gt;&lt;publisher&gt;Oxford University Press&lt;/publisher&gt;&lt;urls&gt;&lt;/urls&gt;&lt;/record&gt;&lt;/Cite&gt;&lt;/EndNote&gt;</w:instrText>
      </w:r>
      <w:r>
        <w:fldChar w:fldCharType="separate"/>
      </w:r>
      <w:r>
        <w:rPr>
          <w:noProof/>
        </w:rPr>
        <w:t xml:space="preserve">Doug McAdam, "Beyond Structural Analysis: Toward a More Dynamic Understanding of Social Movements," in </w:t>
      </w:r>
      <w:r w:rsidRPr="0011394B">
        <w:rPr>
          <w:i/>
          <w:noProof/>
        </w:rPr>
        <w:t>Social Movements and Networks: Relational Approaches to Collective Action</w:t>
      </w:r>
      <w:r>
        <w:rPr>
          <w:noProof/>
        </w:rPr>
        <w:t>, ed. Mario Diani and Doug McAdam (Oxford: Oxford University Press, 2003).</w:t>
      </w:r>
      <w:r>
        <w:fldChar w:fldCharType="end"/>
      </w:r>
    </w:p>
  </w:footnote>
  <w:footnote w:id="220">
    <w:p w14:paraId="2DE40020" w14:textId="45F7CD96" w:rsidR="007A04F6" w:rsidRDefault="007A04F6" w:rsidP="00F87206">
      <w:pPr>
        <w:pStyle w:val="FootnoteText"/>
      </w:pPr>
      <w:r>
        <w:rPr>
          <w:rStyle w:val="FootnoteReference"/>
        </w:rPr>
        <w:footnoteRef/>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p>
  </w:footnote>
  <w:footnote w:id="221">
    <w:p w14:paraId="1EE59C2D" w14:textId="3F90C5FC"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&lt;EndNote&gt;&lt;Cite&gt;&lt;Author&gt;Kissane&lt;/Author&gt;&lt;Year&gt;2012&lt;/Year&gt;&lt;RecNum&gt;242&lt;/RecNum&gt;&lt;DisplayText&gt;Bill Kissane, &amp;quot;Electing Not to Fight: Elections as a Mechanism of Deradicalisation after the Irish Civil War 1922-1938,&amp;quot; ibid.&lt;/DisplayText&gt;&lt;record&gt;&lt;rec-number&gt;242&lt;/rec-number&gt;&lt;foreign-keys&gt;&lt;key app="EN" db-id="s0ftft29jf2psaezx93xwz5s00fwpa9avrwv"&gt;242&lt;/key&gt;&lt;/foreign-keys&gt;&lt;ref-type name="Journal Article"&gt;17&lt;/ref-type&gt;&lt;contributors&gt;&lt;authors&gt;&lt;author&gt;Kissane, Bill&lt;/author&gt;&lt;/authors&gt;&lt;/contributors&gt;&lt;titles&gt;&lt;title&gt;Electing Not to Fight: Elections as a Mechanism of Deradicalisation after the Irish Civil War 1922-1938&lt;/title&gt;&lt;secondary-title&gt;International Journal of Conflict and Violence&lt;/secondary-title&gt;&lt;/titles&gt;&lt;pages&gt;pp. 41-54&lt;/pages&gt;&lt;volume&gt;6 (1)&lt;/volume&gt;&lt;dates&gt;&lt;year&gt;2012&lt;/year&gt;&lt;/dates&gt;&lt;urls&gt;&lt;/urls&gt;&lt;/record&gt;&lt;/Cite&gt;&lt;/EndNote&gt;</w:instrText>
      </w:r>
      <w:r>
        <w:fldChar w:fldCharType="separate"/>
      </w:r>
      <w:r>
        <w:rPr>
          <w:noProof/>
        </w:rPr>
        <w:t>Bill Kissane, "Electing Not to Fight: Elections as a Mechanism of Deradicalisation after the Irish Civil War 1922-1938," ibid.</w:t>
      </w:r>
      <w:r>
        <w:fldChar w:fldCharType="end"/>
      </w:r>
    </w:p>
  </w:footnote>
  <w:footnote w:id="222">
    <w:p w14:paraId="69A527F0" w14:textId="0242995E" w:rsidR="007A04F6" w:rsidRDefault="007A04F6">
      <w:pPr>
        <w:pStyle w:val="FootnoteText"/>
      </w:pPr>
      <w:r>
        <w:rPr>
          <w:rStyle w:val="FootnoteReference"/>
        </w:rPr>
        <w:footnoteRef/>
      </w:r>
      <w:r>
        <w:t xml:space="preserve"> </w:t>
      </w:r>
      <w:r>
        <w:fldChar w:fldCharType="begin"/>
      </w:r>
      <w:r>
        <w:instrText xml:space="preserve"> ADDIN EN.CITE &lt;EndNote&gt;&lt;Cite&gt;&lt;Author&gt;Della Porta&lt;/Author&gt;&lt;Year&gt;1999&lt;/Year&gt;&lt;RecNum&gt;309&lt;/RecNum&gt;&lt;DisplayText&gt;Della Porta and Diani, &lt;style face="italic"&gt;Social Movements: An Introduction&lt;/style&gt;.&lt;/DisplayText&gt;&lt;record&gt;&lt;rec-number&gt;309&lt;/rec-number&gt;&lt;foreign-keys&gt;&lt;key app="EN" db-id="s0ftft29jf2psaezx93xwz5s00fwpa9avrwv"&gt;309&lt;/key&gt;&lt;/foreign-keys&gt;&lt;ref-type name="Book"&gt;6&lt;/ref-type&gt;&lt;contributors&gt;&lt;authors&gt;&lt;author&gt;Della Porta, Donatella&lt;/author&gt;&lt;author&gt;Diani, Mario&lt;/author&gt;&lt;/authors&gt;&lt;/contributors&gt;&lt;titles&gt;&lt;title&gt;Social Movements: An Introduction&lt;/title&gt;&lt;/titles&gt;&lt;dates&gt;&lt;year&gt;1999&lt;/year&gt;&lt;/dates&gt;&lt;pub-location&gt;Oxford&lt;/pub-location&gt;&lt;publisher&gt;Blackwell Publishers&lt;/publisher&gt;&lt;urls&gt;&lt;/urls&gt;&lt;/record&gt;&lt;/Cite&gt;&lt;/EndNote&gt;</w:instrText>
      </w:r>
      <w:r>
        <w:fldChar w:fldCharType="separate"/>
      </w:r>
      <w:r>
        <w:rPr>
          <w:noProof/>
        </w:rPr>
        <w:t xml:space="preserve">Della Porta and Diani, </w:t>
      </w:r>
      <w:r w:rsidRPr="003D17E7">
        <w:rPr>
          <w:i/>
          <w:noProof/>
        </w:rPr>
        <w:t>Social Movements: An Introduction</w:t>
      </w:r>
      <w:r>
        <w:rPr>
          <w:noProof/>
        </w:rPr>
        <w:t>.</w:t>
      </w:r>
      <w:r>
        <w:fldChar w:fldCharType="end"/>
      </w:r>
      <w:r>
        <w:t xml:space="preserve"> </w:t>
      </w:r>
      <w:r>
        <w:fldChar w:fldCharType="begin"/>
      </w:r>
      <w:r>
        <w:instrText xml:space="preserve"> ADDIN EN.CITE &lt;EndNote&gt;&lt;Cite&gt;&lt;Author&gt;Opp&lt;/Author&gt;&lt;Year&gt;2009&lt;/Year&gt;&lt;RecNum&gt;310&lt;/RecNum&gt;&lt;DisplayText&gt;Karl-Dieter Opp, &lt;style face="italic"&gt;Theories of Political Protest and Social Movements: A Multidisciplinary Introduction, Critique, and Synthesis&lt;/style&gt;  (Oxon: Routledge, 2009).&lt;/DisplayText&gt;&lt;record&gt;&lt;rec-number&gt;310&lt;/rec-number&gt;&lt;foreign-keys&gt;&lt;key app="EN" db-id="s0ftft29jf2psaezx93xwz5s00fwpa9avrwv"&gt;310&lt;/key&gt;&lt;/foreign-keys&gt;&lt;ref-type name="Book"&gt;6&lt;/ref-type&gt;&lt;contributors&gt;&lt;authors&gt;&lt;author&gt;Opp, Karl-Dieter&lt;/author&gt;&lt;/authors&gt;&lt;/contributors&gt;&lt;titles&gt;&lt;title&gt;Theories of Political Protest and Social Movements: a Multidisciplinary Introduction, Critique, and Synthesis&lt;/title&gt;&lt;/titles&gt;&lt;dates&gt;&lt;year&gt;2009&lt;/year&gt;&lt;/dates&gt;&lt;pub-location&gt;Oxon&lt;/pub-location&gt;&lt;publisher&gt;Routledge&lt;/publisher&gt;&lt;urls&gt;&lt;/urls&gt;&lt;/record&gt;&lt;/Cite&gt;&lt;/EndNote&gt;</w:instrText>
      </w:r>
      <w:r>
        <w:fldChar w:fldCharType="separate"/>
      </w:r>
      <w:r>
        <w:rPr>
          <w:noProof/>
        </w:rPr>
        <w:t xml:space="preserve">Karl-Dieter Opp, </w:t>
      </w:r>
      <w:r w:rsidRPr="003D17E7">
        <w:rPr>
          <w:i/>
          <w:noProof/>
        </w:rPr>
        <w:t>Theories of Political Protest and Social Movements: A Multidisciplinary Introduction, Critique, and Synthesis</w:t>
      </w:r>
      <w:r>
        <w:rPr>
          <w:noProof/>
        </w:rPr>
        <w:t xml:space="preserve">  (Oxon: Routledge, 2009).</w:t>
      </w:r>
      <w:r>
        <w:fldChar w:fldCharType="end"/>
      </w:r>
    </w:p>
  </w:footnote>
  <w:footnote w:id="223">
    <w:p w14:paraId="7FFA07DD" w14:textId="22760B3A" w:rsidR="007A04F6" w:rsidRPr="006D4BCB" w:rsidRDefault="007A04F6" w:rsidP="006D4BCB">
      <w:pPr>
        <w:pStyle w:val="EndnoteText"/>
        <w:rPr>
          <w:rFonts w:ascii="Times New Roman" w:hAnsi="Times New Roman" w:cs="Times New Roman"/>
          <w:sz w:val="21"/>
          <w:szCs w:val="21"/>
        </w:rPr>
      </w:pPr>
      <w:r w:rsidRPr="006D4BCB">
        <w:rPr>
          <w:rStyle w:val="FootnoteReference"/>
          <w:rFonts w:ascii="Times New Roman" w:hAnsi="Times New Roman" w:cs="Times New Roman"/>
          <w:sz w:val="21"/>
          <w:szCs w:val="21"/>
        </w:rPr>
        <w:footnoteRef/>
      </w:r>
      <w:r w:rsidRPr="006D4BCB">
        <w:rPr>
          <w:rFonts w:ascii="Times New Roman" w:hAnsi="Times New Roman" w:cs="Times New Roman"/>
          <w:sz w:val="21"/>
          <w:szCs w:val="21"/>
        </w:rPr>
        <w:t xml:space="preserve"> </w:t>
      </w:r>
      <w:r w:rsidRPr="006D4BCB">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&lt;EndNote&gt;&lt;Cite&gt;&lt;Author&gt;Horowitz&lt;/Author&gt;&lt;Year&gt;2002&lt;/Year&gt;&lt;RecNum&gt;214&lt;/RecNum&gt;&lt;DisplayText&gt;Donald Horowitz, &amp;quot;Explaining the Northern Ireland Agreement: The Sources of an Unlikely Constitutional Consensus,&amp;quot; &lt;style face="italic"&gt;British Journal of Political Science&lt;/style&gt; 32 (2)(2002).&lt;/DisplayText&gt;&lt;record&gt;&lt;rec-number&gt;214&lt;/rec-number&gt;&lt;foreign-keys&gt;&lt;key app="EN" db-id="s0ftft29jf2psaezx93xwz5s00fwpa9avrwv"&gt;214&lt;/key&gt;&lt;/foreign-keys&gt;&lt;ref-type name="Journal Article"&gt;17&lt;/ref-type&gt;&lt;contributors&gt;&lt;authors&gt;&lt;author&gt;Horowitz, Donald&lt;/author&gt;&lt;/authors&gt;&lt;/contributors&gt;&lt;titles&gt;&lt;title&gt;Explaining the Northern Ireland Agreement: The Sources of an Unlikely Constitutional Consensus&lt;/title&gt;&lt;secondary-title&gt;British Journal of Political Science&lt;/secondary-title&gt;&lt;/titles&gt;&lt;pages&gt;pp. 193-220&lt;/pages&gt;&lt;volume&gt;32 (2)&lt;/volume&gt;&lt;dates&gt;&lt;year&gt;2002&lt;/year&gt;&lt;/dates&gt;&lt;urls&gt;&lt;/urls&gt;&lt;/record&gt;&lt;/Cite&gt;&lt;/EndNote&gt;</w:instrText>
      </w:r>
      <w:r w:rsidRPr="006D4BCB">
        <w:rPr>
          <w:rFonts w:ascii="Times New Roman" w:hAnsi="Times New Roman" w:cs="Times New Roman"/>
          <w:sz w:val="21"/>
          <w:szCs w:val="21"/>
        </w:rPr>
        <w:fldChar w:fldCharType="separate"/>
      </w:r>
      <w:r>
        <w:rPr>
          <w:rFonts w:ascii="Times New Roman" w:hAnsi="Times New Roman" w:cs="Times New Roman"/>
          <w:noProof/>
          <w:sz w:val="21"/>
          <w:szCs w:val="21"/>
        </w:rPr>
        <w:t xml:space="preserve">Donald Horowitz, "Explaining the Northern Ireland Agreement: The Sources of an Unlikely Constitutional Consensus," </w:t>
      </w:r>
      <w:r w:rsidRPr="003D17E7">
        <w:rPr>
          <w:rFonts w:ascii="Times New Roman" w:hAnsi="Times New Roman" w:cs="Times New Roman"/>
          <w:i/>
          <w:noProof/>
          <w:sz w:val="21"/>
          <w:szCs w:val="21"/>
        </w:rPr>
        <w:t>British Journal of Political Science</w:t>
      </w:r>
      <w:r>
        <w:rPr>
          <w:rFonts w:ascii="Times New Roman" w:hAnsi="Times New Roman" w:cs="Times New Roman"/>
          <w:noProof/>
          <w:sz w:val="21"/>
          <w:szCs w:val="21"/>
        </w:rPr>
        <w:t xml:space="preserve"> 32 (2)(2002).</w:t>
      </w:r>
      <w:r w:rsidRPr="006D4BCB">
        <w:rPr>
          <w:rFonts w:ascii="Times New Roman" w:hAnsi="Times New Roman" w:cs="Times New Roman"/>
          <w:sz w:val="21"/>
          <w:szCs w:val="21"/>
        </w:rPr>
        <w:fldChar w:fldCharType="end"/>
      </w:r>
      <w:r w:rsidRPr="006D4BCB">
        <w:rPr>
          <w:rFonts w:ascii="Times New Roman" w:hAnsi="Times New Roman" w:cs="Times New Roman"/>
          <w:sz w:val="21"/>
          <w:szCs w:val="21"/>
          <w:lang w:bidi="hi-IN"/>
        </w:rPr>
        <w:t xml:space="preserve">. </w:t>
      </w:r>
    </w:p>
  </w:footnote>
  <w:footnote w:id="224">
    <w:p w14:paraId="360C95C8" w14:textId="48A1785C"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&lt;EndNote&gt;&lt;Cite&gt;&lt;Author&gt;Dixon&lt;/Author&gt;&lt;Year&gt;2008&lt;/Year&gt;&lt;RecNum&gt;201&lt;/RecNum&gt;&lt;DisplayText&gt;Paul Dixon, &lt;style face="italic"&gt;Northern Ireland: The Politics of War and Peace&lt;/style&gt;  (Basingstoke: Palgrave Macmillan, 2008).&lt;/DisplayText&gt;&lt;record&gt;&lt;rec-number&gt;201&lt;/rec-number&gt;&lt;foreign-keys&gt;&lt;key app="EN" db-id="s0ftft29jf2psaezx93xwz5s00fwpa9avrwv"&gt;201&lt;/key&gt;&lt;/foreign-keys&gt;&lt;ref-type name="Book"&gt;6&lt;/ref-type&gt;&lt;contributors&gt;&lt;authors&gt;&lt;author&gt;Dixon, Paul&lt;/author&gt;&lt;/authors&gt;&lt;/contributors&gt;&lt;titles&gt;&lt;title&gt;Northern Ireland: The Politics of War and Peace&lt;/title&gt;&lt;/titles&gt;&lt;dates&gt;&lt;year&gt;2008&lt;/year&gt;&lt;/dates&gt;&lt;pub-location&gt;Basingstoke&lt;/pub-location&gt;&lt;publisher&gt;Palgrave Macmillan&lt;/publisher&gt;&lt;urls&gt;&lt;/urls&gt;&lt;/record&gt;&lt;/Cite&gt;&lt;/EndNote&gt;</w:instrText>
      </w:r>
      <w:r>
        <w:fldChar w:fldCharType="separate"/>
      </w:r>
      <w:r>
        <w:rPr>
          <w:noProof/>
        </w:rPr>
        <w:t xml:space="preserve">Paul Dixon, </w:t>
      </w:r>
      <w:r w:rsidRPr="006D4BCB">
        <w:rPr>
          <w:i/>
          <w:noProof/>
        </w:rPr>
        <w:t>Northern Ireland: The Politics of War and Peace</w:t>
      </w:r>
      <w:r>
        <w:rPr>
          <w:noProof/>
        </w:rPr>
        <w:t xml:space="preserve">  (Basingstoke: Palgrave Macmillan, 2008).</w:t>
      </w:r>
      <w:r>
        <w:fldChar w:fldCharType="end"/>
      </w:r>
      <w:r>
        <w:t>; Interview, Community Worker DE, Belfast, 13th September 2013</w:t>
      </w:r>
    </w:p>
  </w:footnote>
  <w:footnote w:id="225">
    <w:p w14:paraId="1BDAF419" w14:textId="39648767" w:rsidR="007A04F6" w:rsidRDefault="007A04F6" w:rsidP="00522748">
      <w:pPr>
        <w:pStyle w:val="FootnoteText"/>
      </w:pPr>
      <w:r>
        <w:rPr>
          <w:rStyle w:val="FootnoteReference"/>
        </w:rPr>
        <w:footnoteRef/>
      </w:r>
      <w:r>
        <w:t xml:space="preserve"> </w:t>
      </w:r>
      <w:r>
        <w:fldChar w:fldCharType="begin"/>
      </w:r>
      <w:r>
        <w:instrText xml:space="preserve"> ADDIN EN.CITE &lt;EndNote&gt;&lt;Cite&gt;&lt;Author&gt;McEvoy&lt;/Author&gt;&lt;Year&gt;2000&lt;/Year&gt;&lt;RecNum&gt;233&lt;/RecNum&gt;&lt;DisplayText&gt;Siobhan McEvoy, &amp;quot;Communities and Peace: Catholic Youth in Northern Ireland,&amp;quot; &lt;style face="italic"&gt;Journal of Peace Research&lt;/style&gt; 37 (1)(2000).&lt;/DisplayText&gt;&lt;record&gt;&lt;rec-number&gt;233&lt;/rec-number&gt;&lt;foreign-keys&gt;&lt;key app="EN" db-id="s0ftft29jf2psaezx93xwz5s00fwpa9avrwv"&gt;233&lt;/key&gt;&lt;/foreign-keys&gt;&lt;ref-type name="Journal Article"&gt;17&lt;/ref-type&gt;&lt;contributors&gt;&lt;authors&gt;&lt;author&gt;McEvoy, Siobhan&lt;/author&gt;&lt;/authors&gt;&lt;/contributors&gt;&lt;titles&gt;&lt;title&gt;Communities and Peace: Catholic Youth in Northern Ireland&lt;/title&gt;&lt;secondary-title&gt;Journal of Peace Research&lt;/secondary-title&gt;&lt;/titles&gt;&lt;pages&gt;pp. 85-103&lt;/pages&gt;&lt;volume&gt;37 (1)&lt;/volume&gt;&lt;dates&gt;&lt;year&gt;2000&lt;/year&gt;&lt;/dates&gt;&lt;urls&gt;&lt;/urls&gt;&lt;/record&gt;&lt;/Cite&gt;&lt;/EndNote&gt;</w:instrText>
      </w:r>
      <w:r>
        <w:fldChar w:fldCharType="separate"/>
      </w:r>
      <w:r>
        <w:rPr>
          <w:noProof/>
        </w:rPr>
        <w:t xml:space="preserve">Siobhan McEvoy, "Communities and Peace: Catholic Youth in Northern Ireland," </w:t>
      </w:r>
      <w:r w:rsidRPr="003D17E7">
        <w:rPr>
          <w:i/>
          <w:noProof/>
        </w:rPr>
        <w:t>Journal of Peace Research</w:t>
      </w:r>
      <w:r>
        <w:rPr>
          <w:noProof/>
        </w:rPr>
        <w:t xml:space="preserve"> 37 (1)(2000).</w:t>
      </w:r>
      <w:r>
        <w:fldChar w:fldCharType="end"/>
      </w:r>
    </w:p>
  </w:footnote>
  <w:footnote w:id="226">
    <w:p w14:paraId="39D31FC6" w14:textId="5639D164" w:rsidR="007A04F6" w:rsidRDefault="007A04F6">
      <w:pPr>
        <w:pStyle w:val="FootnoteText"/>
      </w:pPr>
      <w:r>
        <w:rPr>
          <w:rStyle w:val="FootnoteReference"/>
        </w:rPr>
        <w:footnoteRef/>
      </w:r>
      <w:r>
        <w:t xml:space="preserve"> </w:t>
      </w:r>
      <w:r>
        <w:fldChar w:fldCharType="begin"/>
      </w:r>
      <w:r>
        <w:instrText xml:space="preserve"> ADDIN EN.CITE &lt;EndNote&gt;&lt;Cite&gt;&lt;Author&gt;Silke&lt;/Author&gt;&lt;Year&gt;2003&lt;/Year&gt;&lt;RecNum&gt;154&lt;/RecNum&gt;&lt;DisplayText&gt;Silke, &lt;style face="italic"&gt;Research on Terrorism: Trends, Achievements, and Failures&lt;/style&gt;.&lt;/DisplayText&gt;&lt;record&gt;&lt;rec-number&gt;154&lt;/rec-number&gt;&lt;foreign-keys&gt;&lt;key app="EN" db-id="s0ftft29jf2psaezx93xwz5s00fwpa9avrwv"&gt;154&lt;/key&gt;&lt;/foreign-keys&gt;&lt;ref-type name="Book"&gt;6&lt;/ref-type&gt;&lt;contributors&gt;&lt;authors&gt;&lt;author&gt;Silke, Andrew&lt;/author&gt;&lt;/authors&gt;&lt;/contributors&gt;&lt;titles&gt;&lt;title&gt;Research on terrorism: trends, achievements, and failures&lt;/title&gt;&lt;/titles&gt;&lt;pages&gt;xix, 240 p.&lt;/pages&gt;&lt;keywords&gt;&lt;keyword&gt;Terrorism Research.&lt;/keyword&gt;&lt;/keywords&gt;&lt;dates&gt;&lt;year&gt;2003&lt;/year&gt;&lt;/dates&gt;&lt;pub-location&gt;London&lt;/pub-location&gt;&lt;publisher&gt;Frank Cass&lt;/publisher&gt;&lt;isbn&gt;071468273x (pbk)&amp;#xD;071465311x&lt;/isbn&gt;&lt;call-num&gt;1.&amp;#xD;Brotherton West floor&amp;amp;nbsp;2 Politics R-5.4 SIL DUE 14-06-11&lt;/call-num&gt;&lt;urls&gt;&lt;/urls&gt;&lt;/record&gt;&lt;/Cite&gt;&lt;/EndNote&gt;</w:instrText>
      </w:r>
      <w:r>
        <w:fldChar w:fldCharType="separate"/>
      </w:r>
      <w:r>
        <w:rPr>
          <w:noProof/>
        </w:rPr>
        <w:t xml:space="preserve">Silke, </w:t>
      </w:r>
      <w:r w:rsidRPr="003D17E7">
        <w:rPr>
          <w:i/>
          <w:noProof/>
        </w:rPr>
        <w:t>Research on Terrorism: Trends, Achievements, and Failures</w:t>
      </w:r>
      <w:r>
        <w:rPr>
          <w:noProof/>
        </w:rPr>
        <w:t>.</w:t>
      </w:r>
      <w:r>
        <w:fldChar w:fldCharType="end"/>
      </w:r>
    </w:p>
  </w:footnote>
  <w:footnote w:id="227">
    <w:p w14:paraId="7376CDB6" w14:textId="5B43026E" w:rsidR="007A04F6" w:rsidRDefault="007A04F6">
      <w:pPr>
        <w:pStyle w:val="FootnoteText"/>
      </w:pPr>
      <w:r>
        <w:rPr>
          <w:rStyle w:val="FootnoteReference"/>
        </w:rPr>
        <w:footnoteRef/>
      </w:r>
      <w:r>
        <w:t xml:space="preserve"> </w:t>
      </w:r>
      <w:r>
        <w:fldChar w:fldCharType="begin"/>
      </w:r>
      <w:r>
        <w:instrText xml:space="preserve"> ADDIN EN.CITE &lt;EndNote&gt;&lt;Cite&gt;&lt;Author&gt;Horgan&lt;/Author&gt;&lt;Year&gt;2009&lt;/Year&gt;&lt;RecNum&gt;217&lt;/RecNum&gt;&lt;DisplayText&gt;Horgan, &lt;style face="italic"&gt;Walking Away from Terrorism: Accounts of Disengagement from Radical and Extremist Movements&lt;/style&gt;.&lt;/DisplayText&gt;&lt;record&gt;&lt;rec-number&gt;217&lt;/rec-number&gt;&lt;foreign-keys&gt;&lt;key app="EN" db-id="s0ftft29jf2psaezx93xwz5s00fwpa9avrwv"&gt;217&lt;/key&gt;&lt;/foreign-keys&gt;&lt;ref-type name="Book"&gt;6&lt;/ref-type&gt;&lt;contributors&gt;&lt;authors&gt;&lt;author&gt;Horgan, John&lt;/author&gt;&lt;/authors&gt;&lt;/contributors&gt;&lt;titles&gt;&lt;title&gt;Walking Away from Terrorism: accounts of disengagement from radical and extremist movements&lt;/title&gt;&lt;/titles&gt;&lt;dates&gt;&lt;year&gt;2009&lt;/year&gt;&lt;/dates&gt;&lt;pub-location&gt;Routledge&lt;/pub-location&gt;&lt;publisher&gt;London&lt;/publisher&gt;&lt;urls&gt;&lt;/urls&gt;&lt;/record&gt;&lt;/Cite&gt;&lt;/EndNote&gt;</w:instrText>
      </w:r>
      <w:r>
        <w:fldChar w:fldCharType="separate"/>
      </w:r>
      <w:r>
        <w:rPr>
          <w:noProof/>
        </w:rPr>
        <w:t xml:space="preserve">Horgan, </w:t>
      </w:r>
      <w:r w:rsidRPr="003D17E7">
        <w:rPr>
          <w:i/>
          <w:noProof/>
        </w:rPr>
        <w:t>Walking Away from Terrorism: Accounts of Disengagement from Radical and Extremist Movements</w:t>
      </w:r>
      <w:r>
        <w:rPr>
          <w:noProof/>
        </w:rPr>
        <w:t>.</w:t>
      </w:r>
      <w:r>
        <w:fldChar w:fldCharType="end"/>
      </w:r>
    </w:p>
  </w:footnote>
  <w:footnote w:id="228">
    <w:p w14:paraId="2FBEB6B4" w14:textId="08F7E947"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229">
    <w:p w14:paraId="4273ED55" w14:textId="143F15DE" w:rsidR="007A04F6" w:rsidRDefault="007A04F6">
      <w:pPr>
        <w:pStyle w:val="FootnoteText"/>
      </w:pPr>
      <w:r>
        <w:rPr>
          <w:rStyle w:val="FootnoteReference"/>
        </w:rPr>
        <w:footnoteRef/>
      </w:r>
      <w:r>
        <w:t xml:space="preserve"> </w:t>
      </w:r>
      <w:r>
        <w:fldChar w:fldCharType="begin"/>
      </w:r>
      <w:r>
        <w:instrText xml:space="preserve"> ADDIN EN.CITE &lt;EndNote&gt;&lt;Cite&gt;&lt;Author&gt;Alonso&lt;/Author&gt;&lt;Year&gt;2007&lt;/Year&gt;&lt;RecNum&gt;254&lt;/RecNum&gt;&lt;DisplayText&gt;Alonso, &lt;style face="italic"&gt;The Ira and Armed Struggle&lt;/style&gt;.&lt;/DisplayText&gt;&lt;record&gt;&lt;rec-number&gt;254&lt;/rec-number&gt;&lt;foreign-keys&gt;&lt;key app="EN" db-id="s0ftft29jf2psaezx93xwz5s00fwpa9avrwv"&gt;254&lt;/key&gt;&lt;/foreign-keys&gt;&lt;ref-type name="Book"&gt;6&lt;/ref-type&gt;&lt;contributors&gt;&lt;authors&gt;&lt;author&gt;Alonso, Rogelio&lt;/author&gt;&lt;/authors&gt;&lt;/contributors&gt;&lt;titles&gt;&lt;title&gt;The IRA and Armed Struggle&lt;/title&gt;&lt;/titles&gt;&lt;dates&gt;&lt;year&gt;2007&lt;/year&gt;&lt;/dates&gt;&lt;pub-location&gt;Abingdon&lt;/pub-location&gt;&lt;publisher&gt;Routledge&lt;/publisher&gt;&lt;urls&gt;&lt;/urls&gt;&lt;/record&gt;&lt;/Cite&gt;&lt;/EndNote&gt;</w:instrText>
      </w:r>
      <w:r>
        <w:fldChar w:fldCharType="separate"/>
      </w:r>
      <w:r>
        <w:rPr>
          <w:noProof/>
        </w:rPr>
        <w:t xml:space="preserve">Alonso, </w:t>
      </w:r>
      <w:r w:rsidRPr="003D17E7">
        <w:rPr>
          <w:i/>
          <w:noProof/>
        </w:rPr>
        <w:t>The Ira and Armed Struggle</w:t>
      </w:r>
      <w:r>
        <w:rPr>
          <w:noProof/>
        </w:rPr>
        <w:t>.</w:t>
      </w:r>
      <w:r>
        <w:fldChar w:fldCharType="end"/>
      </w:r>
      <w:r>
        <w:t xml:space="preserve"> </w:t>
      </w:r>
      <w:r>
        <w:fldChar w:fldCharType="begin"/>
      </w:r>
      <w:r>
        <w:instrText xml:space="preserve"> ADDIN EN.CITE &lt;EndNote&gt;&lt;Cite&gt;&lt;Author&gt;Morrison&lt;/Author&gt;&lt;Year&gt;2011&lt;/Year&gt;&lt;RecNum&gt;255&lt;/RecNum&gt;&lt;DisplayText&gt;John Morrison, &amp;quot;Why Do People Become Dissident Republicans?,&amp;quot; in &lt;style face="italic"&gt;Dissident Irish Republicanism&lt;/style&gt;, ed. P.M. Currie and Max Taylor (London: The Continuum International Publishing Group, 2011).&lt;/DisplayText&gt;&lt;record&gt;&lt;rec-number&gt;255&lt;/rec-number&gt;&lt;foreign-keys&gt;&lt;key app="EN" db-id="s0ftft29jf2psaezx93xwz5s00fwpa9avrwv"&gt;255&lt;/key&gt;&lt;/foreign-keys&gt;&lt;ref-type name="Book Section"&gt;5&lt;/ref-type&gt;&lt;contributors&gt;&lt;authors&gt;&lt;author&gt;Morrison, John&lt;/author&gt;&lt;/authors&gt;&lt;secondary-authors&gt;&lt;author&gt;Currie, P.M.&lt;/author&gt;&lt;author&gt;Taylor, Max&lt;/author&gt;&lt;/secondary-authors&gt;&lt;/contributors&gt;&lt;titles&gt;&lt;title&gt;Why do People Become Dissident Republicans?&lt;/title&gt;&lt;secondary-title&gt;Dissident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 xml:space="preserve">John Morrison, "Why Do People Become Dissident Republicans?," in </w:t>
      </w:r>
      <w:r w:rsidRPr="003D17E7">
        <w:rPr>
          <w:i/>
          <w:noProof/>
        </w:rPr>
        <w:t>Dissident Irish Republicanism</w:t>
      </w:r>
      <w:r>
        <w:rPr>
          <w:noProof/>
        </w:rPr>
        <w:t>, ed. P.M. Currie and Max Taylor (London: The Continuum International Publishing Group, 2011).</w:t>
      </w:r>
      <w:r>
        <w:fldChar w:fldCharType="end"/>
      </w:r>
    </w:p>
  </w:footnote>
  <w:footnote w:id="230">
    <w:p w14:paraId="7464BCD4" w14:textId="1295B7EF" w:rsidR="007A04F6" w:rsidRDefault="007A04F6">
      <w:pPr>
        <w:pStyle w:val="FootnoteText"/>
      </w:pPr>
      <w:r>
        <w:rPr>
          <w:rStyle w:val="FootnoteReference"/>
        </w:rPr>
        <w:footnoteRef/>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r>
        <w:t xml:space="preserve"> </w:t>
      </w:r>
      <w:r>
        <w:fldChar w:fldCharType="begin"/>
      </w:r>
      <w:r>
        <w:instrText xml:space="preserve"> ADDIN EN.CITE &lt;EndNote&gt;&lt;Cite&gt;&lt;Author&gt;Benford&lt;/Author&gt;&lt;Year&gt;2000&lt;/Year&gt;&lt;RecNum&gt;186&lt;/RecNum&gt;&lt;DisplayText&gt;Benford and Snow, &amp;quot;Framing Processes and Social Movements: An Overview and Assessment.&amp;quot;&lt;/DisplayText&gt;&lt;record&gt;&lt;rec-number&gt;186&lt;/rec-number&gt;&lt;foreign-keys&gt;&lt;key app="EN" db-id="s0ftft29jf2psaezx93xwz5s00fwpa9avrwv"&gt;186&lt;/key&gt;&lt;/foreign-keys&gt;&lt;ref-type name="Journal Article"&gt;17&lt;/ref-type&gt;&lt;contributors&gt;&lt;authors&gt;&lt;author&gt;Benford, Robert&lt;/author&gt;&lt;author&gt;Snow, David&lt;/author&gt;&lt;/authors&gt;&lt;/contributors&gt;&lt;titles&gt;&lt;title&gt;Framing Processes and Social Movements: An Overview and Assessment&lt;/title&gt;&lt;secondary-title&gt;Annual Review of Sociology&lt;/secondary-title&gt;&lt;/titles&gt;&lt;pages&gt;pp. 611-639&lt;/pages&gt;&lt;volume&gt;26 (1)&lt;/volume&gt;&lt;dates&gt;&lt;year&gt;2000&lt;/year&gt;&lt;/dates&gt;&lt;urls&gt;&lt;/urls&gt;&lt;/record&gt;&lt;/Cite&gt;&lt;/EndNote&gt;</w:instrText>
      </w:r>
      <w:r>
        <w:fldChar w:fldCharType="separate"/>
      </w:r>
      <w:r>
        <w:rPr>
          <w:noProof/>
        </w:rPr>
        <w:t>Benford and Snow, "Framing Processes and Social Movements: An Overview and Assessment."</w:t>
      </w:r>
      <w:r>
        <w:fldChar w:fldCharType="end"/>
      </w:r>
    </w:p>
  </w:footnote>
  <w:footnote w:id="231">
    <w:p w14:paraId="57AD00E2" w14:textId="27B4B751" w:rsidR="007A04F6" w:rsidRDefault="007A04F6">
      <w:pPr>
        <w:pStyle w:val="FootnoteText"/>
      </w:pPr>
      <w:r>
        <w:rPr>
          <w:rStyle w:val="FootnoteReference"/>
        </w:rPr>
        <w:footnoteRef/>
      </w:r>
      <w:r>
        <w:t xml:space="preserve"> </w:t>
      </w:r>
      <w:r>
        <w:fldChar w:fldCharType="begin"/>
      </w:r>
      <w:r>
        <w:instrText xml:space="preserve"> ADDIN EN.CITE &lt;EndNote&gt;&lt;Cite&gt;&lt;Author&gt;Yanow&lt;/Author&gt;&lt;Year&gt;2008&lt;/Year&gt;&lt;RecNum&gt;256&lt;/RecNum&gt;&lt;DisplayText&gt;Dvora Yanow, Peregrine Schwartz-Shea, and Maria Jose Freitas, &amp;quot;Case Study Research in Political Science,&amp;quot; in &lt;style face="italic"&gt;Encyclopedia of Case Study Research&lt;/style&gt; (Los Angeles: Sage, 2008).&lt;/DisplayText&gt;&lt;record&gt;&lt;rec-number&gt;256&lt;/rec-number&gt;&lt;foreign-keys&gt;&lt;key app="EN" db-id="s0ftft29jf2psaezx93xwz5s00fwpa9avrwv"&gt;256&lt;/key&gt;&lt;/foreign-keys&gt;&lt;ref-type name="Book Section"&gt;5&lt;/ref-type&gt;&lt;contributors&gt;&lt;authors&gt;&lt;author&gt;Yanow, Dvora&lt;/author&gt;&lt;author&gt;Schwartz-Shea, Peregrine&lt;/author&gt;&lt;author&gt;Freitas, Maria Jose&lt;/author&gt;&lt;/authors&gt;&lt;/contributors&gt;&lt;titles&gt;&lt;title&gt;Case Study Research in Political Science&lt;/title&gt;&lt;secondary-title&gt;Encyclopedia of Case Study Research&lt;/secondary-title&gt;&lt;/titles&gt;&lt;dates&gt;&lt;year&gt;2008&lt;/year&gt;&lt;/dates&gt;&lt;pub-location&gt;Los Angeles&lt;/pub-location&gt;&lt;publisher&gt;Sage&lt;/publisher&gt;&lt;urls&gt;&lt;/urls&gt;&lt;/record&gt;&lt;/Cite&gt;&lt;/EndNote&gt;</w:instrText>
      </w:r>
      <w:r>
        <w:fldChar w:fldCharType="separate"/>
      </w:r>
      <w:r>
        <w:rPr>
          <w:noProof/>
        </w:rPr>
        <w:t xml:space="preserve">Dvora Yanow, Peregrine Schwartz-Shea, and Maria Jose Freitas, "Case Study Research in Political Science," in </w:t>
      </w:r>
      <w:r w:rsidRPr="0096340D">
        <w:rPr>
          <w:i/>
          <w:noProof/>
        </w:rPr>
        <w:t>Encyclopedia of Case Study Research</w:t>
      </w:r>
      <w:r>
        <w:rPr>
          <w:noProof/>
        </w:rPr>
        <w:t xml:space="preserve"> (Los Angeles: Sage, 2008).</w:t>
      </w:r>
      <w:r>
        <w:fldChar w:fldCharType="end"/>
      </w:r>
    </w:p>
  </w:footnote>
  <w:footnote w:id="232">
    <w:p w14:paraId="2307BF49" w14:textId="5ED9BE96" w:rsidR="007A04F6" w:rsidRDefault="007A04F6">
      <w:pPr>
        <w:pStyle w:val="FootnoteText"/>
      </w:pPr>
      <w:r>
        <w:rPr>
          <w:rStyle w:val="FootnoteReference"/>
        </w:rPr>
        <w:footnoteRef/>
      </w:r>
      <w:r>
        <w:t xml:space="preserve"> </w:t>
      </w:r>
      <w:r>
        <w:fldChar w:fldCharType="begin"/>
      </w:r>
      <w:r>
        <w:instrText xml:space="preserve"> ADDIN EN.CITE &lt;EndNote&gt;&lt;Cite&gt;&lt;Author&gt;Yanow&lt;/Author&gt;&lt;Year&gt;2008&lt;/Year&gt;&lt;RecNum&gt;256&lt;/RecNum&gt;&lt;DisplayText&gt;Ibid.&lt;/DisplayText&gt;&lt;record&gt;&lt;rec-number&gt;256&lt;/rec-number&gt;&lt;foreign-keys&gt;&lt;key app="EN" db-id="s0ftft29jf2psaezx93xwz5s00fwpa9avrwv"&gt;256&lt;/key&gt;&lt;/foreign-keys&gt;&lt;ref-type name="Book Section"&gt;5&lt;/ref-type&gt;&lt;contributors&gt;&lt;authors&gt;&lt;author&gt;Yanow, Dvora&lt;/author&gt;&lt;author&gt;Schwartz-Shea, Peregrine&lt;/author&gt;&lt;author&gt;Freitas, Maria Jose&lt;/author&gt;&lt;/authors&gt;&lt;/contributors&gt;&lt;titles&gt;&lt;title&gt;Case Study Research in Political Science&lt;/title&gt;&lt;secondary-title&gt;Encyclopedia of Case Study Research&lt;/secondary-title&gt;&lt;/titles&gt;&lt;dates&gt;&lt;year&gt;2008&lt;/year&gt;&lt;/dates&gt;&lt;pub-location&gt;Los Angeles&lt;/pub-location&gt;&lt;publisher&gt;Sage&lt;/publisher&gt;&lt;urls&gt;&lt;/urls&gt;&lt;/record&gt;&lt;/Cite&gt;&lt;/EndNote&gt;</w:instrText>
      </w:r>
      <w:r>
        <w:fldChar w:fldCharType="separate"/>
      </w:r>
      <w:r>
        <w:rPr>
          <w:noProof/>
        </w:rPr>
        <w:t>Ibid.</w:t>
      </w:r>
      <w:r>
        <w:fldChar w:fldCharType="end"/>
      </w:r>
    </w:p>
  </w:footnote>
  <w:footnote w:id="233">
    <w:p w14:paraId="7B421D8C" w14:textId="3E2CFD15" w:rsidR="007A04F6" w:rsidRDefault="007A04F6">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234">
    <w:p w14:paraId="32746F62" w14:textId="72F5497B" w:rsidR="007A04F6" w:rsidRDefault="007A04F6">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235">
    <w:p w14:paraId="37E1CF41" w14:textId="3D09E09E"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236">
    <w:p w14:paraId="6CD8C37B" w14:textId="3F56BE67" w:rsidR="007A04F6" w:rsidRDefault="007A04F6">
      <w:pPr>
        <w:pStyle w:val="FootnoteText"/>
      </w:pPr>
      <w:r>
        <w:rPr>
          <w:rStyle w:val="FootnoteReference"/>
        </w:rPr>
        <w:footnoteRef/>
      </w:r>
      <w:r>
        <w:t xml:space="preserve"> </w:t>
      </w:r>
      <w:r>
        <w:fldChar w:fldCharType="begin"/>
      </w:r>
      <w:r>
        <w:instrText xml:space="preserve"> ADDIN EN.CITE &lt;EndNote&gt;&lt;Cite&gt;&lt;Author&gt;Sageman&lt;/Author&gt;&lt;Year&gt;2011&lt;/Year&gt;&lt;RecNum&gt;151&lt;/RecNum&gt;&lt;DisplayText&gt;Sageman, &amp;quot;Ripples in the Waves: Fantasies and Fashions.&amp;quot;&lt;/DisplayText&gt;&lt;record&gt;&lt;rec-number&gt;151&lt;/rec-number&gt;&lt;foreign-keys&gt;&lt;key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Sageman, "Ripples in the Waves: Fantasies and Fashions."</w:t>
      </w:r>
      <w:r>
        <w:fldChar w:fldCharType="end"/>
      </w:r>
    </w:p>
  </w:footnote>
  <w:footnote w:id="237">
    <w:p w14:paraId="52D041D7" w14:textId="5C7CB0FE" w:rsidR="007A04F6" w:rsidRDefault="007A04F6">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&lt;EndNote&gt;&lt;Cite&gt;&lt;Author&gt;Bryman&lt;/Author&gt;&lt;Year&gt;2004&lt;/Year&gt;&lt;RecNum&gt;251&lt;/RecNum&gt;&lt;DisplayText&gt;Alan Bryman, &lt;style face="italic"&gt;Social Research Methods&lt;/style&gt;  (Oxford: Oxford University Press, 2004).&lt;/DisplayText&gt;&lt;record&gt;&lt;rec-number&gt;251&lt;/rec-number&gt;&lt;foreign-keys&gt;&lt;key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Alan Bryman, </w:t>
      </w:r>
      <w:r w:rsidRPr="00CD678B">
        <w:rPr>
          <w:i/>
          <w:noProof/>
        </w:rPr>
        <w:t>Social Research Methods</w:t>
      </w:r>
      <w:r>
        <w:rPr>
          <w:noProof/>
        </w:rPr>
        <w:t xml:space="preserve">  (Oxford: Oxford University Press, 2004).</w:t>
      </w:r>
      <w:r>
        <w:fldChar w:fldCharType="end"/>
      </w:r>
    </w:p>
  </w:footnote>
  <w:footnote w:id="238">
    <w:p w14:paraId="1A7AAE33" w14:textId="2A6AC7CF" w:rsidR="007A04F6" w:rsidRDefault="007A04F6">
      <w:pPr>
        <w:pStyle w:val="FootnoteText"/>
      </w:pPr>
      <w:r>
        <w:rPr>
          <w:rStyle w:val="FootnoteReference"/>
        </w:rPr>
        <w:footnoteRef/>
      </w:r>
      <w:r>
        <w:t xml:space="preserve"> </w:t>
      </w:r>
      <w:r>
        <w:fldChar w:fldCharType="begin"/>
      </w:r>
      <w:r>
        <w:instrText xml:space="preserve"> ADDIN EN.CITE &lt;EndNote&gt;&lt;Cite&gt;&lt;Author&gt;Rubin&lt;/Author&gt;&lt;Year&gt;2005&lt;/Year&gt;&lt;RecNum&gt;250&lt;/RecNum&gt;&lt;DisplayText&gt;Herbert J. Rubin and Irene Rubin, &lt;style face="italic"&gt;Qualitative Interviewing: The Art of Hearing Data&lt;/style&gt;, 2nd ed. (London: Sage Publications, 2005).&lt;/DisplayText&gt;&lt;record&gt;&lt;rec-number&gt;250&lt;/rec-number&gt;&lt;foreign-keys&gt;&lt;key app="EN" db-id="s0ftft29jf2psaezx93xwz5s00fwpa9avrwv"&gt;250&lt;/key&gt;&lt;/foreign-keys&gt;&lt;ref-type name="Book"&gt;6&lt;/ref-type&gt;&lt;contributors&gt;&lt;authors&gt;&lt;author&gt;Rubin, Herbert J.&lt;/author&gt;&lt;author&gt;Rubin, Irene&lt;/author&gt;&lt;/authors&gt;&lt;/contributors&gt;&lt;titles&gt;&lt;title&gt;Qualitative Interviewing: The Art of Hearing Data&lt;/title&gt;&lt;/titles&gt;&lt;edition&gt;2nd&lt;/edition&gt;&lt;dates&gt;&lt;year&gt;2005&lt;/year&gt;&lt;/dates&gt;&lt;pub-location&gt;London&lt;/pub-location&gt;&lt;publisher&gt;Sage Publications&lt;/publisher&gt;&lt;urls&gt;&lt;/urls&gt;&lt;/record&gt;&lt;/Cite&gt;&lt;/EndNote&gt;</w:instrText>
      </w:r>
      <w:r>
        <w:fldChar w:fldCharType="separate"/>
      </w:r>
      <w:r>
        <w:rPr>
          <w:noProof/>
        </w:rPr>
        <w:t xml:space="preserve">Herbert J. Rubin and Irene Rubin, </w:t>
      </w:r>
      <w:r w:rsidRPr="00341C5F">
        <w:rPr>
          <w:i/>
          <w:noProof/>
        </w:rPr>
        <w:t>Qualitative Interviewing: The Art of Hearing Data</w:t>
      </w:r>
      <w:r>
        <w:rPr>
          <w:noProof/>
        </w:rPr>
        <w:t>, 2nd ed. (London: Sage Publications, 2005).</w:t>
      </w:r>
      <w:r>
        <w:fldChar w:fldCharType="end"/>
      </w:r>
    </w:p>
  </w:footnote>
  <w:footnote w:id="239">
    <w:p w14:paraId="6F798CE0" w14:textId="64787C1A" w:rsidR="007A04F6" w:rsidRDefault="007A04F6" w:rsidP="00FA3F3D">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p>
  </w:footnote>
  <w:footnote w:id="240">
    <w:p w14:paraId="251E6FFA" w14:textId="7A724D4B" w:rsidR="007A04F6" w:rsidRDefault="007A04F6">
      <w:pPr>
        <w:pStyle w:val="FootnoteText"/>
      </w:pPr>
      <w:r>
        <w:rPr>
          <w:rStyle w:val="FootnoteReference"/>
        </w:rPr>
        <w:footnoteRef/>
      </w:r>
      <w:r>
        <w:t xml:space="preserve"> </w:t>
      </w:r>
      <w:r>
        <w:fldChar w:fldCharType="begin"/>
      </w:r>
      <w:r>
        <w:instrText xml:space="preserve"> ADDIN EN.CITE &lt;EndNote&gt;&lt;Cite&gt;&lt;Author&gt;McEvoy&lt;/Author&gt;&lt;Year&gt;2006&lt;/Year&gt;&lt;RecNum&gt;279&lt;/RecNum&gt;&lt;DisplayText&gt;Joanne McEvoy, &amp;quot;Elite Interviewing in a Divided Society: Lessons from Northern Ireland,&amp;quot; &lt;style face="italic"&gt;Politics&lt;/style&gt; 26 (3) (2006).&lt;/DisplayText&gt;&lt;record&gt;&lt;rec-number&gt;279&lt;/rec-number&gt;&lt;foreign-keys&gt;&lt;key app="EN" db-id="s0ftft29jf2psaezx93xwz5s00fwpa9avrwv"&gt;279&lt;/key&gt;&lt;/foreign-keys&gt;&lt;ref-type name="Journal Article"&gt;17&lt;/ref-type&gt;&lt;contributors&gt;&lt;authors&gt;&lt;author&gt;McEvoy, Joanne&lt;/author&gt;&lt;/authors&gt;&lt;/contributors&gt;&lt;titles&gt;&lt;title&gt;Elite Interviewing in a Divided Society: Lessons from Northern Ireland&lt;/title&gt;&lt;secondary-title&gt;Politics&lt;/secondary-title&gt;&lt;/titles&gt;&lt;pages&gt;pp. 184-191&lt;/pages&gt;&lt;volume&gt;26 (3) &lt;/volume&gt;&lt;dates&gt;&lt;year&gt;2006&lt;/year&gt;&lt;/dates&gt;&lt;urls&gt;&lt;/urls&gt;&lt;/record&gt;&lt;/Cite&gt;&lt;/EndNote&gt;</w:instrText>
      </w:r>
      <w:r>
        <w:fldChar w:fldCharType="separate"/>
      </w:r>
      <w:r>
        <w:rPr>
          <w:noProof/>
        </w:rPr>
        <w:t xml:space="preserve">Joanne McEvoy, "Elite Interviewing in a Divided Society: Lessons from Northern Ireland," </w:t>
      </w:r>
      <w:r w:rsidRPr="003D17E7">
        <w:rPr>
          <w:i/>
          <w:noProof/>
        </w:rPr>
        <w:t>Politics</w:t>
      </w:r>
      <w:r>
        <w:rPr>
          <w:noProof/>
        </w:rPr>
        <w:t xml:space="preserve"> 26 (3) (2006).</w:t>
      </w:r>
      <w:r>
        <w:fldChar w:fldCharType="end"/>
      </w:r>
    </w:p>
  </w:footnote>
  <w:footnote w:id="241">
    <w:p w14:paraId="1BBA9460" w14:textId="644A9779" w:rsidR="007A04F6" w:rsidRDefault="007A04F6">
      <w:pPr>
        <w:pStyle w:val="FootnoteText"/>
      </w:pPr>
      <w:r>
        <w:rPr>
          <w:rStyle w:val="FootnoteReference"/>
        </w:rPr>
        <w:footnoteRef/>
      </w:r>
      <w:r>
        <w:t xml:space="preserve"> </w:t>
      </w:r>
      <w:r>
        <w:fldChar w:fldCharType="begin"/>
      </w:r>
      <w:r>
        <w:instrText xml:space="preserve"> ADDIN EN.CITE &lt;EndNote&gt;&lt;Cite&gt;&lt;Author&gt;Alonso&lt;/Author&gt;&lt;Year&gt;2007&lt;/Year&gt;&lt;RecNum&gt;254&lt;/RecNum&gt;&lt;DisplayText&gt;Alonso, &lt;style face="italic"&gt;The Ira and Armed Struggle&lt;/style&gt;.&lt;/DisplayText&gt;&lt;record&gt;&lt;rec-number&gt;254&lt;/rec-number&gt;&lt;foreign-keys&gt;&lt;key app="EN" db-id="s0ftft29jf2psaezx93xwz5s00fwpa9avrwv"&gt;254&lt;/key&gt;&lt;/foreign-keys&gt;&lt;ref-type name="Book"&gt;6&lt;/ref-type&gt;&lt;contributors&gt;&lt;authors&gt;&lt;author&gt;Alonso, Rogelio&lt;/author&gt;&lt;/authors&gt;&lt;/contributors&gt;&lt;titles&gt;&lt;title&gt;The IRA and Armed Struggle&lt;/title&gt;&lt;/titles&gt;&lt;dates&gt;&lt;year&gt;2007&lt;/year&gt;&lt;/dates&gt;&lt;pub-location&gt;Abingdon&lt;/pub-location&gt;&lt;publisher&gt;Routledge&lt;/publisher&gt;&lt;urls&gt;&lt;/urls&gt;&lt;/record&gt;&lt;/Cite&gt;&lt;/EndNote&gt;</w:instrText>
      </w:r>
      <w:r>
        <w:fldChar w:fldCharType="separate"/>
      </w:r>
      <w:r>
        <w:rPr>
          <w:noProof/>
        </w:rPr>
        <w:t xml:space="preserve">Alonso, </w:t>
      </w:r>
      <w:r w:rsidRPr="003D17E7">
        <w:rPr>
          <w:i/>
          <w:noProof/>
        </w:rPr>
        <w:t>The Ira and Armed Struggle</w:t>
      </w:r>
      <w:r>
        <w:rPr>
          <w:noProof/>
        </w:rPr>
        <w:t>.</w:t>
      </w:r>
      <w:r>
        <w:fldChar w:fldCharType="end"/>
      </w:r>
    </w:p>
  </w:footnote>
  <w:footnote w:id="242">
    <w:p w14:paraId="5FDAF672" w14:textId="79E92B23" w:rsidR="007A04F6" w:rsidRDefault="007A04F6">
      <w:pPr>
        <w:pStyle w:val="FootnoteText"/>
      </w:pPr>
      <w:r>
        <w:rPr>
          <w:rStyle w:val="FootnoteReference"/>
        </w:rPr>
        <w:footnoteRef/>
      </w:r>
      <w:r>
        <w:t xml:space="preserve"> </w:t>
      </w:r>
      <w:r>
        <w:fldChar w:fldCharType="begin"/>
      </w:r>
      <w:r>
        <w:instrText xml:space="preserve"> ADDIN EN.CITE &lt;EndNote&gt;&lt;Cite&gt;&lt;Author&gt;Hammersley&lt;/Author&gt;&lt;Year&gt;2013&lt;/Year&gt;&lt;RecNum&gt;252&lt;/RecNum&gt;&lt;DisplayText&gt;Martyn Hammersley, &lt;style face="italic"&gt;What Is Qualitative Research?&lt;/style&gt;  (London: Bloomsbury, 2013).&lt;/DisplayText&gt;&lt;record&gt;&lt;rec-number&gt;252&lt;/rec-number&gt;&lt;foreign-keys&gt;&lt;key app="EN" db-id="s0ftft29jf2psaezx93xwz5s00fwpa9avrwv"&gt;252&lt;/key&gt;&lt;/foreign-keys&gt;&lt;ref-type name="Book"&gt;6&lt;/ref-type&gt;&lt;contributors&gt;&lt;authors&gt;&lt;author&gt;Hammersley, Martyn&lt;/author&gt;&lt;/authors&gt;&lt;/contributors&gt;&lt;titles&gt;&lt;title&gt;What is Qualitative Research?&lt;/title&gt;&lt;/titles&gt;&lt;dates&gt;&lt;year&gt;2013&lt;/year&gt;&lt;/dates&gt;&lt;pub-location&gt;London&lt;/pub-location&gt;&lt;publisher&gt;Bloomsbury&lt;/publisher&gt;&lt;urls&gt;&lt;/urls&gt;&lt;/record&gt;&lt;/Cite&gt;&lt;/EndNote&gt;</w:instrText>
      </w:r>
      <w:r>
        <w:fldChar w:fldCharType="separate"/>
      </w:r>
      <w:r>
        <w:rPr>
          <w:noProof/>
        </w:rPr>
        <w:t xml:space="preserve">Martyn Hammersley, </w:t>
      </w:r>
      <w:r w:rsidRPr="003D17E7">
        <w:rPr>
          <w:i/>
          <w:noProof/>
        </w:rPr>
        <w:t>What Is Qualitative Research?</w:t>
      </w:r>
      <w:r>
        <w:rPr>
          <w:noProof/>
        </w:rPr>
        <w:t xml:space="preserve">  (London: Bloomsbury, 2013).</w:t>
      </w:r>
      <w:r>
        <w:fldChar w:fldCharType="end"/>
      </w:r>
    </w:p>
  </w:footnote>
  <w:footnote w:id="243">
    <w:p w14:paraId="6E2D6FDE" w14:textId="608CBBC7" w:rsidR="007A04F6" w:rsidRDefault="007A04F6">
      <w:pPr>
        <w:pStyle w:val="FootnoteText"/>
      </w:pPr>
      <w:r>
        <w:rPr>
          <w:rStyle w:val="FootnoteReference"/>
        </w:rPr>
        <w:footnoteRef/>
      </w:r>
      <w:r>
        <w:t xml:space="preserve"> </w:t>
      </w:r>
      <w:r>
        <w:fldChar w:fldCharType="begin"/>
      </w:r>
      <w:r>
        <w:instrText xml:space="preserve"> ADDIN EN.CITE &lt;EndNote&gt;&lt;Cite&gt;&lt;Author&gt;Glaser&lt;/Author&gt;&lt;Year&gt;1967&lt;/Year&gt;&lt;RecNum&gt;253&lt;/RecNum&gt;&lt;DisplayText&gt;Barney G. Glaser and Anselm L. Strauss, &lt;style face="italic"&gt;The Discovery of Grounded Theory: Strategies for Qualitative Research&lt;/style&gt;  (Chicago: Aldine, 1967).&lt;/DisplayText&gt;&lt;record&gt;&lt;rec-number&gt;253&lt;/rec-number&gt;&lt;foreign-keys&gt;&lt;key app="EN" db-id="s0ftft29jf2psaezx93xwz5s00fwpa9avrwv"&gt;253&lt;/key&gt;&lt;/foreign-keys&gt;&lt;ref-type name="Book"&gt;6&lt;/ref-type&gt;&lt;contributors&gt;&lt;authors&gt;&lt;author&gt;Glaser, Barney G.&lt;/author&gt;&lt;author&gt;Strauss, Anselm L.&lt;/author&gt;&lt;/authors&gt;&lt;/contributors&gt;&lt;titles&gt;&lt;title&gt;The Discovery of Grounded Theory: Strategies for Qualitative Research&lt;/title&gt;&lt;/titles&gt;&lt;dates&gt;&lt;year&gt;1967&lt;/year&gt;&lt;/dates&gt;&lt;pub-location&gt;Chicago&lt;/pub-location&gt;&lt;publisher&gt;Aldine&lt;/publisher&gt;&lt;urls&gt;&lt;/urls&gt;&lt;/record&gt;&lt;/Cite&gt;&lt;/EndNote&gt;</w:instrText>
      </w:r>
      <w:r>
        <w:fldChar w:fldCharType="separate"/>
      </w:r>
      <w:r>
        <w:rPr>
          <w:noProof/>
        </w:rPr>
        <w:t xml:space="preserve">Barney G. Glaser and Anselm L. Strauss, </w:t>
      </w:r>
      <w:r w:rsidRPr="00341C5F">
        <w:rPr>
          <w:i/>
          <w:noProof/>
        </w:rPr>
        <w:t>The Discovery of Grounded Theory: Strategies for Qualitative Research</w:t>
      </w:r>
      <w:r>
        <w:rPr>
          <w:noProof/>
        </w:rPr>
        <w:t xml:space="preserve">  (Chicago: Aldine, 1967).</w:t>
      </w:r>
      <w:r>
        <w:fldChar w:fldCharType="end"/>
      </w:r>
    </w:p>
  </w:footnote>
  <w:footnote w:id="244">
    <w:p w14:paraId="60298C89" w14:textId="61B62390" w:rsidR="007A04F6" w:rsidRDefault="007A04F6" w:rsidP="00C63CE0">
      <w:pPr>
        <w:pStyle w:val="FootnoteText"/>
      </w:pPr>
      <w:r>
        <w:rPr>
          <w:rStyle w:val="FootnoteReference"/>
        </w:rPr>
        <w:footnoteRef/>
      </w:r>
      <w:r>
        <w:t xml:space="preserve"> </w:t>
      </w:r>
      <w:r>
        <w:fldChar w:fldCharType="begin"/>
      </w:r>
      <w:r>
        <w:instrText xml:space="preserve"> ADDIN EN.CITE &lt;EndNote&gt;&lt;Cite&gt;&lt;Author&gt;Horgan&lt;/Author&gt;&lt;Year&gt;2009&lt;/Year&gt;&lt;RecNum&gt;217&lt;/RecNum&gt;&lt;DisplayText&gt;Horgan, &lt;style face="italic"&gt;Walking Away from Terrorism: Accounts of Disengagement from Radical and Extremist Movements&lt;/style&gt;; Alonso, &lt;style face="italic"&gt;The Ira and Armed Struggle&lt;/style&gt;.&lt;/DisplayText&gt;&lt;record&gt;&lt;rec-number&gt;217&lt;/rec-number&gt;&lt;foreign-keys&gt;&lt;key app="EN" db-id="s0ftft29jf2psaezx93xwz5s00fwpa9avrwv"&gt;217&lt;/key&gt;&lt;/foreign-keys&gt;&lt;ref-type name="Book"&gt;6&lt;/ref-type&gt;&lt;contributors&gt;&lt;authors&gt;&lt;author&gt;Horgan, John&lt;/author&gt;&lt;/authors&gt;&lt;/contributors&gt;&lt;titles&gt;&lt;title&gt;Walking Away from Terrorism: accounts of disengagement from radical and extremist movements&lt;/title&gt;&lt;/titles&gt;&lt;dates&gt;&lt;year&gt;2009&lt;/year&gt;&lt;/dates&gt;&lt;pub-location&gt;Routledge&lt;/pub-location&gt;&lt;publisher&gt;London&lt;/publisher&gt;&lt;urls&gt;&lt;/urls&gt;&lt;/record&gt;&lt;/Cite&gt;&lt;Cite&gt;&lt;Author&gt;Alonso&lt;/Author&gt;&lt;Year&gt;2007&lt;/Year&gt;&lt;RecNum&gt;254&lt;/RecNum&gt;&lt;record&gt;&lt;rec-number&gt;254&lt;/rec-number&gt;&lt;foreign-keys&gt;&lt;key app="EN" db-id="s0ftft29jf2psaezx93xwz5s00fwpa9avrwv"&gt;254&lt;/key&gt;&lt;/foreign-keys&gt;&lt;ref-type name="Book"&gt;6&lt;/ref-type&gt;&lt;contributors&gt;&lt;authors&gt;&lt;author&gt;Alonso, Rogelio&lt;/author&gt;&lt;/authors&gt;&lt;/contributors&gt;&lt;titles&gt;&lt;title&gt;The IRA and Armed Struggle&lt;/title&gt;&lt;/titles&gt;&lt;dates&gt;&lt;year&gt;2007&lt;/year&gt;&lt;/dates&gt;&lt;pub-location&gt;Abingdon&lt;/pub-location&gt;&lt;publisher&gt;Routledge&lt;/publisher&gt;&lt;urls&gt;&lt;/urls&gt;&lt;/record&gt;&lt;/Cite&gt;&lt;/EndNote&gt;</w:instrText>
      </w:r>
      <w:r>
        <w:fldChar w:fldCharType="separate"/>
      </w:r>
      <w:r>
        <w:rPr>
          <w:noProof/>
        </w:rPr>
        <w:t xml:space="preserve">Horgan, </w:t>
      </w:r>
      <w:r w:rsidRPr="003D17E7">
        <w:rPr>
          <w:i/>
          <w:noProof/>
        </w:rPr>
        <w:t>Walking Away from Terrorism: Accounts of Disengagement from Radical and Extremist Movements</w:t>
      </w:r>
      <w:r>
        <w:rPr>
          <w:noProof/>
        </w:rPr>
        <w:t xml:space="preserve">; Alonso, </w:t>
      </w:r>
      <w:r w:rsidRPr="003D17E7">
        <w:rPr>
          <w:i/>
          <w:noProof/>
        </w:rPr>
        <w:t>The Ira and Armed Struggle</w:t>
      </w:r>
      <w:r>
        <w:rPr>
          <w:noProof/>
        </w:rPr>
        <w:t>.</w:t>
      </w:r>
      <w:r>
        <w:fldChar w:fldCharType="end"/>
      </w:r>
    </w:p>
  </w:footnote>
  <w:footnote w:id="245">
    <w:p w14:paraId="79E47CCD" w14:textId="4370B4D8" w:rsidR="007A04F6" w:rsidRDefault="007A04F6" w:rsidP="00C43FDB">
      <w:pPr>
        <w:pStyle w:val="NoSpacing"/>
        <w:spacing w:before="120" w:line="360" w:lineRule="auto"/>
      </w:pPr>
      <w:r>
        <w:rPr>
          <w:rStyle w:val="FootnoteReference"/>
        </w:rPr>
        <w:footnoteRef/>
      </w:r>
      <w:r>
        <w:t xml:space="preserve"> </w:t>
      </w:r>
      <w:r w:rsidRPr="005210A6">
        <w:rPr>
          <w:rFonts w:ascii="Times New Roman" w:hAnsi="Times New Roman" w:cs="Times New Roman"/>
        </w:rPr>
        <w:t>Community Worker CH, Belfast, 30</w:t>
      </w:r>
      <w:r w:rsidRPr="005210A6">
        <w:rPr>
          <w:rFonts w:ascii="Times New Roman" w:hAnsi="Times New Roman" w:cs="Times New Roman"/>
          <w:vertAlign w:val="superscript"/>
        </w:rPr>
        <w:t>th</w:t>
      </w:r>
      <w:r w:rsidRPr="005210A6">
        <w:rPr>
          <w:rFonts w:ascii="Times New Roman" w:hAnsi="Times New Roman" w:cs="Times New Roman"/>
        </w:rPr>
        <w:t xml:space="preserve"> August 2013</w:t>
      </w:r>
    </w:p>
  </w:footnote>
  <w:footnote w:id="246">
    <w:p w14:paraId="35014B65" w14:textId="0EBE2F00" w:rsidR="007A04F6" w:rsidRDefault="007A04F6">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p>
  </w:footnote>
  <w:footnote w:id="247">
    <w:p w14:paraId="0DB6438D" w14:textId="1DE77D70" w:rsidR="007A04F6" w:rsidRDefault="007A04F6">
      <w:pPr>
        <w:pStyle w:val="FootnoteText"/>
      </w:pPr>
      <w:r>
        <w:rPr>
          <w:rStyle w:val="FootnoteReference"/>
        </w:rPr>
        <w:footnoteRef/>
      </w:r>
      <w:r>
        <w:t xml:space="preserve"> </w:t>
      </w:r>
      <w:r>
        <w:fldChar w:fldCharType="begin"/>
      </w:r>
      <w:r>
        <w:instrText xml:space="preserve"> ADDIN EN.CITE &lt;EndNote&gt;&lt;Cite&gt;&lt;Author&gt;Benford&lt;/Author&gt;&lt;Year&gt;2000&lt;/Year&gt;&lt;RecNum&gt;186&lt;/RecNum&gt;&lt;DisplayText&gt;Benford and Snow, &amp;quot;Framing Processes and Social Movements: An Overview and Assessment.&amp;quot;&lt;/DisplayText&gt;&lt;record&gt;&lt;rec-number&gt;186&lt;/rec-number&gt;&lt;foreign-keys&gt;&lt;key app="EN" db-id="s0ftft29jf2psaezx93xwz5s00fwpa9avrwv"&gt;186&lt;/key&gt;&lt;/foreign-keys&gt;&lt;ref-type name="Journal Article"&gt;17&lt;/ref-type&gt;&lt;contributors&gt;&lt;authors&gt;&lt;author&gt;Benford, Robert&lt;/author&gt;&lt;author&gt;Snow, David&lt;/author&gt;&lt;/authors&gt;&lt;/contributors&gt;&lt;titles&gt;&lt;title&gt;Framing Processes and Social Movements: An Overview and Assessment&lt;/title&gt;&lt;secondary-title&gt;Annual Review of Sociology&lt;/secondary-title&gt;&lt;/titles&gt;&lt;pages&gt;pp. 611-639&lt;/pages&gt;&lt;volume&gt;26 (1)&lt;/volume&gt;&lt;dates&gt;&lt;year&gt;2000&lt;/year&gt;&lt;/dates&gt;&lt;urls&gt;&lt;/urls&gt;&lt;/record&gt;&lt;/Cite&gt;&lt;/EndNote&gt;</w:instrText>
      </w:r>
      <w:r>
        <w:fldChar w:fldCharType="separate"/>
      </w:r>
      <w:r>
        <w:rPr>
          <w:noProof/>
        </w:rPr>
        <w:t>Benford and Snow, "Framing Processes and Social Movements: An Overview and Assessment."</w:t>
      </w:r>
      <w:r>
        <w:fldChar w:fldCharType="end"/>
      </w:r>
      <w:r>
        <w:t xml:space="preserve"> </w:t>
      </w:r>
      <w:r>
        <w:fldChar w:fldCharType="begin"/>
      </w:r>
      <w:r>
        <w:instrText xml:space="preserve"> ADDIN EN.CITE &lt;EndNote&gt;&lt;Cite&gt;&lt;Author&gt;Snow&lt;/Author&gt;&lt;Year&gt;1986&lt;/Year&gt;&lt;RecNum&gt;187&lt;/RecNum&gt;&lt;DisplayText&gt;Snow et al., &amp;quot;Frame Alignment Processes, Micromobilization, and Movement Participation.&amp;quot;&lt;/DisplayText&gt;&lt;record&gt;&lt;rec-number&gt;187&lt;/rec-number&gt;&lt;foreign-keys&gt;&lt;key app="EN" db-id="s0ftft29jf2psaezx93xwz5s00fwpa9avrwv"&gt;187&lt;/key&gt;&lt;/foreign-keys&gt;&lt;ref-type name="Journal Article"&gt;17&lt;/ref-type&gt;&lt;contributors&gt;&lt;authors&gt;&lt;author&gt;Snow, David&lt;/author&gt;&lt;author&gt;Rochford, E. Burke&lt;/author&gt;&lt;author&gt;Worden, Steven&lt;/author&gt;&lt;author&gt;Benford, Robert&lt;/author&gt;&lt;/authors&gt;&lt;/contributors&gt;&lt;titles&gt;&lt;title&gt;Frame Alignment Processes, Micromobilization, and Movement Participation&lt;/title&gt;&lt;secondary-title&gt;American Sociological Review&lt;/secondary-title&gt;&lt;/titles&gt;&lt;pages&gt;pp. 464-481&lt;/pages&gt;&lt;volume&gt;54 (4)&lt;/volume&gt;&lt;dates&gt;&lt;year&gt;1986&lt;/year&gt;&lt;/dates&gt;&lt;urls&gt;&lt;/urls&gt;&lt;/record&gt;&lt;/Cite&gt;&lt;/EndNote&gt;</w:instrText>
      </w:r>
      <w:r>
        <w:fldChar w:fldCharType="separate"/>
      </w:r>
      <w:r>
        <w:rPr>
          <w:noProof/>
        </w:rPr>
        <w:t>Snow et al., "Frame Alignment Processes, Micromobilization, and Movement Participation."</w:t>
      </w:r>
      <w:r>
        <w:fldChar w:fldCharType="end"/>
      </w:r>
      <w:r>
        <w:t xml:space="preserve"> </w:t>
      </w:r>
      <w:r>
        <w:fldChar w:fldCharType="begin"/>
      </w:r>
      <w:r>
        <w:instrText xml:space="preserve"> ADDIN EN.CITE &lt;EndNote&gt;&lt;Cite&gt;&lt;Author&gt;Gunning&lt;/Author&gt;&lt;Year&gt;2009&lt;/Year&gt;&lt;RecNum&gt;74&lt;/RecNum&gt;&lt;DisplayText&gt;Gunning, &amp;quot;Social Movement Theory and the Study of Terrorism.&amp;quot;&lt;/DisplayText&gt;&lt;record&gt;&lt;rec-number&gt;74&lt;/rec-number&gt;&lt;foreign-keys&gt;&lt;key app="EN" db-id="s0ftft29jf2psaezx93xwz5s00fwpa9avrwv"&gt;74&lt;/key&gt;&lt;/foreign-keys&gt;&lt;ref-type name="Book Section"&gt;5&lt;/ref-type&gt;&lt;contributors&gt;&lt;authors&gt;&lt;author&gt;Gunning, Jeroen&lt;/author&gt;&lt;/authors&gt;&lt;secondary-authors&gt;&lt;author&gt;Jackson, Richard&lt;/author&gt;&lt;author&gt;Breen Smyth, Marie&lt;/author&gt;&lt;author&gt;Gunning, Jeroen&lt;/author&gt;&lt;/secondary-authors&gt;&lt;/contributors&gt;&lt;titles&gt;&lt;title&gt;Social movement theory and the study of terrorism&lt;/title&gt;&lt;secondary-title&gt;Critical Terrorism Studies&lt;/secondary-title&gt;&lt;/titles&gt;&lt;dates&gt;&lt;year&gt;2009&lt;/year&gt;&lt;/dates&gt;&lt;pub-location&gt;London&lt;/pub-location&gt;&lt;publisher&gt;Routledge&lt;/publisher&gt;&lt;urls&gt;&lt;/urls&gt;&lt;/record&gt;&lt;/Cite&gt;&lt;/EndNote&gt;</w:instrText>
      </w:r>
      <w:r>
        <w:fldChar w:fldCharType="separate"/>
      </w:r>
      <w:r>
        <w:rPr>
          <w:noProof/>
        </w:rPr>
        <w:t>Gunning, "Social Movement Theory and the Study of Terrorism."</w:t>
      </w:r>
      <w:r>
        <w:fldChar w:fldCharType="end"/>
      </w:r>
    </w:p>
  </w:footnote>
  <w:footnote w:id="248">
    <w:p w14:paraId="244A343E" w14:textId="1C97A38A" w:rsidR="007A04F6" w:rsidRDefault="007A04F6" w:rsidP="00F86CD7">
      <w:pPr>
        <w:pStyle w:val="FootnoteText"/>
      </w:pPr>
      <w:r>
        <w:rPr>
          <w:rStyle w:val="FootnoteReference"/>
        </w:rPr>
        <w:footnoteRef/>
      </w:r>
      <w:r>
        <w:t xml:space="preserve"> </w:t>
      </w:r>
      <w:r>
        <w:fldChar w:fldCharType="begin"/>
      </w:r>
      <w:r>
        <w:instrText xml:space="preserve"> ADDIN EN.CITE &lt;EndNote&gt;&lt;Cite&gt;&lt;Author&gt;Vromen&lt;/Author&gt;&lt;Year&gt;2010&lt;/Year&gt;&lt;RecNum&gt;266&lt;/RecNum&gt;&lt;DisplayText&gt;Ariadne Vromen, &amp;quot;Debating Methods: Rediscovering Qualitative Approaches,&amp;quot; in &lt;style face="italic"&gt;Theory and Methods in Political Science&lt;/style&gt;, ed. D Marsh and G Stoker (Basingstoke: Palgrave Macmillan, 2010).&lt;/DisplayText&gt;&lt;record&gt;&lt;rec-number&gt;266&lt;/rec-number&gt;&lt;foreign-keys&gt;&lt;key app="EN" db-id="s0ftft29jf2psaezx93xwz5s00fwpa9avrwv"&gt;266&lt;/key&gt;&lt;/foreign-keys&gt;&lt;ref-type name="Book Section"&gt;5&lt;/ref-type&gt;&lt;contributors&gt;&lt;authors&gt;&lt;author&gt;Vromen, Ariadne&lt;/author&gt;&lt;/authors&gt;&lt;secondary-authors&gt;&lt;author&gt;Marsh, D&lt;/author&gt;&lt;author&gt;Stoker, G&lt;/author&gt;&lt;/secondary-authors&gt;&lt;/contributors&gt;&lt;titles&gt;&lt;title&gt;Debating Methods: Rediscovering Qualitative Approaches&lt;/title&gt;&lt;secondary-title&gt;Theory and Methods in Political Science&lt;/secondary-title&gt;&lt;/titles&gt;&lt;dates&gt;&lt;year&gt;2010&lt;/year&gt;&lt;/dates&gt;&lt;pub-location&gt;Basingstoke&lt;/pub-location&gt;&lt;publisher&gt;Palgrave Macmillan&lt;/publisher&gt;&lt;urls&gt;&lt;/urls&gt;&lt;/record&gt;&lt;/Cite&gt;&lt;/EndNote&gt;</w:instrText>
      </w:r>
      <w:r>
        <w:fldChar w:fldCharType="separate"/>
      </w:r>
      <w:r>
        <w:rPr>
          <w:noProof/>
        </w:rPr>
        <w:t xml:space="preserve">Ariadne Vromen, "Debating Methods: Rediscovering Qualitative Approaches," in </w:t>
      </w:r>
      <w:r w:rsidRPr="00FD33B0">
        <w:rPr>
          <w:i/>
          <w:noProof/>
        </w:rPr>
        <w:t>Theory and Methods in Political Science</w:t>
      </w:r>
      <w:r>
        <w:rPr>
          <w:noProof/>
        </w:rPr>
        <w:t>, ed. D Marsh and G Stoker (Basingstoke: Palgrave Macmillan, 2010).</w:t>
      </w:r>
      <w:r>
        <w:fldChar w:fldCharType="end"/>
      </w:r>
    </w:p>
  </w:footnote>
  <w:footnote w:id="249">
    <w:p w14:paraId="4DC2F4F5" w14:textId="77777777" w:rsidR="007A04F6" w:rsidRDefault="007A04F6" w:rsidP="009E3DF5">
      <w:pPr>
        <w:pStyle w:val="FootnoteText"/>
      </w:pPr>
      <w:r>
        <w:rPr>
          <w:rStyle w:val="FootnoteReference"/>
        </w:rPr>
        <w:footnoteRef/>
      </w:r>
      <w:r>
        <w:t xml:space="preserve"> For example, in one interview, the research was signposted at the start as focusing on the Republican movement and not Loyalism, for the participant to respond that their organisation only works in Loyalist communities.</w:t>
      </w:r>
    </w:p>
  </w:footnote>
  <w:footnote w:id="250">
    <w:p w14:paraId="4B3C2AF4" w14:textId="0E5DD81E" w:rsidR="007A04F6" w:rsidRDefault="007A04F6" w:rsidP="004F5748">
      <w:pPr>
        <w:pStyle w:val="FootnoteText"/>
      </w:pPr>
      <w:r>
        <w:rPr>
          <w:rStyle w:val="FootnoteReference"/>
        </w:rPr>
        <w:footnoteRef/>
      </w:r>
      <w:r>
        <w:t xml:space="preserve"> </w:t>
      </w:r>
      <w:r>
        <w:fldChar w:fldCharType="begin"/>
      </w:r>
      <w:r>
        <w:instrText xml:space="preserve"> ADDIN EN.CITE &lt;EndNote&gt;&lt;Cite&gt;&lt;Author&gt;Hammersley&lt;/Author&gt;&lt;Year&gt;2013&lt;/Year&gt;&lt;RecNum&gt;252&lt;/RecNum&gt;&lt;DisplayText&gt;Hammersley, &lt;style face="italic"&gt;What Is Qualitative Research?&lt;/style&gt;&lt;/DisplayText&gt;&lt;record&gt;&lt;rec-number&gt;252&lt;/rec-number&gt;&lt;foreign-keys&gt;&lt;key app="EN" db-id="s0ftft29jf2psaezx93xwz5s00fwpa9avrwv"&gt;252&lt;/key&gt;&lt;/foreign-keys&gt;&lt;ref-type name="Book"&gt;6&lt;/ref-type&gt;&lt;contributors&gt;&lt;authors&gt;&lt;author&gt;Hammersley, Martyn&lt;/author&gt;&lt;/authors&gt;&lt;/contributors&gt;&lt;titles&gt;&lt;title&gt;What is Qualitative Research?&lt;/title&gt;&lt;/titles&gt;&lt;dates&gt;&lt;year&gt;2013&lt;/year&gt;&lt;/dates&gt;&lt;pub-location&gt;London&lt;/pub-location&gt;&lt;publisher&gt;Bloomsbury&lt;/publisher&gt;&lt;urls&gt;&lt;/urls&gt;&lt;/record&gt;&lt;/Cite&gt;&lt;/EndNote&gt;</w:instrText>
      </w:r>
      <w:r>
        <w:fldChar w:fldCharType="separate"/>
      </w:r>
      <w:r>
        <w:rPr>
          <w:noProof/>
        </w:rPr>
        <w:t xml:space="preserve">Hammersley, </w:t>
      </w:r>
      <w:r w:rsidRPr="003D17E7">
        <w:rPr>
          <w:i/>
          <w:noProof/>
        </w:rPr>
        <w:t>What Is Qualitative Research?</w:t>
      </w:r>
      <w:r>
        <w:fldChar w:fldCharType="end"/>
      </w:r>
    </w:p>
  </w:footnote>
  <w:footnote w:id="251">
    <w:p w14:paraId="5E48A536" w14:textId="3A65BE79" w:rsidR="007A04F6" w:rsidRDefault="007A04F6">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p>
  </w:footnote>
  <w:footnote w:id="252">
    <w:p w14:paraId="23F6E8E7" w14:textId="72325969" w:rsidR="007A04F6" w:rsidRDefault="007A04F6">
      <w:pPr>
        <w:pStyle w:val="FootnoteText"/>
      </w:pPr>
      <w:r>
        <w:rPr>
          <w:rStyle w:val="FootnoteReference"/>
        </w:rPr>
        <w:footnoteRef/>
      </w:r>
      <w:r>
        <w:t xml:space="preserve"> </w:t>
      </w:r>
      <w:r>
        <w:fldChar w:fldCharType="begin"/>
      </w:r>
      <w:r>
        <w:instrText xml:space="preserve"> ADDIN EN.CITE &lt;EndNote&gt;&lt;Cite&gt;&lt;Author&gt;Aberbach&lt;/Author&gt;&lt;Year&gt;2002&lt;/Year&gt;&lt;RecNum&gt;264&lt;/RecNum&gt;&lt;DisplayText&gt;Joel D. Aberbach and Bert. A. Rockman, &amp;quot;Conducting and Coding Elite Interviews,&amp;quot; &lt;style face="italic"&gt;Political Science and Politics&lt;/style&gt; 35 (4)(2002).&lt;/DisplayText&gt;&lt;record&gt;&lt;rec-number&gt;264&lt;/rec-number&gt;&lt;foreign-keys&gt;&lt;key app="EN" db-id="s0ftft29jf2psaezx93xwz5s00fwpa9avrwv"&gt;264&lt;/key&gt;&lt;/foreign-keys&gt;&lt;ref-type name="Journal Article"&gt;17&lt;/ref-type&gt;&lt;contributors&gt;&lt;authors&gt;&lt;author&gt;Aberbach, Joel D.&lt;/author&gt;&lt;author&gt;Rockman, Bert. A.&lt;/author&gt;&lt;/authors&gt;&lt;/contributors&gt;&lt;titles&gt;&lt;title&gt;Conducting and Coding Elite Interviews&lt;/title&gt;&lt;secondary-title&gt;Political Science and Politics&lt;/secondary-title&gt;&lt;/titles&gt;&lt;pages&gt;673-676&lt;/pages&gt;&lt;volume&gt;35 (4)&lt;/volume&gt;&lt;dates&gt;&lt;year&gt;2002&lt;/year&gt;&lt;/dates&gt;&lt;urls&gt;&lt;/urls&gt;&lt;/record&gt;&lt;/Cite&gt;&lt;/EndNote&gt;</w:instrText>
      </w:r>
      <w:r>
        <w:fldChar w:fldCharType="separate"/>
      </w:r>
      <w:r>
        <w:rPr>
          <w:noProof/>
        </w:rPr>
        <w:t xml:space="preserve">Joel D. Aberbach and Bert. A. Rockman, "Conducting and Coding Elite Interviews," </w:t>
      </w:r>
      <w:r w:rsidRPr="003D17E7">
        <w:rPr>
          <w:i/>
          <w:noProof/>
        </w:rPr>
        <w:t>Political Science and Politics</w:t>
      </w:r>
      <w:r>
        <w:rPr>
          <w:noProof/>
        </w:rPr>
        <w:t xml:space="preserve"> 35 (4)(2002).</w:t>
      </w:r>
      <w:r>
        <w:fldChar w:fldCharType="end"/>
      </w:r>
    </w:p>
  </w:footnote>
  <w:footnote w:id="253">
    <w:p w14:paraId="5251A90E" w14:textId="1935C16C" w:rsidR="007A04F6" w:rsidRDefault="007A04F6" w:rsidP="009E3DF5">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r>
        <w:t xml:space="preserve"> </w:t>
      </w:r>
    </w:p>
  </w:footnote>
  <w:footnote w:id="254">
    <w:p w14:paraId="21CF4E56" w14:textId="3C2607FA" w:rsidR="007A04F6" w:rsidRPr="006D4BCB" w:rsidRDefault="007A04F6" w:rsidP="004F5748">
      <w:pPr>
        <w:spacing w:before="0"/>
        <w:jc w:val="both"/>
        <w:rPr>
          <w:rFonts w:ascii="Times New Roman" w:hAnsi="Times New Roman" w:cs="Times New Roman"/>
          <w:b/>
          <w:sz w:val="21"/>
          <w:szCs w:val="21"/>
        </w:rPr>
      </w:pPr>
      <w:r w:rsidRPr="006D4BCB">
        <w:rPr>
          <w:rStyle w:val="FootnoteReference"/>
          <w:rFonts w:ascii="Times New Roman" w:hAnsi="Times New Roman" w:cs="Times New Roman"/>
          <w:sz w:val="21"/>
          <w:szCs w:val="21"/>
        </w:rPr>
        <w:footnoteRef/>
      </w:r>
      <w:r w:rsidRPr="006D4BCB">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&lt;EndNote&gt;&lt;Cite&gt;&lt;Author&gt;Wood&lt;/Author&gt;&lt;Year&gt;2003&lt;/Year&gt;&lt;RecNum&gt;259&lt;/RecNum&gt;&lt;DisplayText&gt;E. J. Wood, &lt;style face="italic"&gt;Insurgent Collective Action and Insurgency in El Salvador&lt;/style&gt;  (Cambridge: Cambridge University Press, 2003).&lt;/DisplayText&gt;&lt;record&gt;&lt;rec-number&gt;259&lt;/rec-number&gt;&lt;foreign-keys&gt;&lt;key app="EN" db-id="s0ftft29jf2psaezx93xwz5s00fwpa9avrwv"&gt;259&lt;/key&gt;&lt;/foreign-keys&gt;&lt;ref-type name="Book"&gt;6&lt;/ref-type&gt;&lt;contributors&gt;&lt;authors&gt;&lt;author&gt;Wood, E. J.&lt;/author&gt;&lt;/authors&gt;&lt;/contributors&gt;&lt;titles&gt;&lt;title&gt;Insurgent Collective Action and Insurgency in El Salvador&lt;/title&gt;&lt;/titles&gt;&lt;section&gt;35&lt;/section&gt;&lt;dates&gt;&lt;year&gt;2003&lt;/year&gt;&lt;/dates&gt;&lt;pub-location&gt;Cambridge&lt;/pub-location&gt;&lt;publisher&gt;Cambridge University Press&lt;/publisher&gt;&lt;urls&gt;&lt;/urls&gt;&lt;/record&gt;&lt;/Cite&gt;&lt;/EndNote&gt;</w:instrText>
      </w:r>
      <w:r>
        <w:rPr>
          <w:rFonts w:ascii="Times New Roman" w:hAnsi="Times New Roman" w:cs="Times New Roman"/>
          <w:sz w:val="21"/>
          <w:szCs w:val="21"/>
        </w:rPr>
        <w:fldChar w:fldCharType="separate"/>
      </w:r>
      <w:r>
        <w:rPr>
          <w:rFonts w:ascii="Times New Roman" w:hAnsi="Times New Roman" w:cs="Times New Roman"/>
          <w:noProof/>
          <w:sz w:val="21"/>
          <w:szCs w:val="21"/>
        </w:rPr>
        <w:t xml:space="preserve">E. J. Wood, </w:t>
      </w:r>
      <w:r w:rsidRPr="00341C5F">
        <w:rPr>
          <w:rFonts w:ascii="Times New Roman" w:hAnsi="Times New Roman" w:cs="Times New Roman"/>
          <w:i/>
          <w:noProof/>
          <w:sz w:val="21"/>
          <w:szCs w:val="21"/>
        </w:rPr>
        <w:t>Insurgent Collective Action and Insurgency in El Salvador</w:t>
      </w:r>
      <w:r>
        <w:rPr>
          <w:rFonts w:ascii="Times New Roman" w:hAnsi="Times New Roman" w:cs="Times New Roman"/>
          <w:noProof/>
          <w:sz w:val="21"/>
          <w:szCs w:val="21"/>
        </w:rPr>
        <w:t xml:space="preserve">  (Cambridge: Cambridge University Press, 2003).</w:t>
      </w:r>
      <w:r>
        <w:rPr>
          <w:rFonts w:ascii="Times New Roman" w:hAnsi="Times New Roman" w:cs="Times New Roman"/>
          <w:sz w:val="21"/>
          <w:szCs w:val="21"/>
        </w:rPr>
        <w:fldChar w:fldCharType="end"/>
      </w:r>
    </w:p>
  </w:footnote>
  <w:footnote w:id="255">
    <w:p w14:paraId="28FD0153" w14:textId="01A8DA85"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&lt;EndNote&gt;&lt;Cite&gt;&lt;Author&gt;Vromen&lt;/Author&gt;&lt;Year&gt;2010&lt;/Year&gt;&lt;RecNum&gt;266&lt;/RecNum&gt;&lt;DisplayText&gt;Vromen, &amp;quot;Debating Methods: Rediscovering Qualitative Approaches.&amp;quot;&lt;/DisplayText&gt;&lt;record&gt;&lt;rec-number&gt;266&lt;/rec-number&gt;&lt;foreign-keys&gt;&lt;key app="EN" db-id="s0ftft29jf2psaezx93xwz5s00fwpa9avrwv"&gt;266&lt;/key&gt;&lt;/foreign-keys&gt;&lt;ref-type name="Book Section"&gt;5&lt;/ref-type&gt;&lt;contributors&gt;&lt;authors&gt;&lt;author&gt;Vromen, Ariadne&lt;/author&gt;&lt;/authors&gt;&lt;secondary-authors&gt;&lt;author&gt;Marsh, D&lt;/author&gt;&lt;author&gt;Stoker, G&lt;/author&gt;&lt;/secondary-authors&gt;&lt;/contributors&gt;&lt;titles&gt;&lt;title&gt;Debating Methods: Rediscovering Qualitative Approaches&lt;/title&gt;&lt;secondary-title&gt;Theory and Methods in Political Science&lt;/secondary-title&gt;&lt;/titles&gt;&lt;dates&gt;&lt;year&gt;2010&lt;/year&gt;&lt;/dates&gt;&lt;pub-location&gt;Basingstoke&lt;/pub-location&gt;&lt;publisher&gt;Palgrave Macmillan&lt;/publisher&gt;&lt;urls&gt;&lt;/urls&gt;&lt;/record&gt;&lt;/Cite&gt;&lt;/EndNote&gt;</w:instrText>
      </w:r>
      <w:r>
        <w:fldChar w:fldCharType="separate"/>
      </w:r>
      <w:r>
        <w:rPr>
          <w:noProof/>
        </w:rPr>
        <w:t>Vromen, "Debating Methods: Rediscovering Qualitative Approaches."</w:t>
      </w:r>
      <w:r>
        <w:fldChar w:fldCharType="end"/>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p>
  </w:footnote>
  <w:footnote w:id="256">
    <w:p w14:paraId="0D289CF4" w14:textId="02FFC937"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&lt;EndNote&gt;&lt;Cite&gt;&lt;Author&gt;Vromen&lt;/Author&gt;&lt;Year&gt;2010&lt;/Year&gt;&lt;RecNum&gt;266&lt;/RecNum&gt;&lt;DisplayText&gt;Vromen, &amp;quot;Debating Methods: Rediscovering Qualitative Approaches.&amp;quot;&lt;/DisplayText&gt;&lt;record&gt;&lt;rec-number&gt;266&lt;/rec-number&gt;&lt;foreign-keys&gt;&lt;key app="EN" db-id="s0ftft29jf2psaezx93xwz5s00fwpa9avrwv"&gt;266&lt;/key&gt;&lt;/foreign-keys&gt;&lt;ref-type name="Book Section"&gt;5&lt;/ref-type&gt;&lt;contributors&gt;&lt;authors&gt;&lt;author&gt;Vromen, Ariadne&lt;/author&gt;&lt;/authors&gt;&lt;secondary-authors&gt;&lt;author&gt;Marsh, D&lt;/author&gt;&lt;author&gt;Stoker, G&lt;/author&gt;&lt;/secondary-authors&gt;&lt;/contributors&gt;&lt;titles&gt;&lt;title&gt;Debating Methods: Rediscovering Qualitative Approaches&lt;/title&gt;&lt;secondary-title&gt;Theory and Methods in Political Science&lt;/secondary-title&gt;&lt;/titles&gt;&lt;dates&gt;&lt;year&gt;2010&lt;/year&gt;&lt;/dates&gt;&lt;pub-location&gt;Basingstoke&lt;/pub-location&gt;&lt;publisher&gt;Palgrave Macmillan&lt;/publisher&gt;&lt;urls&gt;&lt;/urls&gt;&lt;/record&gt;&lt;/Cite&gt;&lt;/EndNote&gt;</w:instrText>
      </w:r>
      <w:r>
        <w:fldChar w:fldCharType="separate"/>
      </w:r>
      <w:r>
        <w:rPr>
          <w:noProof/>
        </w:rPr>
        <w:t>Vromen, "Debating Methods: Rediscovering Qualitative Approaches."</w:t>
      </w:r>
      <w:r>
        <w:fldChar w:fldCharType="end"/>
      </w:r>
    </w:p>
  </w:footnote>
  <w:footnote w:id="257">
    <w:p w14:paraId="6A1A0146" w14:textId="184D8EA9"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r>
        <w:t xml:space="preserve"> </w:t>
      </w:r>
      <w:r>
        <w:fldChar w:fldCharType="begin"/>
      </w:r>
      <w:r>
        <w:instrText xml:space="preserve"> ADDIN EN.CITE &lt;EndNote&gt;&lt;Cite&gt;&lt;Author&gt;Morgan&lt;/Author&gt;&lt;Year&gt;1998&lt;/Year&gt;&lt;RecNum&gt;265&lt;/RecNum&gt;&lt;DisplayText&gt;D. L. Morgan, &lt;style face="italic"&gt;Planning Focus Groups&lt;/style&gt;  (California: Sage, 1998).&lt;/DisplayText&gt;&lt;record&gt;&lt;rec-number&gt;265&lt;/rec-number&gt;&lt;foreign-keys&gt;&lt;key app="EN" db-id="s0ftft29jf2psaezx93xwz5s00fwpa9avrwv"&gt;265&lt;/key&gt;&lt;/foreign-keys&gt;&lt;ref-type name="Book"&gt;6&lt;/ref-type&gt;&lt;contributors&gt;&lt;authors&gt;&lt;author&gt;Morgan, D. L.&lt;/author&gt;&lt;/authors&gt;&lt;/contributors&gt;&lt;titles&gt;&lt;title&gt;Planning Focus Groups&lt;/title&gt;&lt;/titles&gt;&lt;dates&gt;&lt;year&gt;1998&lt;/year&gt;&lt;/dates&gt;&lt;pub-location&gt;California&lt;/pub-location&gt;&lt;publisher&gt;Sage&lt;/publisher&gt;&lt;urls&gt;&lt;/urls&gt;&lt;/record&gt;&lt;/Cite&gt;&lt;/EndNote&gt;</w:instrText>
      </w:r>
      <w:r>
        <w:fldChar w:fldCharType="separate"/>
      </w:r>
      <w:r>
        <w:rPr>
          <w:noProof/>
        </w:rPr>
        <w:t xml:space="preserve">D. L. Morgan, </w:t>
      </w:r>
      <w:r w:rsidRPr="00FD33B0">
        <w:rPr>
          <w:i/>
          <w:noProof/>
        </w:rPr>
        <w:t>Planning Focus Groups</w:t>
      </w:r>
      <w:r>
        <w:rPr>
          <w:noProof/>
        </w:rPr>
        <w:t xml:space="preserve">  (California: Sage, 1998).</w:t>
      </w:r>
      <w:r>
        <w:fldChar w:fldCharType="end"/>
      </w:r>
    </w:p>
  </w:footnote>
  <w:footnote w:id="258">
    <w:p w14:paraId="02AFC2F5" w14:textId="266EF2FD" w:rsidR="007A04F6" w:rsidRDefault="007A04F6" w:rsidP="00007D71">
      <w:pPr>
        <w:pStyle w:val="FootnoteText"/>
      </w:pPr>
      <w:r>
        <w:rPr>
          <w:rStyle w:val="FootnoteReference"/>
        </w:rPr>
        <w:footnoteRef/>
      </w:r>
      <w:r>
        <w:t xml:space="preserve"> </w:t>
      </w:r>
      <w:r>
        <w:fldChar w:fldCharType="begin"/>
      </w:r>
      <w:r>
        <w:instrText xml:space="preserve"> ADDIN EN.CITE &lt;EndNote&gt;&lt;Cite&gt;&lt;Author&gt;Bryman&lt;/Author&gt;&lt;Year&gt;2004&lt;/Year&gt;&lt;RecNum&gt;251&lt;/RecNum&gt;&lt;DisplayText&gt;Bryman, &lt;style face="italic"&gt;Social Research Methods&lt;/style&gt;.&lt;/DisplayText&gt;&lt;record&gt;&lt;rec-number&gt;251&lt;/rec-number&gt;&lt;foreign-keys&gt;&lt;key app="EN" db-id="s0ftft29jf2psaezx93xwz5s00fwpa9avrwv"&gt;251&lt;/key&gt;&lt;/foreign-keys&gt;&lt;ref-type name="Book"&gt;6&lt;/ref-type&gt;&lt;contributors&gt;&lt;authors&gt;&lt;author&gt;Bryman, Alan&lt;/author&gt;&lt;/authors&gt;&lt;/contributors&gt;&lt;titles&gt;&lt;title&gt;Social Research Methods&lt;/title&gt;&lt;/titles&gt;&lt;dates&gt;&lt;year&gt;2004&lt;/year&gt;&lt;/dates&gt;&lt;pub-location&gt;Oxford&lt;/pub-location&gt;&lt;publisher&gt;Oxford University Press&lt;/publisher&gt;&lt;urls&gt;&lt;/urls&gt;&lt;/record&gt;&lt;/Cite&gt;&lt;/EndNote&gt;</w:instrText>
      </w:r>
      <w:r>
        <w:fldChar w:fldCharType="separate"/>
      </w:r>
      <w:r>
        <w:rPr>
          <w:noProof/>
        </w:rPr>
        <w:t xml:space="preserve">Bryman, </w:t>
      </w:r>
      <w:r w:rsidRPr="003D17E7">
        <w:rPr>
          <w:i/>
          <w:noProof/>
        </w:rPr>
        <w:t>Social Research Methods</w:t>
      </w:r>
      <w:r>
        <w:rPr>
          <w:noProof/>
        </w:rPr>
        <w:t>.</w:t>
      </w:r>
      <w:r>
        <w:fldChar w:fldCharType="end"/>
      </w:r>
    </w:p>
  </w:footnote>
  <w:footnote w:id="259">
    <w:p w14:paraId="29088297" w14:textId="6292A7CE" w:rsidR="007A04F6" w:rsidRDefault="007A04F6">
      <w:pPr>
        <w:pStyle w:val="FootnoteText"/>
      </w:pPr>
      <w:r>
        <w:rPr>
          <w:rStyle w:val="FootnoteReference"/>
        </w:rPr>
        <w:footnoteRef/>
      </w:r>
      <w:r>
        <w:t xml:space="preserve"> </w:t>
      </w:r>
      <w:r>
        <w:fldChar w:fldCharType="begin"/>
      </w:r>
      <w:r>
        <w:instrText xml:space="preserve"> ADDIN EN.CITE &lt;EndNote&gt;&lt;Cite&gt;&lt;Author&gt;Moloney&lt;/Author&gt;&lt;Year&gt;2002&lt;/Year&gt;&lt;RecNum&gt;270&lt;/RecNum&gt;&lt;DisplayText&gt;Ed Moloney, &lt;style face="italic"&gt;A Secret History of the Ira&lt;/style&gt;  (London: Penguin, 2002).&lt;/DisplayText&gt;&lt;record&gt;&lt;rec-number&gt;270&lt;/rec-number&gt;&lt;foreign-keys&gt;&lt;key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Ed Moloney, </w:t>
      </w:r>
      <w:r w:rsidRPr="009F3FE2">
        <w:rPr>
          <w:i/>
          <w:noProof/>
        </w:rPr>
        <w:t>A Secret History of the Ira</w:t>
      </w:r>
      <w:r>
        <w:rPr>
          <w:noProof/>
        </w:rPr>
        <w:t xml:space="preserve">  (London: Penguin, 2002).</w:t>
      </w:r>
      <w:r>
        <w:fldChar w:fldCharType="end"/>
      </w:r>
    </w:p>
  </w:footnote>
  <w:footnote w:id="260">
    <w:p w14:paraId="5A31B812" w14:textId="3F590189" w:rsidR="007A04F6" w:rsidRDefault="007A04F6">
      <w:pPr>
        <w:pStyle w:val="FootnoteText"/>
      </w:pPr>
      <w:r>
        <w:rPr>
          <w:rStyle w:val="FootnoteReference"/>
        </w:rPr>
        <w:footnoteRef/>
      </w:r>
      <w:r>
        <w:t xml:space="preserve"> </w:t>
      </w:r>
      <w:r>
        <w:fldChar w:fldCharType="begin"/>
      </w:r>
      <w:r>
        <w:instrText xml:space="preserve"> ADDIN EN.CITE &lt;EndNote&gt;&lt;Cite&gt;&lt;Author&gt;Morrison&lt;/Author&gt;&lt;Year&gt;2011&lt;/Year&gt;&lt;RecNum&gt;255&lt;/RecNum&gt;&lt;DisplayText&gt;Morrison, &amp;quot;Why Do People Become Dissident Republicans?.&amp;quot;&lt;/DisplayText&gt;&lt;record&gt;&lt;rec-number&gt;255&lt;/rec-number&gt;&lt;foreign-keys&gt;&lt;key app="EN" db-id="s0ftft29jf2psaezx93xwz5s00fwpa9avrwv"&gt;255&lt;/key&gt;&lt;/foreign-keys&gt;&lt;ref-type name="Book Section"&gt;5&lt;/ref-type&gt;&lt;contributors&gt;&lt;authors&gt;&lt;author&gt;Morrison, John&lt;/author&gt;&lt;/authors&gt;&lt;secondary-authors&gt;&lt;author&gt;Currie, P.M.&lt;/author&gt;&lt;author&gt;Taylor, Max&lt;/author&gt;&lt;/secondary-authors&gt;&lt;/contributors&gt;&lt;titles&gt;&lt;title&gt;Why do People Become Dissident Republicans?&lt;/title&gt;&lt;secondary-title&gt;Dissident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Morrison, "Why Do People Become Dissident Republicans?."</w:t>
      </w:r>
      <w:r>
        <w:fldChar w:fldCharType="end"/>
      </w:r>
    </w:p>
  </w:footnote>
  <w:footnote w:id="261">
    <w:p w14:paraId="6E6432B8" w14:textId="3BBED649" w:rsidR="007A04F6" w:rsidRDefault="007A04F6">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9F3FE2">
        <w:rPr>
          <w:i/>
          <w:noProof/>
        </w:rPr>
        <w:t>Abandoning Historical Conflict?: Former Political Prisoners and Reconciliation in Northern Ireland</w:t>
      </w:r>
      <w:r>
        <w:rPr>
          <w:noProof/>
        </w:rPr>
        <w:t>.</w:t>
      </w:r>
      <w:r>
        <w:fldChar w:fldCharType="end"/>
      </w:r>
    </w:p>
  </w:footnote>
  <w:footnote w:id="262">
    <w:p w14:paraId="7F6F2ACC" w14:textId="09731E20" w:rsidR="007A04F6" w:rsidRDefault="007A04F6">
      <w:pPr>
        <w:pStyle w:val="FootnoteText"/>
      </w:pPr>
      <w:r>
        <w:rPr>
          <w:rStyle w:val="FootnoteReference"/>
        </w:rPr>
        <w:footnoteRef/>
      </w:r>
      <w:r>
        <w:t xml:space="preserve"> </w:t>
      </w:r>
      <w:r>
        <w:fldChar w:fldCharType="begin"/>
      </w:r>
      <w:r>
        <w:instrText xml:space="preserve"> ADDIN EN.CITE &lt;EndNote&gt;&lt;Cite&gt;&lt;Author&gt;Guelke&lt;/Author&gt;&lt;Year&gt;2000&lt;/Year&gt;&lt;RecNum&gt;261&lt;/RecNum&gt;&lt;DisplayText&gt;Adrian Guelke, &amp;quot;&amp;apos;Comparatively Peaceful&amp;apos;: South Africa, the Middle East and Northern Ireland,&amp;quot; in &lt;style face="italic"&gt;A Farewell to Arms? From &amp;apos;Long War&amp;apos; to Long Peace in Northern Ireland&lt;/style&gt;, ed. Michael Cox, Adrian Guelke, and Fiona Stephen (Manchester: Manchester University Press, 2000).&lt;/DisplayText&gt;&lt;record&gt;&lt;rec-number&gt;261&lt;/rec-number&gt;&lt;foreign-keys&gt;&lt;key app="EN" db-id="s0ftft29jf2psaezx93xwz5s00fwpa9avrwv"&gt;261&lt;/key&gt;&lt;/foreign-keys&gt;&lt;ref-type name="Book Section"&gt;5&lt;/ref-type&gt;&lt;contributors&gt;&lt;authors&gt;&lt;author&gt;Guelke, Adrian&lt;/author&gt;&lt;/authors&gt;&lt;secondary-authors&gt;&lt;author&gt;Cox, Michael&lt;/author&gt;&lt;author&gt;Guelke, Adrian&lt;/author&gt;&lt;author&gt;Stephen, Fiona&lt;/author&gt;&lt;/secondary-authors&gt;&lt;/contributors&gt;&lt;titles&gt;&lt;title&gt;&amp;apos;Comparatively Peaceful&amp;apos;: South Africa, the Middle East and Northern Ireland&lt;/title&gt;&lt;secondary-title&gt;A Farewell to Arms? From &amp;apos;long war&amp;apos; to long peace in Northern Ireland&lt;/secondary-title&gt;&lt;/titles&gt;&lt;dates&gt;&lt;year&gt;2000&lt;/year&gt;&lt;/dates&gt;&lt;pub-location&gt;Manchester&lt;/pub-location&gt;&lt;publisher&gt;Manchester University Press&lt;/publisher&gt;&lt;urls&gt;&lt;/urls&gt;&lt;/record&gt;&lt;/Cite&gt;&lt;/EndNote&gt;</w:instrText>
      </w:r>
      <w:r>
        <w:fldChar w:fldCharType="separate"/>
      </w:r>
      <w:r>
        <w:rPr>
          <w:noProof/>
        </w:rPr>
        <w:t xml:space="preserve">Adrian Guelke, "'Comparatively Peaceful': South Africa, the Middle East and Northern Ireland," in </w:t>
      </w:r>
      <w:r w:rsidRPr="009F3FE2">
        <w:rPr>
          <w:i/>
          <w:noProof/>
        </w:rPr>
        <w:t>A Farewell to Arms? From 'Long War' to Long Peace in Northern Ireland</w:t>
      </w:r>
      <w:r>
        <w:rPr>
          <w:noProof/>
        </w:rPr>
        <w:t>, ed. Michael Cox, Adrian Guelke, and Fiona Stephen (Manchester: Manchester University Press, 2000).</w:t>
      </w:r>
      <w:r>
        <w:fldChar w:fldCharType="end"/>
      </w:r>
    </w:p>
  </w:footnote>
  <w:footnote w:id="263">
    <w:p w14:paraId="147132EF" w14:textId="3D97A350" w:rsidR="007A04F6" w:rsidRDefault="007A04F6" w:rsidP="00007D71">
      <w:pPr>
        <w:pStyle w:val="FootnoteText"/>
      </w:pPr>
      <w:r>
        <w:rPr>
          <w:rStyle w:val="FootnoteReference"/>
        </w:rPr>
        <w:footnoteRef/>
      </w:r>
      <w:r>
        <w:t xml:space="preserve"> In Chapter Three there will not be an explicit reference to the framework or in-depth analysis as the focus of the thesis is not to explain the causes of terrorism. While the causes of terrorism are linked to preventing terrorism, Chapter Three will reflect on the main causes of terrorism and political violence, without having to engage with debates.</w:t>
      </w:r>
    </w:p>
  </w:footnote>
  <w:footnote w:id="264">
    <w:p w14:paraId="2BD6F364" w14:textId="5A1E6E63"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&lt;EndNote&gt;&lt;Cite&gt;&lt;Author&gt;Dingley&lt;/Author&gt;&lt;Year&gt;2009&lt;/Year&gt;&lt;RecNum&gt;209&lt;/RecNum&gt;&lt;DisplayText&gt;James Dingley, &amp;quot;Northern Ireland and the &amp;apos;Troubles&amp;apos;,&amp;quot; in &lt;style face="italic"&gt;Combating Terrorism in Northern Ireland&lt;/style&gt;, ed. Darren Davis (Abingdon: Routledge, 2009).&lt;/DisplayText&gt;&lt;record&gt;&lt;rec-number&gt;209&lt;/rec-number&gt;&lt;foreign-keys&gt;&lt;key app="EN" db-id="s0ftft29jf2psaezx93xwz5s00fwpa9avrwv"&gt;209&lt;/key&gt;&lt;/foreign-keys&gt;&lt;ref-type name="Book Section"&gt;5&lt;/ref-type&gt;&lt;contributors&gt;&lt;authors&gt;&lt;author&gt;Dingley, James&lt;/author&gt;&lt;/authors&gt;&lt;secondary-authors&gt;&lt;author&gt;Davis, Darren&lt;/author&gt;&lt;/secondary-authors&gt;&lt;/contributors&gt;&lt;titles&gt;&lt;title&gt;Northern Ireland and the &amp;apos;troubles&amp;apos;&lt;/title&gt;&lt;secondary-title&gt;Combating Terrorism in Northern Ireland&lt;/secondary-title&gt;&lt;/titles&gt;&lt;dates&gt;&lt;year&gt;2009&lt;/year&gt;&lt;/dates&gt;&lt;pub-location&gt;Abingdon&lt;/pub-location&gt;&lt;publisher&gt;Routledge&lt;/publisher&gt;&lt;urls&gt;&lt;/urls&gt;&lt;/record&gt;&lt;/Cite&gt;&lt;/EndNote&gt;</w:instrText>
      </w:r>
      <w:r>
        <w:fldChar w:fldCharType="separate"/>
      </w:r>
      <w:r>
        <w:rPr>
          <w:noProof/>
        </w:rPr>
        <w:t xml:space="preserve">James Dingley, "Northern Ireland and the 'Troubles'," in </w:t>
      </w:r>
      <w:r w:rsidRPr="003D17E7">
        <w:rPr>
          <w:i/>
          <w:noProof/>
        </w:rPr>
        <w:t>Combating Terrorism in Northern Ireland</w:t>
      </w:r>
      <w:r>
        <w:rPr>
          <w:noProof/>
        </w:rPr>
        <w:t>, ed. Darren Davis (Abingdon: Routledge, 2009).</w:t>
      </w:r>
      <w:r>
        <w:fldChar w:fldCharType="end"/>
      </w:r>
    </w:p>
  </w:footnote>
  <w:footnote w:id="265">
    <w:p w14:paraId="70441A9F" w14:textId="17894849"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&lt;EndNote&gt;&lt;Cite&gt;&lt;Author&gt;White&lt;/Author&gt;&lt;Year&gt;1993&lt;/Year&gt;&lt;RecNum&gt;218&lt;/RecNum&gt;&lt;DisplayText&gt;Robert White, &lt;style face="italic"&gt;Provisional Irish Republicans: An Oral and Interpetive History&lt;/style&gt;  (London: Greenwood Press, 1993).&lt;/DisplayText&gt;&lt;record&gt;&lt;rec-number&gt;218&lt;/rec-number&gt;&lt;foreign-keys&gt;&lt;key app="EN" db-id="s0ftft29jf2psaezx93xwz5s00fwpa9avrwv"&gt;218&lt;/key&gt;&lt;/foreign-keys&gt;&lt;ref-type name="Book"&gt;6&lt;/ref-type&gt;&lt;contributors&gt;&lt;authors&gt;&lt;author&gt;White, Robert&lt;/author&gt;&lt;/authors&gt;&lt;/contributors&gt;&lt;titles&gt;&lt;title&gt;Provisional Irish Republicans: an oral and interpetive history&lt;/title&gt;&lt;/titles&gt;&lt;dates&gt;&lt;year&gt;1993&lt;/year&gt;&lt;/dates&gt;&lt;pub-location&gt;London&lt;/pub-location&gt;&lt;publisher&gt;Greenwood Press&lt;/publisher&gt;&lt;urls&gt;&lt;/urls&gt;&lt;/record&gt;&lt;/Cite&gt;&lt;/EndNote&gt;</w:instrText>
      </w:r>
      <w:r>
        <w:fldChar w:fldCharType="separate"/>
      </w:r>
      <w:r>
        <w:rPr>
          <w:noProof/>
        </w:rPr>
        <w:t xml:space="preserve">Robert White, </w:t>
      </w:r>
      <w:r w:rsidRPr="003D17E7">
        <w:rPr>
          <w:i/>
          <w:noProof/>
        </w:rPr>
        <w:t>Provisional Irish Republicans: An Oral and Interpetive History</w:t>
      </w:r>
      <w:r>
        <w:rPr>
          <w:noProof/>
        </w:rPr>
        <w:t xml:space="preserve">  (London: Greenwood Press, 1993).</w:t>
      </w:r>
      <w:r>
        <w:fldChar w:fldCharType="end"/>
      </w:r>
    </w:p>
  </w:footnote>
  <w:footnote w:id="266">
    <w:p w14:paraId="7FBE27B0" w14:textId="285AD27F"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&lt;EndNote&gt;&lt;Cite&gt;&lt;Author&gt;Pat Coogan&lt;/Author&gt;&lt;Year&gt;1995&lt;/Year&gt;&lt;RecNum&gt;202&lt;/RecNum&gt;&lt;DisplayText&gt;Tim Pat Coogan, &lt;style face="italic"&gt;The Troubles: Ireland&amp;apos;s Ordeal 1966-1995 and the Search for Peace&lt;/style&gt;  (London: Hutchinson, 1995).&lt;/DisplayText&gt;&lt;record&gt;&lt;rec-number&gt;202&lt;/rec-number&gt;&lt;foreign-keys&gt;&lt;key app="EN" db-id="s0ftft29jf2psaezx93xwz5s00fwpa9avrwv"&gt;202&lt;/key&gt;&lt;/foreign-keys&gt;&lt;ref-type name="Book"&gt;6&lt;/ref-type&gt;&lt;contributors&gt;&lt;authors&gt;&lt;author&gt;Pat Coogan, Tim&lt;/author&gt;&lt;/authors&gt;&lt;/contributors&gt;&lt;titles&gt;&lt;title&gt;The Troubles: Ireland&amp;apos;s Ordeal 1966-1995 and the Search for Peace&lt;/title&gt;&lt;/titles&gt;&lt;dates&gt;&lt;year&gt;1995&lt;/year&gt;&lt;/dates&gt;&lt;pub-location&gt;London&lt;/pub-location&gt;&lt;publisher&gt;Hutchinson&lt;/publisher&gt;&lt;urls&gt;&lt;/urls&gt;&lt;/record&gt;&lt;/Cite&gt;&lt;/EndNote&gt;</w:instrText>
      </w:r>
      <w:r>
        <w:fldChar w:fldCharType="separate"/>
      </w:r>
      <w:r>
        <w:rPr>
          <w:noProof/>
        </w:rPr>
        <w:t xml:space="preserve">Tim Pat Coogan, </w:t>
      </w:r>
      <w:r w:rsidRPr="00DC1B2E">
        <w:rPr>
          <w:i/>
          <w:noProof/>
        </w:rPr>
        <w:t>The Troubles: Ireland's Ordeal 1966-1995 and the Search for Peace</w:t>
      </w:r>
      <w:r>
        <w:rPr>
          <w:noProof/>
        </w:rPr>
        <w:t xml:space="preserve">  (London: Hutchinson, 1995).</w:t>
      </w:r>
      <w:r>
        <w:fldChar w:fldCharType="end"/>
      </w:r>
    </w:p>
  </w:footnote>
  <w:footnote w:id="267">
    <w:p w14:paraId="3D059ABA" w14:textId="17013F40"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&lt;EndNote&gt;&lt;Cite&gt;&lt;Author&gt;O&amp;apos;Leary&lt;/Author&gt;&lt;Year&gt;1996&lt;/Year&gt;&lt;RecNum&gt;212&lt;/RecNum&gt;&lt;DisplayText&gt;Brendan O&amp;apos;Leary and John McGarry, &lt;style face="italic"&gt;The Politics of Antagonism: Understanding Northern Ireland&lt;/style&gt;  (London: The Athlone Press, 1996); Brendan O&amp;apos;Leary, &amp;quot;The Ira: Looking Back; Mission Accomplished?,&amp;quot; in &lt;style face="italic"&gt;Terror, Insurgency, and the State&lt;/style&gt;, ed. Marianne Heiberg, Brendan O&amp;apos;Leary, and John Tirman (Philadelphia: University of Pennsylvania Press, 2007).&lt;/DisplayText&gt;&lt;record&gt;&lt;rec-number&gt;212&lt;/rec-number&gt;&lt;foreign-keys&gt;&lt;key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Press&lt;/publisher&gt;&lt;urls&gt;&lt;/urls&gt;&lt;/record&gt;&lt;/Cite&gt;&lt;Cite&gt;&lt;Author&gt;O&amp;apos;Leary&lt;/Author&gt;&lt;Year&gt;2007&lt;/Year&gt;&lt;RecNum&gt;219&lt;/RecNum&gt;&lt;record&gt;&lt;rec-number&gt;219&lt;/rec-number&gt;&lt;foreign-keys&gt;&lt;key app="EN" db-id="s0ftft29jf2psaezx93xwz5s00fwpa9avrwv"&gt;219&lt;/key&gt;&lt;/foreign-keys&gt;&lt;ref-type name="Book Section"&gt;5&lt;/ref-type&gt;&lt;contributors&gt;&lt;authors&gt;&lt;author&gt;O&amp;apos;Leary, Brendan&lt;/author&gt;&lt;/authors&gt;&lt;secondary-authors&gt;&lt;author&gt;Heiberg, Marianne&lt;/author&gt;&lt;author&gt;O&amp;apos;Leary, Brendan&lt;/author&gt;&lt;author&gt;Tirman, John&lt;/author&gt;&lt;/secondary-authors&gt;&lt;/contributors&gt;&lt;titles&gt;&lt;title&gt;The IRA: Looking Back; Mission Accomplished?&lt;/title&gt;&lt;secondary-title&gt;Terror, Insurgency, and the State&lt;/secondary-title&gt;&lt;/titles&gt;&lt;dates&gt;&lt;year&gt;2007&lt;/year&gt;&lt;/dates&gt;&lt;pub-location&gt;Philadelphia&lt;/pub-location&gt;&lt;publisher&gt;University of Pennsylvania Press&lt;/publisher&gt;&lt;urls&gt;&lt;/urls&gt;&lt;/record&gt;&lt;/Cite&gt;&lt;/EndNote&gt;</w:instrText>
      </w:r>
      <w:r>
        <w:fldChar w:fldCharType="separate"/>
      </w:r>
      <w:r>
        <w:rPr>
          <w:noProof/>
        </w:rPr>
        <w:t xml:space="preserve">Brendan O'Leary and John McGarry, </w:t>
      </w:r>
      <w:r w:rsidRPr="003D17E7">
        <w:rPr>
          <w:i/>
          <w:noProof/>
        </w:rPr>
        <w:t>The Politics of Antagonism: Understanding Northern Ireland</w:t>
      </w:r>
      <w:r>
        <w:rPr>
          <w:noProof/>
        </w:rPr>
        <w:t xml:space="preserve">  (London: The Athlone Press, 1996); Brendan O'Leary, "The Ira: Looking Back; Mission Accomplished?," in </w:t>
      </w:r>
      <w:r w:rsidRPr="003D17E7">
        <w:rPr>
          <w:i/>
          <w:noProof/>
        </w:rPr>
        <w:t>Terror, Insurgency, and the State</w:t>
      </w:r>
      <w:r>
        <w:rPr>
          <w:noProof/>
        </w:rPr>
        <w:t>, ed. Marianne Heiberg, Brendan O'Leary, and John Tirman (Philadelphia: University of Pennsylvania Press, 2007).</w:t>
      </w:r>
      <w:r>
        <w:fldChar w:fldCharType="end"/>
      </w:r>
    </w:p>
  </w:footnote>
  <w:footnote w:id="268">
    <w:p w14:paraId="1B0D9AED" w14:textId="458E67C8"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&lt;EndNote&gt;&lt;Cite&gt;&lt;Author&gt;O&amp;apos;Leary&lt;/Author&gt;&lt;Year&gt;1996&lt;/Year&gt;&lt;RecNum&gt;212&lt;/RecNum&gt;&lt;DisplayText&gt;O&amp;apos;Leary and McGarry, &lt;style face="italic"&gt;The Politics of Antagonism: Understanding Northern Ireland&lt;/style&gt;.&lt;/DisplayText&gt;&lt;record&gt;&lt;rec-number&gt;212&lt;/rec-number&gt;&lt;foreign-keys&gt;&lt;key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Press&lt;/publisher&gt;&lt;urls&gt;&lt;/urls&gt;&lt;/record&gt;&lt;/Cite&gt;&lt;/EndNote&gt;</w:instrText>
      </w:r>
      <w:r>
        <w:fldChar w:fldCharType="separate"/>
      </w:r>
      <w:r>
        <w:rPr>
          <w:noProof/>
        </w:rPr>
        <w:t xml:space="preserve">O'Leary and McGarry, </w:t>
      </w:r>
      <w:r w:rsidRPr="003D17E7">
        <w:rPr>
          <w:i/>
          <w:noProof/>
        </w:rPr>
        <w:t>The Politics of Antagonism: Understanding Northern Ireland</w:t>
      </w:r>
      <w:r>
        <w:rPr>
          <w:noProof/>
        </w:rPr>
        <w:t>.</w:t>
      </w:r>
      <w:r>
        <w:fldChar w:fldCharType="end"/>
      </w:r>
    </w:p>
  </w:footnote>
  <w:footnote w:id="269">
    <w:p w14:paraId="73FD4944" w14:textId="77777777" w:rsidR="007A04F6" w:rsidRDefault="007A04F6" w:rsidP="0015068F">
      <w:pPr>
        <w:pStyle w:val="FootnoteText"/>
      </w:pPr>
      <w:r>
        <w:rPr>
          <w:rStyle w:val="FootnoteReference"/>
        </w:rPr>
        <w:footnoteRef/>
      </w:r>
      <w:r>
        <w:t xml:space="preserve"> Londonderry or Derry</w:t>
      </w:r>
    </w:p>
  </w:footnote>
  <w:footnote w:id="270">
    <w:p w14:paraId="56F0A75E" w14:textId="71731249" w:rsidR="007A04F6" w:rsidRDefault="007A04F6" w:rsidP="0015068F">
      <w:pPr>
        <w:pStyle w:val="FootnoteText"/>
      </w:pPr>
      <w:r w:rsidRPr="00D85B36">
        <w:rPr>
          <w:rStyle w:val="FootnoteReference"/>
        </w:rPr>
        <w:footnoteRef/>
      </w:r>
      <w:r w:rsidRPr="00D85B36">
        <w:t xml:space="preserve"> </w:t>
      </w:r>
      <w:r>
        <w:fldChar w:fldCharType="begin"/>
      </w:r>
      <w:r>
        <w:instrText xml:space="preserve"> ADDIN EN.CITE &lt;EndNote&gt;&lt;Cite&gt;&lt;Author&gt;Hennessey&lt;/Author&gt;&lt;Year&gt;1997&lt;/Year&gt;&lt;RecNum&gt;200&lt;/RecNum&gt;&lt;DisplayText&gt;Thomas Hennessey, &lt;style face="italic"&gt;A History of Northern Ireland 1920-1996&lt;/style&gt;  (Basingstoke: Palgrave, 1997).&lt;/DisplayText&gt;&lt;record&gt;&lt;rec-number&gt;200&lt;/rec-number&gt;&lt;foreign-keys&gt;&lt;key app="EN" db-id="s0ftft29jf2psaezx93xwz5s00fwpa9avrwv"&gt;200&lt;/key&gt;&lt;/foreign-keys&gt;&lt;ref-type name="Book"&gt;6&lt;/ref-type&gt;&lt;contributors&gt;&lt;authors&gt;&lt;author&gt;Hennessey, Thomas&lt;/author&gt;&lt;/authors&gt;&lt;/contributors&gt;&lt;titles&gt;&lt;title&gt;A History of Northern Ireland 1920-1996&lt;/title&gt;&lt;/titles&gt;&lt;dates&gt;&lt;year&gt;1997&lt;/year&gt;&lt;/dates&gt;&lt;pub-location&gt;Basingstoke&lt;/pub-location&gt;&lt;publisher&gt;Palgrave&lt;/publisher&gt;&lt;urls&gt;&lt;/urls&gt;&lt;/record&gt;&lt;/Cite&gt;&lt;/EndNote&gt;</w:instrText>
      </w:r>
      <w:r>
        <w:fldChar w:fldCharType="separate"/>
      </w:r>
      <w:r>
        <w:rPr>
          <w:noProof/>
        </w:rPr>
        <w:t xml:space="preserve">Thomas Hennessey, </w:t>
      </w:r>
      <w:r w:rsidRPr="00D85B36">
        <w:rPr>
          <w:i/>
          <w:noProof/>
        </w:rPr>
        <w:t>A History of Northern Ireland 1920-1996</w:t>
      </w:r>
      <w:r>
        <w:rPr>
          <w:noProof/>
        </w:rPr>
        <w:t xml:space="preserve">  (Basingstoke: Palgrave, 1997).</w:t>
      </w:r>
      <w:r>
        <w:fldChar w:fldCharType="end"/>
      </w:r>
      <w:r>
        <w:t xml:space="preserve"> </w:t>
      </w:r>
    </w:p>
  </w:footnote>
  <w:footnote w:id="271">
    <w:p w14:paraId="6951B01D" w14:textId="5242432D"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&lt;EndNote&gt;&lt;Cite&gt;&lt;Author&gt;O&amp;apos;Leary&lt;/Author&gt;&lt;Year&gt;1996&lt;/Year&gt;&lt;RecNum&gt;212&lt;/RecNum&gt;&lt;DisplayText&gt;O&amp;apos;Leary and McGarry, &lt;style face="italic"&gt;The Politics of Antagonism: Understanding Northern Ireland&lt;/style&gt;; O&amp;apos;Leary, &amp;quot;The Ira: Looking Back; Mission Accomplished?.&amp;quot;&lt;/DisplayText&gt;&lt;record&gt;&lt;rec-number&gt;212&lt;/rec-number&gt;&lt;foreign-keys&gt;&lt;key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Press&lt;/publisher&gt;&lt;urls&gt;&lt;/urls&gt;&lt;/record&gt;&lt;/Cite&gt;&lt;Cite&gt;&lt;Author&gt;O&amp;apos;Leary&lt;/Author&gt;&lt;Year&gt;2007&lt;/Year&gt;&lt;RecNum&gt;219&lt;/RecNum&gt;&lt;record&gt;&lt;rec-number&gt;219&lt;/rec-number&gt;&lt;foreign-keys&gt;&lt;key app="EN" db-id="s0ftft29jf2psaezx93xwz5s00fwpa9avrwv"&gt;219&lt;/key&gt;&lt;/foreign-keys&gt;&lt;ref-type name="Book Section"&gt;5&lt;/ref-type&gt;&lt;contributors&gt;&lt;authors&gt;&lt;author&gt;O&amp;apos;Leary, Brendan&lt;/author&gt;&lt;/authors&gt;&lt;secondary-authors&gt;&lt;author&gt;Heiberg, Marianne&lt;/author&gt;&lt;author&gt;O&amp;apos;Leary, Brendan&lt;/author&gt;&lt;author&gt;Tirman, John&lt;/author&gt;&lt;/secondary-authors&gt;&lt;/contributors&gt;&lt;titles&gt;&lt;title&gt;The IRA: Looking Back; Mission Accomplished?&lt;/title&gt;&lt;secondary-title&gt;Terror, Insurgency, and the State&lt;/secondary-title&gt;&lt;/titles&gt;&lt;dates&gt;&lt;year&gt;2007&lt;/year&gt;&lt;/dates&gt;&lt;pub-location&gt;Philadelphia&lt;/pub-location&gt;&lt;publisher&gt;University of Pennsylvania Press&lt;/publisher&gt;&lt;urls&gt;&lt;/urls&gt;&lt;/record&gt;&lt;/Cite&gt;&lt;/EndNote&gt;</w:instrText>
      </w:r>
      <w:r>
        <w:fldChar w:fldCharType="separate"/>
      </w:r>
      <w:r>
        <w:rPr>
          <w:noProof/>
        </w:rPr>
        <w:t xml:space="preserve">O'Leary and McGarry, </w:t>
      </w:r>
      <w:r w:rsidRPr="003D17E7">
        <w:rPr>
          <w:i/>
          <w:noProof/>
        </w:rPr>
        <w:t>The Politics of Antagonism: Understanding Northern Ireland</w:t>
      </w:r>
      <w:r>
        <w:rPr>
          <w:noProof/>
        </w:rPr>
        <w:t>; O'Leary, "The Ira: Looking Back; Mission Accomplished?."</w:t>
      </w:r>
      <w:r>
        <w:fldChar w:fldCharType="end"/>
      </w:r>
    </w:p>
  </w:footnote>
  <w:footnote w:id="272">
    <w:p w14:paraId="7DDE491C" w14:textId="730F8A23"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9F3FE2">
        <w:rPr>
          <w:i/>
          <w:noProof/>
        </w:rPr>
        <w:t>A Secret History of the Ira</w:t>
      </w:r>
      <w:r>
        <w:rPr>
          <w:noProof/>
        </w:rPr>
        <w:t>.</w:t>
      </w:r>
      <w:r>
        <w:fldChar w:fldCharType="end"/>
      </w:r>
    </w:p>
  </w:footnote>
  <w:footnote w:id="273">
    <w:p w14:paraId="53A7ABAF" w14:textId="5CBCE484"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&lt;EndNote&gt;&lt;Cite&gt;&lt;Author&gt;O&amp;apos;Leary&lt;/Author&gt;&lt;Year&gt;2007&lt;/Year&gt;&lt;RecNum&gt;219&lt;/RecNum&gt;&lt;DisplayText&gt;O&amp;apos;Leary, &amp;quot;The Ira: Looking Back; Mission Accomplished?.&amp;quot;&lt;/DisplayText&gt;&lt;record&gt;&lt;rec-number&gt;219&lt;/rec-number&gt;&lt;foreign-keys&gt;&lt;key app="EN" db-id="s0ftft29jf2psaezx93xwz5s00fwpa9avrwv"&gt;219&lt;/key&gt;&lt;/foreign-keys&gt;&lt;ref-type name="Book Section"&gt;5&lt;/ref-type&gt;&lt;contributors&gt;&lt;authors&gt;&lt;author&gt;O&amp;apos;Leary, Brendan&lt;/author&gt;&lt;/authors&gt;&lt;secondary-authors&gt;&lt;author&gt;Heiberg, Marianne&lt;/author&gt;&lt;author&gt;O&amp;apos;Leary, Brendan&lt;/author&gt;&lt;author&gt;Tirman, John&lt;/author&gt;&lt;/secondary-authors&gt;&lt;/contributors&gt;&lt;titles&gt;&lt;title&gt;The IRA: Looking Back; Mission Accomplished?&lt;/title&gt;&lt;secondary-title&gt;Terror, Insurgency, and the State&lt;/secondary-title&gt;&lt;/titles&gt;&lt;dates&gt;&lt;year&gt;2007&lt;/year&gt;&lt;/dates&gt;&lt;pub-location&gt;Philadelphia&lt;/pub-location&gt;&lt;publisher&gt;University of Pennsylvania Press&lt;/publisher&gt;&lt;urls&gt;&lt;/urls&gt;&lt;/record&gt;&lt;/Cite&gt;&lt;/EndNote&gt;</w:instrText>
      </w:r>
      <w:r>
        <w:fldChar w:fldCharType="separate"/>
      </w:r>
      <w:r>
        <w:rPr>
          <w:noProof/>
        </w:rPr>
        <w:t>O'Leary, "The Ira: Looking Back; Mission Accomplished?."</w:t>
      </w:r>
      <w:r>
        <w:fldChar w:fldCharType="end"/>
      </w:r>
    </w:p>
  </w:footnote>
  <w:footnote w:id="274">
    <w:p w14:paraId="627243CB" w14:textId="771BF195"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&lt;EndNote&gt;&lt;Cite&gt;&lt;Author&gt;O&amp;apos;Leary&lt;/Author&gt;&lt;Year&gt;2007&lt;/Year&gt;&lt;RecNum&gt;219&lt;/RecNum&gt;&lt;DisplayText&gt;Ibid.&lt;/DisplayText&gt;&lt;record&gt;&lt;rec-number&gt;219&lt;/rec-number&gt;&lt;foreign-keys&gt;&lt;key app="EN" db-id="s0ftft29jf2psaezx93xwz5s00fwpa9avrwv"&gt;219&lt;/key&gt;&lt;/foreign-keys&gt;&lt;ref-type name="Book Section"&gt;5&lt;/ref-type&gt;&lt;contributors&gt;&lt;authors&gt;&lt;author&gt;O&amp;apos;Leary, Brendan&lt;/author&gt;&lt;/authors&gt;&lt;secondary-authors&gt;&lt;author&gt;Heiberg, Marianne&lt;/author&gt;&lt;author&gt;O&amp;apos;Leary, Brendan&lt;/author&gt;&lt;author&gt;Tirman, John&lt;/author&gt;&lt;/secondary-authors&gt;&lt;/contributors&gt;&lt;titles&gt;&lt;title&gt;The IRA: Looking Back; Mission Accomplished?&lt;/title&gt;&lt;secondary-title&gt;Terror, Insurgency, and the State&lt;/secondary-title&gt;&lt;/titles&gt;&lt;dates&gt;&lt;year&gt;2007&lt;/year&gt;&lt;/dates&gt;&lt;pub-location&gt;Philadelphia&lt;/pub-location&gt;&lt;publisher&gt;University of Pennsylvania Press&lt;/publisher&gt;&lt;urls&gt;&lt;/urls&gt;&lt;/record&gt;&lt;/Cite&gt;&lt;/EndNote&gt;</w:instrText>
      </w:r>
      <w:r>
        <w:fldChar w:fldCharType="separate"/>
      </w:r>
      <w:r>
        <w:rPr>
          <w:noProof/>
        </w:rPr>
        <w:t>Ibid.</w:t>
      </w:r>
      <w:r>
        <w:fldChar w:fldCharType="end"/>
      </w:r>
    </w:p>
  </w:footnote>
  <w:footnote w:id="275">
    <w:p w14:paraId="549FC02D" w14:textId="0CBA6671"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&lt;EndNote&gt;&lt;Cite&gt;&lt;Author&gt;English&lt;/Author&gt;&lt;Year&gt;2003&lt;/Year&gt;&lt;RecNum&gt;197&lt;/RecNum&gt;&lt;DisplayText&gt;Richard English, &lt;style face="italic"&gt;Armed Struggle: The History of the Ira&lt;/style&gt;  (London: Macmillan, 2003).&lt;/DisplayText&gt;&lt;record&gt;&lt;rec-number&gt;197&lt;/rec-number&gt;&lt;foreign-keys&gt;&lt;key app="EN" db-id="s0ftft29jf2psaezx93xwz5s00fwpa9avrwv"&gt;197&lt;/key&gt;&lt;/foreign-keys&gt;&lt;ref-type name="Book"&gt;6&lt;/ref-type&gt;&lt;contributors&gt;&lt;authors&gt;&lt;author&gt;English, Richard&lt;/author&gt;&lt;/authors&gt;&lt;/contributors&gt;&lt;titles&gt;&lt;title&gt;Armed Struggle: the History of the IRA&lt;/title&gt;&lt;/titles&gt;&lt;dates&gt;&lt;year&gt;2003&lt;/year&gt;&lt;/dates&gt;&lt;pub-location&gt;London&lt;/pub-location&gt;&lt;publisher&gt;Macmillan&lt;/publisher&gt;&lt;urls&gt;&lt;/urls&gt;&lt;/record&gt;&lt;/Cite&gt;&lt;/EndNote&gt;</w:instrText>
      </w:r>
      <w:r>
        <w:fldChar w:fldCharType="separate"/>
      </w:r>
      <w:r>
        <w:rPr>
          <w:noProof/>
        </w:rPr>
        <w:t xml:space="preserve">Richard English, </w:t>
      </w:r>
      <w:r w:rsidRPr="003D17E7">
        <w:rPr>
          <w:i/>
          <w:noProof/>
        </w:rPr>
        <w:t>Armed Struggle: The History of the Ira</w:t>
      </w:r>
      <w:r>
        <w:rPr>
          <w:noProof/>
        </w:rPr>
        <w:t xml:space="preserve">  (London: Macmillan, 2003).</w:t>
      </w:r>
      <w:r>
        <w:fldChar w:fldCharType="end"/>
      </w:r>
    </w:p>
  </w:footnote>
  <w:footnote w:id="276">
    <w:p w14:paraId="0F9C5ABD" w14:textId="3E4154DE"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p>
  </w:footnote>
  <w:footnote w:id="277">
    <w:p w14:paraId="7C51B6B5" w14:textId="36388C6F" w:rsidR="007A04F6" w:rsidRDefault="007A04F6" w:rsidP="0015068F">
      <w:pPr>
        <w:pStyle w:val="FootnoteText"/>
      </w:pPr>
      <w:r>
        <w:rPr>
          <w:rStyle w:val="FootnoteReference"/>
        </w:rPr>
        <w:footnoteRef/>
      </w:r>
      <w:r>
        <w:t xml:space="preserve"> </w:t>
      </w:r>
      <w:r>
        <w:rPr>
          <w:rFonts w:cs="Times New Roman"/>
        </w:rPr>
        <w:fldChar w:fldCharType="begin"/>
      </w:r>
      <w:r>
        <w:rPr>
          <w:rFonts w:cs="Times New Roman"/>
        </w:rPr>
        <w:instrText xml:space="preserve"> ADDIN EN.CITE &lt;EndNote&gt;&lt;Cite&gt;&lt;Author&gt;Purdie&lt;/Author&gt;&lt;Year&gt;1990&lt;/Year&gt;&lt;RecNum&gt;211&lt;/RecNum&gt;&lt;DisplayText&gt;Bob Purdie, &lt;style face="italic"&gt;Politics in the Streets: The Origins of the Civil Rights Movement in Northern Ireland&lt;/style&gt;  (Belfast: Blackstaff Press Limited, 1990).&lt;/DisplayText&gt;&lt;record&gt;&lt;rec-number&gt;211&lt;/rec-number&gt;&lt;foreign-keys&gt;&lt;key app="EN" db-id="s0ftft29jf2psaezx93xwz5s00fwpa9avrwv"&gt;211&lt;/key&gt;&lt;/foreign-keys&gt;&lt;ref-type name="Book"&gt;6&lt;/ref-type&gt;&lt;contributors&gt;&lt;authors&gt;&lt;author&gt;Purdie, Bob&lt;/author&gt;&lt;/authors&gt;&lt;/contributors&gt;&lt;titles&gt;&lt;title&gt;Politics in the Streets: The origins of the civil rights movement in Northern Ireland&lt;/title&gt;&lt;/titles&gt;&lt;dates&gt;&lt;year&gt;1990&lt;/year&gt;&lt;/dates&gt;&lt;pub-location&gt;Belfast&lt;/pub-location&gt;&lt;publisher&gt;Blackstaff Press Limited&lt;/publisher&gt;&lt;urls&gt;&lt;/urls&gt;&lt;/record&gt;&lt;/Cite&gt;&lt;/EndNote&gt;</w:instrText>
      </w:r>
      <w:r>
        <w:rPr>
          <w:rFonts w:cs="Times New Roman"/>
        </w:rPr>
        <w:fldChar w:fldCharType="separate"/>
      </w:r>
      <w:r>
        <w:rPr>
          <w:rFonts w:cs="Times New Roman"/>
          <w:noProof/>
        </w:rPr>
        <w:t xml:space="preserve">Bob Purdie, </w:t>
      </w:r>
      <w:r w:rsidRPr="003D17E7">
        <w:rPr>
          <w:rFonts w:cs="Times New Roman"/>
          <w:i/>
          <w:noProof/>
        </w:rPr>
        <w:t>Politics in the Streets: The Origins of the Civil Rights Movement in Northern Ireland</w:t>
      </w:r>
      <w:r>
        <w:rPr>
          <w:rFonts w:cs="Times New Roman"/>
          <w:noProof/>
        </w:rPr>
        <w:t xml:space="preserve">  (Belfast: Blackstaff Press Limited, 1990).</w:t>
      </w:r>
      <w:r>
        <w:rPr>
          <w:rFonts w:cs="Times New Roman"/>
        </w:rPr>
        <w:fldChar w:fldCharType="end"/>
      </w:r>
      <w:r>
        <w:rPr>
          <w:rFonts w:cs="Times New Roman"/>
        </w:rPr>
        <w:t xml:space="preserve"> pp. 126</w:t>
      </w:r>
    </w:p>
  </w:footnote>
  <w:footnote w:id="278">
    <w:p w14:paraId="65DB4AD8" w14:textId="3F3580FE"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&lt;EndNote&gt;&lt;Cite&gt;&lt;Author&gt;English&lt;/Author&gt;&lt;Year&gt;2003&lt;/Year&gt;&lt;RecNum&gt;197&lt;/RecNum&gt;&lt;DisplayText&gt;English, &lt;style face="italic"&gt;Armed Struggle: The History of the Ira&lt;/style&gt;.&lt;/DisplayText&gt;&lt;record&gt;&lt;rec-number&gt;197&lt;/rec-number&gt;&lt;foreign-keys&gt;&lt;key app="EN" db-id="s0ftft29jf2psaezx93xwz5s00fwpa9avrwv"&gt;197&lt;/key&gt;&lt;/foreign-keys&gt;&lt;ref-type name="Book"&gt;6&lt;/ref-type&gt;&lt;contributors&gt;&lt;authors&gt;&lt;author&gt;English, Richard&lt;/author&gt;&lt;/authors&gt;&lt;/contributors&gt;&lt;titles&gt;&lt;title&gt;Armed Struggle: the History of the IRA&lt;/title&gt;&lt;/titles&gt;&lt;dates&gt;&lt;year&gt;2003&lt;/year&gt;&lt;/dates&gt;&lt;pub-location&gt;London&lt;/pub-location&gt;&lt;publisher&gt;Macmillan&lt;/publisher&gt;&lt;urls&gt;&lt;/urls&gt;&lt;/record&gt;&lt;/Cite&gt;&lt;/EndNote&gt;</w:instrText>
      </w:r>
      <w:r>
        <w:fldChar w:fldCharType="separate"/>
      </w:r>
      <w:r>
        <w:rPr>
          <w:noProof/>
        </w:rPr>
        <w:t xml:space="preserve">English, </w:t>
      </w:r>
      <w:r w:rsidRPr="003D17E7">
        <w:rPr>
          <w:i/>
          <w:noProof/>
        </w:rPr>
        <w:t>Armed Struggle: The History of the Ira</w:t>
      </w:r>
      <w:r>
        <w:rPr>
          <w:noProof/>
        </w:rPr>
        <w:t>.</w:t>
      </w:r>
      <w:r>
        <w:fldChar w:fldCharType="end"/>
      </w:r>
    </w:p>
  </w:footnote>
  <w:footnote w:id="279">
    <w:p w14:paraId="28D31B82" w14:textId="235CE371"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p>
  </w:footnote>
  <w:footnote w:id="280">
    <w:p w14:paraId="45D3184D" w14:textId="7A1FAEE4"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&lt;EndNote&gt;&lt;Cite&gt;&lt;Author&gt;Hennessey&lt;/Author&gt;&lt;Year&gt;1997&lt;/Year&gt;&lt;RecNum&gt;200&lt;/RecNum&gt;&lt;DisplayText&gt;Hennessey, &lt;style face="italic"&gt;A History of Northern Ireland 1920-1996&lt;/style&gt;.&lt;/DisplayText&gt;&lt;record&gt;&lt;rec-number&gt;200&lt;/rec-number&gt;&lt;foreign-keys&gt;&lt;key app="EN" db-id="s0ftft29jf2psaezx93xwz5s00fwpa9avrwv"&gt;200&lt;/key&gt;&lt;/foreign-keys&gt;&lt;ref-type name="Book"&gt;6&lt;/ref-type&gt;&lt;contributors&gt;&lt;authors&gt;&lt;author&gt;Hennessey, Thomas&lt;/author&gt;&lt;/authors&gt;&lt;/contributors&gt;&lt;titles&gt;&lt;title&gt;A History of Northern Ireland 1920-1996&lt;/title&gt;&lt;/titles&gt;&lt;dates&gt;&lt;year&gt;1997&lt;/year&gt;&lt;/dates&gt;&lt;pub-location&gt;Basingstoke&lt;/pub-location&gt;&lt;publisher&gt;Palgrave&lt;/publisher&gt;&lt;urls&gt;&lt;/urls&gt;&lt;/record&gt;&lt;/Cite&gt;&lt;/EndNote&gt;</w:instrText>
      </w:r>
      <w:r>
        <w:fldChar w:fldCharType="separate"/>
      </w:r>
      <w:r>
        <w:rPr>
          <w:noProof/>
        </w:rPr>
        <w:t xml:space="preserve">Hennessey, </w:t>
      </w:r>
      <w:r w:rsidRPr="003D17E7">
        <w:rPr>
          <w:i/>
          <w:noProof/>
        </w:rPr>
        <w:t>A History of Northern Ireland 1920-1996</w:t>
      </w:r>
      <w:r>
        <w:rPr>
          <w:noProof/>
        </w:rPr>
        <w:t>.</w:t>
      </w:r>
      <w:r>
        <w:fldChar w:fldCharType="end"/>
      </w:r>
    </w:p>
  </w:footnote>
  <w:footnote w:id="281">
    <w:p w14:paraId="182C5970" w14:textId="04AD92CE" w:rsidR="007A04F6" w:rsidRDefault="007A04F6">
      <w:pPr>
        <w:pStyle w:val="FootnoteText"/>
      </w:pPr>
      <w:r>
        <w:rPr>
          <w:rStyle w:val="FootnoteReference"/>
        </w:rPr>
        <w:footnoteRef/>
      </w:r>
      <w:r>
        <w:t xml:space="preserve"> </w:t>
      </w:r>
      <w:r>
        <w:fldChar w:fldCharType="begin"/>
      </w:r>
      <w:r>
        <w:instrText xml:space="preserve"> ADDIN EN.CITE &lt;EndNote&gt;&lt;Cite&gt;&lt;Author&gt;Cronin&lt;/Author&gt;&lt;Year&gt;2009&lt;/Year&gt;&lt;RecNum&gt;207&lt;/RecNum&gt;&lt;DisplayText&gt;Cronin, &lt;style face="italic"&gt;How Terrorism Ends: Understanding the Decline and Demise of Terrorist Campaigns&lt;/style&gt;.&lt;/DisplayText&gt;&lt;record&gt;&lt;rec-number&gt;207&lt;/rec-number&gt;&lt;foreign-keys&gt;&lt;key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Cronin, </w:t>
      </w:r>
      <w:r w:rsidRPr="003D17E7">
        <w:rPr>
          <w:i/>
          <w:noProof/>
        </w:rPr>
        <w:t>How Terrorism Ends: Understanding the Decline and Demise of Terrorist Campaigns</w:t>
      </w:r>
      <w:r>
        <w:rPr>
          <w:noProof/>
        </w:rPr>
        <w:t>.</w:t>
      </w:r>
      <w:r>
        <w:fldChar w:fldCharType="end"/>
      </w:r>
    </w:p>
  </w:footnote>
  <w:footnote w:id="282">
    <w:p w14:paraId="4E582627" w14:textId="685139CB"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&lt;EndNote&gt;&lt;Cite&gt;&lt;Author&gt;Ross&lt;/Author&gt;&lt;Year&gt;1989&lt;/Year&gt;&lt;RecNum&gt;146&lt;/RecNum&gt;&lt;DisplayText&gt;Ross and Gurr, &amp;quot;Why Terrorism Subsides: A Comparative Study of Canada and the United States.&amp;quot;&lt;/DisplayText&gt;&lt;record&gt;&lt;rec-number&gt;146&lt;/rec-number&gt;&lt;foreign-keys&gt;&lt;key app="EN" db-id="s0ftft29jf2psaezx93xwz5s00fwpa9avrwv"&gt;146&lt;/key&gt;&lt;/foreign-keys&gt;&lt;ref-type name="Journal Article"&gt;17&lt;/ref-type&gt;&lt;contributors&gt;&lt;authors&gt;&lt;author&gt;Ross, Jeffrey&lt;/author&gt;&lt;author&gt;Gurr, Ted R&lt;/author&gt;&lt;/authors&gt;&lt;/contributors&gt;&lt;titles&gt;&lt;title&gt;Why Terrorism Subsides: A Comparative Study of Canada and the United States&lt;/title&gt;&lt;secondary-title&gt;Comparative Politics&lt;/secondary-title&gt;&lt;/titles&gt;&lt;pages&gt;pp. 405-426&lt;/pages&gt;&lt;volume&gt;21 (4)&lt;/volume&gt;&lt;dates&gt;&lt;year&gt;1989&lt;/year&gt;&lt;/dates&gt;&lt;urls&gt;&lt;/urls&gt;&lt;/record&gt;&lt;/Cite&gt;&lt;/EndNote&gt;</w:instrText>
      </w:r>
      <w:r>
        <w:fldChar w:fldCharType="separate"/>
      </w:r>
      <w:r>
        <w:rPr>
          <w:noProof/>
        </w:rPr>
        <w:t>Ross and Gurr, "Why Terrorism Subsides: A Comparative Study of Canada and the United States."</w:t>
      </w:r>
      <w:r>
        <w:fldChar w:fldCharType="end"/>
      </w:r>
    </w:p>
  </w:footnote>
  <w:footnote w:id="283">
    <w:p w14:paraId="26BC7A64" w14:textId="245B3434"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284">
    <w:p w14:paraId="27B0081A" w14:textId="79125350" w:rsidR="007A04F6" w:rsidRDefault="007A04F6" w:rsidP="0015068F">
      <w:pPr>
        <w:pStyle w:val="FootnoteText"/>
      </w:pPr>
      <w:r>
        <w:rPr>
          <w:rStyle w:val="FootnoteReference"/>
        </w:rPr>
        <w:footnoteRef/>
      </w:r>
      <w:r>
        <w:t xml:space="preserve"> Cited in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r>
        <w:t xml:space="preserve"> pp. 72</w:t>
      </w:r>
    </w:p>
  </w:footnote>
  <w:footnote w:id="285">
    <w:p w14:paraId="273382A5" w14:textId="0274558D" w:rsidR="007A04F6" w:rsidRDefault="007A04F6" w:rsidP="0015068F">
      <w:pPr>
        <w:pStyle w:val="FootnoteText"/>
      </w:pPr>
      <w:r>
        <w:rPr>
          <w:rStyle w:val="FootnoteReference"/>
        </w:rPr>
        <w:footnoteRef/>
      </w:r>
      <w:r>
        <w:t xml:space="preserve"> Cited in </w:t>
      </w:r>
      <w:r>
        <w:fldChar w:fldCharType="begin"/>
      </w:r>
      <w:r>
        <w:instrText xml:space="preserve"> ADDIN EN.CITE &lt;EndNote&gt;&lt;Cite&gt;&lt;Author&gt;Smith&lt;/Author&gt;&lt;Year&gt;1995&lt;/Year&gt;&lt;RecNum&gt;204&lt;/RecNum&gt;&lt;DisplayText&gt;ibid.&lt;/DisplayText&gt;&lt;record&gt;&lt;rec-number&gt;204&lt;/rec-number&gt;&lt;foreign-keys&gt;&lt;key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ibid.</w:t>
      </w:r>
      <w:r>
        <w:fldChar w:fldCharType="end"/>
      </w:r>
      <w:r>
        <w:t xml:space="preserve"> pp. 73</w:t>
      </w:r>
    </w:p>
  </w:footnote>
  <w:footnote w:id="286">
    <w:p w14:paraId="7E27CC6E" w14:textId="7679B990"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&lt;EndNote&gt;&lt;Cite&gt;&lt;Author&gt;Purdie&lt;/Author&gt;&lt;Year&gt;1990&lt;/Year&gt;&lt;RecNum&gt;211&lt;/RecNum&gt;&lt;DisplayText&gt;Purdie, &lt;style face="italic"&gt;Politics in the Streets: The Origins of the Civil Rights Movement in Northern Ireland&lt;/style&gt;.&lt;/DisplayText&gt;&lt;record&gt;&lt;rec-number&gt;211&lt;/rec-number&gt;&lt;foreign-keys&gt;&lt;key app="EN" db-id="s0ftft29jf2psaezx93xwz5s00fwpa9avrwv"&gt;211&lt;/key&gt;&lt;/foreign-keys&gt;&lt;ref-type name="Book"&gt;6&lt;/ref-type&gt;&lt;contributors&gt;&lt;authors&gt;&lt;author&gt;Purdie, Bob&lt;/author&gt;&lt;/authors&gt;&lt;/contributors&gt;&lt;titles&gt;&lt;title&gt;Politics in the Streets: The origins of the civil rights movement in Northern Ireland&lt;/title&gt;&lt;/titles&gt;&lt;dates&gt;&lt;year&gt;1990&lt;/year&gt;&lt;/dates&gt;&lt;pub-location&gt;Belfast&lt;/pub-location&gt;&lt;publisher&gt;Blackstaff Press Limited&lt;/publisher&gt;&lt;urls&gt;&lt;/urls&gt;&lt;/record&gt;&lt;/Cite&gt;&lt;/EndNote&gt;</w:instrText>
      </w:r>
      <w:r>
        <w:fldChar w:fldCharType="separate"/>
      </w:r>
      <w:r>
        <w:rPr>
          <w:noProof/>
        </w:rPr>
        <w:t xml:space="preserve">Purdie, </w:t>
      </w:r>
      <w:r w:rsidRPr="003D17E7">
        <w:rPr>
          <w:i/>
          <w:noProof/>
        </w:rPr>
        <w:t>Politics in the Streets: The Origins of the Civil Rights Movement in Northern Ireland</w:t>
      </w:r>
      <w:r>
        <w:rPr>
          <w:noProof/>
        </w:rPr>
        <w:t>.</w:t>
      </w:r>
      <w:r>
        <w:fldChar w:fldCharType="end"/>
      </w:r>
    </w:p>
  </w:footnote>
  <w:footnote w:id="287">
    <w:p w14:paraId="57DA85A8" w14:textId="7B38197E"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&lt;EndNote&gt;&lt;Cite&gt;&lt;Author&gt;Purdie&lt;/Author&gt;&lt;Year&gt;1990&lt;/Year&gt;&lt;RecNum&gt;211&lt;/RecNum&gt;&lt;DisplayText&gt;Ibid.&lt;/DisplayText&gt;&lt;record&gt;&lt;rec-number&gt;211&lt;/rec-number&gt;&lt;foreign-keys&gt;&lt;key app="EN" db-id="s0ftft29jf2psaezx93xwz5s00fwpa9avrwv"&gt;211&lt;/key&gt;&lt;/foreign-keys&gt;&lt;ref-type name="Book"&gt;6&lt;/ref-type&gt;&lt;contributors&gt;&lt;authors&gt;&lt;author&gt;Purdie, Bob&lt;/author&gt;&lt;/authors&gt;&lt;/contributors&gt;&lt;titles&gt;&lt;title&gt;Politics in the Streets: The origins of the civil rights movement in Northern Ireland&lt;/title&gt;&lt;/titles&gt;&lt;dates&gt;&lt;year&gt;1990&lt;/year&gt;&lt;/dates&gt;&lt;pub-location&gt;Belfast&lt;/pub-location&gt;&lt;publisher&gt;Blackstaff Press Limited&lt;/publisher&gt;&lt;urls&gt;&lt;/urls&gt;&lt;/record&gt;&lt;/Cite&gt;&lt;/EndNote&gt;</w:instrText>
      </w:r>
      <w:r>
        <w:fldChar w:fldCharType="separate"/>
      </w:r>
      <w:r>
        <w:rPr>
          <w:noProof/>
        </w:rPr>
        <w:t>Ibid.</w:t>
      </w:r>
      <w:r>
        <w:fldChar w:fldCharType="end"/>
      </w:r>
    </w:p>
  </w:footnote>
  <w:footnote w:id="288">
    <w:p w14:paraId="754654DF" w14:textId="70BA3353"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&lt;EndNote&gt;&lt;Cite&gt;&lt;Author&gt;English&lt;/Author&gt;&lt;Year&gt;2003&lt;/Year&gt;&lt;RecNum&gt;197&lt;/RecNum&gt;&lt;DisplayText&gt;English, &lt;style face="italic"&gt;Armed Struggle: The History of the Ira&lt;/style&gt;.&lt;/DisplayText&gt;&lt;record&gt;&lt;rec-number&gt;197&lt;/rec-number&gt;&lt;foreign-keys&gt;&lt;key app="EN" db-id="s0ftft29jf2psaezx93xwz5s00fwpa9avrwv"&gt;197&lt;/key&gt;&lt;/foreign-keys&gt;&lt;ref-type name="Book"&gt;6&lt;/ref-type&gt;&lt;contributors&gt;&lt;authors&gt;&lt;author&gt;English, Richard&lt;/author&gt;&lt;/authors&gt;&lt;/contributors&gt;&lt;titles&gt;&lt;title&gt;Armed Struggle: the History of the IRA&lt;/title&gt;&lt;/titles&gt;&lt;dates&gt;&lt;year&gt;2003&lt;/year&gt;&lt;/dates&gt;&lt;pub-location&gt;London&lt;/pub-location&gt;&lt;publisher&gt;Macmillan&lt;/publisher&gt;&lt;urls&gt;&lt;/urls&gt;&lt;/record&gt;&lt;/Cite&gt;&lt;/EndNote&gt;</w:instrText>
      </w:r>
      <w:r>
        <w:fldChar w:fldCharType="separate"/>
      </w:r>
      <w:r>
        <w:rPr>
          <w:noProof/>
        </w:rPr>
        <w:t xml:space="preserve">English, </w:t>
      </w:r>
      <w:r w:rsidRPr="003D17E7">
        <w:rPr>
          <w:i/>
          <w:noProof/>
        </w:rPr>
        <w:t>Armed Struggle: The History of the Ira</w:t>
      </w:r>
      <w:r>
        <w:rPr>
          <w:noProof/>
        </w:rPr>
        <w:t>.</w:t>
      </w:r>
      <w:r>
        <w:fldChar w:fldCharType="end"/>
      </w:r>
    </w:p>
  </w:footnote>
  <w:footnote w:id="289">
    <w:p w14:paraId="2632DCDC" w14:textId="4F69982E"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290">
    <w:p w14:paraId="084FA27E" w14:textId="004AC7B5"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291">
    <w:p w14:paraId="72196295" w14:textId="311F787E"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p>
  </w:footnote>
  <w:footnote w:id="292">
    <w:p w14:paraId="52E7F1C7" w14:textId="0CE64FAA"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&lt;EndNote&gt;&lt;Cite&gt;&lt;Author&gt;O&amp;apos;Leary&lt;/Author&gt;&lt;Year&gt;1996&lt;/Year&gt;&lt;RecNum&gt;212&lt;/RecNum&gt;&lt;DisplayText&gt;O&amp;apos;Leary and McGarry, &lt;style face="italic"&gt;The Politics of Antagonism: Understanding Northern Ireland&lt;/style&gt;.&lt;/DisplayText&gt;&lt;record&gt;&lt;rec-number&gt;212&lt;/rec-number&gt;&lt;foreign-keys&gt;&lt;key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Press&lt;/publisher&gt;&lt;urls&gt;&lt;/urls&gt;&lt;/record&gt;&lt;/Cite&gt;&lt;/EndNote&gt;</w:instrText>
      </w:r>
      <w:r>
        <w:fldChar w:fldCharType="separate"/>
      </w:r>
      <w:r>
        <w:rPr>
          <w:noProof/>
        </w:rPr>
        <w:t xml:space="preserve">O'Leary and McGarry, </w:t>
      </w:r>
      <w:r w:rsidRPr="003D17E7">
        <w:rPr>
          <w:i/>
          <w:noProof/>
        </w:rPr>
        <w:t>The Politics of Antagonism: Understanding Northern Ireland</w:t>
      </w:r>
      <w:r>
        <w:rPr>
          <w:noProof/>
        </w:rPr>
        <w:t>.</w:t>
      </w:r>
      <w:r>
        <w:fldChar w:fldCharType="end"/>
      </w:r>
    </w:p>
  </w:footnote>
  <w:footnote w:id="293">
    <w:p w14:paraId="27333EAE" w14:textId="3B700C8D"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&lt;EndNote&gt;&lt;Cite&gt;&lt;Author&gt;Pat Coogan&lt;/Author&gt;&lt;Year&gt;1995&lt;/Year&gt;&lt;RecNum&gt;202&lt;/RecNum&gt;&lt;DisplayText&gt;Pat Coogan, &lt;style face="italic"&gt;The Troubles: Ireland&amp;apos;s Ordeal 1966-1995 and the Search for Peace&lt;/style&gt;.&lt;/DisplayText&gt;&lt;record&gt;&lt;rec-number&gt;202&lt;/rec-number&gt;&lt;foreign-keys&gt;&lt;key app="EN" db-id="s0ftft29jf2psaezx93xwz5s00fwpa9avrwv"&gt;202&lt;/key&gt;&lt;/foreign-keys&gt;&lt;ref-type name="Book"&gt;6&lt;/ref-type&gt;&lt;contributors&gt;&lt;authors&gt;&lt;author&gt;Pat Coogan, Tim&lt;/author&gt;&lt;/authors&gt;&lt;/contributors&gt;&lt;titles&gt;&lt;title&gt;The Troubles: Ireland&amp;apos;s Ordeal 1966-1995 and the Search for Peace&lt;/title&gt;&lt;/titles&gt;&lt;dates&gt;&lt;year&gt;1995&lt;/year&gt;&lt;/dates&gt;&lt;pub-location&gt;London&lt;/pub-location&gt;&lt;publisher&gt;Hutchinson&lt;/publisher&gt;&lt;urls&gt;&lt;/urls&gt;&lt;/record&gt;&lt;/Cite&gt;&lt;/EndNote&gt;</w:instrText>
      </w:r>
      <w:r>
        <w:fldChar w:fldCharType="separate"/>
      </w:r>
      <w:r>
        <w:rPr>
          <w:noProof/>
        </w:rPr>
        <w:t xml:space="preserve">Pat Coogan, </w:t>
      </w:r>
      <w:r w:rsidRPr="003D17E7">
        <w:rPr>
          <w:i/>
          <w:noProof/>
        </w:rPr>
        <w:t>The Troubles: Ireland's Ordeal 1966-1995 and the Search for Peace</w:t>
      </w:r>
      <w:r>
        <w:rPr>
          <w:noProof/>
        </w:rPr>
        <w:t>.</w:t>
      </w:r>
      <w:r>
        <w:fldChar w:fldCharType="end"/>
      </w:r>
    </w:p>
  </w:footnote>
  <w:footnote w:id="294">
    <w:p w14:paraId="73F85573" w14:textId="072D7D13"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&lt;EndNote&gt;&lt;Cite&gt;&lt;Author&gt;Dingley&lt;/Author&gt;&lt;Year&gt;2009&lt;/Year&gt;&lt;RecNum&gt;209&lt;/RecNum&gt;&lt;DisplayText&gt;Dingley, &amp;quot;Northern Ireland and the &amp;apos;Troubles&amp;apos;.&amp;quot;&lt;/DisplayText&gt;&lt;record&gt;&lt;rec-number&gt;209&lt;/rec-number&gt;&lt;foreign-keys&gt;&lt;key app="EN" db-id="s0ftft29jf2psaezx93xwz5s00fwpa9avrwv"&gt;209&lt;/key&gt;&lt;/foreign-keys&gt;&lt;ref-type name="Book Section"&gt;5&lt;/ref-type&gt;&lt;contributors&gt;&lt;authors&gt;&lt;author&gt;Dingley, James&lt;/author&gt;&lt;/authors&gt;&lt;secondary-authors&gt;&lt;author&gt;Davis, Darren&lt;/author&gt;&lt;/secondary-authors&gt;&lt;/contributors&gt;&lt;titles&gt;&lt;title&gt;Northern Ireland and the &amp;apos;troubles&amp;apos;&lt;/title&gt;&lt;secondary-title&gt;Combating Terrorism in Northern Ireland&lt;/secondary-title&gt;&lt;/titles&gt;&lt;dates&gt;&lt;year&gt;2009&lt;/year&gt;&lt;/dates&gt;&lt;pub-location&gt;Abingdon&lt;/pub-location&gt;&lt;publisher&gt;Routledge&lt;/publisher&gt;&lt;urls&gt;&lt;/urls&gt;&lt;/record&gt;&lt;/Cite&gt;&lt;/EndNote&gt;</w:instrText>
      </w:r>
      <w:r>
        <w:fldChar w:fldCharType="separate"/>
      </w:r>
      <w:r>
        <w:rPr>
          <w:noProof/>
        </w:rPr>
        <w:t>Dingley, "Northern Ireland and the 'Troubles'."</w:t>
      </w:r>
      <w:r>
        <w:fldChar w:fldCharType="end"/>
      </w:r>
    </w:p>
  </w:footnote>
  <w:footnote w:id="295">
    <w:p w14:paraId="18F31E7B" w14:textId="581C51DA"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&lt;EndNote&gt;&lt;Cite&gt;&lt;Author&gt;Birrell&lt;/Author&gt;&lt;Year&gt;1972&lt;/Year&gt;&lt;RecNum&gt;271&lt;/RecNum&gt;&lt;DisplayText&gt;Derek Birrell, &amp;quot;Relative Deprivation as a Factor in Conflict in Northern Ireland,&amp;quot; &lt;style face="italic"&gt;The Sociological Review&lt;/style&gt; 20 (3)(1972).&lt;/DisplayText&gt;&lt;record&gt;&lt;rec-number&gt;271&lt;/rec-number&gt;&lt;foreign-keys&gt;&lt;key app="EN" db-id="s0ftft29jf2psaezx93xwz5s00fwpa9avrwv"&gt;271&lt;/key&gt;&lt;/foreign-keys&gt;&lt;ref-type name="Journal Article"&gt;17&lt;/ref-type&gt;&lt;contributors&gt;&lt;authors&gt;&lt;author&gt;Birrell, Derek&lt;/author&gt;&lt;/authors&gt;&lt;/contributors&gt;&lt;titles&gt;&lt;title&gt;Relative Deprivation as a Factor in Conflict in Northern Ireland&lt;/title&gt;&lt;secondary-title&gt;The Sociological Review&lt;/secondary-title&gt;&lt;/titles&gt;&lt;pages&gt;pp. 317-343&lt;/pages&gt;&lt;volume&gt;20 (3)&lt;/volume&gt;&lt;dates&gt;&lt;year&gt;1972&lt;/year&gt;&lt;/dates&gt;&lt;urls&gt;&lt;/urls&gt;&lt;/record&gt;&lt;/Cite&gt;&lt;/EndNote&gt;</w:instrText>
      </w:r>
      <w:r>
        <w:fldChar w:fldCharType="separate"/>
      </w:r>
      <w:r>
        <w:rPr>
          <w:noProof/>
        </w:rPr>
        <w:t xml:space="preserve">Derek Birrell, "Relative Deprivation as a Factor in Conflict in Northern Ireland," </w:t>
      </w:r>
      <w:r w:rsidRPr="003D17E7">
        <w:rPr>
          <w:i/>
          <w:noProof/>
        </w:rPr>
        <w:t>The Sociological Review</w:t>
      </w:r>
      <w:r>
        <w:rPr>
          <w:noProof/>
        </w:rPr>
        <w:t xml:space="preserve"> 20 (3)(1972).</w:t>
      </w:r>
      <w:r>
        <w:fldChar w:fldCharType="end"/>
      </w:r>
    </w:p>
  </w:footnote>
  <w:footnote w:id="296">
    <w:p w14:paraId="41E51858" w14:textId="7148ACD1"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&lt;EndNote&gt;&lt;Cite&gt;&lt;Author&gt;Tonge&lt;/Author&gt;&lt;Year&gt;2002&lt;/Year&gt;&lt;RecNum&gt;196&lt;/RecNum&gt;&lt;DisplayText&gt;Jonathan Tonge, &lt;style face="italic"&gt;Northern Ireland: Conflict and Change&lt;/style&gt;  (Essex: Pearson Education Limited, 2002).&lt;/DisplayText&gt;&lt;record&gt;&lt;rec-number&gt;196&lt;/rec-number&gt;&lt;foreign-keys&gt;&lt;key app="EN" db-id="s0ftft29jf2psaezx93xwz5s00fwpa9avrwv"&gt;196&lt;/key&gt;&lt;/foreign-keys&gt;&lt;ref-type name="Book"&gt;6&lt;/ref-type&gt;&lt;contributors&gt;&lt;authors&gt;&lt;author&gt;Tonge, Jonathan&lt;/author&gt;&lt;/authors&gt;&lt;/contributors&gt;&lt;titles&gt;&lt;title&gt;Northern Ireland: Conflict and Change&lt;/title&gt;&lt;/titles&gt;&lt;dates&gt;&lt;year&gt;2002&lt;/year&gt;&lt;/dates&gt;&lt;pub-location&gt;Essex&lt;/pub-location&gt;&lt;publisher&gt;Pearson Education Limited&lt;/publisher&gt;&lt;urls&gt;&lt;/urls&gt;&lt;/record&gt;&lt;/Cite&gt;&lt;/EndNote&gt;</w:instrText>
      </w:r>
      <w:r>
        <w:fldChar w:fldCharType="separate"/>
      </w:r>
      <w:r>
        <w:rPr>
          <w:noProof/>
        </w:rPr>
        <w:t xml:space="preserve">Jonathan Tonge, </w:t>
      </w:r>
      <w:r w:rsidRPr="001D734C">
        <w:rPr>
          <w:i/>
          <w:noProof/>
        </w:rPr>
        <w:t>Northern Ireland: Conflict and Change</w:t>
      </w:r>
      <w:r>
        <w:rPr>
          <w:noProof/>
        </w:rPr>
        <w:t xml:space="preserve">  (Essex: Pearson Education Limited, 2002).</w:t>
      </w:r>
      <w:r>
        <w:fldChar w:fldCharType="end"/>
      </w:r>
      <w:r>
        <w:t xml:space="preserve"> </w:t>
      </w:r>
    </w:p>
  </w:footnote>
  <w:footnote w:id="297">
    <w:p w14:paraId="0CE3C2A3" w14:textId="1BCB00BD"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&lt;EndNote&gt;&lt;Cite&gt;&lt;Author&gt;O&amp;apos;Leary&lt;/Author&gt;&lt;Year&gt;1996&lt;/Year&gt;&lt;RecNum&gt;212&lt;/RecNum&gt;&lt;DisplayText&gt;O&amp;apos;Leary and McGarry, &lt;style face="italic"&gt;The Politics of Antagonism: Understanding Northern Ireland&lt;/style&gt;.&lt;/DisplayText&gt;&lt;record&gt;&lt;rec-number&gt;212&lt;/rec-number&gt;&lt;foreign-keys&gt;&lt;key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Press&lt;/publisher&gt;&lt;urls&gt;&lt;/urls&gt;&lt;/record&gt;&lt;/Cite&gt;&lt;/EndNote&gt;</w:instrText>
      </w:r>
      <w:r>
        <w:fldChar w:fldCharType="separate"/>
      </w:r>
      <w:r>
        <w:rPr>
          <w:noProof/>
        </w:rPr>
        <w:t xml:space="preserve">O'Leary and McGarry, </w:t>
      </w:r>
      <w:r w:rsidRPr="003D17E7">
        <w:rPr>
          <w:i/>
          <w:noProof/>
        </w:rPr>
        <w:t>The Politics of Antagonism: Understanding Northern Ireland</w:t>
      </w:r>
      <w:r>
        <w:rPr>
          <w:noProof/>
        </w:rPr>
        <w:t>.</w:t>
      </w:r>
      <w:r>
        <w:fldChar w:fldCharType="end"/>
      </w:r>
    </w:p>
  </w:footnote>
  <w:footnote w:id="298">
    <w:p w14:paraId="18AE9274" w14:textId="2C479689"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&lt;EndNote&gt;&lt;Cite&gt;&lt;Author&gt;Purdie&lt;/Author&gt;&lt;Year&gt;1990&lt;/Year&gt;&lt;RecNum&gt;211&lt;/RecNum&gt;&lt;DisplayText&gt;Purdie, &lt;style face="italic"&gt;Politics in the Streets: The Origins of the Civil Rights Movement in Northern Ireland&lt;/style&gt;.&lt;/DisplayText&gt;&lt;record&gt;&lt;rec-number&gt;211&lt;/rec-number&gt;&lt;foreign-keys&gt;&lt;key app="EN" db-id="s0ftft29jf2psaezx93xwz5s00fwpa9avrwv"&gt;211&lt;/key&gt;&lt;/foreign-keys&gt;&lt;ref-type name="Book"&gt;6&lt;/ref-type&gt;&lt;contributors&gt;&lt;authors&gt;&lt;author&gt;Purdie, Bob&lt;/author&gt;&lt;/authors&gt;&lt;/contributors&gt;&lt;titles&gt;&lt;title&gt;Politics in the Streets: The origins of the civil rights movement in Northern Ireland&lt;/title&gt;&lt;/titles&gt;&lt;dates&gt;&lt;year&gt;1990&lt;/year&gt;&lt;/dates&gt;&lt;pub-location&gt;Belfast&lt;/pub-location&gt;&lt;publisher&gt;Blackstaff Press Limited&lt;/publisher&gt;&lt;urls&gt;&lt;/urls&gt;&lt;/record&gt;&lt;/Cite&gt;&lt;/EndNote&gt;</w:instrText>
      </w:r>
      <w:r>
        <w:fldChar w:fldCharType="separate"/>
      </w:r>
      <w:r>
        <w:rPr>
          <w:noProof/>
        </w:rPr>
        <w:t xml:space="preserve">Purdie, </w:t>
      </w:r>
      <w:r w:rsidRPr="003D17E7">
        <w:rPr>
          <w:i/>
          <w:noProof/>
        </w:rPr>
        <w:t>Politics in the Streets: The Origins of the Civil Rights Movement in Northern Ireland</w:t>
      </w:r>
      <w:r>
        <w:rPr>
          <w:noProof/>
        </w:rPr>
        <w:t>.</w:t>
      </w:r>
      <w:r>
        <w:fldChar w:fldCharType="end"/>
      </w:r>
    </w:p>
  </w:footnote>
  <w:footnote w:id="299">
    <w:p w14:paraId="7C351832" w14:textId="77777777" w:rsidR="007A04F6" w:rsidRDefault="007A04F6" w:rsidP="0015068F">
      <w:pPr>
        <w:pStyle w:val="FootnoteText"/>
      </w:pPr>
      <w:r>
        <w:rPr>
          <w:rStyle w:val="FootnoteReference"/>
        </w:rPr>
        <w:footnoteRef/>
      </w:r>
      <w:r>
        <w:t xml:space="preserve"> The Unionist narrative tends to blur these distinctions.</w:t>
      </w:r>
    </w:p>
  </w:footnote>
  <w:footnote w:id="300">
    <w:p w14:paraId="1BEE2EE0" w14:textId="7C4FE776"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01">
    <w:p w14:paraId="1B8912D5" w14:textId="77777777" w:rsidR="007A04F6" w:rsidRDefault="007A04F6" w:rsidP="0015068F">
      <w:pPr>
        <w:pStyle w:val="FootnoteText"/>
      </w:pPr>
      <w:r>
        <w:rPr>
          <w:rStyle w:val="FootnoteReference"/>
        </w:rPr>
        <w:footnoteRef/>
      </w:r>
      <w:r>
        <w:t xml:space="preserve"> Thus when English and Dixon refer to a rise in the IRA membership in the 1960s, it implies a growing resurgence in militancy however it fails to acknowledge the level of control the leaders had and the fact that the new members reconstituted the organisation’s approach.</w:t>
      </w:r>
    </w:p>
  </w:footnote>
  <w:footnote w:id="302">
    <w:p w14:paraId="74A4257B" w14:textId="3140337B"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&lt;EndNote&gt;&lt;Cite&gt;&lt;Author&gt;Tonge&lt;/Author&gt;&lt;Year&gt;2002&lt;/Year&gt;&lt;RecNum&gt;196&lt;/RecNum&gt;&lt;DisplayText&gt;Tonge, &lt;style face="italic"&gt;Northern Ireland: Conflict and Change&lt;/style&gt;.&lt;/DisplayText&gt;&lt;record&gt;&lt;rec-number&gt;196&lt;/rec-number&gt;&lt;foreign-keys&gt;&lt;key app="EN" db-id="s0ftft29jf2psaezx93xwz5s00fwpa9avrwv"&gt;196&lt;/key&gt;&lt;/foreign-keys&gt;&lt;ref-type name="Book"&gt;6&lt;/ref-type&gt;&lt;contributors&gt;&lt;authors&gt;&lt;author&gt;Tonge, Jonathan&lt;/author&gt;&lt;/authors&gt;&lt;/contributors&gt;&lt;titles&gt;&lt;title&gt;Northern Ireland: Conflict and Change&lt;/title&gt;&lt;/titles&gt;&lt;dates&gt;&lt;year&gt;2002&lt;/year&gt;&lt;/dates&gt;&lt;pub-location&gt;Essex&lt;/pub-location&gt;&lt;publisher&gt;Pearson Education Limited&lt;/publisher&gt;&lt;urls&gt;&lt;/urls&gt;&lt;/record&gt;&lt;/Cite&gt;&lt;/EndNote&gt;</w:instrText>
      </w:r>
      <w:r>
        <w:fldChar w:fldCharType="separate"/>
      </w:r>
      <w:r>
        <w:rPr>
          <w:noProof/>
        </w:rPr>
        <w:t xml:space="preserve">Tonge, </w:t>
      </w:r>
      <w:r w:rsidRPr="003D17E7">
        <w:rPr>
          <w:i/>
          <w:noProof/>
        </w:rPr>
        <w:t>Northern Ireland: Conflict and Change</w:t>
      </w:r>
      <w:r>
        <w:rPr>
          <w:noProof/>
        </w:rPr>
        <w:t>.</w:t>
      </w:r>
      <w:r>
        <w:fldChar w:fldCharType="end"/>
      </w:r>
    </w:p>
  </w:footnote>
  <w:footnote w:id="303">
    <w:p w14:paraId="583ED10D" w14:textId="33F96BE7"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&lt;EndNote&gt;&lt;Cite&gt;&lt;Author&gt;Hennessey&lt;/Author&gt;&lt;Year&gt;2005&lt;/Year&gt;&lt;RecNum&gt;198&lt;/RecNum&gt;&lt;DisplayText&gt;Thomas Hennessey, &lt;style face="italic"&gt;Northern Ireland: The Origins of the Troubles&lt;/style&gt;  (Dublin: Gill &amp;amp; Macmillan Ltd, 2005).&lt;/DisplayText&gt;&lt;record&gt;&lt;rec-number&gt;198&lt;/rec-number&gt;&lt;foreign-keys&gt;&lt;key app="EN" db-id="s0ftft29jf2psaezx93xwz5s00fwpa9avrwv"&gt;198&lt;/key&gt;&lt;/foreign-keys&gt;&lt;ref-type name="Book"&gt;6&lt;/ref-type&gt;&lt;contributors&gt;&lt;authors&gt;&lt;author&gt;Hennessey, Thomas&lt;/author&gt;&lt;/authors&gt;&lt;/contributors&gt;&lt;titles&gt;&lt;title&gt;Northern Ireland: The Origins of the Troubles&lt;/title&gt;&lt;/titles&gt;&lt;dates&gt;&lt;year&gt;2005&lt;/year&gt;&lt;/dates&gt;&lt;pub-location&gt;Dublin&lt;/pub-location&gt;&lt;publisher&gt;Gill &amp;amp; Macmillan Ltd&lt;/publisher&gt;&lt;urls&gt;&lt;/urls&gt;&lt;/record&gt;&lt;/Cite&gt;&lt;/EndNote&gt;</w:instrText>
      </w:r>
      <w:r>
        <w:fldChar w:fldCharType="separate"/>
      </w:r>
      <w:r>
        <w:rPr>
          <w:noProof/>
        </w:rPr>
        <w:t xml:space="preserve">Thomas Hennessey, </w:t>
      </w:r>
      <w:r w:rsidRPr="001D734C">
        <w:rPr>
          <w:i/>
          <w:noProof/>
        </w:rPr>
        <w:t>Northern Ireland: The Origins of the Troubles</w:t>
      </w:r>
      <w:r>
        <w:rPr>
          <w:noProof/>
        </w:rPr>
        <w:t xml:space="preserve">  (Dublin: Gill &amp; Macmillan Ltd, 2005).</w:t>
      </w:r>
      <w:r>
        <w:fldChar w:fldCharType="end"/>
      </w:r>
    </w:p>
  </w:footnote>
  <w:footnote w:id="304">
    <w:p w14:paraId="7CE6B2D1" w14:textId="5A0304A6"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&lt;EndNote&gt;&lt;Cite&gt;&lt;Author&gt;O&amp;apos;Leary&lt;/Author&gt;&lt;Year&gt;1996&lt;/Year&gt;&lt;RecNum&gt;212&lt;/RecNum&gt;&lt;DisplayText&gt;O&amp;apos;Leary and McGarry, &lt;style face="italic"&gt;The Politics of Antagonism: Understanding Northern Ireland&lt;/style&gt;.&lt;/DisplayText&gt;&lt;record&gt;&lt;rec-number&gt;212&lt;/rec-number&gt;&lt;foreign-keys&gt;&lt;key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Press&lt;/publisher&gt;&lt;urls&gt;&lt;/urls&gt;&lt;/record&gt;&lt;/Cite&gt;&lt;/EndNote&gt;</w:instrText>
      </w:r>
      <w:r>
        <w:fldChar w:fldCharType="separate"/>
      </w:r>
      <w:r>
        <w:rPr>
          <w:noProof/>
        </w:rPr>
        <w:t xml:space="preserve">O'Leary and McGarry, </w:t>
      </w:r>
      <w:r w:rsidRPr="003D17E7">
        <w:rPr>
          <w:i/>
          <w:noProof/>
        </w:rPr>
        <w:t>The Politics of Antagonism: Understanding Northern Ireland</w:t>
      </w:r>
      <w:r>
        <w:rPr>
          <w:noProof/>
        </w:rPr>
        <w:t>.</w:t>
      </w:r>
      <w:r>
        <w:fldChar w:fldCharType="end"/>
      </w:r>
      <w:r>
        <w:t xml:space="preserve"> </w:t>
      </w:r>
      <w:r w:rsidRPr="00A819D6">
        <w:rPr>
          <w:rFonts w:cs="Times New Roman"/>
          <w:sz w:val="24"/>
          <w:szCs w:val="24"/>
        </w:rPr>
        <w:t>170</w:t>
      </w:r>
    </w:p>
  </w:footnote>
  <w:footnote w:id="305">
    <w:p w14:paraId="3966E6A0" w14:textId="77777777" w:rsidR="007A04F6" w:rsidRDefault="007A04F6" w:rsidP="0015068F">
      <w:pPr>
        <w:pStyle w:val="FootnoteText"/>
      </w:pPr>
      <w:r>
        <w:rPr>
          <w:rStyle w:val="FootnoteReference"/>
        </w:rPr>
        <w:footnoteRef/>
      </w:r>
      <w:r>
        <w:t xml:space="preserve"> Election leafleting was also far less arduous than stewarding too.</w:t>
      </w:r>
    </w:p>
  </w:footnote>
  <w:footnote w:id="306">
    <w:p w14:paraId="3BAA54C7" w14:textId="484B9DD5" w:rsidR="007A04F6" w:rsidRPr="001D734C" w:rsidRDefault="007A04F6" w:rsidP="0015068F">
      <w:pPr>
        <w:pStyle w:val="FootnoteText"/>
        <w:rPr>
          <w:highlight w:val="yellow"/>
        </w:rPr>
      </w:pPr>
      <w:r>
        <w:rPr>
          <w:rStyle w:val="FootnoteReference"/>
        </w:rPr>
        <w:footnoteRef/>
      </w:r>
      <w:r>
        <w:t xml:space="preserve"> </w:t>
      </w:r>
      <w:r>
        <w:fldChar w:fldCharType="begin"/>
      </w:r>
      <w:r>
        <w:instrText xml:space="preserve"> ADDIN EN.CITE &lt;EndNote&gt;&lt;Cite&gt;&lt;Author&gt;O&amp;apos;Dochartaigh&lt;/Author&gt;&lt;Year&gt;2005&lt;/Year&gt;&lt;RecNum&gt;272&lt;/RecNum&gt;&lt;DisplayText&gt;Niall O&amp;apos;Dochartaigh, &lt;style face="italic"&gt;From Civil Rights to Armalites: Derry and the Birth of the Irish Troubles&lt;/style&gt;  (Hampshire: Palgrave Macmillan, 2005).&lt;/DisplayText&gt;&lt;record&gt;&lt;rec-number&gt;272&lt;/rec-number&gt;&lt;foreign-keys&gt;&lt;key app="EN" db-id="s0ftft29jf2psaezx93xwz5s00fwpa9avrwv"&gt;272&lt;/key&gt;&lt;/foreign-keys&gt;&lt;ref-type name="Book"&gt;6&lt;/ref-type&gt;&lt;contributors&gt;&lt;authors&gt;&lt;author&gt;O&amp;apos;Dochartaigh, Niall&lt;/author&gt;&lt;/authors&gt;&lt;/contributors&gt;&lt;titles&gt;&lt;title&gt;From Civil Rights to Armalites: Derry and the Birth of the Irish Troubles&lt;/title&gt;&lt;/titles&gt;&lt;dates&gt;&lt;year&gt;2005&lt;/year&gt;&lt;/dates&gt;&lt;pub-location&gt;Hampshire&lt;/pub-location&gt;&lt;publisher&gt;Palgrave Macmillan&lt;/publisher&gt;&lt;urls&gt;&lt;/urls&gt;&lt;/record&gt;&lt;/Cite&gt;&lt;/EndNote&gt;</w:instrText>
      </w:r>
      <w:r>
        <w:fldChar w:fldCharType="separate"/>
      </w:r>
      <w:r>
        <w:rPr>
          <w:noProof/>
        </w:rPr>
        <w:t xml:space="preserve">Niall O'Dochartaigh, </w:t>
      </w:r>
      <w:r w:rsidRPr="00CA1296">
        <w:rPr>
          <w:i/>
          <w:noProof/>
        </w:rPr>
        <w:t>From Civil Rights to Armalites: Derry and the Birth of the Irish Troubles</w:t>
      </w:r>
      <w:r>
        <w:rPr>
          <w:noProof/>
        </w:rPr>
        <w:t xml:space="preserve">  (Hampshire: Palgrave Macmillan, 2005).</w:t>
      </w:r>
      <w:r>
        <w:fldChar w:fldCharType="end"/>
      </w:r>
    </w:p>
  </w:footnote>
  <w:footnote w:id="307">
    <w:p w14:paraId="1083292B" w14:textId="60FE56F8" w:rsidR="007A04F6" w:rsidRDefault="007A04F6" w:rsidP="0015068F">
      <w:pPr>
        <w:pStyle w:val="FootnoteText"/>
      </w:pPr>
      <w:r w:rsidRPr="00CA1296">
        <w:rPr>
          <w:rStyle w:val="FootnoteReference"/>
        </w:rPr>
        <w:footnoteRef/>
      </w:r>
      <w:r w:rsidRPr="00CA1296">
        <w:t xml:space="preserve"> </w:t>
      </w:r>
      <w:r>
        <w:fldChar w:fldCharType="begin"/>
      </w:r>
      <w:r>
        <w:instrText xml:space="preserve"> ADDIN EN.CITE &lt;EndNote&gt;&lt;Cite&gt;&lt;Author&gt;O&amp;apos;Dochartaigh&lt;/Author&gt;&lt;Year&gt;2005&lt;/Year&gt;&lt;RecNum&gt;272&lt;/RecNum&gt;&lt;DisplayText&gt;Ibid.&lt;/DisplayText&gt;&lt;record&gt;&lt;rec-number&gt;272&lt;/rec-number&gt;&lt;foreign-keys&gt;&lt;key app="EN" db-id="s0ftft29jf2psaezx93xwz5s00fwpa9avrwv"&gt;272&lt;/key&gt;&lt;/foreign-keys&gt;&lt;ref-type name="Book"&gt;6&lt;/ref-type&gt;&lt;contributors&gt;&lt;authors&gt;&lt;author&gt;O&amp;apos;Dochartaigh, Niall&lt;/author&gt;&lt;/authors&gt;&lt;/contributors&gt;&lt;titles&gt;&lt;title&gt;From Civil Rights to Armalites: Derry and the Birth of the Irish Troubles&lt;/title&gt;&lt;/titles&gt;&lt;dates&gt;&lt;year&gt;2005&lt;/year&gt;&lt;/dates&gt;&lt;pub-location&gt;Hampshire&lt;/pub-location&gt;&lt;publisher&gt;Palgrave Macmillan&lt;/publisher&gt;&lt;urls&gt;&lt;/urls&gt;&lt;/record&gt;&lt;/Cite&gt;&lt;/EndNote&gt;</w:instrText>
      </w:r>
      <w:r>
        <w:fldChar w:fldCharType="separate"/>
      </w:r>
      <w:r>
        <w:rPr>
          <w:noProof/>
        </w:rPr>
        <w:t>Ibid.</w:t>
      </w:r>
      <w:r>
        <w:fldChar w:fldCharType="end"/>
      </w:r>
    </w:p>
  </w:footnote>
  <w:footnote w:id="308">
    <w:p w14:paraId="12CF060E" w14:textId="77777777" w:rsidR="007A04F6" w:rsidRDefault="007A04F6" w:rsidP="0015068F">
      <w:pPr>
        <w:pStyle w:val="FootnoteText"/>
      </w:pPr>
      <w:r>
        <w:rPr>
          <w:rStyle w:val="FootnoteReference"/>
        </w:rPr>
        <w:footnoteRef/>
      </w:r>
      <w:r>
        <w:t xml:space="preserve"> Many of those interned were not involved in the IRA, but upon their release they were more likely to become involved. </w:t>
      </w:r>
    </w:p>
  </w:footnote>
  <w:footnote w:id="309">
    <w:p w14:paraId="2B27F9BD" w14:textId="77777777" w:rsidR="007A04F6" w:rsidRDefault="007A04F6" w:rsidP="0015068F">
      <w:pPr>
        <w:pStyle w:val="FootnoteText"/>
      </w:pPr>
      <w:r>
        <w:rPr>
          <w:rStyle w:val="FootnoteReference"/>
        </w:rPr>
        <w:footnoteRef/>
      </w:r>
      <w:r>
        <w:t xml:space="preserve"> Interview, Former Provisional IRA Member 5, Belfast, 3rd September 2013</w:t>
      </w:r>
    </w:p>
  </w:footnote>
  <w:footnote w:id="310">
    <w:p w14:paraId="37A49968" w14:textId="0DD49DDC" w:rsidR="007A04F6" w:rsidRPr="001D734C" w:rsidRDefault="007A04F6" w:rsidP="0015068F">
      <w:pPr>
        <w:pStyle w:val="FootnoteText"/>
        <w:rPr>
          <w:highlight w:val="yellow"/>
        </w:rPr>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11">
    <w:p w14:paraId="409E0B24" w14:textId="132BF8F3" w:rsidR="007A04F6" w:rsidRPr="001D734C" w:rsidRDefault="007A04F6" w:rsidP="0015068F">
      <w:pPr>
        <w:pStyle w:val="FootnoteText"/>
        <w:rPr>
          <w:highlight w:val="yellow"/>
        </w:rPr>
      </w:pPr>
      <w:r w:rsidRPr="00CA1296">
        <w:rPr>
          <w:rStyle w:val="FootnoteReference"/>
        </w:rPr>
        <w:footnoteRef/>
      </w:r>
      <w:r w:rsidRPr="00CA1296">
        <w:t xml:space="preserve"> </w:t>
      </w:r>
      <w:r>
        <w:fldChar w:fldCharType="begin"/>
      </w:r>
      <w:r>
        <w:instrText xml:space="preserve"> ADDIN EN.CITE &lt;EndNote&gt;&lt;Cite&gt;&lt;Author&gt;Molone&lt;/Author&gt;&lt;Year&gt;2002&lt;/Year&gt;&lt;RecNum&gt;270&lt;/RecNum&gt;&lt;DisplayText&gt;Ibid.&lt;/DisplayText&gt;&lt;record&gt;&lt;rec-number&gt;270&lt;/rec-number&gt;&lt;foreign-keys&gt;&lt;key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Ibid.</w:t>
      </w:r>
      <w:r>
        <w:fldChar w:fldCharType="end"/>
      </w:r>
    </w:p>
  </w:footnote>
  <w:footnote w:id="312">
    <w:p w14:paraId="0A1E2E30" w14:textId="23B20845" w:rsidR="007A04F6" w:rsidRDefault="007A04F6" w:rsidP="0015068F">
      <w:pPr>
        <w:pStyle w:val="FootnoteText"/>
      </w:pPr>
      <w:r w:rsidRPr="00CA1296">
        <w:rPr>
          <w:rStyle w:val="FootnoteReference"/>
        </w:rPr>
        <w:footnoteRef/>
      </w:r>
      <w:r w:rsidRPr="00CA1296">
        <w:t xml:space="preserve"> </w:t>
      </w:r>
      <w:r>
        <w:fldChar w:fldCharType="begin"/>
      </w:r>
      <w:r>
        <w:instrText xml:space="preserve"> ADDIN EN.CITE &lt;EndNote&gt;&lt;Cite&gt;&lt;Author&gt;O&amp;apos;Dochartaigh&lt;/Author&gt;&lt;Year&gt;2005&lt;/Year&gt;&lt;RecNum&gt;272&lt;/RecNum&gt;&lt;DisplayText&gt;O&amp;apos;Dochartaigh, &lt;style face="italic"&gt;From Civil Rights to Armalites: Derry and the Birth of the Irish Troubles&lt;/style&gt;.&lt;/DisplayText&gt;&lt;record&gt;&lt;rec-number&gt;272&lt;/rec-number&gt;&lt;foreign-keys&gt;&lt;key app="EN" db-id="s0ftft29jf2psaezx93xwz5s00fwpa9avrwv"&gt;272&lt;/key&gt;&lt;/foreign-keys&gt;&lt;ref-type name="Book"&gt;6&lt;/ref-type&gt;&lt;contributors&gt;&lt;authors&gt;&lt;author&gt;O&amp;apos;Dochartaigh, Niall&lt;/author&gt;&lt;/authors&gt;&lt;/contributors&gt;&lt;titles&gt;&lt;title&gt;From Civil Rights to Armalites: Derry and the Birth of the Irish Troubles&lt;/title&gt;&lt;/titles&gt;&lt;dates&gt;&lt;year&gt;2005&lt;/year&gt;&lt;/dates&gt;&lt;pub-location&gt;Hampshire&lt;/pub-location&gt;&lt;publisher&gt;Palgrave Macmillan&lt;/publisher&gt;&lt;urls&gt;&lt;/urls&gt;&lt;/record&gt;&lt;/Cite&gt;&lt;/EndNote&gt;</w:instrText>
      </w:r>
      <w:r>
        <w:fldChar w:fldCharType="separate"/>
      </w:r>
      <w:r>
        <w:rPr>
          <w:noProof/>
        </w:rPr>
        <w:t xml:space="preserve">O'Dochartaigh, </w:t>
      </w:r>
      <w:r w:rsidRPr="003D17E7">
        <w:rPr>
          <w:i/>
          <w:noProof/>
        </w:rPr>
        <w:t>From Civil Rights to Armalites: Derry and the Birth of the Irish Troubles</w:t>
      </w:r>
      <w:r>
        <w:rPr>
          <w:noProof/>
        </w:rPr>
        <w:t>.</w:t>
      </w:r>
      <w:r>
        <w:fldChar w:fldCharType="end"/>
      </w:r>
    </w:p>
  </w:footnote>
  <w:footnote w:id="313">
    <w:p w14:paraId="42DE8D34" w14:textId="6275701C"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r>
        <w:t xml:space="preserve"> pp. 101</w:t>
      </w:r>
    </w:p>
  </w:footnote>
  <w:footnote w:id="314">
    <w:p w14:paraId="6EDBCC58" w14:textId="4A558E64"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&lt;EndNote&gt;&lt;Cite&gt;&lt;Author&gt;English&lt;/Author&gt;&lt;Year&gt;2003&lt;/Year&gt;&lt;RecNum&gt;197&lt;/RecNum&gt;&lt;DisplayText&gt;English, &lt;style face="italic"&gt;Armed Struggle: The History of the Ira&lt;/style&gt;.&lt;/DisplayText&gt;&lt;record&gt;&lt;rec-number&gt;197&lt;/rec-number&gt;&lt;foreign-keys&gt;&lt;key app="EN" db-id="s0ftft29jf2psaezx93xwz5s00fwpa9avrwv"&gt;197&lt;/key&gt;&lt;/foreign-keys&gt;&lt;ref-type name="Book"&gt;6&lt;/ref-type&gt;&lt;contributors&gt;&lt;authors&gt;&lt;author&gt;English, Richard&lt;/author&gt;&lt;/authors&gt;&lt;/contributors&gt;&lt;titles&gt;&lt;title&gt;Armed Struggle: the History of the IRA&lt;/title&gt;&lt;/titles&gt;&lt;dates&gt;&lt;year&gt;2003&lt;/year&gt;&lt;/dates&gt;&lt;pub-location&gt;London&lt;/pub-location&gt;&lt;publisher&gt;Macmillan&lt;/publisher&gt;&lt;urls&gt;&lt;/urls&gt;&lt;/record&gt;&lt;/Cite&gt;&lt;/EndNote&gt;</w:instrText>
      </w:r>
      <w:r>
        <w:fldChar w:fldCharType="separate"/>
      </w:r>
      <w:r>
        <w:rPr>
          <w:noProof/>
        </w:rPr>
        <w:t xml:space="preserve">English, </w:t>
      </w:r>
      <w:r w:rsidRPr="003D17E7">
        <w:rPr>
          <w:i/>
          <w:noProof/>
        </w:rPr>
        <w:t>Armed Struggle: The History of the Ira</w:t>
      </w:r>
      <w:r>
        <w:rPr>
          <w:noProof/>
        </w:rPr>
        <w:t>.</w:t>
      </w:r>
      <w:r>
        <w:fldChar w:fldCharType="end"/>
      </w:r>
      <w:r>
        <w:t xml:space="preserve"> pp. 151-154</w:t>
      </w:r>
    </w:p>
  </w:footnote>
  <w:footnote w:id="315">
    <w:p w14:paraId="013B3E9D" w14:textId="1FF1A757"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&lt;EndNote&gt;&lt;Cite&gt;&lt;Author&gt;Page&lt;/Author&gt;&lt;Year&gt;2000&lt;/Year&gt;&lt;RecNum&gt;273&lt;/RecNum&gt;&lt;DisplayText&gt;Michael Von Tangen Page and M. L. R. Smith, &amp;quot;War by Other Means: The Problem of Political Control in Irish Republican Strategy,&amp;quot; &lt;style face="italic"&gt;Armed Forces and Society&lt;/style&gt; 27 (1)(2000).&lt;/DisplayText&gt;&lt;record&gt;&lt;rec-number&gt;273&lt;/rec-number&gt;&lt;foreign-keys&gt;&lt;key app="EN" db-id="s0ftft29jf2psaezx93xwz5s00fwpa9avrwv"&gt;273&lt;/key&gt;&lt;/foreign-keys&gt;&lt;ref-type name="Journal Article"&gt;17&lt;/ref-type&gt;&lt;contributors&gt;&lt;authors&gt;&lt;author&gt;Page, Michael Von Tangen&lt;/author&gt;&lt;author&gt;Smith, M. L. R.&lt;/author&gt;&lt;/authors&gt;&lt;/contributors&gt;&lt;titles&gt;&lt;title&gt;War by Other Means: The Problem of Political Control in Irish Republican Strategy&lt;/title&gt;&lt;secondary-title&gt;Armed Forces and Society&lt;/secondary-title&gt;&lt;/titles&gt;&lt;pages&gt;pp. 79-104&lt;/pages&gt;&lt;volume&gt;27 (1)&lt;/volume&gt;&lt;dates&gt;&lt;year&gt;2000&lt;/year&gt;&lt;/dates&gt;&lt;urls&gt;&lt;/urls&gt;&lt;/record&gt;&lt;/Cite&gt;&lt;/EndNote&gt;</w:instrText>
      </w:r>
      <w:r>
        <w:fldChar w:fldCharType="separate"/>
      </w:r>
      <w:r>
        <w:rPr>
          <w:noProof/>
        </w:rPr>
        <w:t xml:space="preserve">Michael Von Tangen Page and M. L. R. Smith, "War by Other Means: The Problem of Political Control in Irish Republican Strategy," </w:t>
      </w:r>
      <w:r w:rsidRPr="003D17E7">
        <w:rPr>
          <w:i/>
          <w:noProof/>
        </w:rPr>
        <w:t>Armed Forces and Society</w:t>
      </w:r>
      <w:r>
        <w:rPr>
          <w:noProof/>
        </w:rPr>
        <w:t xml:space="preserve"> 27 (1)(2000).</w:t>
      </w:r>
      <w:r>
        <w:fldChar w:fldCharType="end"/>
      </w:r>
    </w:p>
  </w:footnote>
  <w:footnote w:id="316">
    <w:p w14:paraId="58DDBD36" w14:textId="0B2F9F58"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r>
        <w:t>, pp. 101</w:t>
      </w:r>
    </w:p>
  </w:footnote>
  <w:footnote w:id="317">
    <w:p w14:paraId="4DB0B8F4" w14:textId="3C0F9E77"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&lt;EndNote&gt;&lt;Cite&gt;&lt;Author&gt;Smith&lt;/Author&gt;&lt;Year&gt;1995&lt;/Year&gt;&lt;RecNum&gt;204&lt;/RecNum&gt;&lt;DisplayText&gt;Ibid.&lt;/DisplayText&gt;&lt;record&gt;&lt;rec-number&gt;204&lt;/rec-number&gt;&lt;foreign-keys&gt;&lt;key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Ibid.</w:t>
      </w:r>
      <w:r>
        <w:fldChar w:fldCharType="end"/>
      </w:r>
      <w:r>
        <w:t xml:space="preserve"> pp. 106</w:t>
      </w:r>
    </w:p>
  </w:footnote>
  <w:footnote w:id="318">
    <w:p w14:paraId="117B5974" w14:textId="4F314AAC"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&lt;EndNote&gt;&lt;Cite&gt;&lt;Author&gt;Page&lt;/Author&gt;&lt;Year&gt;2000&lt;/Year&gt;&lt;RecNum&gt;273&lt;/RecNum&gt;&lt;DisplayText&gt;Page and Smith, &amp;quot;War by Other Means: The Problem of Political Control in Irish Republican Strategy.&amp;quot;&lt;/DisplayText&gt;&lt;record&gt;&lt;rec-number&gt;273&lt;/rec-number&gt;&lt;foreign-keys&gt;&lt;key app="EN" db-id="s0ftft29jf2psaezx93xwz5s00fwpa9avrwv"&gt;273&lt;/key&gt;&lt;/foreign-keys&gt;&lt;ref-type name="Journal Article"&gt;17&lt;/ref-type&gt;&lt;contributors&gt;&lt;authors&gt;&lt;author&gt;Page, Michael Von Tangen&lt;/author&gt;&lt;author&gt;Smith, M. L. R.&lt;/author&gt;&lt;/authors&gt;&lt;/contributors&gt;&lt;titles&gt;&lt;title&gt;War by Other Means: The Problem of Political Control in Irish Republican Strategy&lt;/title&gt;&lt;secondary-title&gt;Armed Forces and Society&lt;/secondary-title&gt;&lt;/titles&gt;&lt;pages&gt;pp. 79-104&lt;/pages&gt;&lt;volume&gt;27 (1)&lt;/volume&gt;&lt;dates&gt;&lt;year&gt;2000&lt;/year&gt;&lt;/dates&gt;&lt;urls&gt;&lt;/urls&gt;&lt;/record&gt;&lt;/Cite&gt;&lt;/EndNote&gt;</w:instrText>
      </w:r>
      <w:r>
        <w:fldChar w:fldCharType="separate"/>
      </w:r>
      <w:r>
        <w:rPr>
          <w:noProof/>
        </w:rPr>
        <w:t>Page and Smith, "War by Other Means: The Problem of Political Control in Irish Republican Strategy."</w:t>
      </w:r>
      <w:r>
        <w:fldChar w:fldCharType="end"/>
      </w:r>
    </w:p>
  </w:footnote>
  <w:footnote w:id="319">
    <w:p w14:paraId="442373AF" w14:textId="5D3CD7EC" w:rsidR="007A04F6" w:rsidRDefault="007A04F6" w:rsidP="0015068F">
      <w:pPr>
        <w:pStyle w:val="FootnoteText"/>
      </w:pPr>
      <w:r>
        <w:rPr>
          <w:rStyle w:val="FootnoteReference"/>
        </w:rPr>
        <w:footnoteRef/>
      </w:r>
      <w:r>
        <w:t xml:space="preserve"> Negotiations had always been a part of IRA strategic thought, although the extent of compromise is another matter.</w:t>
      </w:r>
    </w:p>
  </w:footnote>
  <w:footnote w:id="320">
    <w:p w14:paraId="1F19D16D" w14:textId="0EA33147"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&lt;EndNote&gt;&lt;Cite&gt;&lt;Author&gt;Cowper-Coles&lt;/Author&gt;&lt;Year&gt;2012&lt;/Year&gt;&lt;RecNum&gt;274&lt;/RecNum&gt;&lt;DisplayText&gt;Freddie Cowper-Coles, &amp;quot;&amp;apos;Anxious for Peace&amp;apos;: The Provisional Ira in Dialogue with the British Government, 1972-75,&amp;quot; &lt;style face="italic"&gt;Irish Studies Review&lt;/style&gt; 20 (3)(2012).&lt;/DisplayText&gt;&lt;record&gt;&lt;rec-number&gt;274&lt;/rec-number&gt;&lt;foreign-keys&gt;&lt;key app="EN" db-id="s0ftft29jf2psaezx93xwz5s00fwpa9avrwv"&gt;274&lt;/key&gt;&lt;/foreign-keys&gt;&lt;ref-type name="Journal Article"&gt;17&lt;/ref-type&gt;&lt;contributors&gt;&lt;authors&gt;&lt;author&gt;Cowper-Coles, Freddie&lt;/author&gt;&lt;/authors&gt;&lt;/contributors&gt;&lt;titles&gt;&lt;title&gt;&amp;apos;Anxious for peace&amp;apos;: the Provisional IRA in dialogue with the British government, 1972-75&lt;/title&gt;&lt;secondary-title&gt;Irish Studies Review&lt;/secondary-title&gt;&lt;/titles&gt;&lt;pages&gt;pp. 223-242&lt;/pages&gt;&lt;volume&gt;20 (3)&lt;/volume&gt;&lt;dates&gt;&lt;year&gt;2012&lt;/year&gt;&lt;/dates&gt;&lt;urls&gt;&lt;/urls&gt;&lt;/record&gt;&lt;/Cite&gt;&lt;/EndNote&gt;</w:instrText>
      </w:r>
      <w:r>
        <w:fldChar w:fldCharType="separate"/>
      </w:r>
      <w:r>
        <w:rPr>
          <w:noProof/>
        </w:rPr>
        <w:t xml:space="preserve">Freddie Cowper-Coles, "'Anxious for Peace': The Provisional Ira in Dialogue with the British Government, 1972-75," </w:t>
      </w:r>
      <w:r w:rsidRPr="003D17E7">
        <w:rPr>
          <w:i/>
          <w:noProof/>
        </w:rPr>
        <w:t>Irish Studies Review</w:t>
      </w:r>
      <w:r>
        <w:rPr>
          <w:noProof/>
        </w:rPr>
        <w:t xml:space="preserve"> 20 (3)(2012).</w:t>
      </w:r>
      <w:r>
        <w:fldChar w:fldCharType="end"/>
      </w:r>
    </w:p>
  </w:footnote>
  <w:footnote w:id="321">
    <w:p w14:paraId="3C83F5B3" w14:textId="66BB2099" w:rsidR="007A04F6" w:rsidRDefault="007A04F6" w:rsidP="0015068F">
      <w:pPr>
        <w:pStyle w:val="FootnoteText"/>
      </w:pPr>
      <w:r>
        <w:rPr>
          <w:rStyle w:val="FootnoteReference"/>
        </w:rPr>
        <w:footnoteRef/>
      </w:r>
      <w:r>
        <w:t xml:space="preserve"> MacStiofain, having been incarcerated, began a hunger strike. However he lost credibility in the movement when he gave up.</w:t>
      </w:r>
    </w:p>
  </w:footnote>
  <w:footnote w:id="322">
    <w:p w14:paraId="2D75A939" w14:textId="0A7C1880" w:rsidR="007A04F6" w:rsidRDefault="007A04F6" w:rsidP="0015068F">
      <w:pPr>
        <w:pStyle w:val="FootnoteText"/>
      </w:pPr>
      <w:r w:rsidRPr="006D77F7">
        <w:rPr>
          <w:rStyle w:val="FootnoteReference"/>
        </w:rPr>
        <w:footnoteRef/>
      </w:r>
      <w:r w:rsidRPr="006D77F7">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23">
    <w:p w14:paraId="15E9B757" w14:textId="4FDA8B53" w:rsidR="007A04F6" w:rsidRDefault="007A04F6" w:rsidP="0015068F">
      <w:pPr>
        <w:pStyle w:val="FootnoteText"/>
      </w:pPr>
      <w:r w:rsidRPr="006D77F7">
        <w:rPr>
          <w:rStyle w:val="FootnoteReference"/>
        </w:rPr>
        <w:footnoteRef/>
      </w:r>
      <w:r w:rsidRPr="006D77F7">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p>
  </w:footnote>
  <w:footnote w:id="324">
    <w:p w14:paraId="422B50F5" w14:textId="77777777" w:rsidR="007A04F6" w:rsidRDefault="007A04F6" w:rsidP="0015068F">
      <w:pPr>
        <w:pStyle w:val="FootnoteText"/>
      </w:pPr>
      <w:r>
        <w:rPr>
          <w:rStyle w:val="FootnoteReference"/>
        </w:rPr>
        <w:footnoteRef/>
      </w:r>
      <w:r>
        <w:t xml:space="preserve"> Interview, Former Provisional IRA Member 4, Belfast, 3rd September 2013</w:t>
      </w:r>
    </w:p>
  </w:footnote>
  <w:footnote w:id="325">
    <w:p w14:paraId="12CDA45E" w14:textId="77777777" w:rsidR="007A04F6" w:rsidRDefault="007A04F6" w:rsidP="0015068F">
      <w:pPr>
        <w:pStyle w:val="FootnoteText"/>
      </w:pPr>
      <w:r>
        <w:rPr>
          <w:rStyle w:val="FootnoteReference"/>
        </w:rPr>
        <w:footnoteRef/>
      </w:r>
      <w:r>
        <w:t xml:space="preserve"> Interview, Former Provisional IRA Member 4, Belfast, 3rd September 2013</w:t>
      </w:r>
    </w:p>
  </w:footnote>
  <w:footnote w:id="326">
    <w:p w14:paraId="76276A0F" w14:textId="30ECA0E9"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27">
    <w:p w14:paraId="611CBF54" w14:textId="3210C2C1"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&lt;EndNote&gt;&lt;Cite&gt;&lt;Author&gt;News&lt;/Author&gt;&lt;Year&gt;31st August 1994&lt;/Year&gt;&lt;RecNum&gt;281&lt;/RecNum&gt;&lt;DisplayText&gt;BBC News, &amp;quot;Ira Declares &amp;apos;Complete&amp;apos; Ceasefire,&amp;quot;  http://news.bbc.co.uk/onthisday/hi/dates/stories/august/31/newsid_3605000/3605348.stm.&lt;/DisplayText&gt;&lt;record&gt;&lt;rec-number&gt;281&lt;/rec-number&gt;&lt;foreign-keys&gt;&lt;key app="EN" db-id="s0ftft29jf2psaezx93xwz5s00fwpa9avrwv"&gt;281&lt;/key&gt;&lt;/foreign-keys&gt;&lt;ref-type name="Web Page"&gt;12&lt;/ref-type&gt;&lt;contributors&gt;&lt;authors&gt;&lt;author&gt;BBC News&lt;/author&gt;&lt;/authors&gt;&lt;/contributors&gt;&lt;titles&gt;&lt;title&gt;IRA Declares &amp;apos;Complete&amp;apos; Ceasefire&lt;/title&gt;&lt;/titles&gt;&lt;number&gt;[Accessed] 10/11/2013&lt;/number&gt;&lt;dates&gt;&lt;year&gt;31st August 1994&lt;/year&gt;&lt;/dates&gt;&lt;pub-location&gt;http://news.bbc.co.uk/onthisday/hi/dates/stories/august/31/newsid_3605000/3605348.stm&lt;/pub-location&gt;&lt;urls&gt;&lt;related-urls&gt;&lt;url&gt;http://news.bbc.co.uk/onthisday/hi/dates/stories/august/31/newsid_3605000/3605348.stm&lt;/url&gt;&lt;/related-urls&gt;&lt;/urls&gt;&lt;/record&gt;&lt;/Cite&gt;&lt;/EndNote&gt;</w:instrText>
      </w:r>
      <w:r>
        <w:fldChar w:fldCharType="separate"/>
      </w:r>
      <w:r>
        <w:rPr>
          <w:noProof/>
        </w:rPr>
        <w:t>BBC News, "Ira Declares 'Complete' Ceasefire,"  http://news.bbc.co.uk/onthisday/hi/dates/stories/august/31/newsid_3605000/3605348.stm.</w:t>
      </w:r>
      <w:r>
        <w:fldChar w:fldCharType="end"/>
      </w:r>
    </w:p>
  </w:footnote>
  <w:footnote w:id="328">
    <w:p w14:paraId="26E4D95A" w14:textId="74DBB9F1" w:rsidR="007A04F6" w:rsidRDefault="007A04F6" w:rsidP="0015068F">
      <w:pPr>
        <w:pStyle w:val="FootnoteText"/>
      </w:pPr>
      <w:r>
        <w:rPr>
          <w:rStyle w:val="FootnoteReference"/>
        </w:rPr>
        <w:footnoteRef/>
      </w:r>
      <w:r>
        <w:t xml:space="preserve"> </w:t>
      </w:r>
      <w:r>
        <w:fldChar w:fldCharType="begin"/>
      </w:r>
      <w:r>
        <w:instrText xml:space="preserve"> ADDIN EN.CITE &lt;EndNote&gt;&lt;Cite&gt;&lt;Author&gt;News&lt;/Author&gt;&lt;Year&gt;28th July 2005&lt;/Year&gt;&lt;RecNum&gt;280&lt;/RecNum&gt;&lt;DisplayText&gt;&amp;quot;Ira Statement in Full,&amp;quot;  http://news.bbc.co.uk/1/hi/northern_ireland/4724599.stm.&lt;/DisplayText&gt;&lt;record&gt;&lt;rec-number&gt;280&lt;/rec-number&gt;&lt;foreign-keys&gt;&lt;key app="EN" db-id="s0ftft29jf2psaezx93xwz5s00fwpa9avrwv"&gt;280&lt;/key&gt;&lt;/foreign-keys&gt;&lt;ref-type name="Web Page"&gt;12&lt;/ref-type&gt;&lt;contributors&gt;&lt;authors&gt;&lt;author&gt;BBC News&lt;/author&gt;&lt;/authors&gt;&lt;/contributors&gt;&lt;titles&gt;&lt;title&gt;IRA Statement in Full&lt;/title&gt;&lt;/titles&gt;&lt;number&gt;[Accessed] 10/11/2013&lt;/number&gt;&lt;dates&gt;&lt;year&gt;28th July 2005&lt;/year&gt;&lt;/dates&gt;&lt;pub-location&gt;http://news.bbc.co.uk/1/hi/northern_ireland/4724599.stm&lt;/pub-location&gt;&lt;urls&gt;&lt;related-urls&gt;&lt;url&gt;http://news.bbc.co.uk/1/hi/northern_ireland/4724599.stm&lt;/url&gt;&lt;/related-urls&gt;&lt;/urls&gt;&lt;/record&gt;&lt;/Cite&gt;&lt;/EndNote&gt;</w:instrText>
      </w:r>
      <w:r>
        <w:fldChar w:fldCharType="separate"/>
      </w:r>
      <w:r>
        <w:rPr>
          <w:noProof/>
        </w:rPr>
        <w:t>"Ira Statement in Full,"  http://news.bbc.co.uk/1/hi/northern_ireland/4724599.stm.</w:t>
      </w:r>
      <w:r>
        <w:fldChar w:fldCharType="end"/>
      </w:r>
    </w:p>
  </w:footnote>
  <w:footnote w:id="329">
    <w:p w14:paraId="34731163" w14:textId="4FB16B09" w:rsidR="007A04F6" w:rsidRDefault="007A04F6">
      <w:pPr>
        <w:pStyle w:val="FootnoteText"/>
      </w:pPr>
      <w:r>
        <w:rPr>
          <w:rStyle w:val="FootnoteReference"/>
        </w:rPr>
        <w:footnoteRef/>
      </w:r>
      <w:r>
        <w:t xml:space="preserve"> </w:t>
      </w:r>
      <w:r>
        <w:fldChar w:fldCharType="begin"/>
      </w:r>
      <w:r>
        <w:instrText xml:space="preserve"> ADDIN EN.CITE &lt;EndNote&gt;&lt;Cite&gt;&lt;Author&gt;O&amp;apos;Leary&lt;/Author&gt;&lt;Year&gt;1996&lt;/Year&gt;&lt;RecNum&gt;212&lt;/RecNum&gt;&lt;DisplayText&gt;O&amp;apos;Leary and McGarry, &lt;style face="italic"&gt;The Politics of Antagonism: Understanding Northern Ireland&lt;/style&gt;.&lt;/DisplayText&gt;&lt;record&gt;&lt;rec-number&gt;212&lt;/rec-number&gt;&lt;foreign-keys&gt;&lt;key app="EN" db-id="s0ftft29jf2psaezx93xwz5s00fwpa9avrwv"&gt;212&lt;/key&gt;&lt;/foreign-keys&gt;&lt;ref-type name="Book"&gt;6&lt;/ref-type&gt;&lt;contributors&gt;&lt;authors&gt;&lt;author&gt;O&amp;apos;Leary, Brendan&lt;/author&gt;&lt;author&gt;McGarry, John&lt;/author&gt;&lt;/authors&gt;&lt;/contributors&gt;&lt;titles&gt;&lt;title&gt;The Politics of Antagonism: Understanding Northern Ireland&lt;/title&gt;&lt;/titles&gt;&lt;dates&gt;&lt;year&gt;1996&lt;/year&gt;&lt;/dates&gt;&lt;pub-location&gt;London&lt;/pub-location&gt;&lt;publisher&gt;The Athlone Press&lt;/publisher&gt;&lt;urls&gt;&lt;/urls&gt;&lt;/record&gt;&lt;/Cite&gt;&lt;/EndNote&gt;</w:instrText>
      </w:r>
      <w:r>
        <w:fldChar w:fldCharType="separate"/>
      </w:r>
      <w:r>
        <w:rPr>
          <w:noProof/>
        </w:rPr>
        <w:t xml:space="preserve">O'Leary and McGarry, </w:t>
      </w:r>
      <w:r w:rsidRPr="003D17E7">
        <w:rPr>
          <w:i/>
          <w:noProof/>
        </w:rPr>
        <w:t>The Politics of Antagonism: Understanding Northern Ireland</w:t>
      </w:r>
      <w:r>
        <w:rPr>
          <w:noProof/>
        </w:rPr>
        <w:t>.</w:t>
      </w:r>
      <w:r>
        <w:fldChar w:fldCharType="end"/>
      </w:r>
    </w:p>
  </w:footnote>
  <w:footnote w:id="330">
    <w:p w14:paraId="3D6EC594" w14:textId="6FA9BDBE"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&lt;EndNote&gt;&lt;Cite&gt;&lt;Author&gt;Cronin&lt;/Author&gt;&lt;Year&gt;2009&lt;/Year&gt;&lt;RecNum&gt;207&lt;/RecNum&gt;&lt;DisplayText&gt;Cronin, &lt;style face="italic"&gt;How Terrorism Ends: Understanding the Decline and Demise of Terrorist Campaigns&lt;/style&gt;.&lt;/DisplayText&gt;&lt;record&gt;&lt;rec-number&gt;207&lt;/rec-number&gt;&lt;foreign-keys&gt;&lt;key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Cronin, </w:t>
      </w:r>
      <w:r w:rsidRPr="003D17E7">
        <w:rPr>
          <w:i/>
          <w:noProof/>
        </w:rPr>
        <w:t>How Terrorism Ends: Understanding the Decline and Demise of Terrorist Campaigns</w:t>
      </w:r>
      <w:r>
        <w:rPr>
          <w:noProof/>
        </w:rPr>
        <w:t>.</w:t>
      </w:r>
      <w:r>
        <w:fldChar w:fldCharType="end"/>
      </w:r>
    </w:p>
  </w:footnote>
  <w:footnote w:id="331">
    <w:p w14:paraId="5D9E8499" w14:textId="3DF3AC18" w:rsidR="007A04F6" w:rsidRDefault="007A04F6">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32">
    <w:p w14:paraId="2551C683" w14:textId="77777777" w:rsidR="007A04F6" w:rsidRDefault="007A04F6" w:rsidP="00991000">
      <w:pPr>
        <w:pStyle w:val="FootnoteText"/>
      </w:pPr>
      <w:r>
        <w:rPr>
          <w:rStyle w:val="FootnoteReference"/>
        </w:rPr>
        <w:footnoteRef/>
      </w:r>
      <w:r>
        <w:t xml:space="preserve"> Some of the internal discussions that were crucial to disengagement occurred before the 1990s. Furthermore, the factors that led some members to begin constructing a disengagement frame can be traced back much earlier too. </w:t>
      </w:r>
    </w:p>
  </w:footnote>
  <w:footnote w:id="333">
    <w:p w14:paraId="01A34988" w14:textId="555D7AF2" w:rsidR="007A04F6" w:rsidRDefault="007A04F6" w:rsidP="007D0B1E">
      <w:pPr>
        <w:pStyle w:val="FootnoteText"/>
      </w:pPr>
      <w:r>
        <w:rPr>
          <w:rStyle w:val="FootnoteReference"/>
        </w:rPr>
        <w:footnoteRef/>
      </w:r>
      <w:r>
        <w:t xml:space="preserve"> </w:t>
      </w:r>
      <w:r>
        <w:fldChar w:fldCharType="begin"/>
      </w:r>
      <w:r>
        <w:instrText xml:space="preserve"> ADDIN EN.CITE &lt;EndNote&gt;&lt;Cite&gt;&lt;Author&gt;Moghadam&lt;/Author&gt;&lt;Year&gt;2012&lt;/Year&gt;&lt;RecNum&gt;228&lt;/RecNum&gt;&lt;DisplayText&gt;Moghadam, &amp;quot;Failure and Disengagement in the Red Army Faction.&amp;quot;&lt;/DisplayText&gt;&lt;record&gt;&lt;rec-number&gt;228&lt;/rec-number&gt;&lt;foreign-keys&gt;&lt;key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Moghadam, "Failure and Disengagement in the Red Army Faction."</w:t>
      </w:r>
      <w:r>
        <w:fldChar w:fldCharType="end"/>
      </w:r>
      <w:r>
        <w:t xml:space="preserve"> </w:t>
      </w:r>
      <w:r>
        <w:fldChar w:fldCharType="begin"/>
      </w:r>
      <w:r>
        <w:instrText xml:space="preserve"> ADDIN EN.CITE &lt;EndNote&gt;&lt;Cite&gt;&lt;Author&gt;Sageman&lt;/Author&gt;&lt;Year&gt;2011&lt;/Year&gt;&lt;RecNum&gt;151&lt;/RecNum&gt;&lt;DisplayText&gt;Sageman, &amp;quot;Ripples in the Waves: Fantasies and Fashions.&amp;quot;&lt;/DisplayText&gt;&lt;record&gt;&lt;rec-number&gt;151&lt;/rec-number&gt;&lt;foreign-keys&gt;&lt;key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Sageman, "Ripples in the Waves: Fantasies and Fashions."</w:t>
      </w:r>
      <w:r>
        <w:fldChar w:fldCharType="end"/>
      </w:r>
    </w:p>
  </w:footnote>
  <w:footnote w:id="334">
    <w:p w14:paraId="5D54A2B8" w14:textId="086E60AE" w:rsidR="007A04F6" w:rsidRDefault="007A04F6">
      <w:pPr>
        <w:pStyle w:val="FootnoteText"/>
      </w:pPr>
      <w:r>
        <w:rPr>
          <w:rStyle w:val="FootnoteReference"/>
        </w:rPr>
        <w:footnoteRef/>
      </w:r>
      <w:r>
        <w:t xml:space="preserve"> </w:t>
      </w:r>
      <w:r>
        <w:fldChar w:fldCharType="begin"/>
      </w:r>
      <w:r>
        <w:instrText xml:space="preserve"> ADDIN EN.CITE &lt;EndNote&gt;&lt;Cite&gt;&lt;Author&gt;Snow&lt;/Author&gt;&lt;Year&gt;1986&lt;/Year&gt;&lt;RecNum&gt;187&lt;/RecNum&gt;&lt;DisplayText&gt;Snow et al., &amp;quot;Frame Alignment Processes, Micromobilization, and Movement Participation.&amp;quot;&lt;/DisplayText&gt;&lt;record&gt;&lt;rec-number&gt;187&lt;/rec-number&gt;&lt;foreign-keys&gt;&lt;key app="EN" db-id="s0ftft29jf2psaezx93xwz5s00fwpa9avrwv"&gt;187&lt;/key&gt;&lt;/foreign-keys&gt;&lt;ref-type name="Journal Article"&gt;17&lt;/ref-type&gt;&lt;contributors&gt;&lt;authors&gt;&lt;author&gt;Snow, David&lt;/author&gt;&lt;author&gt;Rochford, E. Burke&lt;/author&gt;&lt;author&gt;Worden, Steven&lt;/author&gt;&lt;author&gt;Benford, Robert&lt;/author&gt;&lt;/authors&gt;&lt;/contributors&gt;&lt;titles&gt;&lt;title&gt;Frame Alignment Processes, Micromobilization, and Movement Participation&lt;/title&gt;&lt;secondary-title&gt;American Sociological Review&lt;/secondary-title&gt;&lt;/titles&gt;&lt;pages&gt;pp. 464-481&lt;/pages&gt;&lt;volume&gt;54 (4)&lt;/volume&gt;&lt;dates&gt;&lt;year&gt;1986&lt;/year&gt;&lt;/dates&gt;&lt;urls&gt;&lt;/urls&gt;&lt;/record&gt;&lt;/Cite&gt;&lt;/EndNote&gt;</w:instrText>
      </w:r>
      <w:r>
        <w:fldChar w:fldCharType="separate"/>
      </w:r>
      <w:r>
        <w:rPr>
          <w:noProof/>
        </w:rPr>
        <w:t>Snow et al., "Frame Alignment Processes, Micromobilization, and Movement Participation."</w:t>
      </w:r>
      <w:r>
        <w:fldChar w:fldCharType="end"/>
      </w:r>
    </w:p>
  </w:footnote>
  <w:footnote w:id="335">
    <w:p w14:paraId="12F3487C" w14:textId="1B6AE994"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336">
    <w:p w14:paraId="1A307625" w14:textId="095CEF13" w:rsidR="007A04F6" w:rsidRDefault="007A04F6">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337">
    <w:p w14:paraId="50312CA7" w14:textId="59E0B1D2"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&lt;EndNote&gt;&lt;Cite&gt;&lt;Author&gt;Ashour&lt;/Author&gt;&lt;Year&gt;2008&lt;/Year&gt;&lt;RecNum&gt;26&lt;/RecNum&gt;&lt;DisplayText&gt;Ashour, &amp;quot;De-Radicalization of Jihad? The Impact of Egyptian Islamist Revisionists on Al-Qaeda.&amp;quot;&lt;/DisplayText&gt;&lt;record&gt;&lt;rec-number&gt;26&lt;/rec-number&gt;&lt;foreign-keys&gt;&lt;key app="EN" db-id="s0ftft29jf2psaezx93xwz5s00fwpa9avrwv"&gt;26&lt;/key&gt;&lt;/foreign-keys&gt;&lt;ref-type name="Journal Article"&gt;17&lt;/ref-type&gt;&lt;contributors&gt;&lt;authors&gt;&lt;author&gt;Ashour, Omar&lt;/author&gt;&lt;/authors&gt;&lt;/contributors&gt;&lt;titles&gt;&lt;title&gt;De-Radicalization of Jihad? The impact of Egyptian Islamist Revisionists on al-Qaeda&lt;/title&gt;&lt;secondary-title&gt;Perspectives on Terrorism&lt;/secondary-title&gt;&lt;/titles&gt;&lt;pages&gt;pp. 11-14&lt;/pages&gt;&lt;volume&gt;2 (5)&lt;/volume&gt;&lt;dates&gt;&lt;year&gt;2008&lt;/year&gt;&lt;/dates&gt;&lt;urls&gt;&lt;/urls&gt;&lt;/record&gt;&lt;/Cite&gt;&lt;/EndNote&gt;</w:instrText>
      </w:r>
      <w:r>
        <w:fldChar w:fldCharType="separate"/>
      </w:r>
      <w:r>
        <w:rPr>
          <w:noProof/>
        </w:rPr>
        <w:t>Ashour, "De-Radicalization of Jihad? The Impact of Egyptian Islamist Revisionists on Al-Qaeda."</w:t>
      </w:r>
      <w:r>
        <w:fldChar w:fldCharType="end"/>
      </w:r>
    </w:p>
  </w:footnote>
  <w:footnote w:id="338">
    <w:p w14:paraId="098AD9E3" w14:textId="494DB44B" w:rsidR="007A04F6" w:rsidRDefault="007A04F6">
      <w:pPr>
        <w:pStyle w:val="FootnoteText"/>
      </w:pPr>
      <w:r>
        <w:rPr>
          <w:rStyle w:val="FootnoteReference"/>
        </w:rPr>
        <w:footnoteRef/>
      </w:r>
      <w:r>
        <w:t xml:space="preserve"> </w:t>
      </w:r>
      <w:r>
        <w:rPr>
          <w:rFonts w:cs="Times New Roman"/>
        </w:rPr>
        <w:t xml:space="preserve">As will be argued in Chapter Six, from 2010 onwards, there have been signs that the Provisional IRA frame has transformed again to de-glamourise all aspects of violence within the conflict. </w:t>
      </w:r>
    </w:p>
  </w:footnote>
  <w:footnote w:id="339">
    <w:p w14:paraId="2ED59D6D" w14:textId="2A52DD38" w:rsidR="007A04F6" w:rsidRDefault="007A04F6">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340">
    <w:p w14:paraId="54052EC5" w14:textId="4B67DEC5" w:rsidR="007A04F6" w:rsidRDefault="007A04F6">
      <w:pPr>
        <w:pStyle w:val="FootnoteText"/>
      </w:pPr>
      <w:r>
        <w:rPr>
          <w:rStyle w:val="FootnoteReference"/>
        </w:rPr>
        <w:footnoteRef/>
      </w:r>
      <w:r>
        <w:t xml:space="preserve"> </w:t>
      </w:r>
      <w:r>
        <w:fldChar w:fldCharType="begin"/>
      </w:r>
      <w:r>
        <w:instrText xml:space="preserve"> ADDIN EN.CITE &lt;EndNote&gt;&lt;Cite&gt;&lt;Author&gt;Horgan&lt;/Author&gt;&lt;Year&gt;2010&lt;/Year&gt;&lt;RecNum&gt;87&lt;/RecNum&gt;&lt;DisplayText&gt;Horgan and Braddock, &amp;quot;Rehabilitating the Terrorists?: Challenges in Assessing the Effectiveness of De-Radicalization Programs.&amp;quot;&lt;/DisplayText&gt;&lt;record&gt;&lt;rec-number&gt;87&lt;/rec-number&gt;&lt;foreign-keys&gt;&lt;key app="EN" db-id="s0ftft29jf2psaezx93xwz5s00fwpa9avrwv"&gt;87&lt;/key&gt;&lt;/foreign-keys&gt;&lt;ref-type name="Journal Article"&gt;17&lt;/ref-type&gt;&lt;contributors&gt;&lt;authors&gt;&lt;author&gt;Horgan, John&lt;/author&gt;&lt;author&gt;Braddock, Kurt&lt;/author&gt;&lt;/authors&gt;&lt;/contributors&gt;&lt;titles&gt;&lt;title&gt;Rehabilitating the Terrorists?: Challenges in Assessing the Effectiveness of De-radicalization Programs&lt;/title&gt;&lt;secondary-title&gt;Terrorism and Political Violence&lt;/secondary-title&gt;&lt;/titles&gt;&lt;periodical&gt;&lt;full-title&gt;Terrorism and Political Violence&lt;/full-title&gt;&lt;/periodical&gt;&lt;pages&gt;pp. 267-291&lt;/pages&gt;&lt;volume&gt;22 (2)&lt;/volume&gt;&lt;dates&gt;&lt;year&gt;2010&lt;/year&gt;&lt;/dates&gt;&lt;urls&gt;&lt;/urls&gt;&lt;/record&gt;&lt;/Cite&gt;&lt;/EndNote&gt;</w:instrText>
      </w:r>
      <w:r>
        <w:fldChar w:fldCharType="separate"/>
      </w:r>
      <w:r>
        <w:rPr>
          <w:noProof/>
        </w:rPr>
        <w:t>Horgan and Braddock, "Rehabilitating the Terrorists?: Challenges in Assessing the Effectiveness of De-Radicalization Programs."</w:t>
      </w:r>
      <w:r>
        <w:fldChar w:fldCharType="end"/>
      </w:r>
    </w:p>
  </w:footnote>
  <w:footnote w:id="341">
    <w:p w14:paraId="65E0230A" w14:textId="3B2D4F93" w:rsidR="007A04F6" w:rsidRPr="007139ED" w:rsidRDefault="007A04F6" w:rsidP="007139ED">
      <w:pPr>
        <w:pStyle w:val="NoSpacing"/>
        <w:spacing w:before="120" w:line="360" w:lineRule="auto"/>
        <w:rPr>
          <w:sz w:val="21"/>
          <w:szCs w:val="21"/>
        </w:rPr>
      </w:pPr>
      <w:r w:rsidRPr="007139ED">
        <w:rPr>
          <w:rStyle w:val="FootnoteReference"/>
          <w:rFonts w:ascii="Times New Roman" w:hAnsi="Times New Roman" w:cs="Times New Roman"/>
          <w:sz w:val="21"/>
          <w:szCs w:val="21"/>
        </w:rPr>
        <w:footnoteRef/>
      </w:r>
      <w:r w:rsidRPr="007139ED">
        <w:rPr>
          <w:sz w:val="21"/>
          <w:szCs w:val="21"/>
        </w:rPr>
        <w:t xml:space="preserve"> </w:t>
      </w:r>
      <w:r w:rsidRPr="007139ED">
        <w:rPr>
          <w:rFonts w:ascii="Times New Roman" w:hAnsi="Times New Roman" w:cs="Times New Roman"/>
          <w:sz w:val="21"/>
          <w:szCs w:val="21"/>
        </w:rPr>
        <w:t>Former Pro</w:t>
      </w:r>
      <w:r>
        <w:rPr>
          <w:rFonts w:ascii="Times New Roman" w:hAnsi="Times New Roman" w:cs="Times New Roman"/>
          <w:sz w:val="21"/>
          <w:szCs w:val="21"/>
        </w:rPr>
        <w:t>visional Irish Republican Army M</w:t>
      </w:r>
      <w:r w:rsidRPr="007139ED">
        <w:rPr>
          <w:rFonts w:ascii="Times New Roman" w:hAnsi="Times New Roman" w:cs="Times New Roman"/>
          <w:sz w:val="21"/>
          <w:szCs w:val="21"/>
        </w:rPr>
        <w:t>ember 1, Belfast, 22</w:t>
      </w:r>
      <w:r w:rsidRPr="007139ED">
        <w:rPr>
          <w:rFonts w:ascii="Times New Roman" w:hAnsi="Times New Roman" w:cs="Times New Roman"/>
          <w:sz w:val="21"/>
          <w:szCs w:val="21"/>
          <w:vertAlign w:val="superscript"/>
        </w:rPr>
        <w:t>nd</w:t>
      </w:r>
      <w:r w:rsidRPr="007139ED">
        <w:rPr>
          <w:rFonts w:ascii="Times New Roman" w:hAnsi="Times New Roman" w:cs="Times New Roman"/>
          <w:sz w:val="21"/>
          <w:szCs w:val="21"/>
        </w:rPr>
        <w:t xml:space="preserve"> August 2013</w:t>
      </w:r>
    </w:p>
  </w:footnote>
  <w:footnote w:id="342">
    <w:p w14:paraId="62AD30EA" w14:textId="77777777" w:rsidR="007A04F6" w:rsidRDefault="007A04F6">
      <w:pPr>
        <w:pStyle w:val="FootnoteText"/>
      </w:pPr>
      <w:r>
        <w:rPr>
          <w:rStyle w:val="FootnoteReference"/>
        </w:rPr>
        <w:footnoteRef/>
      </w:r>
      <w:r>
        <w:t xml:space="preserve"> Interview, Former Provisional IRA Member 3, Belfast, 3rd September 2013</w:t>
      </w:r>
    </w:p>
  </w:footnote>
  <w:footnote w:id="343">
    <w:p w14:paraId="293A6BA2" w14:textId="77777777" w:rsidR="007A04F6" w:rsidRDefault="007A04F6">
      <w:pPr>
        <w:pStyle w:val="FootnoteText"/>
      </w:pPr>
      <w:r>
        <w:rPr>
          <w:rStyle w:val="FootnoteReference"/>
        </w:rPr>
        <w:footnoteRef/>
      </w:r>
      <w:r>
        <w:t xml:space="preserve"> Until 1986, the Provisional IRA would contest elections (sporadically) but they would not take up any seat in the parliaments in the Dail, Stormont, or Westminster. The policy of abstentionism is rooted in the fear that involvement in politics will undermine the armed struggle and was so contentious it was a significant factor in the split with the Official IRA.</w:t>
      </w:r>
    </w:p>
  </w:footnote>
  <w:footnote w:id="344">
    <w:p w14:paraId="413FEB89" w14:textId="77777777" w:rsidR="007A04F6" w:rsidRDefault="007A04F6">
      <w:pPr>
        <w:pStyle w:val="FootnoteText"/>
      </w:pPr>
      <w:r>
        <w:rPr>
          <w:rStyle w:val="FootnoteReference"/>
        </w:rPr>
        <w:footnoteRef/>
      </w:r>
      <w:r>
        <w:t xml:space="preserve"> Interview, Former Provisional IRA Member 5, Belfast, 3rd September 2013</w:t>
      </w:r>
    </w:p>
  </w:footnote>
  <w:footnote w:id="345">
    <w:p w14:paraId="4C3BBDC3" w14:textId="77777777" w:rsidR="007A04F6" w:rsidRDefault="007A04F6">
      <w:pPr>
        <w:pStyle w:val="FootnoteText"/>
      </w:pPr>
      <w:r>
        <w:rPr>
          <w:rStyle w:val="FootnoteReference"/>
        </w:rPr>
        <w:footnoteRef/>
      </w:r>
      <w:r>
        <w:t xml:space="preserve"> Interview, Former Provisional IRA Member 4, Belfast, 3rd September 2013</w:t>
      </w:r>
    </w:p>
  </w:footnote>
  <w:footnote w:id="346">
    <w:p w14:paraId="2AEBB742" w14:textId="77777777" w:rsidR="007A04F6" w:rsidRDefault="007A04F6">
      <w:pPr>
        <w:pStyle w:val="FootnoteText"/>
      </w:pPr>
      <w:r>
        <w:rPr>
          <w:rStyle w:val="FootnoteReference"/>
        </w:rPr>
        <w:footnoteRef/>
      </w:r>
      <w:r>
        <w:t xml:space="preserve"> Interview, Former Provisional IRA Member 4, Belfast, 3rd September 2013</w:t>
      </w:r>
    </w:p>
  </w:footnote>
  <w:footnote w:id="347">
    <w:p w14:paraId="2FE23B84" w14:textId="03DFCA1F" w:rsidR="007A04F6" w:rsidRDefault="007A04F6">
      <w:pPr>
        <w:pStyle w:val="FootnoteText"/>
      </w:pPr>
      <w:r>
        <w:rPr>
          <w:rStyle w:val="FootnoteReference"/>
        </w:rPr>
        <w:footnoteRef/>
      </w:r>
      <w:r>
        <w:t xml:space="preserve"> </w:t>
      </w:r>
      <w:r>
        <w:fldChar w:fldCharType="begin"/>
      </w:r>
      <w:r>
        <w:instrText xml:space="preserve"> ADDIN EN.CITE &lt;EndNote&gt;&lt;Cite&gt;&lt;Author&gt;CFNI&lt;/Author&gt;&lt;Year&gt;2012&lt;/Year&gt;&lt;RecNum&gt;278&lt;/RecNum&gt;&lt;DisplayText&gt;CFNI, &amp;quot;From Prison to Peace: Learning from the Experience of Political Ex-Prisoners,&amp;quot; (Belfast: Community Foundation for Northern Ireland, 2012).&lt;/DisplayText&gt;&lt;record&gt;&lt;rec-number&gt;278&lt;/rec-number&gt;&lt;foreign-keys&gt;&lt;key app="EN" db-id="s0ftft29jf2psaezx93xwz5s00fwpa9avrwv"&gt;278&lt;/key&gt;&lt;/foreign-keys&gt;&lt;ref-type name="Report"&gt;27&lt;/ref-type&gt;&lt;contributors&gt;&lt;authors&gt;&lt;author&gt;CFNI&lt;/author&gt;&lt;/authors&gt;&lt;/contributors&gt;&lt;titles&gt;&lt;title&gt;From Prison to Peace: Learning from the experience of political ex-prisoners&lt;/title&gt;&lt;/titles&gt;&lt;dates&gt;&lt;year&gt;2012&lt;/year&gt;&lt;/dates&gt;&lt;pub-location&gt;Belfast&lt;/pub-location&gt;&lt;publisher&gt;Community Foundation for Northern Ireland&lt;/publisher&gt;&lt;urls&gt;&lt;/urls&gt;&lt;/record&gt;&lt;/Cite&gt;&lt;/EndNote&gt;</w:instrText>
      </w:r>
      <w:r>
        <w:fldChar w:fldCharType="separate"/>
      </w:r>
      <w:r>
        <w:rPr>
          <w:noProof/>
        </w:rPr>
        <w:t>CFNI, "From Prison to Peace: Learning from the Experience of Political Ex-Prisoners," (Belfast: Community Foundation for Northern Ireland, 2012).</w:t>
      </w:r>
      <w:r>
        <w:fldChar w:fldCharType="end"/>
      </w:r>
    </w:p>
  </w:footnote>
  <w:footnote w:id="348">
    <w:p w14:paraId="1511F6F2" w14:textId="77777777" w:rsidR="007A04F6" w:rsidRDefault="007A04F6">
      <w:pPr>
        <w:pStyle w:val="FootnoteText"/>
      </w:pPr>
      <w:r>
        <w:rPr>
          <w:rStyle w:val="FootnoteReference"/>
        </w:rPr>
        <w:footnoteRef/>
      </w:r>
      <w:r>
        <w:t xml:space="preserve"> Interview, Former Provisional IRA Member 5, Belfast, 3rd September 2013</w:t>
      </w:r>
    </w:p>
  </w:footnote>
  <w:footnote w:id="349">
    <w:p w14:paraId="6D3B5A08" w14:textId="77777777" w:rsidR="007A04F6" w:rsidRDefault="007A04F6">
      <w:pPr>
        <w:pStyle w:val="FootnoteText"/>
      </w:pPr>
      <w:r>
        <w:rPr>
          <w:rStyle w:val="FootnoteReference"/>
        </w:rPr>
        <w:footnoteRef/>
      </w:r>
      <w:r>
        <w:t xml:space="preserve"> Interview, Former Provisional IRA Member 3, Belfast 3rd September 2013</w:t>
      </w:r>
    </w:p>
  </w:footnote>
  <w:footnote w:id="350">
    <w:p w14:paraId="18F9E6FC" w14:textId="77777777" w:rsidR="007A04F6" w:rsidRDefault="007A04F6">
      <w:pPr>
        <w:pStyle w:val="FootnoteText"/>
      </w:pPr>
      <w:r>
        <w:rPr>
          <w:rStyle w:val="FootnoteReference"/>
        </w:rPr>
        <w:footnoteRef/>
      </w:r>
      <w:r>
        <w:t xml:space="preserve"> Interview, Former Provisional IRA Member 3, Belfast, 3rd September 2013</w:t>
      </w:r>
    </w:p>
  </w:footnote>
  <w:footnote w:id="351">
    <w:p w14:paraId="461F119C" w14:textId="77777777" w:rsidR="007A04F6" w:rsidRDefault="007A04F6">
      <w:pPr>
        <w:pStyle w:val="FootnoteText"/>
      </w:pPr>
      <w:r>
        <w:rPr>
          <w:rStyle w:val="FootnoteReference"/>
        </w:rPr>
        <w:footnoteRef/>
      </w:r>
      <w:r>
        <w:t xml:space="preserve"> Interview, Former Provisional IRA Member 5, Belfast, 3rd September 2013</w:t>
      </w:r>
    </w:p>
  </w:footnote>
  <w:footnote w:id="352">
    <w:p w14:paraId="30F37320" w14:textId="698BAD09" w:rsidR="007A04F6" w:rsidRDefault="007A04F6">
      <w:pPr>
        <w:pStyle w:val="FootnoteText"/>
      </w:pPr>
      <w:r>
        <w:rPr>
          <w:rStyle w:val="FootnoteReference"/>
        </w:rPr>
        <w:footnoteRef/>
      </w:r>
      <w:r>
        <w:t xml:space="preserve"> </w:t>
      </w:r>
      <w:r>
        <w:fldChar w:fldCharType="begin"/>
      </w:r>
      <w:r>
        <w:instrText xml:space="preserve"> ADDIN EN.CITE &lt;EndNote&gt;&lt;Cite&gt;&lt;Author&gt;Della Porta&lt;/Author&gt;&lt;Year&gt;1999&lt;/Year&gt;&lt;RecNum&gt;309&lt;/RecNum&gt;&lt;DisplayText&gt;Della Porta and Diani, &lt;style face="italic"&gt;Social Movements: An Introduction&lt;/style&gt;.&lt;/DisplayText&gt;&lt;record&gt;&lt;rec-number&gt;309&lt;/rec-number&gt;&lt;foreign-keys&gt;&lt;key app="EN" db-id="s0ftft29jf2psaezx93xwz5s00fwpa9avrwv"&gt;309&lt;/key&gt;&lt;/foreign-keys&gt;&lt;ref-type name="Book"&gt;6&lt;/ref-type&gt;&lt;contributors&gt;&lt;authors&gt;&lt;author&gt;Della Porta, Donatella&lt;/author&gt;&lt;author&gt;Diani, Mario&lt;/author&gt;&lt;/authors&gt;&lt;/contributors&gt;&lt;titles&gt;&lt;title&gt;Social Movements: An Introduction&lt;/title&gt;&lt;/titles&gt;&lt;dates&gt;&lt;year&gt;1999&lt;/year&gt;&lt;/dates&gt;&lt;pub-location&gt;Oxford&lt;/pub-location&gt;&lt;publisher&gt;Blackwell Publishers&lt;/publisher&gt;&lt;urls&gt;&lt;/urls&gt;&lt;/record&gt;&lt;/Cite&gt;&lt;/EndNote&gt;</w:instrText>
      </w:r>
      <w:r>
        <w:fldChar w:fldCharType="separate"/>
      </w:r>
      <w:r>
        <w:rPr>
          <w:noProof/>
        </w:rPr>
        <w:t xml:space="preserve">Della Porta and Diani, </w:t>
      </w:r>
      <w:r w:rsidRPr="003D17E7">
        <w:rPr>
          <w:i/>
          <w:noProof/>
        </w:rPr>
        <w:t>Social Movements: An Introduction</w:t>
      </w:r>
      <w:r>
        <w:rPr>
          <w:noProof/>
        </w:rPr>
        <w:t>.</w:t>
      </w:r>
      <w:r>
        <w:fldChar w:fldCharType="end"/>
      </w:r>
    </w:p>
  </w:footnote>
  <w:footnote w:id="353">
    <w:p w14:paraId="06946A38" w14:textId="77777777" w:rsidR="007A04F6" w:rsidRDefault="007A04F6" w:rsidP="00991000">
      <w:pPr>
        <w:pStyle w:val="FootnoteText"/>
      </w:pPr>
      <w:r>
        <w:rPr>
          <w:rStyle w:val="FootnoteReference"/>
        </w:rPr>
        <w:footnoteRef/>
      </w:r>
      <w:r>
        <w:t xml:space="preserve"> Interview, Former Provisional IRA Member 4, Belfast, 3rd September 2013</w:t>
      </w:r>
    </w:p>
  </w:footnote>
  <w:footnote w:id="354">
    <w:p w14:paraId="06BBA6C9" w14:textId="2A2244B3"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&lt;EndNote&gt;&lt;Cite&gt;&lt;Author&gt;Horgan&lt;/Author&gt;&lt;Year&gt;2008&lt;/Year&gt;&lt;RecNum&gt;86&lt;/RecNum&gt;&lt;DisplayText&gt;Horgan, &amp;quot;Deradicalization or Disengagement?.&amp;quot;&lt;/DisplayText&gt;&lt;record&gt;&lt;rec-number&gt;86&lt;/rec-number&gt;&lt;foreign-keys&gt;&lt;key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Horgan, "Deradicalization or Disengagement?."</w:t>
      </w:r>
      <w:r>
        <w:fldChar w:fldCharType="end"/>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355">
    <w:p w14:paraId="146D5AA6" w14:textId="39713788" w:rsidR="007A04F6" w:rsidRDefault="007A04F6" w:rsidP="00FE244D">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p>
  </w:footnote>
  <w:footnote w:id="356">
    <w:p w14:paraId="02F3EBD8" w14:textId="79EC189B" w:rsidR="007A04F6" w:rsidRDefault="007A04F6" w:rsidP="00991000">
      <w:pPr>
        <w:pStyle w:val="FootnoteText"/>
      </w:pPr>
      <w:r>
        <w:rPr>
          <w:rStyle w:val="FootnoteReference"/>
        </w:rPr>
        <w:footnoteRef/>
      </w:r>
      <w:r>
        <w:t xml:space="preserve"> Of course, at the time both groups were all in the IRA, although the split had begun slightly before the vote. Other issues were the leftist nature the leadership was taking the movement in, the perceived inactivity in the armed campaign and the end of abstentionism.</w:t>
      </w:r>
    </w:p>
  </w:footnote>
  <w:footnote w:id="357">
    <w:p w14:paraId="62AB7FC7" w14:textId="77777777" w:rsidR="007A04F6" w:rsidRDefault="007A04F6">
      <w:pPr>
        <w:pStyle w:val="FootnoteText"/>
      </w:pPr>
      <w:r>
        <w:rPr>
          <w:rStyle w:val="FootnoteReference"/>
        </w:rPr>
        <w:footnoteRef/>
      </w:r>
      <w:r>
        <w:t xml:space="preserve"> Interview, Former Provisional IRA Member 5, Belfast, 3rd September 2013</w:t>
      </w:r>
    </w:p>
  </w:footnote>
  <w:footnote w:id="358">
    <w:p w14:paraId="6851EBFB" w14:textId="60572F1F"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&lt;EndNote&gt;&lt;Cite&gt;&lt;Author&gt;CFNI&lt;/Author&gt;&lt;Year&gt;2012&lt;/Year&gt;&lt;RecNum&gt;278&lt;/RecNum&gt;&lt;DisplayText&gt;CFNI, &amp;quot;From Prison to Peace: Learning from the Experience of Political Ex-Prisoners.&amp;quot;&lt;/DisplayText&gt;&lt;record&gt;&lt;rec-number&gt;278&lt;/rec-number&gt;&lt;foreign-keys&gt;&lt;key app="EN" db-id="s0ftft29jf2psaezx93xwz5s00fwpa9avrwv"&gt;278&lt;/key&gt;&lt;/foreign-keys&gt;&lt;ref-type name="Report"&gt;27&lt;/ref-type&gt;&lt;contributors&gt;&lt;authors&gt;&lt;author&gt;CFNI&lt;/author&gt;&lt;/authors&gt;&lt;/contributors&gt;&lt;titles&gt;&lt;title&gt;From Prison to Peace: Learning from the experience of political ex-prisoners&lt;/title&gt;&lt;/titles&gt;&lt;dates&gt;&lt;year&gt;2012&lt;/year&gt;&lt;/dates&gt;&lt;pub-location&gt;Belfast&lt;/pub-location&gt;&lt;publisher&gt;Community Foundation for Northern Ireland&lt;/publisher&gt;&lt;urls&gt;&lt;/urls&gt;&lt;/record&gt;&lt;/Cite&gt;&lt;/EndNote&gt;</w:instrText>
      </w:r>
      <w:r>
        <w:fldChar w:fldCharType="separate"/>
      </w:r>
      <w:r>
        <w:rPr>
          <w:noProof/>
        </w:rPr>
        <w:t>CFNI, "From Prison to Peace: Learning from the Experience of Political Ex-Prisoners."</w:t>
      </w:r>
      <w:r>
        <w:fldChar w:fldCharType="end"/>
      </w:r>
      <w:r>
        <w:t>Interview, Former INLA Member, Belfast, 26th August 2013</w:t>
      </w:r>
    </w:p>
  </w:footnote>
  <w:footnote w:id="359">
    <w:p w14:paraId="29D6E23D" w14:textId="77777777" w:rsidR="007A04F6" w:rsidRDefault="007A04F6" w:rsidP="00991000">
      <w:pPr>
        <w:pStyle w:val="FootnoteText"/>
      </w:pPr>
      <w:r>
        <w:rPr>
          <w:rStyle w:val="FootnoteReference"/>
        </w:rPr>
        <w:footnoteRef/>
      </w:r>
      <w:r>
        <w:t xml:space="preserve"> Interview, Former INLA Member, Belfast, 26th August 2013</w:t>
      </w:r>
    </w:p>
  </w:footnote>
  <w:footnote w:id="360">
    <w:p w14:paraId="33B200C6" w14:textId="2B2E003F"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Interview, Former INLA Member, Belfast, 26th August 2013</w:t>
      </w:r>
    </w:p>
  </w:footnote>
  <w:footnote w:id="361">
    <w:p w14:paraId="4ED471C3" w14:textId="29C7A6CC"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&lt;EndNote&gt;&lt;Cite&gt;&lt;Author&gt;White&lt;/Author&gt;&lt;Year&gt;2010&lt;/Year&gt;&lt;RecNum&gt;291&lt;/RecNum&gt;&lt;DisplayText&gt;Robert White, &amp;quot;The 1975 British-Provisional Ira Truce in Perspective,&amp;quot; &lt;style face="italic"&gt;Eire-Ireland&lt;/style&gt; 45 (3)(2010).&lt;/DisplayText&gt;&lt;record&gt;&lt;rec-number&gt;291&lt;/rec-number&gt;&lt;foreign-keys&gt;&lt;key app="EN" db-id="s0ftft29jf2psaezx93xwz5s00fwpa9avrwv"&gt;291&lt;/key&gt;&lt;/foreign-keys&gt;&lt;ref-type name="Journal Article"&gt;17&lt;/ref-type&gt;&lt;contributors&gt;&lt;authors&gt;&lt;author&gt;White, Robert&lt;/author&gt;&lt;/authors&gt;&lt;/contributors&gt;&lt;titles&gt;&lt;title&gt;The 1975 British-Provisional IRA Truce in Perspective&lt;/title&gt;&lt;secondary-title&gt;Eire-Ireland&lt;/secondary-title&gt;&lt;/titles&gt;&lt;pages&gt;pp. 211-244&lt;/pages&gt;&lt;volume&gt;45 (3)&lt;/volume&gt;&lt;dates&gt;&lt;year&gt;2010&lt;/year&gt;&lt;/dates&gt;&lt;urls&gt;&lt;/urls&gt;&lt;/record&gt;&lt;/Cite&gt;&lt;/EndNote&gt;</w:instrText>
      </w:r>
      <w:r>
        <w:fldChar w:fldCharType="separate"/>
      </w:r>
      <w:r>
        <w:rPr>
          <w:noProof/>
        </w:rPr>
        <w:t xml:space="preserve">Robert White, "The 1975 British-Provisional Ira Truce in Perspective," </w:t>
      </w:r>
      <w:r w:rsidRPr="003D17E7">
        <w:rPr>
          <w:i/>
          <w:noProof/>
        </w:rPr>
        <w:t>Eire-Ireland</w:t>
      </w:r>
      <w:r>
        <w:rPr>
          <w:noProof/>
        </w:rPr>
        <w:t xml:space="preserve"> 45 (3)(2010).</w:t>
      </w:r>
      <w:r>
        <w:fldChar w:fldCharType="end"/>
      </w:r>
    </w:p>
  </w:footnote>
  <w:footnote w:id="362">
    <w:p w14:paraId="471D2AC5" w14:textId="2F846AB1" w:rsidR="007A04F6" w:rsidRDefault="007A04F6">
      <w:pPr>
        <w:pStyle w:val="FootnoteText"/>
      </w:pPr>
      <w:r>
        <w:rPr>
          <w:rStyle w:val="FootnoteReference"/>
        </w:rPr>
        <w:footnoteRef/>
      </w:r>
      <w:r>
        <w:t xml:space="preserve"> </w:t>
      </w:r>
      <w:r>
        <w:fldChar w:fldCharType="begin"/>
      </w:r>
      <w:r>
        <w:instrText xml:space="preserve"> ADDIN EN.CITE &lt;EndNote&gt;&lt;Cite&gt;&lt;Author&gt;Zald&lt;/Author&gt;&lt;Year&gt;2007&lt;/Year&gt;&lt;RecNum&gt;173&lt;/RecNum&gt;&lt;DisplayText&gt;Mayer Zald and Roberta Ash, &amp;quot;Social Movement Organizations: Growth, Decay and Change,&amp;quot; in &lt;style face="italic"&gt;Social Movements&lt;/style&gt;, ed. Jeff Goodwin and James Jasper (Oxon: Routledge, 2007).&lt;/DisplayText&gt;&lt;record&gt;&lt;rec-number&gt;173&lt;/rec-number&gt;&lt;foreign-keys&gt;&lt;key app="EN" db-id="s0ftft29jf2psaezx93xwz5s00fwpa9avrwv"&gt;173&lt;/key&gt;&lt;/foreign-keys&gt;&lt;ref-type name="Book Section"&gt;5&lt;/ref-type&gt;&lt;contributors&gt;&lt;authors&gt;&lt;author&gt;Zald, Mayer&lt;/author&gt;&lt;author&gt;Ash, Roberta&lt;/author&gt;&lt;/authors&gt;&lt;secondary-authors&gt;&lt;author&gt;Goodwin, Jeff&lt;/author&gt;&lt;author&gt;Jasper, James&lt;/author&gt;&lt;/secondary-authors&gt;&lt;/contributors&gt;&lt;titles&gt;&lt;title&gt;Social movement organizations: growth, decay and change&lt;/title&gt;&lt;secondary-title&gt;Social Movements&lt;/secondary-title&gt;&lt;/titles&gt;&lt;dates&gt;&lt;year&gt;2007&lt;/year&gt;&lt;/dates&gt;&lt;pub-location&gt;Oxon&lt;/pub-location&gt;&lt;publisher&gt;Routledge&lt;/publisher&gt;&lt;urls&gt;&lt;/urls&gt;&lt;/record&gt;&lt;/Cite&gt;&lt;/EndNote&gt;</w:instrText>
      </w:r>
      <w:r>
        <w:fldChar w:fldCharType="separate"/>
      </w:r>
      <w:r>
        <w:rPr>
          <w:noProof/>
        </w:rPr>
        <w:t xml:space="preserve">Mayer Zald and Roberta Ash, "Social Movement Organizations: Growth, Decay and Change," in </w:t>
      </w:r>
      <w:r w:rsidRPr="003D17E7">
        <w:rPr>
          <w:i/>
          <w:noProof/>
        </w:rPr>
        <w:t>Social Movements</w:t>
      </w:r>
      <w:r>
        <w:rPr>
          <w:noProof/>
        </w:rPr>
        <w:t>, ed. Jeff Goodwin and James Jasper (Oxon: Routledge, 2007).</w:t>
      </w:r>
      <w:r>
        <w:fldChar w:fldCharType="end"/>
      </w:r>
    </w:p>
  </w:footnote>
  <w:footnote w:id="363">
    <w:p w14:paraId="44FE94BE" w14:textId="77777777" w:rsidR="007A04F6" w:rsidRDefault="007A04F6" w:rsidP="00991000">
      <w:pPr>
        <w:pStyle w:val="FootnoteText"/>
      </w:pPr>
      <w:r>
        <w:rPr>
          <w:rStyle w:val="FootnoteReference"/>
        </w:rPr>
        <w:footnoteRef/>
      </w:r>
      <w:r>
        <w:t xml:space="preserve"> As discussed in Chapter Three, control beliefs refer to the extent an actor perceives they are able to actually behave in a certain way. For example, an actor may believe it to be beneficial to assassinate a political figure, but if they perceive this to be impossible through experience (low control beliefs), then they may begin to re-evaluate the utility of assassinating the political figure.</w:t>
      </w:r>
    </w:p>
  </w:footnote>
  <w:footnote w:id="364">
    <w:p w14:paraId="759D1A4E" w14:textId="77777777" w:rsidR="007A04F6" w:rsidRDefault="007A04F6" w:rsidP="00991000">
      <w:pPr>
        <w:pStyle w:val="FootnoteText"/>
      </w:pPr>
      <w:r>
        <w:rPr>
          <w:rStyle w:val="FootnoteReference"/>
        </w:rPr>
        <w:footnoteRef/>
      </w:r>
      <w:r>
        <w:t xml:space="preserve"> Interview, Former Provisional IRA Member 5, Belfast, 3rd September 2013</w:t>
      </w:r>
    </w:p>
  </w:footnote>
  <w:footnote w:id="365">
    <w:p w14:paraId="27072803" w14:textId="77777777" w:rsidR="007A04F6" w:rsidRDefault="007A04F6" w:rsidP="00991000">
      <w:pPr>
        <w:pStyle w:val="FootnoteText"/>
      </w:pPr>
      <w:r>
        <w:rPr>
          <w:rStyle w:val="FootnoteReference"/>
        </w:rPr>
        <w:footnoteRef/>
      </w:r>
      <w:r>
        <w:t xml:space="preserve"> This includes Operation Motorman and the policy of Ulsterisation and Normalisation.</w:t>
      </w:r>
    </w:p>
  </w:footnote>
  <w:footnote w:id="366">
    <w:p w14:paraId="5896B05D" w14:textId="6BCD6FFA" w:rsidR="007A04F6" w:rsidRDefault="007A04F6">
      <w:pPr>
        <w:pStyle w:val="FootnoteText"/>
      </w:pPr>
      <w:r>
        <w:rPr>
          <w:rStyle w:val="FootnoteReference"/>
        </w:rPr>
        <w:footnoteRef/>
      </w:r>
      <w:r>
        <w:t xml:space="preserve"> </w:t>
      </w:r>
      <w:r>
        <w:fldChar w:fldCharType="begin"/>
      </w:r>
      <w:r>
        <w:instrText xml:space="preserve"> ADDIN EN.CITE &lt;EndNote&gt;&lt;Cite&gt;&lt;Author&gt;Moloney&lt;/Author&gt;&lt;Year&gt;2002&lt;/Year&gt;&lt;RecNum&gt;270&lt;/RecNum&gt;&lt;DisplayText&gt;Moloney,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67">
    <w:p w14:paraId="27F8BF3F" w14:textId="77777777" w:rsidR="007A04F6" w:rsidRDefault="007A04F6" w:rsidP="00991000">
      <w:pPr>
        <w:pStyle w:val="FootnoteText"/>
      </w:pPr>
      <w:r>
        <w:rPr>
          <w:rStyle w:val="FootnoteReference"/>
        </w:rPr>
        <w:footnoteRef/>
      </w:r>
      <w:r>
        <w:t xml:space="preserve"> With regard to debates on decapitation, imprisonment of the most influential members – as opposed to killing them – allows for the tactical learning which can facilitate the disengagement process, but the effect of this may be contingent on the extent a new group of members become influential on the outside.</w:t>
      </w:r>
    </w:p>
  </w:footnote>
  <w:footnote w:id="368">
    <w:p w14:paraId="0CCD971A"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369">
    <w:p w14:paraId="462A714C" w14:textId="77777777" w:rsidR="007A04F6" w:rsidRDefault="007A04F6" w:rsidP="00991000">
      <w:pPr>
        <w:pStyle w:val="FootnoteText"/>
      </w:pPr>
      <w:r>
        <w:rPr>
          <w:rStyle w:val="FootnoteReference"/>
        </w:rPr>
        <w:footnoteRef/>
      </w:r>
      <w:r>
        <w:t xml:space="preserve"> The policy of reducing the presence of British soldiers and increasing the role of security services in Northern Ireland.</w:t>
      </w:r>
    </w:p>
  </w:footnote>
  <w:footnote w:id="370">
    <w:p w14:paraId="65495AEE"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371">
    <w:p w14:paraId="4A3252FF" w14:textId="77777777" w:rsidR="007A04F6" w:rsidRDefault="007A04F6" w:rsidP="00991000">
      <w:pPr>
        <w:pStyle w:val="FootnoteText"/>
      </w:pPr>
      <w:r>
        <w:rPr>
          <w:rStyle w:val="FootnoteReference"/>
        </w:rPr>
        <w:footnoteRef/>
      </w:r>
      <w:r>
        <w:t xml:space="preserve"> Interview, Former Provisional IRA Member 4, Belfast, 2nd September 2013</w:t>
      </w:r>
    </w:p>
  </w:footnote>
  <w:footnote w:id="372">
    <w:p w14:paraId="07A6E81E" w14:textId="77777777" w:rsidR="007A04F6" w:rsidRDefault="007A04F6" w:rsidP="00991000">
      <w:pPr>
        <w:pStyle w:val="FootnoteText"/>
      </w:pPr>
      <w:r>
        <w:rPr>
          <w:rStyle w:val="FootnoteReference"/>
        </w:rPr>
        <w:footnoteRef/>
      </w:r>
      <w:r>
        <w:t xml:space="preserve"> Although, the conflict was still portrayed as an anti-imperialist struggle against Britain</w:t>
      </w:r>
    </w:p>
  </w:footnote>
  <w:footnote w:id="373">
    <w:p w14:paraId="29237475" w14:textId="31A1DAAF"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&lt;EndNote&gt;&lt;Cite&gt;&lt;Author&gt;Smith&lt;/Author&gt;&lt;Year&gt;1995&lt;/Year&gt;&lt;RecNum&gt;204&lt;/RecNum&gt;&lt;DisplayText&gt;Smith, &lt;style face="italic"&gt;Fighting for Ireland? The Military Strategy of the Irish Republican Movement&lt;/style&gt;.&lt;/DisplayText&gt;&lt;record&gt;&lt;rec-number&gt;204&lt;/rec-number&gt;&lt;foreign-keys&gt;&lt;key app="EN" db-id="s0ftft29jf2psaezx93xwz5s00fwpa9avrwv"&gt;204&lt;/key&gt;&lt;/foreign-keys&gt;&lt;ref-type name="Book"&gt;6&lt;/ref-type&gt;&lt;contributors&gt;&lt;authors&gt;&lt;author&gt;Smith, M.L.R.&lt;/author&gt;&lt;/authors&gt;&lt;/contributors&gt;&lt;titles&gt;&lt;title&gt;Fighting for Ireland? The Military Strategy of the Irish Republican Movement&lt;/title&gt;&lt;/titles&gt;&lt;dates&gt;&lt;year&gt;1995&lt;/year&gt;&lt;/dates&gt;&lt;pub-location&gt;London&lt;/pub-location&gt;&lt;publisher&gt;Routledge&lt;/publisher&gt;&lt;urls&gt;&lt;/urls&gt;&lt;/record&gt;&lt;/Cite&gt;&lt;/EndNote&gt;</w:instrText>
      </w:r>
      <w:r>
        <w:fldChar w:fldCharType="separate"/>
      </w:r>
      <w:r>
        <w:rPr>
          <w:noProof/>
        </w:rPr>
        <w:t xml:space="preserve">Smith, </w:t>
      </w:r>
      <w:r w:rsidRPr="003D17E7">
        <w:rPr>
          <w:i/>
          <w:noProof/>
        </w:rPr>
        <w:t>Fighting for Ireland? The Military Strategy of the Irish Republican Movement</w:t>
      </w:r>
      <w:r>
        <w:rPr>
          <w:noProof/>
        </w:rPr>
        <w:t>.</w:t>
      </w:r>
      <w:r>
        <w:fldChar w:fldCharType="end"/>
      </w:r>
    </w:p>
  </w:footnote>
  <w:footnote w:id="374">
    <w:p w14:paraId="503770C3"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375">
    <w:p w14:paraId="79EDD4E2" w14:textId="0CA50337" w:rsidR="007A04F6" w:rsidRDefault="007A04F6">
      <w:pPr>
        <w:pStyle w:val="FootnoteText"/>
      </w:pPr>
      <w:r>
        <w:rPr>
          <w:rStyle w:val="FootnoteReference"/>
        </w:rPr>
        <w:footnoteRef/>
      </w:r>
      <w:r>
        <w:t xml:space="preserve"> </w:t>
      </w:r>
      <w:r>
        <w:fldChar w:fldCharType="begin"/>
      </w:r>
      <w:r>
        <w:instrText xml:space="preserve"> ADDIN EN.CITE &lt;EndNote&gt;&lt;Cite&gt;&lt;Author&gt;Silke&lt;/Author&gt;&lt;Year&gt;1999&lt;/Year&gt;&lt;RecNum&gt;277&lt;/RecNum&gt;&lt;DisplayText&gt;Silke, &amp;quot;Rebel&amp;apos;s Dilemma: The Changing Relationship between the Ira, Sinn Fein and Paramilitary Vigilantism in Northern Ireland.&amp;quot;&lt;/DisplayText&gt;&lt;record&gt;&lt;rec-number&gt;277&lt;/rec-number&gt;&lt;foreign-keys&gt;&lt;key app="EN" db-id="s0ftft29jf2psaezx93xwz5s00fwpa9avrwv"&gt;277&lt;/key&gt;&lt;/foreign-keys&gt;&lt;ref-type name="Journal Article"&gt;17&lt;/ref-type&gt;&lt;contributors&gt;&lt;authors&gt;&lt;author&gt;Silke, Andrew&lt;/author&gt;&lt;/authors&gt;&lt;/contributors&gt;&lt;titles&gt;&lt;title&gt;Rebel&amp;apos;s Dilemma: The Changing Relationship Between the IRA, Sinn Fein and Paramilitary Vigilantism in Northern Ireland&lt;/title&gt;&lt;secondary-title&gt;Terrorism and Political Violence&lt;/secondary-title&gt;&lt;/titles&gt;&lt;periodical&gt;&lt;full-title&gt;Terrorism and Political Violence&lt;/full-title&gt;&lt;/periodical&gt;&lt;pages&gt;pp. 55-93&lt;/pages&gt;&lt;volume&gt;11 (1) &lt;/volume&gt;&lt;dates&gt;&lt;year&gt;1999&lt;/year&gt;&lt;/dates&gt;&lt;urls&gt;&lt;/urls&gt;&lt;/record&gt;&lt;/Cite&gt;&lt;/EndNote&gt;</w:instrText>
      </w:r>
      <w:r>
        <w:fldChar w:fldCharType="separate"/>
      </w:r>
      <w:r>
        <w:rPr>
          <w:noProof/>
        </w:rPr>
        <w:t>Silke, "Rebel's Dilemma: The Changing Relationship between the Ira, Sinn Fein and Paramilitary Vigilantism in Northern Ireland."</w:t>
      </w:r>
      <w:r>
        <w:fldChar w:fldCharType="end"/>
      </w:r>
    </w:p>
  </w:footnote>
  <w:footnote w:id="376">
    <w:p w14:paraId="340CDF75"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377">
    <w:p w14:paraId="6CE560FF" w14:textId="77777777" w:rsidR="007A04F6" w:rsidRDefault="007A04F6">
      <w:pPr>
        <w:pStyle w:val="FootnoteText"/>
      </w:pPr>
      <w:r>
        <w:rPr>
          <w:rStyle w:val="FootnoteReference"/>
        </w:rPr>
        <w:footnoteRef/>
      </w:r>
      <w:r>
        <w:t xml:space="preserve"> Interview, Former Provisional IRA Member 5, Belfast, 3rd September 2013</w:t>
      </w:r>
    </w:p>
  </w:footnote>
  <w:footnote w:id="378">
    <w:p w14:paraId="36C6FA24" w14:textId="2475E0E9"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379">
    <w:p w14:paraId="0A771950" w14:textId="0BBBB2FB"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&lt;EndNote&gt;&lt;Cite&gt;&lt;Author&gt;Hegghammer&lt;/Author&gt;&lt;Year&gt;2011&lt;/Year&gt;&lt;RecNum&gt;282&lt;/RecNum&gt;&lt;DisplayText&gt;Thomas Hegghammer, &amp;quot;The De-Radicalization of Jihadists: Transforming Armed Islamist Movements. By Omar Ashour,&amp;quot; &lt;style face="italic"&gt;New York&lt;/style&gt; (2011).&lt;/DisplayText&gt;&lt;record&gt;&lt;rec-number&gt;282&lt;/rec-number&gt;&lt;foreign-keys&gt;&lt;key app="EN" db-id="s0ftft29jf2psaezx93xwz5s00fwpa9avrwv"&gt;282&lt;/key&gt;&lt;/foreign-keys&gt;&lt;ref-type name="Journal Article"&gt;17&lt;/ref-type&gt;&lt;contributors&gt;&lt;authors&gt;&lt;author&gt;Hegghammer, Thomas&lt;/author&gt;&lt;/authors&gt;&lt;/contributors&gt;&lt;titles&gt;&lt;title&gt;The De-Radicalization of Jihadists: Transforming Armed Islamist Movements. By Omar Ashour&lt;/title&gt;&lt;secondary-title&gt;New York&lt;/secondary-title&gt;&lt;/titles&gt;&lt;dates&gt;&lt;year&gt;2011&lt;/year&gt;&lt;/dates&gt;&lt;urls&gt;&lt;/urls&gt;&lt;/record&gt;&lt;/Cite&gt;&lt;/EndNote&gt;</w:instrText>
      </w:r>
      <w:r>
        <w:fldChar w:fldCharType="separate"/>
      </w:r>
      <w:r>
        <w:rPr>
          <w:noProof/>
        </w:rPr>
        <w:t xml:space="preserve">Thomas Hegghammer, "The De-Radicalization of Jihadists: Transforming Armed Islamist Movements. By Omar Ashour," </w:t>
      </w:r>
      <w:r w:rsidRPr="003D17E7">
        <w:rPr>
          <w:i/>
          <w:noProof/>
        </w:rPr>
        <w:t>New York</w:t>
      </w:r>
      <w:r>
        <w:rPr>
          <w:noProof/>
        </w:rPr>
        <w:t xml:space="preserve"> (2011).</w:t>
      </w:r>
      <w:r>
        <w:fldChar w:fldCharType="end"/>
      </w:r>
    </w:p>
  </w:footnote>
  <w:footnote w:id="380">
    <w:p w14:paraId="1612CA90" w14:textId="7763D5F4" w:rsidR="007A04F6" w:rsidRDefault="007A04F6" w:rsidP="00991000">
      <w:pPr>
        <w:pStyle w:val="FootnoteText"/>
      </w:pPr>
      <w:r>
        <w:rPr>
          <w:rStyle w:val="FootnoteReference"/>
        </w:rPr>
        <w:footnoteRef/>
      </w:r>
      <w:r>
        <w:t xml:space="preserve"> See, for example, </w:t>
      </w:r>
      <w:r>
        <w:fldChar w:fldCharType="begin"/>
      </w:r>
      <w:r>
        <w:instrText xml:space="preserve"> ADDIN EN.CITE &lt;EndNote&gt;&lt;Cite&gt;&lt;Author&gt;Kennedy-Pipe&lt;/Author&gt;&lt;Year&gt;2000&lt;/Year&gt;&lt;RecNum&gt;210&lt;/RecNum&gt;&lt;DisplayText&gt;Caroline Kennedy-Pipe, &amp;quot;From War to Peace in Northern Ireland,&amp;quot; in &lt;style face="italic"&gt;A Farewell to Arms?: From &amp;apos;Long War&amp;apos; to Long Peace in Northern Ireland&lt;/style&gt;, ed. Michael Cox, Adrian Guelke, and Fiona Stephen (Manchester: Manchester University Press, 2000).&lt;/DisplayText&gt;&lt;record&gt;&lt;rec-number&gt;210&lt;/rec-number&gt;&lt;foreign-keys&gt;&lt;key app="EN" db-id="s0ftft29jf2psaezx93xwz5s00fwpa9avrwv"&gt;210&lt;/key&gt;&lt;/foreign-keys&gt;&lt;ref-type name="Book Section"&gt;5&lt;/ref-type&gt;&lt;contributors&gt;&lt;authors&gt;&lt;author&gt;Caroline Kennedy-Pipe&lt;/author&gt;&lt;/authors&gt;&lt;secondary-authors&gt;&lt;author&gt;Cox, Michael&lt;/author&gt;&lt;author&gt;Guelke, Adrian&lt;/author&gt;&lt;author&gt;Stephen, Fiona&lt;/author&gt;&lt;/secondary-authors&gt;&lt;/contributors&gt;&lt;titles&gt;&lt;title&gt;From war to peace in Northern Ireland&lt;/title&gt;&lt;secondary-title&gt;A Farewell to Arms?: From &amp;apos;long war&amp;apos; to long peace in Northern Ireland&lt;/secondary-title&gt;&lt;/titles&gt;&lt;dates&gt;&lt;year&gt;2000&lt;/year&gt;&lt;/dates&gt;&lt;pub-location&gt;Manchester&lt;/pub-location&gt;&lt;publisher&gt;Manchester University Press&lt;/publisher&gt;&lt;urls&gt;&lt;/urls&gt;&lt;/record&gt;&lt;/Cite&gt;&lt;/EndNote&gt;</w:instrText>
      </w:r>
      <w:r>
        <w:fldChar w:fldCharType="separate"/>
      </w:r>
      <w:r>
        <w:rPr>
          <w:noProof/>
        </w:rPr>
        <w:t xml:space="preserve">Caroline Kennedy-Pipe, "From War to Peace in Northern Ireland," in </w:t>
      </w:r>
      <w:r w:rsidRPr="003D17E7">
        <w:rPr>
          <w:i/>
          <w:noProof/>
        </w:rPr>
        <w:t>A Farewell to Arms?: From 'Long War' to Long Peace in Northern Ireland</w:t>
      </w:r>
      <w:r>
        <w:rPr>
          <w:noProof/>
        </w:rPr>
        <w:t>, ed. Michael Cox, Adrian Guelke, and Fiona Stephen (Manchester: Manchester University Press, 2000).</w:t>
      </w:r>
      <w:r>
        <w:fldChar w:fldCharType="end"/>
      </w:r>
    </w:p>
  </w:footnote>
  <w:footnote w:id="381">
    <w:p w14:paraId="69F1A823" w14:textId="77777777" w:rsidR="007A04F6" w:rsidRDefault="007A04F6" w:rsidP="00991000">
      <w:pPr>
        <w:pStyle w:val="FootnoteText"/>
      </w:pPr>
      <w:r>
        <w:rPr>
          <w:rStyle w:val="FootnoteReference"/>
        </w:rPr>
        <w:footnoteRef/>
      </w:r>
      <w:r>
        <w:t xml:space="preserve"> Interview, Former Provisional IRA Member 4, Belfast, 3rd September 2013</w:t>
      </w:r>
    </w:p>
  </w:footnote>
  <w:footnote w:id="382">
    <w:p w14:paraId="76CC3EE6" w14:textId="712BF7B5"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&lt;EndNote&gt;&lt;Cite&gt;&lt;Author&gt;Pat Coogan&lt;/Author&gt;&lt;Year&gt;1995&lt;/Year&gt;&lt;RecNum&gt;202&lt;/RecNum&gt;&lt;DisplayText&gt;Pat Coogan, &lt;style face="italic"&gt;The Troubles: Ireland&amp;apos;s Ordeal 1966-1995 and the Search for Peace&lt;/style&gt;.&lt;/DisplayText&gt;&lt;record&gt;&lt;rec-number&gt;202&lt;/rec-number&gt;&lt;foreign-keys&gt;&lt;key app="EN" db-id="s0ftft29jf2psaezx93xwz5s00fwpa9avrwv"&gt;202&lt;/key&gt;&lt;/foreign-keys&gt;&lt;ref-type name="Book"&gt;6&lt;/ref-type&gt;&lt;contributors&gt;&lt;authors&gt;&lt;author&gt;Pat Coogan, Tim&lt;/author&gt;&lt;/authors&gt;&lt;/contributors&gt;&lt;titles&gt;&lt;title&gt;The Troubles: Ireland&amp;apos;s Ordeal 1966-1995 and the Search for Peace&lt;/title&gt;&lt;/titles&gt;&lt;dates&gt;&lt;year&gt;1995&lt;/year&gt;&lt;/dates&gt;&lt;pub-location&gt;London&lt;/pub-location&gt;&lt;publisher&gt;Hutchinson&lt;/publisher&gt;&lt;urls&gt;&lt;/urls&gt;&lt;/record&gt;&lt;/Cite&gt;&lt;/EndNote&gt;</w:instrText>
      </w:r>
      <w:r>
        <w:fldChar w:fldCharType="separate"/>
      </w:r>
      <w:r>
        <w:rPr>
          <w:noProof/>
        </w:rPr>
        <w:t xml:space="preserve">Pat Coogan, </w:t>
      </w:r>
      <w:r w:rsidRPr="003D17E7">
        <w:rPr>
          <w:i/>
          <w:noProof/>
        </w:rPr>
        <w:t>The Troubles: Ireland's Ordeal 1966-1995 and the Search for Peace</w:t>
      </w:r>
      <w:r>
        <w:rPr>
          <w:noProof/>
        </w:rPr>
        <w:t>.</w:t>
      </w:r>
      <w:r>
        <w:fldChar w:fldCharType="end"/>
      </w:r>
      <w:r>
        <w:t xml:space="preserve"> pp. 207</w:t>
      </w:r>
    </w:p>
  </w:footnote>
  <w:footnote w:id="383">
    <w:p w14:paraId="1495E4E2" w14:textId="77777777" w:rsidR="007A04F6" w:rsidRDefault="007A04F6">
      <w:pPr>
        <w:pStyle w:val="FootnoteText"/>
      </w:pPr>
      <w:r>
        <w:rPr>
          <w:rStyle w:val="FootnoteReference"/>
        </w:rPr>
        <w:footnoteRef/>
      </w:r>
      <w:r>
        <w:t xml:space="preserve"> Moloney claims that disengagement did surprise many members, yet this underplays the dialogue that had been occurring inside and outside prisons.</w:t>
      </w:r>
    </w:p>
  </w:footnote>
  <w:footnote w:id="384">
    <w:p w14:paraId="557A7829"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385">
    <w:p w14:paraId="5660905D" w14:textId="77777777" w:rsidR="007A04F6" w:rsidRDefault="007A04F6" w:rsidP="00991000">
      <w:pPr>
        <w:pStyle w:val="FootnoteText"/>
      </w:pPr>
      <w:r>
        <w:rPr>
          <w:rStyle w:val="FootnoteReference"/>
        </w:rPr>
        <w:footnoteRef/>
      </w:r>
      <w:r>
        <w:t xml:space="preserve"> Interview, Former Provisional IRA Member 5, Belfast, 3rd September 2013; Interview, Former Provisional IRA Member 4, Belfast, 3rd September 2013</w:t>
      </w:r>
    </w:p>
  </w:footnote>
  <w:footnote w:id="386">
    <w:p w14:paraId="518F26F6" w14:textId="77777777" w:rsidR="007A04F6" w:rsidRDefault="007A04F6">
      <w:pPr>
        <w:pStyle w:val="FootnoteText"/>
      </w:pPr>
      <w:r>
        <w:rPr>
          <w:rStyle w:val="FootnoteReference"/>
        </w:rPr>
        <w:footnoteRef/>
      </w:r>
      <w:r>
        <w:t xml:space="preserve"> Interview, Former Provisional IRA Member 1, Belfast, 22nd August 2013; Interview, Former Provisional IRA Member 3, Belfast, 3rd September 2013</w:t>
      </w:r>
    </w:p>
  </w:footnote>
  <w:footnote w:id="387">
    <w:p w14:paraId="7BD689C6" w14:textId="4F83D7C5" w:rsidR="007A04F6" w:rsidRDefault="007A04F6">
      <w:pPr>
        <w:pStyle w:val="FootnoteText"/>
      </w:pPr>
      <w:r>
        <w:rPr>
          <w:rStyle w:val="FootnoteReference"/>
        </w:rPr>
        <w:footnoteRef/>
      </w:r>
      <w:r>
        <w:t xml:space="preserve"> </w:t>
      </w:r>
      <w:r>
        <w:fldChar w:fldCharType="begin"/>
      </w:r>
      <w:r>
        <w:instrText xml:space="preserve"> ADDIN EN.CITE &lt;EndNote&gt;&lt;Cite&gt;&lt;Author&gt;Moloney&lt;/Author&gt;&lt;Year&gt;2002&lt;/Year&gt;&lt;RecNum&gt;270&lt;/RecNum&gt;&lt;DisplayText&gt;Moloney,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388">
    <w:p w14:paraId="70706C09" w14:textId="77777777" w:rsidR="007A04F6" w:rsidRDefault="007A04F6" w:rsidP="00991000">
      <w:pPr>
        <w:pStyle w:val="FootnoteText"/>
      </w:pPr>
      <w:r>
        <w:rPr>
          <w:rStyle w:val="FootnoteReference"/>
        </w:rPr>
        <w:footnoteRef/>
      </w:r>
      <w:r>
        <w:t xml:space="preserve"> Interview, Former Provisional IRA Member 5, Belfast, 3rd September 2013</w:t>
      </w:r>
    </w:p>
  </w:footnote>
  <w:footnote w:id="389">
    <w:p w14:paraId="23ED7FE5" w14:textId="77777777" w:rsidR="007A04F6" w:rsidRDefault="007A04F6" w:rsidP="00991000">
      <w:pPr>
        <w:pStyle w:val="FootnoteText"/>
      </w:pPr>
      <w:r>
        <w:rPr>
          <w:rStyle w:val="FootnoteReference"/>
        </w:rPr>
        <w:footnoteRef/>
      </w:r>
      <w:r>
        <w:t xml:space="preserve"> Interview, 32 County Sovereignty Movement Member, Belfast, 15th August 2013</w:t>
      </w:r>
    </w:p>
  </w:footnote>
  <w:footnote w:id="390">
    <w:p w14:paraId="695039F3" w14:textId="77777777" w:rsidR="007A04F6" w:rsidRDefault="007A04F6">
      <w:pPr>
        <w:pStyle w:val="FootnoteText"/>
      </w:pPr>
      <w:r>
        <w:rPr>
          <w:rStyle w:val="FootnoteReference"/>
        </w:rPr>
        <w:footnoteRef/>
      </w:r>
      <w:r>
        <w:t xml:space="preserve"> Interview, Former Provisional IRA Member 5, Belfast, 3rd September 2013</w:t>
      </w:r>
    </w:p>
  </w:footnote>
  <w:footnote w:id="391">
    <w:p w14:paraId="45CBFD3D" w14:textId="77777777" w:rsidR="007A04F6" w:rsidRDefault="007A04F6" w:rsidP="00991000">
      <w:pPr>
        <w:pStyle w:val="FootnoteText"/>
      </w:pPr>
      <w:r>
        <w:rPr>
          <w:rStyle w:val="FootnoteReference"/>
        </w:rPr>
        <w:footnoteRef/>
      </w:r>
      <w:r>
        <w:t xml:space="preserve"> Interview, Former Provisional IRA Member 5, Belfast, 3rd September 2013</w:t>
      </w:r>
    </w:p>
  </w:footnote>
  <w:footnote w:id="392">
    <w:p w14:paraId="3DBEDE75" w14:textId="4F4041E7" w:rsidR="007A04F6" w:rsidRDefault="007A04F6">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393">
    <w:p w14:paraId="5E690B6A"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394">
    <w:p w14:paraId="7EE7C456" w14:textId="77777777" w:rsidR="007A04F6" w:rsidRDefault="007A04F6" w:rsidP="00FD1653">
      <w:pPr>
        <w:pStyle w:val="FootnoteText"/>
      </w:pPr>
      <w:r>
        <w:rPr>
          <w:rStyle w:val="FootnoteReference"/>
        </w:rPr>
        <w:footnoteRef/>
      </w:r>
      <w:r>
        <w:t xml:space="preserve"> Interview, Community Worker DE, Belfast, 13th September 2013</w:t>
      </w:r>
    </w:p>
  </w:footnote>
  <w:footnote w:id="395">
    <w:p w14:paraId="1C64077D" w14:textId="77777777" w:rsidR="007A04F6" w:rsidRDefault="007A04F6" w:rsidP="00991000">
      <w:pPr>
        <w:pStyle w:val="FootnoteText"/>
      </w:pPr>
      <w:r>
        <w:rPr>
          <w:rStyle w:val="FootnoteReference"/>
        </w:rPr>
        <w:footnoteRef/>
      </w:r>
      <w:r>
        <w:t xml:space="preserve"> Interview, Former Provisional IRA Member 4, Belfast, 3rd September 2013</w:t>
      </w:r>
    </w:p>
  </w:footnote>
  <w:footnote w:id="396">
    <w:p w14:paraId="447FFDC8" w14:textId="77777777" w:rsidR="007A04F6" w:rsidRDefault="007A04F6" w:rsidP="00991000">
      <w:pPr>
        <w:pStyle w:val="FootnoteText"/>
      </w:pPr>
      <w:r>
        <w:rPr>
          <w:rStyle w:val="FootnoteReference"/>
        </w:rPr>
        <w:footnoteRef/>
      </w:r>
      <w:r>
        <w:t xml:space="preserve"> Interview, Former Provisional IRA Member 5, Belfast, 3rd September 2013</w:t>
      </w:r>
    </w:p>
  </w:footnote>
  <w:footnote w:id="397">
    <w:p w14:paraId="7D37C469" w14:textId="4F2CDA86"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&lt;EndNote&gt;&lt;Cite&gt;&lt;Author&gt;Weinberg&lt;/Author&gt;&lt;Year&gt;2010&lt;/Year&gt;&lt;RecNum&gt;169&lt;/RecNum&gt;&lt;DisplayText&gt;Weinberg and Perliger, &amp;quot;How Terrorist Groups End.&amp;quot;&lt;/DisplayText&gt;&lt;record&gt;&lt;rec-number&gt;169&lt;/rec-number&gt;&lt;foreign-keys&gt;&lt;key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fldChar w:fldCharType="separate"/>
      </w:r>
      <w:r>
        <w:rPr>
          <w:noProof/>
        </w:rPr>
        <w:t>Weinberg and Perliger, "How Terrorist Groups End."</w:t>
      </w:r>
      <w:r>
        <w:fldChar w:fldCharType="end"/>
      </w:r>
      <w:r>
        <w:t xml:space="preserve"> </w:t>
      </w:r>
      <w:r>
        <w:fldChar w:fldCharType="begin"/>
      </w:r>
      <w:r>
        <w:instrText xml:space="preserve"> ADDIN EN.CITE &lt;EndNote&gt;&lt;Cite&gt;&lt;Author&gt;Cronin&lt;/Author&gt;&lt;Year&gt;2009&lt;/Year&gt;&lt;RecNum&gt;207&lt;/RecNum&gt;&lt;DisplayText&gt;Cronin, &lt;style face="italic"&gt;How Terrorism Ends: Understanding the Decline and Demise of Terrorist Campaigns&lt;/style&gt;.&lt;/DisplayText&gt;&lt;record&gt;&lt;rec-number&gt;207&lt;/rec-number&gt;&lt;foreign-keys&gt;&lt;key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Cronin, </w:t>
      </w:r>
      <w:r w:rsidRPr="003D17E7">
        <w:rPr>
          <w:i/>
          <w:noProof/>
        </w:rPr>
        <w:t>How Terrorism Ends: Understanding the Decline and Demise of Terrorist Campaigns</w:t>
      </w:r>
      <w:r>
        <w:rPr>
          <w:noProof/>
        </w:rPr>
        <w:t>.</w:t>
      </w:r>
      <w:r>
        <w:fldChar w:fldCharType="end"/>
      </w:r>
    </w:p>
  </w:footnote>
  <w:footnote w:id="398">
    <w:p w14:paraId="5F76D96B" w14:textId="77777777" w:rsidR="007A04F6" w:rsidRDefault="007A04F6">
      <w:pPr>
        <w:pStyle w:val="FootnoteText"/>
      </w:pPr>
      <w:r>
        <w:rPr>
          <w:rStyle w:val="FootnoteReference"/>
        </w:rPr>
        <w:footnoteRef/>
      </w:r>
      <w:r>
        <w:t xml:space="preserve"> Interview, Former Provisional IRA Member 5, Belfast, 2nd September 2013</w:t>
      </w:r>
    </w:p>
  </w:footnote>
  <w:footnote w:id="399">
    <w:p w14:paraId="4F663A70" w14:textId="536FA8DC" w:rsidR="007A04F6" w:rsidRDefault="007A04F6" w:rsidP="00E31224">
      <w:pPr>
        <w:pStyle w:val="FootnoteText"/>
      </w:pPr>
      <w:r>
        <w:rPr>
          <w:rStyle w:val="FootnoteReference"/>
        </w:rPr>
        <w:footnoteRef/>
      </w:r>
      <w:r>
        <w:t xml:space="preserve"> </w:t>
      </w:r>
      <w:r>
        <w:fldChar w:fldCharType="begin"/>
      </w:r>
      <w:r>
        <w:instrText xml:space="preserve"> ADDIN EN.CITE &lt;EndNote&gt;&lt;Cite&gt;&lt;Author&gt;McEvoy&lt;/Author&gt;&lt;Year&gt;2009&lt;/Year&gt;&lt;RecNum&gt;243&lt;/RecNum&gt;&lt;DisplayText&gt;K McEvoy and P Shirlow, &amp;quot;Re-Imagining Ddr: Ex-Combatants, Leadership and Moral Agency in Conflict Transformation,&amp;quot; &lt;style face="italic"&gt;Theoretical Criminology&lt;/style&gt; Vol. 13 (31)(2009).&lt;/DisplayText&gt;&lt;record&gt;&lt;rec-number&gt;243&lt;/rec-number&gt;&lt;foreign-keys&gt;&lt;key app="EN" db-id="s0ftft29jf2psaezx93xwz5s00fwpa9avrwv"&gt;243&lt;/key&gt;&lt;/foreign-keys&gt;&lt;ref-type name="Journal Article"&gt;17&lt;/ref-type&gt;&lt;contributors&gt;&lt;authors&gt;&lt;author&gt;McEvoy, K&lt;/author&gt;&lt;author&gt;Shirlow, P&lt;/author&gt;&lt;/authors&gt;&lt;/contributors&gt;&lt;titles&gt;&lt;title&gt;Re-imagining DDR: Ex-combatants, leadership and moral agency in conflict transformation&lt;/title&gt;&lt;secondary-title&gt;Theoretical Criminology&lt;/secondary-title&gt;&lt;/titles&gt;&lt;volume&gt;Vol. 13 (31)&lt;/volume&gt;&lt;dates&gt;&lt;year&gt;2009&lt;/year&gt;&lt;/dates&gt;&lt;urls&gt;&lt;/urls&gt;&lt;/record&gt;&lt;/Cite&gt;&lt;/EndNote&gt;</w:instrText>
      </w:r>
      <w:r>
        <w:fldChar w:fldCharType="separate"/>
      </w:r>
      <w:r>
        <w:rPr>
          <w:noProof/>
        </w:rPr>
        <w:t xml:space="preserve">K McEvoy and P Shirlow, "Re-Imagining Ddr: Ex-Combatants, Leadership and Moral Agency in Conflict Transformation," </w:t>
      </w:r>
      <w:r w:rsidRPr="00341B12">
        <w:rPr>
          <w:i/>
          <w:noProof/>
        </w:rPr>
        <w:t>Theoretical Criminology</w:t>
      </w:r>
      <w:r>
        <w:rPr>
          <w:noProof/>
        </w:rPr>
        <w:t xml:space="preserve"> Vol. 13 (31)(2009).</w:t>
      </w:r>
      <w:r>
        <w:fldChar w:fldCharType="end"/>
      </w:r>
    </w:p>
  </w:footnote>
  <w:footnote w:id="400">
    <w:p w14:paraId="1FDCBB59" w14:textId="36972D38" w:rsidR="007A04F6" w:rsidRDefault="007A04F6" w:rsidP="00E31224">
      <w:pPr>
        <w:pStyle w:val="FootnoteText"/>
      </w:pPr>
      <w:r>
        <w:rPr>
          <w:rStyle w:val="FootnoteReference"/>
        </w:rPr>
        <w:footnoteRef/>
      </w:r>
      <w:r>
        <w:t xml:space="preserve">Ruth </w:t>
      </w:r>
      <w:r w:rsidRPr="00341B12">
        <w:t>Jamieson, Peter Shirlow, and Adrian Grounds. "Ageing and social exclusion among former politically motivated prisoners in Northern Ireland and the border region of Ireland." Belfast: Changing Aging Partnership (2010).</w:t>
      </w:r>
    </w:p>
  </w:footnote>
  <w:footnote w:id="401">
    <w:p w14:paraId="2DEBBCB1" w14:textId="2474DD0D" w:rsidR="007A04F6" w:rsidRDefault="007A04F6" w:rsidP="00E31224">
      <w:pPr>
        <w:pStyle w:val="FootnoteText"/>
      </w:pPr>
      <w:r>
        <w:rPr>
          <w:rStyle w:val="FootnoteReference"/>
        </w:rPr>
        <w:footnoteRef/>
      </w:r>
      <w:r>
        <w:t xml:space="preserve"> Ruth Jamieson and Adrian Grounds, ‘Facing the Future: Ageing and Politically-motivated former prisoners in Northern Ireland and the border region’ Report commissioned by Ex-Prisoner Assistance Committee (EXPAC), September 2008, pp.1-49</w:t>
      </w:r>
    </w:p>
  </w:footnote>
  <w:footnote w:id="402">
    <w:p w14:paraId="47B2907E" w14:textId="484D404F" w:rsidR="007A04F6" w:rsidRDefault="007A04F6" w:rsidP="00E31224">
      <w:pPr>
        <w:pStyle w:val="FootnoteText"/>
      </w:pPr>
      <w:r>
        <w:rPr>
          <w:rStyle w:val="FootnoteReference"/>
        </w:rPr>
        <w:footnoteRef/>
      </w:r>
      <w:r>
        <w:t xml:space="preserve"> </w:t>
      </w:r>
      <w:r>
        <w:fldChar w:fldCharType="begin"/>
      </w:r>
      <w:r>
        <w:instrText xml:space="preserve"> ADDIN EN.CITE &lt;EndNote&gt;&lt;Cite&gt;&lt;Author&gt;Spjut&lt;/Author&gt;&lt;Year&gt;1986&lt;/Year&gt;&lt;RecNum&gt;335&lt;/RecNum&gt;&lt;DisplayText&gt;R.T. Spjut, &amp;quot;Internment and Detension without Trial in Northern Ireland 1971-1975: Ministerial Policy and Practice,&amp;quot; &lt;style face="italic"&gt;The Modern Law Review&lt;/style&gt; Vol. 49, No. 6(1986).&lt;/DisplayText&gt;&lt;record&gt;&lt;rec-number&gt;335&lt;/rec-number&gt;&lt;foreign-keys&gt;&lt;key app="EN" db-id="s0ftft29jf2psaezx93xwz5s00fwpa9avrwv"&gt;335&lt;/key&gt;&lt;/foreign-keys&gt;&lt;ref-type name="Journal Article"&gt;17&lt;/ref-type&gt;&lt;contributors&gt;&lt;authors&gt;&lt;author&gt;Spjut, R.T.&lt;/author&gt;&lt;/authors&gt;&lt;/contributors&gt;&lt;titles&gt;&lt;title&gt;Internment and Detension without Trial in Northern Ireland 1971-1975: Ministerial Policy and Practice&lt;/title&gt;&lt;secondary-title&gt;The Modern Law Review&lt;/secondary-title&gt;&lt;/titles&gt;&lt;periodical&gt;&lt;full-title&gt;The Modern Law Review&lt;/full-title&gt;&lt;/periodical&gt;&lt;pages&gt;pp. 712-740&lt;/pages&gt;&lt;volume&gt;Vol. 49, No. 6&lt;/volume&gt;&lt;dates&gt;&lt;year&gt;1986&lt;/year&gt;&lt;/dates&gt;&lt;urls&gt;&lt;/urls&gt;&lt;/record&gt;&lt;/Cite&gt;&lt;/EndNote&gt;</w:instrText>
      </w:r>
      <w:r>
        <w:fldChar w:fldCharType="separate"/>
      </w:r>
      <w:r>
        <w:rPr>
          <w:noProof/>
        </w:rPr>
        <w:t xml:space="preserve">R.T. Spjut, "Internment and Detension without Trial in Northern Ireland 1971-1975: Ministerial Policy and Practice," </w:t>
      </w:r>
      <w:r w:rsidRPr="00841FB2">
        <w:rPr>
          <w:i/>
          <w:noProof/>
        </w:rPr>
        <w:t>The Modern Law Review</w:t>
      </w:r>
      <w:r>
        <w:rPr>
          <w:noProof/>
        </w:rPr>
        <w:t xml:space="preserve"> Vol. 49, No. 6(1986).</w:t>
      </w:r>
      <w:r>
        <w:fldChar w:fldCharType="end"/>
      </w:r>
    </w:p>
  </w:footnote>
  <w:footnote w:id="403">
    <w:p w14:paraId="285E0279" w14:textId="686C052A" w:rsidR="007A04F6" w:rsidRDefault="007A04F6" w:rsidP="00E31224">
      <w:pPr>
        <w:pStyle w:val="FootnoteText"/>
      </w:pPr>
      <w:r>
        <w:rPr>
          <w:rStyle w:val="FootnoteReference"/>
        </w:rPr>
        <w:footnoteRef/>
      </w:r>
      <w:r>
        <w:t xml:space="preserve"> Gerry </w:t>
      </w:r>
      <w:r w:rsidRPr="00E92D10">
        <w:t>Adams. (1990) Cage Eleven. Dingle: Brandon Books</w:t>
      </w:r>
    </w:p>
  </w:footnote>
  <w:footnote w:id="404">
    <w:p w14:paraId="3991A77C" w14:textId="4B9E9992" w:rsidR="007A04F6" w:rsidRDefault="007A04F6" w:rsidP="00E31224">
      <w:pPr>
        <w:pStyle w:val="FootnoteText"/>
      </w:pPr>
      <w:r>
        <w:rPr>
          <w:rStyle w:val="FootnoteReference"/>
        </w:rPr>
        <w:footnoteRef/>
      </w:r>
      <w:r>
        <w:t xml:space="preserve"> </w:t>
      </w:r>
      <w:r w:rsidRPr="000D2865">
        <w:rPr>
          <w:rFonts w:cs="Times New Roman"/>
          <w:color w:val="000000" w:themeColor="text1"/>
          <w:szCs w:val="21"/>
          <w:shd w:val="clear" w:color="auto" w:fill="FFFFFF"/>
        </w:rPr>
        <w:t>Rolston, Bill. "Review of literature on Republican and loyalist ex-prisoners." (2011).</w:t>
      </w:r>
    </w:p>
  </w:footnote>
  <w:footnote w:id="405">
    <w:p w14:paraId="23D31D7C" w14:textId="320589F5" w:rsidR="007A04F6" w:rsidRDefault="007A04F6" w:rsidP="00E31224">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6C3F27">
        <w:rPr>
          <w:i/>
          <w:noProof/>
        </w:rPr>
        <w:t>Abandoning Historical Conflict?: Former Political Prisoners and Reconciliation in Northern Ireland</w:t>
      </w:r>
      <w:r>
        <w:rPr>
          <w:noProof/>
        </w:rPr>
        <w:t>.</w:t>
      </w:r>
      <w:r>
        <w:fldChar w:fldCharType="end"/>
      </w:r>
      <w:r>
        <w:t>; Interview, Former INLA Member, Belfast, 26th August 2013; Interview, Former Provisional IRA Member 3, Belfast, 2nd September 2013</w:t>
      </w:r>
    </w:p>
  </w:footnote>
  <w:footnote w:id="406">
    <w:p w14:paraId="751EE4ED" w14:textId="772A3911" w:rsidR="007A04F6" w:rsidRDefault="007A04F6" w:rsidP="00E31224">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&lt;EndNote&gt;&lt;Cite&gt;&lt;Author&gt;Shirlow&lt;/Author&gt;&lt;Year&gt;2010&lt;/Year&gt;&lt;RecNum&gt;205&lt;/RecNum&gt;&lt;DisplayText&gt;Ibid.&lt;/DisplayText&gt;&lt;record&gt;&lt;rec-number&gt;205&lt;/rec-number&gt;&lt;foreign-keys&gt;&lt;key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Ibid.</w:t>
      </w:r>
      <w:r>
        <w:fldChar w:fldCharType="end"/>
      </w:r>
    </w:p>
  </w:footnote>
  <w:footnote w:id="407">
    <w:p w14:paraId="7A54E91C" w14:textId="337EF4B6" w:rsidR="007A04F6" w:rsidRDefault="007A04F6">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&lt;EndNote&gt;&lt;Cite&gt;&lt;Author&gt;Shirlow&lt;/Author&gt;&lt;Year&gt;2010&lt;/Year&gt;&lt;RecNum&gt;205&lt;/RecNum&gt;&lt;DisplayText&gt;Ibid.&lt;/DisplayText&gt;&lt;record&gt;&lt;rec-number&gt;205&lt;/rec-number&gt;&lt;foreign-keys&gt;&lt;key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Ibid.</w:t>
      </w:r>
      <w:r>
        <w:fldChar w:fldCharType="end"/>
      </w:r>
    </w:p>
  </w:footnote>
  <w:footnote w:id="408">
    <w:p w14:paraId="393AD6A4" w14:textId="12970E18" w:rsidR="007A04F6" w:rsidRDefault="007A04F6">
      <w:pPr>
        <w:pStyle w:val="FootnoteText"/>
      </w:pPr>
      <w:r>
        <w:rPr>
          <w:rStyle w:val="FootnoteReference"/>
        </w:rPr>
        <w:footnoteRef/>
      </w:r>
      <w:r>
        <w:t xml:space="preserve"> Interview, Former Provisional IRA Member 3, Belfast, 2nd September 2013</w:t>
      </w:r>
    </w:p>
  </w:footnote>
  <w:footnote w:id="409">
    <w:p w14:paraId="6D7FBFA6"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410">
    <w:p w14:paraId="58E84514"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411">
    <w:p w14:paraId="61AF012E"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412">
    <w:p w14:paraId="11CD37A7" w14:textId="197E9EF5" w:rsidR="007A04F6" w:rsidRDefault="007A04F6">
      <w:pPr>
        <w:pStyle w:val="FootnoteText"/>
      </w:pPr>
      <w:r>
        <w:rPr>
          <w:rStyle w:val="FootnoteReference"/>
        </w:rPr>
        <w:footnoteRef/>
      </w:r>
      <w:r>
        <w:t xml:space="preserve"> </w:t>
      </w:r>
      <w:r>
        <w:fldChar w:fldCharType="begin"/>
      </w:r>
      <w:r>
        <w:instrText xml:space="preserve"> ADDIN EN.CITE &lt;EndNote&gt;&lt;Cite&gt;&lt;Author&gt;Moloney&lt;/Author&gt;&lt;Year&gt;2002&lt;/Year&gt;&lt;RecNum&gt;270&lt;/RecNum&gt;&lt;DisplayText&gt;Moloney,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413">
    <w:p w14:paraId="08DCB167" w14:textId="0AAB9C8B"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&lt;EndNote&gt;&lt;Cite&gt;&lt;Author&gt;Horgan&lt;/Author&gt;&lt;Year&gt;2011&lt;/Year&gt;&lt;RecNum&gt;260&lt;/RecNum&gt;&lt;DisplayText&gt;John Horgan and Paul Gill, &amp;quot;Who Are the Dissidents? An Introduction to the Icst Violent Dissident Republican Project,&amp;quot; in &lt;style face="italic"&gt;Dissident Irish Republicanism&lt;/style&gt;, ed. P.M. Currie and Max Taylor (London: The Continuum International Publishing Group, 2011).&lt;/DisplayText&gt;&lt;record&gt;&lt;rec-number&gt;260&lt;/rec-number&gt;&lt;foreign-keys&gt;&lt;key app="EN" db-id="s0ftft29jf2psaezx93xwz5s00fwpa9avrwv"&gt;260&lt;/key&gt;&lt;/foreign-keys&gt;&lt;ref-type name="Book Section"&gt;5&lt;/ref-type&gt;&lt;contributors&gt;&lt;authors&gt;&lt;author&gt;Horgan, John&lt;/author&gt;&lt;author&gt;Gill, Paul&lt;/author&gt;&lt;/authors&gt;&lt;secondary-authors&gt;&lt;author&gt;Currie, P.M.&lt;/author&gt;&lt;author&gt;Taylor, Max&lt;/author&gt;&lt;/secondary-authors&gt;&lt;/contributors&gt;&lt;titles&gt;&lt;title&gt;Who Are the Dissidents? An Introduction to the ICST Violent Dissident Republican Project&lt;/title&gt;&lt;secondary-title&gt;Dissident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 xml:space="preserve">John Horgan and Paul Gill, "Who Are the Dissidents? An Introduction to the Icst Violent Dissident Republican Project," in </w:t>
      </w:r>
      <w:r w:rsidRPr="003D17E7">
        <w:rPr>
          <w:i/>
          <w:noProof/>
        </w:rPr>
        <w:t>Dissident Irish Republicanism</w:t>
      </w:r>
      <w:r>
        <w:rPr>
          <w:noProof/>
        </w:rPr>
        <w:t>, ed. P.M. Currie and Max Taylor (London: The Continuum International Publishing Group, 2011).</w:t>
      </w:r>
      <w:r>
        <w:fldChar w:fldCharType="end"/>
      </w:r>
    </w:p>
  </w:footnote>
  <w:footnote w:id="414">
    <w:p w14:paraId="158E6495"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415">
    <w:p w14:paraId="12B56965" w14:textId="012AEEB4"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r>
        <w:t>, pp. 13</w:t>
      </w:r>
    </w:p>
  </w:footnote>
  <w:footnote w:id="416">
    <w:p w14:paraId="5499032F"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417">
    <w:p w14:paraId="0D1C0475" w14:textId="3C940E95"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&lt;EndNote&gt;&lt;Cite&gt;&lt;Author&gt;Guelke&lt;/Author&gt;&lt;Year&gt;2000&lt;/Year&gt;&lt;RecNum&gt;261&lt;/RecNum&gt;&lt;DisplayText&gt;Guelke, &amp;quot;&amp;apos;Comparatively Peaceful&amp;apos;: South Africa, the Middle East and Northern Ireland.&amp;quot;&lt;/DisplayText&gt;&lt;record&gt;&lt;rec-number&gt;261&lt;/rec-number&gt;&lt;foreign-keys&gt;&lt;key app="EN" db-id="s0ftft29jf2psaezx93xwz5s00fwpa9avrwv"&gt;261&lt;/key&gt;&lt;/foreign-keys&gt;&lt;ref-type name="Book Section"&gt;5&lt;/ref-type&gt;&lt;contributors&gt;&lt;authors&gt;&lt;author&gt;Guelke, Adrian&lt;/author&gt;&lt;/authors&gt;&lt;secondary-authors&gt;&lt;author&gt;Cox, Michael&lt;/author&gt;&lt;author&gt;Guelke, Adrian&lt;/author&gt;&lt;author&gt;Stephen, Fiona&lt;/author&gt;&lt;/secondary-authors&gt;&lt;/contributors&gt;&lt;titles&gt;&lt;title&gt;&amp;apos;Comparatively Peaceful&amp;apos;: South Africa, the Middle East and Northern Ireland&lt;/title&gt;&lt;secondary-title&gt;A Farewell to Arms? From &amp;apos;long war&amp;apos; to long peace in Northern Ireland&lt;/secondary-title&gt;&lt;/titles&gt;&lt;dates&gt;&lt;year&gt;2000&lt;/year&gt;&lt;/dates&gt;&lt;pub-location&gt;Manchester&lt;/pub-location&gt;&lt;publisher&gt;Manchester University Press&lt;/publisher&gt;&lt;urls&gt;&lt;/urls&gt;&lt;/record&gt;&lt;/Cite&gt;&lt;/EndNote&gt;</w:instrText>
      </w:r>
      <w:r>
        <w:fldChar w:fldCharType="separate"/>
      </w:r>
      <w:r>
        <w:rPr>
          <w:noProof/>
        </w:rPr>
        <w:t>Guelke, "'Comparatively Peaceful': South Africa, the Middle East and Northern Ireland."</w:t>
      </w:r>
      <w:r>
        <w:fldChar w:fldCharType="end"/>
      </w:r>
    </w:p>
  </w:footnote>
  <w:footnote w:id="418">
    <w:p w14:paraId="06E3C2F1"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419">
    <w:p w14:paraId="6ABA4122"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420">
    <w:p w14:paraId="0661AE4A" w14:textId="1CB34795" w:rsidR="007A04F6" w:rsidRDefault="007A04F6" w:rsidP="001E0EF1">
      <w:pPr>
        <w:pStyle w:val="FootnoteText"/>
      </w:pPr>
      <w:r>
        <w:rPr>
          <w:rStyle w:val="FootnoteReference"/>
        </w:rPr>
        <w:footnoteRef/>
      </w:r>
      <w:r>
        <w:t xml:space="preserve"> </w:t>
      </w:r>
      <w:r>
        <w:fldChar w:fldCharType="begin"/>
      </w:r>
      <w:r>
        <w:instrText xml:space="preserve"> ADDIN EN.CITE &lt;EndNote&gt;&lt;Cite&gt;&lt;Author&gt;Guelke&lt;/Author&gt;&lt;Year&gt;2000&lt;/Year&gt;&lt;RecNum&gt;261&lt;/RecNum&gt;&lt;DisplayText&gt;Guelke, &amp;quot;&amp;apos;Comparatively Peaceful&amp;apos;: South Africa, the Middle East and Northern Ireland.&amp;quot;&lt;/DisplayText&gt;&lt;record&gt;&lt;rec-number&gt;261&lt;/rec-number&gt;&lt;foreign-keys&gt;&lt;key app="EN" db-id="s0ftft29jf2psaezx93xwz5s00fwpa9avrwv"&gt;261&lt;/key&gt;&lt;/foreign-keys&gt;&lt;ref-type name="Book Section"&gt;5&lt;/ref-type&gt;&lt;contributors&gt;&lt;authors&gt;&lt;author&gt;Guelke, Adrian&lt;/author&gt;&lt;/authors&gt;&lt;secondary-authors&gt;&lt;author&gt;Cox, Michael&lt;/author&gt;&lt;author&gt;Guelke, Adrian&lt;/author&gt;&lt;author&gt;Stephen, Fiona&lt;/author&gt;&lt;/secondary-authors&gt;&lt;/contributors&gt;&lt;titles&gt;&lt;title&gt;&amp;apos;Comparatively Peaceful&amp;apos;: South Africa, the Middle East and Northern Ireland&lt;/title&gt;&lt;secondary-title&gt;A Farewell to Arms? From &amp;apos;long war&amp;apos; to long peace in Northern Ireland&lt;/secondary-title&gt;&lt;/titles&gt;&lt;dates&gt;&lt;year&gt;2000&lt;/year&gt;&lt;/dates&gt;&lt;pub-location&gt;Manchester&lt;/pub-location&gt;&lt;publisher&gt;Manchester University Press&lt;/publisher&gt;&lt;urls&gt;&lt;/urls&gt;&lt;/record&gt;&lt;/Cite&gt;&lt;/EndNote&gt;</w:instrText>
      </w:r>
      <w:r>
        <w:fldChar w:fldCharType="separate"/>
      </w:r>
      <w:r>
        <w:rPr>
          <w:noProof/>
        </w:rPr>
        <w:t>Guelke, "'Comparatively Peaceful': South Africa, the Middle East and Northern Ireland."</w:t>
      </w:r>
      <w:r>
        <w:fldChar w:fldCharType="end"/>
      </w:r>
    </w:p>
  </w:footnote>
  <w:footnote w:id="421">
    <w:p w14:paraId="6C6806CD" w14:textId="77777777" w:rsidR="007A04F6" w:rsidRPr="00CA2A38" w:rsidRDefault="007A04F6" w:rsidP="00BF4EDA">
      <w:pPr>
        <w:spacing w:before="0" w:line="288" w:lineRule="auto"/>
        <w:jc w:val="both"/>
        <w:rPr>
          <w:rFonts w:ascii="Times New Roman" w:hAnsi="Times New Roman" w:cs="Times New Roman"/>
        </w:rPr>
      </w:pPr>
      <w:r w:rsidRPr="001E0EF1">
        <w:rPr>
          <w:rStyle w:val="FootnoteReference"/>
          <w:rFonts w:ascii="Times New Roman" w:hAnsi="Times New Roman" w:cs="Times New Roman"/>
          <w:sz w:val="21"/>
          <w:szCs w:val="21"/>
        </w:rPr>
        <w:footnoteRef/>
      </w:r>
      <w:r w:rsidRPr="001E0EF1">
        <w:rPr>
          <w:rFonts w:ascii="Times New Roman" w:hAnsi="Times New Roman" w:cs="Times New Roman"/>
          <w:sz w:val="21"/>
          <w:szCs w:val="21"/>
        </w:rPr>
        <w:t xml:space="preserve"> </w:t>
      </w:r>
      <w:r w:rsidRPr="00F267B5">
        <w:rPr>
          <w:rFonts w:ascii="Times New Roman" w:hAnsi="Times New Roman" w:cs="Times New Roman"/>
          <w:sz w:val="21"/>
          <w:szCs w:val="21"/>
        </w:rPr>
        <w:t>International events such as the Israel-Palestine peace process in 1993 and the September 11</w:t>
      </w:r>
      <w:r w:rsidRPr="00F267B5">
        <w:rPr>
          <w:rFonts w:ascii="Times New Roman" w:hAnsi="Times New Roman" w:cs="Times New Roman"/>
          <w:sz w:val="21"/>
          <w:szCs w:val="21"/>
          <w:vertAlign w:val="superscript"/>
        </w:rPr>
        <w:t>th</w:t>
      </w:r>
      <w:r w:rsidRPr="00F267B5">
        <w:rPr>
          <w:rFonts w:ascii="Times New Roman" w:hAnsi="Times New Roman" w:cs="Times New Roman"/>
          <w:sz w:val="21"/>
          <w:szCs w:val="21"/>
        </w:rPr>
        <w:t xml:space="preserve"> 2001 attacks were utilised by the leadership to build a narrative that the tide was turning against armed violence, although the latter actually had more tangible consequences in terms of a crackdown on Republican funding in the US.</w:t>
      </w:r>
      <w:r>
        <w:rPr>
          <w:rFonts w:ascii="Times New Roman" w:hAnsi="Times New Roman" w:cs="Times New Roman"/>
        </w:rPr>
        <w:t xml:space="preserve">  </w:t>
      </w:r>
    </w:p>
  </w:footnote>
  <w:footnote w:id="422">
    <w:p w14:paraId="6DD9CFF8" w14:textId="77777777" w:rsidR="007A04F6" w:rsidRDefault="007A04F6" w:rsidP="00BF4EDA">
      <w:pPr>
        <w:pStyle w:val="FootnoteText"/>
      </w:pPr>
      <w:r>
        <w:rPr>
          <w:rStyle w:val="FootnoteReference"/>
        </w:rPr>
        <w:footnoteRef/>
      </w:r>
      <w:r>
        <w:t xml:space="preserve"> Interview, Former Provisional IRA Member 1, Belfast, 22nd August 2013</w:t>
      </w:r>
    </w:p>
  </w:footnote>
  <w:footnote w:id="423">
    <w:p w14:paraId="580C53B4" w14:textId="17FBB6DC" w:rsidR="007A04F6" w:rsidRDefault="007A04F6" w:rsidP="00BF4EDA">
      <w:pPr>
        <w:pStyle w:val="FootnoteText"/>
      </w:pPr>
      <w:r>
        <w:rPr>
          <w:rStyle w:val="FootnoteReference"/>
        </w:rPr>
        <w:footnoteRef/>
      </w:r>
      <w:r>
        <w:t xml:space="preserve"> These conditions state that if the ex-prisoner commits an offence or breaches specific conditions of release, such as participation in Republican marches, then the person can be re-detained. Republicans, such as the Real IRA’s political wing, currently mobilise on this, which they refer to as internment-on-remand.  </w:t>
      </w:r>
    </w:p>
  </w:footnote>
  <w:footnote w:id="424">
    <w:p w14:paraId="6BF40EE8" w14:textId="77777777" w:rsidR="007A04F6" w:rsidRDefault="007A04F6" w:rsidP="00BF4EDA">
      <w:pPr>
        <w:pStyle w:val="FootnoteText"/>
      </w:pPr>
      <w:r>
        <w:rPr>
          <w:rStyle w:val="FootnoteReference"/>
        </w:rPr>
        <w:footnoteRef/>
      </w:r>
      <w:r>
        <w:t xml:space="preserve"> Interview, Former INLA Member, Belfast, 26th August 2013</w:t>
      </w:r>
    </w:p>
  </w:footnote>
  <w:footnote w:id="425">
    <w:p w14:paraId="0CECD76A" w14:textId="77777777" w:rsidR="007A04F6" w:rsidRDefault="007A04F6" w:rsidP="00BF4EDA">
      <w:pPr>
        <w:pStyle w:val="FootnoteText"/>
      </w:pPr>
      <w:r>
        <w:rPr>
          <w:rStyle w:val="FootnoteReference"/>
        </w:rPr>
        <w:footnoteRef/>
      </w:r>
      <w:r>
        <w:t xml:space="preserve"> Interview, Former Provisional IRA Member 1, Belfast, 22nd August 2013</w:t>
      </w:r>
    </w:p>
  </w:footnote>
  <w:footnote w:id="426">
    <w:p w14:paraId="7510BE2B" w14:textId="77777777" w:rsidR="007A04F6" w:rsidRDefault="007A04F6" w:rsidP="00BF4EDA">
      <w:pPr>
        <w:pStyle w:val="FootnoteText"/>
      </w:pPr>
      <w:r>
        <w:rPr>
          <w:rStyle w:val="FootnoteReference"/>
        </w:rPr>
        <w:footnoteRef/>
      </w:r>
      <w:r>
        <w:t xml:space="preserve"> Interview, Former Provisional IRA Member 1, Belfast, 22nd August 2013</w:t>
      </w:r>
    </w:p>
  </w:footnote>
  <w:footnote w:id="427">
    <w:p w14:paraId="1E5C6E76"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428">
    <w:p w14:paraId="5B065BA3"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429">
    <w:p w14:paraId="1DF673F4" w14:textId="77777777" w:rsidR="007A04F6" w:rsidRDefault="007A04F6">
      <w:pPr>
        <w:pStyle w:val="FootnoteText"/>
      </w:pPr>
      <w:r>
        <w:rPr>
          <w:rStyle w:val="FootnoteReference"/>
        </w:rPr>
        <w:footnoteRef/>
      </w:r>
      <w:r>
        <w:t xml:space="preserve"> Interview, Former Provisional IRA Member 3, Belfast, 3rd September 2013</w:t>
      </w:r>
    </w:p>
  </w:footnote>
  <w:footnote w:id="430">
    <w:p w14:paraId="12CB1529" w14:textId="77777777" w:rsidR="007A04F6" w:rsidRDefault="007A04F6" w:rsidP="00991000">
      <w:pPr>
        <w:pStyle w:val="FootnoteText"/>
      </w:pPr>
      <w:r>
        <w:rPr>
          <w:rStyle w:val="FootnoteReference"/>
        </w:rPr>
        <w:footnoteRef/>
      </w:r>
      <w:r>
        <w:t xml:space="preserve"> Interview, Former Provisional IRA Member 4, Belfast, 3rd September 2013</w:t>
      </w:r>
    </w:p>
  </w:footnote>
  <w:footnote w:id="431">
    <w:p w14:paraId="13F77E3E" w14:textId="77777777" w:rsidR="007A04F6" w:rsidRDefault="007A04F6">
      <w:pPr>
        <w:pStyle w:val="FootnoteText"/>
      </w:pPr>
      <w:r>
        <w:rPr>
          <w:rStyle w:val="FootnoteReference"/>
        </w:rPr>
        <w:footnoteRef/>
      </w:r>
      <w:r>
        <w:t xml:space="preserve"> Interview, Former Provisional IRA Member 4, Belfast, 3rd September 2013</w:t>
      </w:r>
    </w:p>
  </w:footnote>
  <w:footnote w:id="432">
    <w:p w14:paraId="18B2DAC8" w14:textId="70E6A02F"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&lt;EndNote&gt;&lt;Cite&gt;&lt;Author&gt;Frampton&lt;/Author&gt;&lt;Year&gt;2012&lt;/Year&gt;&lt;RecNum&gt;215&lt;/RecNum&gt;&lt;DisplayText&gt;Martyn Frampton, &amp;quot;Dissident Irish Republican Violence: A Resurgent Threat?,&amp;quot; &lt;style face="italic"&gt;The Political Quarterly&lt;/style&gt; 83 (2)(2012).&lt;/DisplayText&gt;&lt;record&gt;&lt;rec-number&gt;215&lt;/rec-number&gt;&lt;foreign-keys&gt;&lt;key app="EN" db-id="s0ftft29jf2psaezx93xwz5s00fwpa9avrwv"&gt;215&lt;/key&gt;&lt;/foreign-keys&gt;&lt;ref-type name="Journal Article"&gt;17&lt;/ref-type&gt;&lt;contributors&gt;&lt;authors&gt;&lt;author&gt;Frampton, Martyn&lt;/author&gt;&lt;/authors&gt;&lt;/contributors&gt;&lt;titles&gt;&lt;title&gt;Dissident Irish Republican Violence: A Resurgent Threat?&lt;/title&gt;&lt;secondary-title&gt;The Political Quarterly&lt;/secondary-title&gt;&lt;/titles&gt;&lt;periodical&gt;&lt;full-title&gt;The Political Quarterly&lt;/full-title&gt;&lt;/periodical&gt;&lt;pages&gt;pp. 227-237&lt;/pages&gt;&lt;volume&gt;83 (2)&lt;/volume&gt;&lt;dates&gt;&lt;year&gt;2012&lt;/year&gt;&lt;/dates&gt;&lt;urls&gt;&lt;/urls&gt;&lt;/record&gt;&lt;/Cite&gt;&lt;/EndNote&gt;</w:instrText>
      </w:r>
      <w:r>
        <w:fldChar w:fldCharType="separate"/>
      </w:r>
      <w:r>
        <w:rPr>
          <w:noProof/>
        </w:rPr>
        <w:t xml:space="preserve">Martyn Frampton, "Dissident Irish Republican Violence: A Resurgent Threat?," </w:t>
      </w:r>
      <w:r w:rsidRPr="003D17E7">
        <w:rPr>
          <w:i/>
          <w:noProof/>
        </w:rPr>
        <w:t>The Political Quarterly</w:t>
      </w:r>
      <w:r>
        <w:rPr>
          <w:noProof/>
        </w:rPr>
        <w:t xml:space="preserve"> 83 (2)(2012).</w:t>
      </w:r>
      <w:r>
        <w:fldChar w:fldCharType="end"/>
      </w:r>
    </w:p>
  </w:footnote>
  <w:footnote w:id="433">
    <w:p w14:paraId="207FDE5C" w14:textId="77777777" w:rsidR="007A04F6" w:rsidRDefault="007A04F6">
      <w:pPr>
        <w:pStyle w:val="FootnoteText"/>
      </w:pPr>
      <w:r>
        <w:rPr>
          <w:rStyle w:val="FootnoteReference"/>
        </w:rPr>
        <w:footnoteRef/>
      </w:r>
      <w:r>
        <w:t xml:space="preserve"> Interview, Former Provisional IRA Member 3, Belfast, 3rd September 2013</w:t>
      </w:r>
    </w:p>
  </w:footnote>
  <w:footnote w:id="434">
    <w:p w14:paraId="64822FA2" w14:textId="77777777" w:rsidR="007A04F6" w:rsidRDefault="007A04F6">
      <w:pPr>
        <w:pStyle w:val="FootnoteText"/>
      </w:pPr>
      <w:r>
        <w:rPr>
          <w:rStyle w:val="FootnoteReference"/>
        </w:rPr>
        <w:footnoteRef/>
      </w:r>
      <w:r>
        <w:t xml:space="preserve"> Interview, Former Provisional IRA Member 5, Belfast, 3rd September 2013</w:t>
      </w:r>
    </w:p>
  </w:footnote>
  <w:footnote w:id="435">
    <w:p w14:paraId="716A4D3D" w14:textId="3E7E6043" w:rsidR="007A04F6" w:rsidRDefault="007A04F6">
      <w:pPr>
        <w:pStyle w:val="FootnoteText"/>
      </w:pPr>
      <w:r>
        <w:rPr>
          <w:rStyle w:val="FootnoteReference"/>
        </w:rPr>
        <w:footnoteRef/>
      </w:r>
      <w:r>
        <w:t xml:space="preserve"> </w:t>
      </w:r>
      <w:r>
        <w:fldChar w:fldCharType="begin"/>
      </w:r>
      <w:r>
        <w:instrText xml:space="preserve"> ADDIN EN.CITE &lt;EndNote&gt;&lt;Cite&gt;&lt;Author&gt;Morrison&lt;/Author&gt;&lt;Year&gt;2011&lt;/Year&gt;&lt;RecNum&gt;255&lt;/RecNum&gt;&lt;DisplayText&gt;Morrison, &amp;quot;Why Do People Become Dissident Republicans?.&amp;quot;&lt;/DisplayText&gt;&lt;record&gt;&lt;rec-number&gt;255&lt;/rec-number&gt;&lt;foreign-keys&gt;&lt;key app="EN" db-id="s0ftft29jf2psaezx93xwz5s00fwpa9avrwv"&gt;255&lt;/key&gt;&lt;/foreign-keys&gt;&lt;ref-type name="Book Section"&gt;5&lt;/ref-type&gt;&lt;contributors&gt;&lt;authors&gt;&lt;author&gt;Morrison, John&lt;/author&gt;&lt;/authors&gt;&lt;secondary-authors&gt;&lt;author&gt;Currie, P.M.&lt;/author&gt;&lt;author&gt;Taylor, Max&lt;/author&gt;&lt;/secondary-authors&gt;&lt;/contributors&gt;&lt;titles&gt;&lt;title&gt;Why do People Become Dissident Republicans?&lt;/title&gt;&lt;secondary-title&gt;Dissident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Morrison, "Why Do People Become Dissident Republicans?."</w:t>
      </w:r>
      <w:r>
        <w:fldChar w:fldCharType="end"/>
      </w:r>
    </w:p>
  </w:footnote>
  <w:footnote w:id="436">
    <w:p w14:paraId="162212E0" w14:textId="7D37A691" w:rsidR="007A04F6" w:rsidRDefault="007A04F6">
      <w:pPr>
        <w:pStyle w:val="FootnoteText"/>
      </w:pPr>
      <w:r>
        <w:rPr>
          <w:rStyle w:val="FootnoteReference"/>
        </w:rPr>
        <w:footnoteRef/>
      </w:r>
      <w:r>
        <w:t xml:space="preserve"> </w:t>
      </w:r>
      <w:r>
        <w:fldChar w:fldCharType="begin"/>
      </w:r>
      <w:r>
        <w:instrText xml:space="preserve"> ADDIN EN.CITE &lt;EndNote&gt;&lt;Cite&gt;&lt;Author&gt;O&amp;apos;Farrell&lt;/Author&gt;&lt;Year&gt;31st July 2005&lt;/Year&gt;&lt;RecNum&gt;283&lt;/RecNum&gt;&lt;DisplayText&gt;John O&amp;apos;Farrell, Gaby Hinsliff, and Henry McDonald, &amp;quot;Ira Declares Peace, but for Some Old Warriors It&amp;apos;s Abject Surrender,&amp;quot; &lt;style face="italic"&gt;The Observer&lt;/style&gt; 31st July 2005.&lt;/DisplayText&gt;&lt;record&gt;&lt;rec-number&gt;283&lt;/rec-number&gt;&lt;foreign-keys&gt;&lt;key app="EN" db-id="s0ftft29jf2psaezx93xwz5s00fwpa9avrwv"&gt;283&lt;/key&gt;&lt;/foreign-keys&gt;&lt;ref-type name="Newspaper Article"&gt;23&lt;/ref-type&gt;&lt;contributors&gt;&lt;authors&gt;&lt;author&gt;O&amp;apos;Farrell, John&lt;/author&gt;&lt;author&gt;Hinsliff, Gaby&lt;/author&gt;&lt;author&gt;McDonald, Henry&lt;/author&gt;&lt;/authors&gt;&lt;/contributors&gt;&lt;titles&gt;&lt;title&gt;IRA declares peace, but for some old warriors it&amp;apos;s abject surrender&lt;/title&gt;&lt;secondary-title&gt;The Observer&lt;/secondary-title&gt;&lt;/titles&gt;&lt;dates&gt;&lt;year&gt;31st July 2005&lt;/year&gt;&lt;/dates&gt;&lt;pub-location&gt;Manchester&lt;/pub-location&gt;&lt;urls&gt;&lt;/urls&gt;&lt;/record&gt;&lt;/Cite&gt;&lt;/EndNote&gt;</w:instrText>
      </w:r>
      <w:r>
        <w:fldChar w:fldCharType="separate"/>
      </w:r>
      <w:r>
        <w:rPr>
          <w:noProof/>
        </w:rPr>
        <w:t xml:space="preserve">John O'Farrell, Gaby Hinsliff, and Henry McDonald, "Ira Declares Peace, but for Some Old Warriors It's Abject Surrender," </w:t>
      </w:r>
      <w:r w:rsidRPr="003D17E7">
        <w:rPr>
          <w:i/>
          <w:noProof/>
        </w:rPr>
        <w:t>The Observer</w:t>
      </w:r>
      <w:r>
        <w:rPr>
          <w:noProof/>
        </w:rPr>
        <w:t xml:space="preserve"> 31st July 2005.</w:t>
      </w:r>
      <w:r>
        <w:fldChar w:fldCharType="end"/>
      </w:r>
    </w:p>
  </w:footnote>
  <w:footnote w:id="437">
    <w:p w14:paraId="343ADCA3" w14:textId="09F3062D" w:rsidR="007A04F6" w:rsidRDefault="007A04F6">
      <w:pPr>
        <w:pStyle w:val="FootnoteText"/>
      </w:pPr>
      <w:r>
        <w:rPr>
          <w:rStyle w:val="FootnoteReference"/>
        </w:rPr>
        <w:footnoteRef/>
      </w:r>
      <w:r>
        <w:t xml:space="preserve"> </w:t>
      </w:r>
      <w:r>
        <w:fldChar w:fldCharType="begin"/>
      </w:r>
      <w:r>
        <w:instrText xml:space="preserve"> ADDIN EN.CITE &lt;EndNote&gt;&lt;Cite&gt;&lt;Author&gt;Brady&lt;/Author&gt;&lt;Year&gt;31st May 2011&lt;/Year&gt;&lt;RecNum&gt;284&lt;/RecNum&gt;&lt;DisplayText&gt;Tom Brady, &amp;quot;Wikileaks: Why Ira Chose &amp;apos;Hard Army Man&amp;apos; to Deliver Peace Message,&amp;quot; &lt;style face="italic"&gt;Belfast Telegraph&lt;/style&gt; 31st May 2011.&lt;/DisplayText&gt;&lt;record&gt;&lt;rec-number&gt;284&lt;/rec-number&gt;&lt;foreign-keys&gt;&lt;key app="EN" db-id="s0ftft29jf2psaezx93xwz5s00fwpa9avrwv"&gt;284&lt;/key&gt;&lt;/foreign-keys&gt;&lt;ref-type name="Newspaper Article"&gt;23&lt;/ref-type&gt;&lt;contributors&gt;&lt;authors&gt;&lt;author&gt;Brady, Tom&lt;/author&gt;&lt;/authors&gt;&lt;/contributors&gt;&lt;titles&gt;&lt;title&gt;WikiLeaks: Why IRA chose &amp;apos;hard army man&amp;apos; to deliver peace message&lt;/title&gt;&lt;secondary-title&gt;Belfast Telegraph&lt;/secondary-title&gt;&lt;/titles&gt;&lt;dates&gt;&lt;year&gt;31st May 2011&lt;/year&gt;&lt;/dates&gt;&lt;pub-location&gt;Belfast&lt;/pub-location&gt;&lt;urls&gt;&lt;/urls&gt;&lt;/record&gt;&lt;/Cite&gt;&lt;/EndNote&gt;</w:instrText>
      </w:r>
      <w:r>
        <w:fldChar w:fldCharType="separate"/>
      </w:r>
      <w:r>
        <w:rPr>
          <w:noProof/>
        </w:rPr>
        <w:t xml:space="preserve">Tom Brady, "Wikileaks: Why Ira Chose 'Hard Army Man' to Deliver Peace Message," </w:t>
      </w:r>
      <w:r w:rsidRPr="003D17E7">
        <w:rPr>
          <w:i/>
          <w:noProof/>
        </w:rPr>
        <w:t>Belfast Telegraph</w:t>
      </w:r>
      <w:r>
        <w:rPr>
          <w:noProof/>
        </w:rPr>
        <w:t xml:space="preserve"> 31st May 2011.</w:t>
      </w:r>
      <w:r>
        <w:fldChar w:fldCharType="end"/>
      </w:r>
    </w:p>
  </w:footnote>
  <w:footnote w:id="438">
    <w:p w14:paraId="512F3B12" w14:textId="77D59E8F" w:rsidR="007A04F6" w:rsidRDefault="007A04F6">
      <w:pPr>
        <w:pStyle w:val="FootnoteText"/>
      </w:pPr>
      <w:r>
        <w:rPr>
          <w:rStyle w:val="FootnoteReference"/>
        </w:rPr>
        <w:footnoteRef/>
      </w:r>
      <w:r>
        <w:t xml:space="preserve"> </w:t>
      </w:r>
      <w:r>
        <w:fldChar w:fldCharType="begin"/>
      </w:r>
      <w:r>
        <w:instrText xml:space="preserve"> ADDIN EN.CITE &lt;EndNote&gt;&lt;Cite&gt;&lt;Author&gt;Molone&lt;/Author&gt;&lt;Year&gt;2002&lt;/Year&gt;&lt;RecNum&gt;270&lt;/RecNum&gt;&lt;DisplayText&gt;Moloney, &lt;style face="italic"&gt;A Secret History of the Ira&lt;/style&gt;.&lt;/DisplayText&gt;&lt;record&gt;&lt;rec-number&gt;270&lt;/rec-number&gt;&lt;foreign-keys&gt;&lt;key app="EN" db-id="s0ftft29jf2psaezx93xwz5s00fwpa9avrwv"&gt;270&lt;/key&gt;&lt;/foreign-keys&gt;&lt;ref-type name="Book"&gt;6&lt;/ref-type&gt;&lt;contributors&gt;&lt;authors&gt;&lt;author&gt;Moloney, Ed&lt;/author&gt;&lt;/authors&gt;&lt;/contributors&gt;&lt;titles&gt;&lt;title&gt;A Secret History of the IRA&lt;/title&gt;&lt;/titles&gt;&lt;dates&gt;&lt;year&gt;2002&lt;/year&gt;&lt;/dates&gt;&lt;pub-location&gt;London&lt;/pub-location&gt;&lt;publisher&gt;Penguin&lt;/publisher&gt;&lt;urls&gt;&lt;/urls&gt;&lt;/record&gt;&lt;/Cite&gt;&lt;/EndNote&gt;</w:instrText>
      </w:r>
      <w:r>
        <w:fldChar w:fldCharType="separate"/>
      </w:r>
      <w:r>
        <w:rPr>
          <w:noProof/>
        </w:rPr>
        <w:t xml:space="preserve">Moloney, </w:t>
      </w:r>
      <w:r w:rsidRPr="003D17E7">
        <w:rPr>
          <w:i/>
          <w:noProof/>
        </w:rPr>
        <w:t>A Secret History of the Ira</w:t>
      </w:r>
      <w:r>
        <w:rPr>
          <w:noProof/>
        </w:rPr>
        <w:t>.</w:t>
      </w:r>
      <w:r>
        <w:fldChar w:fldCharType="end"/>
      </w:r>
    </w:p>
  </w:footnote>
  <w:footnote w:id="439">
    <w:p w14:paraId="1BFA03EC" w14:textId="722D972F" w:rsidR="007A04F6" w:rsidRDefault="007A04F6">
      <w:pPr>
        <w:pStyle w:val="FootnoteText"/>
      </w:pPr>
      <w:r>
        <w:rPr>
          <w:rStyle w:val="FootnoteReference"/>
        </w:rPr>
        <w:footnoteRef/>
      </w:r>
      <w:r>
        <w:t xml:space="preserve"> </w:t>
      </w:r>
      <w:r>
        <w:fldChar w:fldCharType="begin"/>
      </w:r>
      <w:r>
        <w:instrText xml:space="preserve"> ADDIN EN.CITE &lt;EndNote&gt;&lt;Cite&gt;&lt;Author&gt;Waldmann&lt;/Author&gt;&lt;Year&gt;2008&lt;/Year&gt;&lt;RecNum&gt;167&lt;/RecNum&gt;&lt;DisplayText&gt;Waldmann, &amp;quot;The Radical Milieu: The under-Investigated Relationship between Terrorists and Sympathetic Communities.&amp;quot;&lt;/DisplayText&gt;&lt;record&gt;&lt;rec-number&gt;167&lt;/rec-number&gt;&lt;foreign-keys&gt;&lt;key app="EN" db-id="s0ftft29jf2psaezx93xwz5s00fwpa9avrwv"&gt;167&lt;/key&gt;&lt;/foreign-keys&gt;&lt;ref-type name="Journal Article"&gt;17&lt;/ref-type&gt;&lt;contributors&gt;&lt;authors&gt;&lt;author&gt;Waldmann, Peter&lt;/author&gt;&lt;/authors&gt;&lt;/contributors&gt;&lt;titles&gt;&lt;title&gt;The Radical Milieu: The Under-Investigated Relationship Between Terrorists and Sympathetic Communities&lt;/title&gt;&lt;secondary-title&gt;Perspectives on Terrorism&lt;/secondary-title&gt;&lt;/titles&gt;&lt;volume&gt;2 (9)&lt;/volume&gt;&lt;dates&gt;&lt;year&gt;2008&lt;/year&gt;&lt;/dates&gt;&lt;urls&gt;&lt;/urls&gt;&lt;/record&gt;&lt;/Cite&gt;&lt;/EndNote&gt;</w:instrText>
      </w:r>
      <w:r>
        <w:fldChar w:fldCharType="separate"/>
      </w:r>
      <w:r>
        <w:rPr>
          <w:noProof/>
        </w:rPr>
        <w:t>Waldmann, "The Radical Milieu: The under-Investigated Relationship between Terrorists and Sympathetic Communities."</w:t>
      </w:r>
      <w:r>
        <w:fldChar w:fldCharType="end"/>
      </w:r>
    </w:p>
  </w:footnote>
  <w:footnote w:id="440">
    <w:p w14:paraId="61753B2A" w14:textId="71B0B7B4" w:rsidR="007A04F6" w:rsidRDefault="007A04F6">
      <w:pPr>
        <w:pStyle w:val="FootnoteText"/>
      </w:pPr>
      <w:r>
        <w:rPr>
          <w:rStyle w:val="FootnoteReference"/>
        </w:rPr>
        <w:footnoteRef/>
      </w:r>
      <w:r>
        <w:t xml:space="preserve"> </w:t>
      </w:r>
      <w:r>
        <w:fldChar w:fldCharType="begin"/>
      </w:r>
      <w:r>
        <w:instrText xml:space="preserve"> ADDIN EN.CITE &lt;EndNote&gt;&lt;Cite&gt;&lt;Author&gt;O&amp;apos;Brien&lt;/Author&gt;&lt;Year&gt;1999&lt;/Year&gt;&lt;RecNum&gt;292&lt;/RecNum&gt;&lt;DisplayText&gt;Brendan O&amp;apos;Brien, &lt;style face="italic"&gt;The Long War: The Ira and Sinn Fein&lt;/style&gt;  (New York: Syracuse University Press, 1999).&lt;/DisplayText&gt;&lt;record&gt;&lt;rec-number&gt;292&lt;/rec-number&gt;&lt;foreign-keys&gt;&lt;key app="EN" db-id="s0ftft29jf2psaezx93xwz5s00fwpa9avrwv"&gt;292&lt;/key&gt;&lt;/foreign-keys&gt;&lt;ref-type name="Book"&gt;6&lt;/ref-type&gt;&lt;contributors&gt;&lt;authors&gt;&lt;author&gt;O&amp;apos;Brien, Brendan&lt;/author&gt;&lt;/authors&gt;&lt;/contributors&gt;&lt;titles&gt;&lt;title&gt;The Long War: The IRA and Sinn Fein&lt;/title&gt;&lt;/titles&gt;&lt;dates&gt;&lt;year&gt;1999&lt;/year&gt;&lt;/dates&gt;&lt;pub-location&gt;New York&lt;/pub-location&gt;&lt;publisher&gt;Syracuse University Press&lt;/publisher&gt;&lt;urls&gt;&lt;/urls&gt;&lt;/record&gt;&lt;/Cite&gt;&lt;/EndNote&gt;</w:instrText>
      </w:r>
      <w:r>
        <w:fldChar w:fldCharType="separate"/>
      </w:r>
      <w:r>
        <w:rPr>
          <w:noProof/>
        </w:rPr>
        <w:t xml:space="preserve">Brendan O'Brien, </w:t>
      </w:r>
      <w:r w:rsidRPr="003D17E7">
        <w:rPr>
          <w:i/>
          <w:noProof/>
        </w:rPr>
        <w:t>The Long War: The Ira and Sinn Fein</w:t>
      </w:r>
      <w:r>
        <w:rPr>
          <w:noProof/>
        </w:rPr>
        <w:t xml:space="preserve">  (New York: Syracuse University Press, 1999).</w:t>
      </w:r>
      <w:r>
        <w:fldChar w:fldCharType="end"/>
      </w:r>
    </w:p>
  </w:footnote>
  <w:footnote w:id="441">
    <w:p w14:paraId="696BB091" w14:textId="67CB74B2" w:rsidR="007A04F6" w:rsidRDefault="007A04F6">
      <w:pPr>
        <w:pStyle w:val="FootnoteText"/>
      </w:pPr>
      <w:r>
        <w:rPr>
          <w:rStyle w:val="FootnoteReference"/>
        </w:rPr>
        <w:footnoteRef/>
      </w:r>
      <w:r>
        <w:t xml:space="preserve"> </w:t>
      </w:r>
      <w:r>
        <w:fldChar w:fldCharType="begin"/>
      </w:r>
      <w:r>
        <w:instrText xml:space="preserve"> ADDIN EN.CITE &lt;EndNote&gt;&lt;Cite&gt;&lt;Author&gt;Malthaner&lt;/Author&gt;&lt;Year&gt;2010&lt;/Year&gt;&lt;RecNum&gt;113&lt;/RecNum&gt;&lt;DisplayText&gt;Stefan Malthaner, &amp;quot;Mobilizing the Faithful: The Relationship between Militant Islamist Groups and Their Constituencies&amp;quot; (University of Augsburg, 2010).&lt;/DisplayText&gt;&lt;record&gt;&lt;rec-number&gt;113&lt;/rec-number&gt;&lt;foreign-keys&gt;&lt;key app="EN" db-id="s0ftft29jf2psaezx93xwz5s00fwpa9avrwv"&gt;113&lt;/key&gt;&lt;/foreign-keys&gt;&lt;ref-type name="Thesis"&gt;32&lt;/ref-type&gt;&lt;contributors&gt;&lt;authors&gt;&lt;author&gt;Malthaner, Stefan&lt;/author&gt;&lt;/authors&gt;&lt;/contributors&gt;&lt;titles&gt;&lt;title&gt;Mobilizing the Faithful: The Relationship between militant Islamist groups and their constituencies&lt;/title&gt;&lt;secondary-title&gt;Faculty of Philosophy and Social Sciences&lt;/secondary-title&gt;&lt;/titles&gt;&lt;volume&gt;PhD&lt;/volume&gt;&lt;dates&gt;&lt;year&gt;2010&lt;/year&gt;&lt;/dates&gt;&lt;pub-location&gt;Augsburg&lt;/pub-location&gt;&lt;publisher&gt;University of Augsburg&lt;/publisher&gt;&lt;urls&gt;&lt;/urls&gt;&lt;/record&gt;&lt;/Cite&gt;&lt;/EndNote&gt;</w:instrText>
      </w:r>
      <w:r>
        <w:fldChar w:fldCharType="separate"/>
      </w:r>
      <w:r>
        <w:rPr>
          <w:noProof/>
        </w:rPr>
        <w:t>Stefan Malthaner, "Mobilizing the Faithful: The Relationship between Militant Islamist Groups and Their Constituencies" (University of Augsburg, 2010).</w:t>
      </w:r>
      <w:r>
        <w:fldChar w:fldCharType="end"/>
      </w:r>
    </w:p>
  </w:footnote>
  <w:footnote w:id="442">
    <w:p w14:paraId="6361A39C" w14:textId="77777777" w:rsidR="007A04F6" w:rsidRDefault="007A04F6">
      <w:pPr>
        <w:pStyle w:val="FootnoteText"/>
      </w:pPr>
      <w:r>
        <w:rPr>
          <w:rStyle w:val="FootnoteReference"/>
        </w:rPr>
        <w:footnoteRef/>
      </w:r>
      <w:r>
        <w:t xml:space="preserve"> Interview, Former Provisional IRA Member 5, Belfast, 3rd September 2013</w:t>
      </w:r>
    </w:p>
  </w:footnote>
  <w:footnote w:id="443">
    <w:p w14:paraId="33CE77F5" w14:textId="53586B99" w:rsidR="007A04F6" w:rsidRDefault="007A04F6">
      <w:pPr>
        <w:pStyle w:val="FootnoteText"/>
      </w:pPr>
      <w:r>
        <w:rPr>
          <w:rStyle w:val="FootnoteReference"/>
        </w:rPr>
        <w:footnoteRef/>
      </w:r>
      <w:r>
        <w:t xml:space="preserve"> </w:t>
      </w:r>
      <w:r>
        <w:fldChar w:fldCharType="begin"/>
      </w:r>
      <w:r>
        <w:instrText xml:space="preserve"> ADDIN EN.CITE &lt;EndNote&gt;&lt;Cite&gt;&lt;Author&gt;English&lt;/Author&gt;&lt;Year&gt;2003&lt;/Year&gt;&lt;RecNum&gt;197&lt;/RecNum&gt;&lt;DisplayText&gt;English, &lt;style face="italic"&gt;Armed Struggle: The History of the Ira&lt;/style&gt;.&lt;/DisplayText&gt;&lt;record&gt;&lt;rec-number&gt;197&lt;/rec-number&gt;&lt;foreign-keys&gt;&lt;key app="EN" db-id="s0ftft29jf2psaezx93xwz5s00fwpa9avrwv"&gt;197&lt;/key&gt;&lt;/foreign-keys&gt;&lt;ref-type name="Book"&gt;6&lt;/ref-type&gt;&lt;contributors&gt;&lt;authors&gt;&lt;author&gt;English, Richard&lt;/author&gt;&lt;/authors&gt;&lt;/contributors&gt;&lt;titles&gt;&lt;title&gt;Armed Struggle: the History of the IRA&lt;/title&gt;&lt;/titles&gt;&lt;dates&gt;&lt;year&gt;2003&lt;/year&gt;&lt;/dates&gt;&lt;pub-location&gt;London&lt;/pub-location&gt;&lt;publisher&gt;Macmillan&lt;/publisher&gt;&lt;urls&gt;&lt;/urls&gt;&lt;/record&gt;&lt;/Cite&gt;&lt;/EndNote&gt;</w:instrText>
      </w:r>
      <w:r>
        <w:fldChar w:fldCharType="separate"/>
      </w:r>
      <w:r>
        <w:rPr>
          <w:noProof/>
        </w:rPr>
        <w:t xml:space="preserve">English, </w:t>
      </w:r>
      <w:r w:rsidRPr="003D17E7">
        <w:rPr>
          <w:i/>
          <w:noProof/>
        </w:rPr>
        <w:t>Armed Struggle: The History of the Ira</w:t>
      </w:r>
      <w:r>
        <w:rPr>
          <w:noProof/>
        </w:rPr>
        <w:t>.</w:t>
      </w:r>
      <w:r>
        <w:fldChar w:fldCharType="end"/>
      </w:r>
    </w:p>
  </w:footnote>
  <w:footnote w:id="444">
    <w:p w14:paraId="12DCB525" w14:textId="1A859600" w:rsidR="007A04F6" w:rsidRDefault="007A04F6">
      <w:pPr>
        <w:pStyle w:val="FootnoteText"/>
      </w:pPr>
      <w:r>
        <w:rPr>
          <w:rStyle w:val="FootnoteReference"/>
        </w:rPr>
        <w:footnoteRef/>
      </w:r>
      <w:r>
        <w:t xml:space="preserve"> </w:t>
      </w:r>
      <w:r>
        <w:fldChar w:fldCharType="begin"/>
      </w:r>
      <w:r>
        <w:instrText xml:space="preserve"> ADDIN EN.CITE &lt;EndNote&gt;&lt;Cite&gt;&lt;Author&gt;Weinberg&lt;/Author&gt;&lt;Year&gt;2010&lt;/Year&gt;&lt;RecNum&gt;169&lt;/RecNum&gt;&lt;DisplayText&gt;Weinberg and Perliger, &amp;quot;How Terrorist Groups End.&amp;quot;&lt;/DisplayText&gt;&lt;record&gt;&lt;rec-number&gt;169&lt;/rec-number&gt;&lt;foreign-keys&gt;&lt;key app="EN" db-id="s0ftft29jf2psaezx93xwz5s00fwpa9avrwv"&gt;169&lt;/key&gt;&lt;/foreign-keys&gt;&lt;ref-type name="Journal Article"&gt;17&lt;/ref-type&gt;&lt;contributors&gt;&lt;authors&gt;&lt;author&gt;Weinberg, Leonard&lt;/author&gt;&lt;author&gt;Perliger, Arie&lt;/author&gt;&lt;/authors&gt;&lt;/contributors&gt;&lt;titles&gt;&lt;title&gt;How Terrorist Groups End&lt;/title&gt;&lt;secondary-title&gt;CTC Sentinel&lt;/secondary-title&gt;&lt;/titles&gt;&lt;pages&gt;pp. 16-17 &lt;/pages&gt;&lt;volume&gt;3 (2)&lt;/volume&gt;&lt;dates&gt;&lt;year&gt;2010&lt;/year&gt;&lt;/dates&gt;&lt;urls&gt;&lt;/urls&gt;&lt;/record&gt;&lt;/Cite&gt;&lt;/EndNote&gt;</w:instrText>
      </w:r>
      <w:r>
        <w:fldChar w:fldCharType="separate"/>
      </w:r>
      <w:r>
        <w:rPr>
          <w:noProof/>
        </w:rPr>
        <w:t>Weinberg and Perliger, "How Terrorist Groups End."</w:t>
      </w:r>
      <w:r>
        <w:fldChar w:fldCharType="end"/>
      </w:r>
    </w:p>
  </w:footnote>
  <w:footnote w:id="445">
    <w:p w14:paraId="381DF654" w14:textId="49CBAC90" w:rsidR="007A04F6" w:rsidRDefault="007A04F6" w:rsidP="00EC2B67">
      <w:pPr>
        <w:pStyle w:val="FootnoteText"/>
      </w:pPr>
      <w:r>
        <w:rPr>
          <w:rStyle w:val="FootnoteReference"/>
        </w:rPr>
        <w:footnoteRef/>
      </w:r>
      <w:r>
        <w:t xml:space="preserve"> </w:t>
      </w:r>
      <w:r>
        <w:fldChar w:fldCharType="begin"/>
      </w:r>
      <w:r>
        <w:instrText xml:space="preserve"> ADDIN EN.CITE &lt;EndNote&gt;&lt;Cite&gt;&lt;Author&gt;Cronin&lt;/Author&gt;&lt;Year&gt;2009&lt;/Year&gt;&lt;RecNum&gt;207&lt;/RecNum&gt;&lt;DisplayText&gt;Cronin, &lt;style face="italic"&gt;How Terrorism Ends: Understanding the Decline and Demise of Terrorist Campaigns&lt;/style&gt;.&lt;/DisplayText&gt;&lt;record&gt;&lt;rec-number&gt;207&lt;/rec-number&gt;&lt;foreign-keys&gt;&lt;key app="EN" db-id="s0ftft29jf2psaezx93xwz5s00fwpa9avrwv"&gt;207&lt;/key&gt;&lt;/foreign-keys&gt;&lt;ref-type name="Book"&gt;6&lt;/ref-type&gt;&lt;contributors&gt;&lt;authors&gt;&lt;author&gt;Cronin, Audrey Kurth&lt;/author&gt;&lt;/authors&gt;&lt;/contributors&gt;&lt;titles&gt;&lt;title&gt;How Terrorism Ends: Understanding the Decline and Demise of Terrorist Campaigns&lt;/title&gt;&lt;/titles&gt;&lt;dates&gt;&lt;year&gt;2009&lt;/year&gt;&lt;/dates&gt;&lt;pub-location&gt;Princeton&lt;/pub-location&gt;&lt;publisher&gt;Princeton University Press&lt;/publisher&gt;&lt;urls&gt;&lt;/urls&gt;&lt;/record&gt;&lt;/Cite&gt;&lt;/EndNote&gt;</w:instrText>
      </w:r>
      <w:r>
        <w:fldChar w:fldCharType="separate"/>
      </w:r>
      <w:r>
        <w:rPr>
          <w:noProof/>
        </w:rPr>
        <w:t xml:space="preserve">Cronin, </w:t>
      </w:r>
      <w:r w:rsidRPr="003D17E7">
        <w:rPr>
          <w:i/>
          <w:noProof/>
        </w:rPr>
        <w:t>How Terrorism Ends: Understanding the Decline and Demise of Terrorist Campaigns</w:t>
      </w:r>
      <w:r>
        <w:rPr>
          <w:noProof/>
        </w:rPr>
        <w:t>.</w:t>
      </w:r>
      <w:r>
        <w:fldChar w:fldCharType="end"/>
      </w:r>
    </w:p>
  </w:footnote>
  <w:footnote w:id="446">
    <w:p w14:paraId="707FBC98" w14:textId="02452A23" w:rsidR="007A04F6" w:rsidRDefault="007A04F6">
      <w:pPr>
        <w:pStyle w:val="FootnoteText"/>
      </w:pPr>
      <w:r>
        <w:rPr>
          <w:rStyle w:val="FootnoteReference"/>
        </w:rPr>
        <w:footnoteRef/>
      </w:r>
      <w:r>
        <w:t xml:space="preserve"> </w:t>
      </w:r>
      <w:r>
        <w:fldChar w:fldCharType="begin"/>
      </w:r>
      <w:r>
        <w:instrText xml:space="preserve"> ADDIN EN.CITE &lt;EndNote&gt;&lt;Cite&gt;&lt;Author&gt;Tsvetovat&lt;/Author&gt;&lt;Year&gt;2005&lt;/Year&gt;&lt;RecNum&gt;165&lt;/RecNum&gt;&lt;DisplayText&gt;Tsvetovat and Carley, &amp;quot;Structural Knowledge and Success of Anti-Terrorist Activity:The Downside of Structural Equivalence.&amp;quot;&lt;/DisplayText&gt;&lt;record&gt;&lt;rec-number&gt;165&lt;/rec-number&gt;&lt;foreign-keys&gt;&lt;key app="EN" db-id="s0ftft29jf2psaezx93xwz5s00fwpa9avrwv"&gt;165&lt;/key&gt;&lt;/foreign-keys&gt;&lt;ref-type name="Journal Article"&gt;17&lt;/ref-type&gt;&lt;contributors&gt;&lt;authors&gt;&lt;author&gt;Tsvetovat, Maksim&lt;/author&gt;&lt;author&gt;Carley, Kathleen&lt;/author&gt;&lt;/authors&gt;&lt;/contributors&gt;&lt;titles&gt;&lt;title&gt;Structural Knowledge and Success of Anti-Terrorist Activity:The Downside of Structural Equivalence&lt;/title&gt;&lt;secondary-title&gt;Institute for Software Research&lt;/secondary-title&gt;&lt;/titles&gt;&lt;volume&gt;6&lt;/volume&gt;&lt;dates&gt;&lt;year&gt;2005&lt;/year&gt;&lt;/dates&gt;&lt;urls&gt;&lt;/urls&gt;&lt;/record&gt;&lt;/Cite&gt;&lt;/EndNote&gt;</w:instrText>
      </w:r>
      <w:r>
        <w:fldChar w:fldCharType="separate"/>
      </w:r>
      <w:r>
        <w:rPr>
          <w:noProof/>
        </w:rPr>
        <w:t>Tsvetovat and Carley, "Structural Knowledge and Success of Anti-Terrorist Activity:The Downside of Structural Equivalence."</w:t>
      </w:r>
      <w:r>
        <w:fldChar w:fldCharType="end"/>
      </w:r>
    </w:p>
  </w:footnote>
  <w:footnote w:id="447">
    <w:p w14:paraId="6F730961" w14:textId="5A14505B" w:rsidR="007A04F6" w:rsidRDefault="007A04F6">
      <w:pPr>
        <w:pStyle w:val="FootnoteText"/>
      </w:pPr>
      <w:r>
        <w:rPr>
          <w:rStyle w:val="FootnoteReference"/>
        </w:rPr>
        <w:footnoteRef/>
      </w:r>
      <w:r>
        <w:t xml:space="preserve"> </w:t>
      </w:r>
      <w:r>
        <w:fldChar w:fldCharType="begin"/>
      </w:r>
      <w:r>
        <w:instrText xml:space="preserve"> ADDIN EN.CITE &lt;EndNote&gt;&lt;Cite&gt;&lt;Author&gt;Clubb&lt;/Author&gt;&lt;Year&gt;2009&lt;/Year&gt;&lt;RecNum&gt;46&lt;/RecNum&gt;&lt;DisplayText&gt;Clubb, &amp;quot;Re-Evaluating the Disengagement Process: The Case of Fatah.&amp;quot;&lt;/DisplayText&gt;&lt;record&gt;&lt;rec-number&gt;46&lt;/rec-number&gt;&lt;foreign-keys&gt;&lt;key app="EN" db-id="s0ftft29jf2psaezx93xwz5s00fwpa9avrwv"&gt;46&lt;/key&gt;&lt;/foreign-keys&gt;&lt;ref-type name="Journal Article"&gt;17&lt;/ref-type&gt;&lt;contributors&gt;&lt;authors&gt;&lt;author&gt;Clubb, Gordon&lt;/author&gt;&lt;/authors&gt;&lt;/contributors&gt;&lt;titles&gt;&lt;title&gt;Re-evaluating the Disengagement Process: the Case of Fatah&lt;/title&gt;&lt;secondary-title&gt;Perspectives on Terrorism&lt;/secondary-title&gt;&lt;/titles&gt;&lt;volume&gt;3 (3)&lt;/volume&gt;&lt;dates&gt;&lt;year&gt;2009&lt;/year&gt;&lt;/dates&gt;&lt;urls&gt;&lt;/urls&gt;&lt;/record&gt;&lt;/Cite&gt;&lt;/EndNote&gt;</w:instrText>
      </w:r>
      <w:r>
        <w:fldChar w:fldCharType="separate"/>
      </w:r>
      <w:r>
        <w:rPr>
          <w:noProof/>
        </w:rPr>
        <w:t>Clubb, "Re-Evaluating the Disengagement Process: The Case of Fatah."</w:t>
      </w:r>
      <w:r>
        <w:fldChar w:fldCharType="end"/>
      </w:r>
    </w:p>
  </w:footnote>
  <w:footnote w:id="448">
    <w:p w14:paraId="2B3BB950" w14:textId="4E5C59CB" w:rsidR="007A04F6" w:rsidRDefault="007A04F6">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449">
    <w:p w14:paraId="2D40FB45" w14:textId="5064FC89"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p>
  </w:footnote>
  <w:footnote w:id="450">
    <w:p w14:paraId="30F44B4D" w14:textId="4D2CDBBB"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&lt;EndNote&gt;&lt;Cite&gt;&lt;Author&gt;Waldmann&lt;/Author&gt;&lt;Year&gt;2008&lt;/Year&gt;&lt;RecNum&gt;167&lt;/RecNum&gt;&lt;DisplayText&gt;Waldmann, &amp;quot;The Radical Milieu: The under-Investigated Relationship between Terrorists and Sympathetic Communities.&amp;quot;&lt;/DisplayText&gt;&lt;record&gt;&lt;rec-number&gt;167&lt;/rec-number&gt;&lt;foreign-keys&gt;&lt;key app="EN" db-id="s0ftft29jf2psaezx93xwz5s00fwpa9avrwv"&gt;167&lt;/key&gt;&lt;/foreign-keys&gt;&lt;ref-type name="Journal Article"&gt;17&lt;/ref-type&gt;&lt;contributors&gt;&lt;authors&gt;&lt;author&gt;Waldmann, Peter&lt;/author&gt;&lt;/authors&gt;&lt;/contributors&gt;&lt;titles&gt;&lt;title&gt;The Radical Milieu: The Under-Investigated Relationship Between Terrorists and Sympathetic Communities&lt;/title&gt;&lt;secondary-title&gt;Perspectives on Terrorism&lt;/secondary-title&gt;&lt;/titles&gt;&lt;volume&gt;2 (9)&lt;/volume&gt;&lt;dates&gt;&lt;year&gt;2008&lt;/year&gt;&lt;/dates&gt;&lt;urls&gt;&lt;/urls&gt;&lt;/record&gt;&lt;/Cite&gt;&lt;/EndNote&gt;</w:instrText>
      </w:r>
      <w:r>
        <w:fldChar w:fldCharType="separate"/>
      </w:r>
      <w:r>
        <w:rPr>
          <w:noProof/>
        </w:rPr>
        <w:t>Waldmann, "The Radical Milieu: The under-Investigated Relationship between Terrorists and Sympathetic Communities."</w:t>
      </w:r>
      <w:r>
        <w:fldChar w:fldCharType="end"/>
      </w:r>
    </w:p>
  </w:footnote>
  <w:footnote w:id="451">
    <w:p w14:paraId="26F99C85" w14:textId="77777777" w:rsidR="007A04F6" w:rsidRDefault="007A04F6" w:rsidP="00991000">
      <w:pPr>
        <w:pStyle w:val="FootnoteText"/>
      </w:pPr>
      <w:r>
        <w:rPr>
          <w:rStyle w:val="FootnoteReference"/>
        </w:rPr>
        <w:footnoteRef/>
      </w:r>
      <w:r>
        <w:t xml:space="preserve"> However, there are exceptions where a group may not externalise the disengagement process, either through weakness or self-interest. </w:t>
      </w:r>
    </w:p>
  </w:footnote>
  <w:footnote w:id="452">
    <w:p w14:paraId="50F66219" w14:textId="1010D80F" w:rsidR="007A04F6" w:rsidRDefault="007A04F6">
      <w:pPr>
        <w:pStyle w:val="FootnoteText"/>
      </w:pPr>
      <w:r>
        <w:rPr>
          <w:rStyle w:val="FootnoteReference"/>
        </w:rPr>
        <w:footnoteRef/>
      </w:r>
      <w:r>
        <w:t xml:space="preserve"> </w:t>
      </w:r>
      <w:r>
        <w:fldChar w:fldCharType="begin"/>
      </w:r>
      <w:r>
        <w:instrText xml:space="preserve"> ADDIN EN.CITE &lt;EndNote&gt;&lt;Cite&gt;&lt;Author&gt;Clubb&lt;/Author&gt;&lt;Year&gt;2009&lt;/Year&gt;&lt;RecNum&gt;46&lt;/RecNum&gt;&lt;DisplayText&gt;Clubb, &amp;quot;Re-Evaluating the Disengagement Process: The Case of Fatah.&amp;quot;&lt;/DisplayText&gt;&lt;record&gt;&lt;rec-number&gt;46&lt;/rec-number&gt;&lt;foreign-keys&gt;&lt;key app="EN" db-id="s0ftft29jf2psaezx93xwz5s00fwpa9avrwv"&gt;46&lt;/key&gt;&lt;/foreign-keys&gt;&lt;ref-type name="Journal Article"&gt;17&lt;/ref-type&gt;&lt;contributors&gt;&lt;authors&gt;&lt;author&gt;Clubb, Gordon&lt;/author&gt;&lt;/authors&gt;&lt;/contributors&gt;&lt;titles&gt;&lt;title&gt;Re-evaluating the Disengagement Process: the Case of Fatah&lt;/title&gt;&lt;secondary-title&gt;Perspectives on Terrorism&lt;/secondary-title&gt;&lt;/titles&gt;&lt;volume&gt;3 (3)&lt;/volume&gt;&lt;dates&gt;&lt;year&gt;2009&lt;/year&gt;&lt;/dates&gt;&lt;urls&gt;&lt;/urls&gt;&lt;/record&gt;&lt;/Cite&gt;&lt;/EndNote&gt;</w:instrText>
      </w:r>
      <w:r>
        <w:fldChar w:fldCharType="separate"/>
      </w:r>
      <w:r>
        <w:rPr>
          <w:noProof/>
        </w:rPr>
        <w:t>Clubb, "Re-Evaluating the Disengagement Process: The Case of Fatah."</w:t>
      </w:r>
      <w:r>
        <w:fldChar w:fldCharType="end"/>
      </w:r>
    </w:p>
  </w:footnote>
  <w:footnote w:id="453">
    <w:p w14:paraId="171E3360" w14:textId="77777777" w:rsidR="007A04F6" w:rsidRDefault="007A04F6" w:rsidP="00991000">
      <w:pPr>
        <w:pStyle w:val="FootnoteText"/>
      </w:pPr>
      <w:r>
        <w:rPr>
          <w:rStyle w:val="FootnoteReference"/>
        </w:rPr>
        <w:footnoteRef/>
      </w:r>
      <w:r>
        <w:t xml:space="preserve"> The term ‘disengagement’ is found in the terrorism literature but not in the peace and conflict literature, which instead refers to Disarmament, Demobilisation and Re-Integration (DDR). For the sake of simplicity, the thesis groups these three processes under the term ‘organisational disengagement’. </w:t>
      </w:r>
    </w:p>
  </w:footnote>
  <w:footnote w:id="454">
    <w:p w14:paraId="7CA598A0" w14:textId="3BE903D5"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455">
    <w:p w14:paraId="77DD3F83" w14:textId="241E7038"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&lt;EndNote&gt;&lt;Cite&gt;&lt;Author&gt;Dwyer&lt;/Author&gt;&lt;Year&gt;2012&lt;/Year&gt;&lt;RecNum&gt;241&lt;/RecNum&gt;&lt;DisplayText&gt;Dwyer, &amp;quot;Expanding Ddr: The Transformative Role of Former Prisoners in Community-Based Reintegration in Northern Ireland.&amp;quot;&lt;/DisplayText&gt;&lt;record&gt;&lt;rec-number&gt;241&lt;/rec-number&gt;&lt;foreign-keys&gt;&lt;key app="EN" db-id="s0ftft29jf2psaezx93xwz5s00fwpa9avrwv"&gt;241&lt;/key&gt;&lt;/foreign-keys&gt;&lt;ref-type name="Journal Article"&gt;17&lt;/ref-type&gt;&lt;contributors&gt;&lt;authors&gt;&lt;author&gt;Dwyer, Clare&lt;/author&gt;&lt;/authors&gt;&lt;/contributors&gt;&lt;titles&gt;&lt;title&gt;Expanding DDR: The Transformative Role of Former Prisoners in Community-Based Reintegration in Northern Ireland&lt;/title&gt;&lt;secondary-title&gt;The International Journal of Transitional Justice&lt;/secondary-title&gt;&lt;/titles&gt;&lt;pages&gt;pp. 274-295&lt;/pages&gt;&lt;volume&gt;6 (2)&lt;/volume&gt;&lt;dates&gt;&lt;year&gt;2012&lt;/year&gt;&lt;/dates&gt;&lt;urls&gt;&lt;/urls&gt;&lt;/record&gt;&lt;/Cite&gt;&lt;/EndNote&gt;</w:instrText>
      </w:r>
      <w:r>
        <w:fldChar w:fldCharType="separate"/>
      </w:r>
      <w:r>
        <w:rPr>
          <w:noProof/>
        </w:rPr>
        <w:t>Dwyer, "Expanding Ddr: The Transformative Role of Former Prisoners in Community-Based Reintegration in Northern Ireland."</w:t>
      </w:r>
      <w:r>
        <w:fldChar w:fldCharType="end"/>
      </w:r>
    </w:p>
  </w:footnote>
  <w:footnote w:id="456">
    <w:p w14:paraId="7DDA7B7F" w14:textId="58F46A92" w:rsidR="007A04F6" w:rsidRDefault="007A04F6">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&lt;EndNote&gt;&lt;Cite&gt;&lt;Author&gt;Horgan&lt;/Author&gt;&lt;Year&gt;2008&lt;/Year&gt;&lt;RecNum&gt;86&lt;/RecNum&gt;&lt;DisplayText&gt;Horgan, &amp;quot;Deradicalization or Disengagement?.&amp;quot;&lt;/DisplayText&gt;&lt;record&gt;&lt;rec-number&gt;86&lt;/rec-number&gt;&lt;foreign-keys&gt;&lt;key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(4)&lt;/volume&gt;&lt;dates&gt;&lt;year&gt;2008&lt;/year&gt;&lt;/dates&gt;&lt;urls&gt;&lt;/urls&gt;&lt;/record&gt;&lt;/Cite&gt;&lt;/EndNote&gt;</w:instrText>
      </w:r>
      <w:r>
        <w:fldChar w:fldCharType="separate"/>
      </w:r>
      <w:r>
        <w:rPr>
          <w:noProof/>
        </w:rPr>
        <w:t>Horgan, "Deradicalization or Disengagement?."</w:t>
      </w:r>
      <w:r>
        <w:fldChar w:fldCharType="end"/>
      </w:r>
    </w:p>
  </w:footnote>
  <w:footnote w:id="457">
    <w:p w14:paraId="41C0C188" w14:textId="5FB59262"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&lt;EndNote&gt;&lt;Cite&gt;&lt;Author&gt;Ozerdem&lt;/Author&gt;&lt;Year&gt;2002&lt;/Year&gt;&lt;RecNum&gt;275&lt;/RecNum&gt;&lt;DisplayText&gt;Ozerdem, &amp;quot;Disarmament, Demobilization and Reintegration of Former Combatants in Afghanistan: Lessons Learned from a Cross-Cultural Perspective.&amp;quot;&lt;/DisplayText&gt;&lt;record&gt;&lt;rec-number&gt;275&lt;/rec-number&gt;&lt;foreign-keys&gt;&lt;key app="EN" db-id="s0ftft29jf2psaezx93xwz5s00fwpa9avrwv"&gt;275&lt;/key&gt;&lt;/foreign-keys&gt;&lt;ref-type name="Journal Article"&gt;17&lt;/ref-type&gt;&lt;contributors&gt;&lt;authors&gt;&lt;author&gt;Ozerdem, Alpaslan&lt;/author&gt;&lt;/authors&gt;&lt;/contributors&gt;&lt;titles&gt;&lt;title&gt;Disarmament, demobilization and reintegration of former combatants in Afghanistan: lessons learned from a cross-cultural perspective&lt;/title&gt;&lt;secondary-title&gt;Third World Quarterly&lt;/secondary-title&gt;&lt;/titles&gt;&lt;periodical&gt;&lt;full-title&gt;Third World Quarterly&lt;/full-title&gt;&lt;/periodical&gt;&lt;pages&gt;pp. 961-975&lt;/pages&gt;&lt;volume&gt;23 (5)&lt;/volume&gt;&lt;dates&gt;&lt;year&gt;2002&lt;/year&gt;&lt;/dates&gt;&lt;urls&gt;&lt;/urls&gt;&lt;/record&gt;&lt;/Cite&gt;&lt;/EndNote&gt;</w:instrText>
      </w:r>
      <w:r>
        <w:fldChar w:fldCharType="separate"/>
      </w:r>
      <w:r>
        <w:rPr>
          <w:noProof/>
        </w:rPr>
        <w:t>Ozerdem, "Disarmament, Demobilization and Reintegration of Former Combatants in Afghanistan: Lessons Learned from a Cross-Cultural Perspective."</w:t>
      </w:r>
      <w:r>
        <w:fldChar w:fldCharType="end"/>
      </w:r>
    </w:p>
  </w:footnote>
  <w:footnote w:id="458">
    <w:p w14:paraId="579A5EEF" w14:textId="135807CC" w:rsidR="007A04F6" w:rsidRDefault="007A04F6">
      <w:pPr>
        <w:pStyle w:val="FootnoteText"/>
      </w:pPr>
      <w:r>
        <w:rPr>
          <w:rStyle w:val="FootnoteReference"/>
        </w:rPr>
        <w:footnoteRef/>
      </w:r>
      <w:r>
        <w:t xml:space="preserve"> See </w:t>
      </w:r>
      <w:r>
        <w:fldChar w:fldCharType="begin"/>
      </w:r>
      <w:r>
        <w:instrText xml:space="preserve"> ADDIN EN.CITE &lt;EndNote&gt;&lt;Cite&gt;&lt;Author&gt;Bjorgo&lt;/Author&gt;&lt;Year&gt;2009&lt;/Year&gt;&lt;RecNum&gt;35&lt;/RecNum&gt;&lt;DisplayText&gt;Bjorgo and Horgan, &lt;style face="italic"&gt;Leaving Terrorism Behind: Individual and Collective Disengagement&lt;/style&gt;.&lt;/DisplayText&gt;&lt;record&gt;&lt;rec-number&gt;35&lt;/rec-number&gt;&lt;foreign-keys&gt;&lt;key app="EN" db-id="s0ftft29jf2psaezx93xwz5s00fwpa9avrwv"&gt;35&lt;/key&gt;&lt;/foreign-keys&gt;&lt;ref-type name="Edited Book"&gt;28&lt;/ref-type&gt;&lt;contributors&gt;&lt;authors&gt;&lt;author&gt;Bjorgo, Tore&lt;/author&gt;&lt;author&gt;Horgan, John&lt;/author&gt;&lt;/authors&gt;&lt;/contributors&gt;&lt;titles&gt;&lt;title&gt;Leaving Terrorism Behind: individual and collective disengagement&lt;/title&gt;&lt;/titles&gt;&lt;dates&gt;&lt;year&gt;2009&lt;/year&gt;&lt;/dates&gt;&lt;pub-location&gt;Oxon&lt;/pub-location&gt;&lt;publisher&gt;Routledge&lt;/publisher&gt;&lt;urls&gt;&lt;/urls&gt;&lt;/record&gt;&lt;/Cite&gt;&lt;/EndNote&gt;</w:instrText>
      </w:r>
      <w:r>
        <w:fldChar w:fldCharType="separate"/>
      </w:r>
      <w:r>
        <w:rPr>
          <w:noProof/>
        </w:rPr>
        <w:t xml:space="preserve">Bjorgo and Horgan, </w:t>
      </w:r>
      <w:r w:rsidRPr="003D17E7">
        <w:rPr>
          <w:i/>
          <w:noProof/>
        </w:rPr>
        <w:t>Leaving Terrorism Behind: Individual and Collective Disengagement</w:t>
      </w:r>
      <w:r>
        <w:rPr>
          <w:noProof/>
        </w:rPr>
        <w:t>.</w:t>
      </w:r>
      <w:r>
        <w:fldChar w:fldCharType="end"/>
      </w:r>
    </w:p>
  </w:footnote>
  <w:footnote w:id="459">
    <w:p w14:paraId="0FFBB4EC" w14:textId="4F0706C1" w:rsidR="007A04F6" w:rsidRDefault="007A04F6">
      <w:pPr>
        <w:pStyle w:val="FootnoteText"/>
      </w:pPr>
      <w:r>
        <w:rPr>
          <w:rStyle w:val="FootnoteReference"/>
        </w:rPr>
        <w:footnoteRef/>
      </w:r>
      <w:r>
        <w:t xml:space="preserve"> </w:t>
      </w:r>
      <w:r>
        <w:fldChar w:fldCharType="begin"/>
      </w:r>
      <w:r>
        <w:instrText xml:space="preserve"> ADDIN EN.CITE &lt;EndNote&gt;&lt;Cite&gt;&lt;Author&gt;Della Porta&lt;/Author&gt;&lt;Year&gt;1999&lt;/Year&gt;&lt;RecNum&gt;309&lt;/RecNum&gt;&lt;DisplayText&gt;Della Porta and Diani, &lt;style face="italic"&gt;Social Movements: An Introduction&lt;/style&gt;.&lt;/DisplayText&gt;&lt;record&gt;&lt;rec-number&gt;309&lt;/rec-number&gt;&lt;foreign-keys&gt;&lt;key app="EN" db-id="s0ftft29jf2psaezx93xwz5s00fwpa9avrwv"&gt;309&lt;/key&gt;&lt;/foreign-keys&gt;&lt;ref-type name="Book"&gt;6&lt;/ref-type&gt;&lt;contributors&gt;&lt;authors&gt;&lt;author&gt;Della Porta, Donatella&lt;/author&gt;&lt;author&gt;Diani, Mario&lt;/author&gt;&lt;/authors&gt;&lt;/contributors&gt;&lt;titles&gt;&lt;title&gt;Social Movements: An Introduction&lt;/title&gt;&lt;/titles&gt;&lt;dates&gt;&lt;year&gt;1999&lt;/year&gt;&lt;/dates&gt;&lt;pub-location&gt;Oxford&lt;/pub-location&gt;&lt;publisher&gt;Blackwell Publishers&lt;/publisher&gt;&lt;urls&gt;&lt;/urls&gt;&lt;/record&gt;&lt;/Cite&gt;&lt;/EndNote&gt;</w:instrText>
      </w:r>
      <w:r>
        <w:fldChar w:fldCharType="separate"/>
      </w:r>
      <w:r>
        <w:rPr>
          <w:noProof/>
        </w:rPr>
        <w:t xml:space="preserve">Della Porta and Diani, </w:t>
      </w:r>
      <w:r w:rsidRPr="003D17E7">
        <w:rPr>
          <w:i/>
          <w:noProof/>
        </w:rPr>
        <w:t>Social Movements: An Introduction</w:t>
      </w:r>
      <w:r>
        <w:rPr>
          <w:noProof/>
        </w:rPr>
        <w:t>.</w:t>
      </w:r>
      <w:r>
        <w:fldChar w:fldCharType="end"/>
      </w:r>
    </w:p>
  </w:footnote>
  <w:footnote w:id="460">
    <w:p w14:paraId="1ACD44C4" w14:textId="77777777" w:rsidR="007A04F6" w:rsidRDefault="007A04F6" w:rsidP="00991000">
      <w:pPr>
        <w:pStyle w:val="FootnoteText"/>
      </w:pPr>
      <w:r>
        <w:rPr>
          <w:rStyle w:val="FootnoteReference"/>
        </w:rPr>
        <w:footnoteRef/>
      </w:r>
      <w:r>
        <w:t xml:space="preserve"> Interview, Community Worker CA, Belfast, 5th September 2013</w:t>
      </w:r>
    </w:p>
  </w:footnote>
  <w:footnote w:id="461">
    <w:p w14:paraId="4FD3DC2F"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462">
    <w:p w14:paraId="0DB2CDC5" w14:textId="77777777" w:rsidR="007A04F6" w:rsidRDefault="007A04F6" w:rsidP="00991000">
      <w:pPr>
        <w:pStyle w:val="FootnoteText"/>
      </w:pPr>
      <w:r>
        <w:rPr>
          <w:rStyle w:val="FootnoteReference"/>
        </w:rPr>
        <w:footnoteRef/>
      </w:r>
      <w:r>
        <w:t xml:space="preserve"> Interview, Former Provisional IRA Member 2, Belfast, 2nd September 2013</w:t>
      </w:r>
    </w:p>
  </w:footnote>
  <w:footnote w:id="463">
    <w:p w14:paraId="1F8CB81D"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464">
    <w:p w14:paraId="747FF731"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465">
    <w:p w14:paraId="6C3AF7A7" w14:textId="77777777" w:rsidR="007A04F6" w:rsidRDefault="007A04F6" w:rsidP="00991000">
      <w:pPr>
        <w:pStyle w:val="FootnoteText"/>
      </w:pPr>
      <w:r>
        <w:rPr>
          <w:rStyle w:val="FootnoteReference"/>
        </w:rPr>
        <w:footnoteRef/>
      </w:r>
      <w:r>
        <w:t xml:space="preserve"> Interview, Community Worker DE, Belfast, 13th September 2013</w:t>
      </w:r>
    </w:p>
  </w:footnote>
  <w:footnote w:id="466">
    <w:p w14:paraId="2D3BAE64" w14:textId="77777777" w:rsidR="007A04F6" w:rsidRDefault="007A04F6" w:rsidP="00991000">
      <w:pPr>
        <w:pStyle w:val="FootnoteText"/>
      </w:pPr>
      <w:r>
        <w:rPr>
          <w:rStyle w:val="FootnoteReference"/>
        </w:rPr>
        <w:footnoteRef/>
      </w:r>
      <w:r>
        <w:t xml:space="preserve"> Interview, Community Worker CA, Belfast, 5th September 2013</w:t>
      </w:r>
    </w:p>
  </w:footnote>
  <w:footnote w:id="467">
    <w:p w14:paraId="659DFB62" w14:textId="77777777" w:rsidR="007A04F6" w:rsidRDefault="007A04F6">
      <w:pPr>
        <w:pStyle w:val="FootnoteText"/>
      </w:pPr>
      <w:r>
        <w:rPr>
          <w:rStyle w:val="FootnoteReference"/>
        </w:rPr>
        <w:footnoteRef/>
      </w:r>
      <w:r>
        <w:t xml:space="preserve"> Interview, Academic/Project Manager, Belfast, 2nd September 2013</w:t>
      </w:r>
    </w:p>
  </w:footnote>
  <w:footnote w:id="468">
    <w:p w14:paraId="78C1BC42" w14:textId="1D2DC783" w:rsidR="007A04F6" w:rsidRDefault="007A04F6">
      <w:pPr>
        <w:pStyle w:val="FootnoteText"/>
      </w:pPr>
      <w:r>
        <w:rPr>
          <w:rStyle w:val="FootnoteReference"/>
        </w:rPr>
        <w:footnoteRef/>
      </w:r>
      <w:r>
        <w:t xml:space="preserve"> </w:t>
      </w:r>
      <w:r>
        <w:fldChar w:fldCharType="begin"/>
      </w:r>
      <w:r>
        <w:instrText xml:space="preserve"> ADDIN EN.CITE &lt;EndNote&gt;&lt;Cite&gt;&lt;Author&gt;Magill&lt;/Author&gt;&lt;Year&gt;2011&lt;/Year&gt;&lt;RecNum&gt;231&lt;/RecNum&gt;&lt;DisplayText&gt;Clare Magill and Brandon Hamber, &amp;quot;&amp;quot;If They Don&amp;apos;t Start Listening to Us, the Future Is Going to Look the Same as the Past&amp;quot;: Young People and Reconciliation in Northern Ireland and Bosnia and Herzegovina,&amp;quot; &lt;style face="italic"&gt;Youth and Society&lt;/style&gt; 43 (2)(2011).&lt;/DisplayText&gt;&lt;record&gt;&lt;rec-number&gt;231&lt;/rec-number&gt;&lt;foreign-keys&gt;&lt;key app="EN" db-id="s0ftft29jf2psaezx93xwz5s00fwpa9avrwv"&gt;231&lt;/key&gt;&lt;/foreign-keys&gt;&lt;ref-type name="Journal Article"&gt;17&lt;/ref-type&gt;&lt;contributors&gt;&lt;authors&gt;&lt;author&gt;Magill, Clare&lt;/author&gt;&lt;author&gt;Hamber, Brandon&lt;/author&gt;&lt;/authors&gt;&lt;/contributors&gt;&lt;titles&gt;&lt;title&gt;&amp;quot;If They Don&amp;apos;t Start Listening to Us, the Future is Going to Look the Same as the Past&amp;quot;: Young People and Reconciliation in Northern Ireland and Bosnia and Herzegovina&lt;/title&gt;&lt;secondary-title&gt;Youth and Society&lt;/secondary-title&gt;&lt;/titles&gt;&lt;pages&gt;pp. 509-527&lt;/pages&gt;&lt;volume&gt;43 (2)&lt;/volume&gt;&lt;dates&gt;&lt;year&gt;2011&lt;/year&gt;&lt;/dates&gt;&lt;urls&gt;&lt;/urls&gt;&lt;/record&gt;&lt;/Cite&gt;&lt;/EndNote&gt;</w:instrText>
      </w:r>
      <w:r>
        <w:fldChar w:fldCharType="separate"/>
      </w:r>
      <w:r>
        <w:rPr>
          <w:noProof/>
        </w:rPr>
        <w:t xml:space="preserve">Clare Magill and Brandon Hamber, ""If They Don't Start Listening to Us, the Future Is Going to Look the Same as the Past": Young People and Reconciliation in Northern Ireland and Bosnia and Herzegovina," </w:t>
      </w:r>
      <w:r w:rsidRPr="003D17E7">
        <w:rPr>
          <w:i/>
          <w:noProof/>
        </w:rPr>
        <w:t>Youth and Society</w:t>
      </w:r>
      <w:r>
        <w:rPr>
          <w:noProof/>
        </w:rPr>
        <w:t xml:space="preserve"> 43 (2)(2011).</w:t>
      </w:r>
      <w:r>
        <w:fldChar w:fldCharType="end"/>
      </w:r>
    </w:p>
  </w:footnote>
  <w:footnote w:id="469">
    <w:p w14:paraId="3B603221" w14:textId="64236014" w:rsidR="007A04F6" w:rsidRDefault="007A04F6">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470">
    <w:p w14:paraId="56BD2E02" w14:textId="4FF21511" w:rsidR="007A04F6" w:rsidRDefault="007A04F6">
      <w:pPr>
        <w:pStyle w:val="FootnoteText"/>
      </w:pPr>
      <w:r>
        <w:rPr>
          <w:rStyle w:val="FootnoteReference"/>
        </w:rPr>
        <w:footnoteRef/>
      </w:r>
      <w:r>
        <w:t xml:space="preserve"> It was not possible to find how much has been given to fund projects related to the network. </w:t>
      </w:r>
    </w:p>
  </w:footnote>
  <w:footnote w:id="471">
    <w:p w14:paraId="746FE318" w14:textId="3CBC2275" w:rsidR="007A04F6" w:rsidRDefault="007A04F6">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2A1763">
        <w:rPr>
          <w:i/>
          <w:noProof/>
        </w:rPr>
        <w:t>Abandoning Historical Conflict?: Former Political Prisoners and Reconciliation in Northern Ireland</w:t>
      </w:r>
      <w:r>
        <w:rPr>
          <w:noProof/>
        </w:rPr>
        <w:t>.</w:t>
      </w:r>
      <w:r>
        <w:fldChar w:fldCharType="end"/>
      </w:r>
    </w:p>
  </w:footnote>
  <w:footnote w:id="472">
    <w:p w14:paraId="0367F806" w14:textId="77777777" w:rsidR="007A04F6" w:rsidRDefault="007A04F6">
      <w:pPr>
        <w:pStyle w:val="FootnoteText"/>
      </w:pPr>
      <w:r>
        <w:rPr>
          <w:rStyle w:val="FootnoteReference"/>
        </w:rPr>
        <w:footnoteRef/>
      </w:r>
      <w:r>
        <w:t xml:space="preserve"> Interview, Former Provisional IRA Member 3, Belfast, 3rd September 2013</w:t>
      </w:r>
    </w:p>
  </w:footnote>
  <w:footnote w:id="473">
    <w:p w14:paraId="46A2ABA9" w14:textId="77D00404"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&lt;EndNote&gt;&lt;Cite&gt;&lt;Author&gt;Noricks&lt;/Author&gt;&lt;Year&gt;2009&lt;/Year&gt;&lt;RecNum&gt;129&lt;/RecNum&gt;&lt;DisplayText&gt;Noricks, &amp;quot;The Root Causes of Terrorism.&amp;quot;&lt;/DisplayText&gt;&lt;record&gt;&lt;rec-number&gt;129&lt;/rec-number&gt;&lt;foreign-keys&gt;&lt;key app="EN" db-id="s0ftft29jf2psaezx93xwz5s00fwpa9avrwv"&gt;129&lt;/key&gt;&lt;/foreign-keys&gt;&lt;ref-type name="Book Section"&gt;5&lt;/ref-type&gt;&lt;contributors&gt;&lt;authors&gt;&lt;author&gt;Noricks, Darcy&lt;/author&gt;&lt;/authors&gt;&lt;secondary-authors&gt;&lt;author&gt;Davis, Paul K.&lt;/author&gt;&lt;author&gt;Cragin, Kim&lt;/author&gt;&lt;author&gt;Noricks, Darcy&lt;/author&gt;&lt;author&gt;United States. National Defense Research Committee.,&lt;/author&gt;&lt;author&gt;United States. Department of Defense.,&lt;/author&gt;&lt;/secondary-authors&gt;&lt;/contributors&gt;&lt;titles&gt;&lt;title&gt;The Root Causes of Terrorism&lt;/title&gt;&lt;secondary-title&gt;Social science for counter terrorism : putting the pieces together&lt;/secondary-title&gt;&lt;/titles&gt;&lt;dates&gt;&lt;year&gt;2009&lt;/year&gt;&lt;/dates&gt;&lt;pub-location&gt;New York&lt;/pub-location&gt;&lt;publisher&gt;National Defense Research Institute for the Office of the Secretary for Defense&lt;/publisher&gt;&lt;isbn&gt;9780833047069&lt;/isbn&gt;&lt;call-num&gt;20.&amp;#xD;Available online Electronic book (Rand) ONLINE&lt;/call-num&gt;&lt;urls&gt;&lt;related-urls&gt;&lt;url&gt;http://www.intute.ac.uk/cgi-bin/redir.pl?url=http://www.rand.org/pubs/monographs/2009/RAND_MG849.pdf&amp;amp;handle=20090702-13460837&lt;/url&gt;&lt;/related-urls&gt;&lt;/urls&gt;&lt;/record&gt;&lt;/Cite&gt;&lt;/EndNote&gt;</w:instrText>
      </w:r>
      <w:r>
        <w:fldChar w:fldCharType="separate"/>
      </w:r>
      <w:r>
        <w:rPr>
          <w:noProof/>
        </w:rPr>
        <w:t>Noricks, "The Root Causes of Terrorism."</w:t>
      </w:r>
      <w:r>
        <w:fldChar w:fldCharType="end"/>
      </w:r>
    </w:p>
  </w:footnote>
  <w:footnote w:id="474">
    <w:p w14:paraId="69A0560C" w14:textId="558EEFFB"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&lt;EndNote&gt;&lt;Cite&gt;&lt;Author&gt;Crenshaw&lt;/Author&gt;&lt;Year&gt;1981&lt;/Year&gt;&lt;RecNum&gt;285&lt;/RecNum&gt;&lt;DisplayText&gt;Martha Crenshaw, &amp;quot;The Causes of Terrorism,&amp;quot; &lt;style face="italic"&gt;Comparative Politics&lt;/style&gt; 13 (4)(1981).&lt;/DisplayText&gt;&lt;record&gt;&lt;rec-number&gt;285&lt;/rec-number&gt;&lt;foreign-keys&gt;&lt;key app="EN" db-id="s0ftft29jf2psaezx93xwz5s00fwpa9avrwv"&gt;285&lt;/key&gt;&lt;/foreign-keys&gt;&lt;ref-type name="Journal Article"&gt;17&lt;/ref-type&gt;&lt;contributors&gt;&lt;authors&gt;&lt;author&gt;Crenshaw, Martha&lt;/author&gt;&lt;/authors&gt;&lt;/contributors&gt;&lt;titles&gt;&lt;title&gt;The Causes of Terrorism&lt;/title&gt;&lt;secondary-title&gt;Comparative Politics&lt;/secondary-title&gt;&lt;/titles&gt;&lt;pages&gt;pp. 379-399&lt;/pages&gt;&lt;volume&gt;13 (4)&lt;/volume&gt;&lt;dates&gt;&lt;year&gt;1981&lt;/year&gt;&lt;/dates&gt;&lt;urls&gt;&lt;/urls&gt;&lt;/record&gt;&lt;/Cite&gt;&lt;/EndNote&gt;</w:instrText>
      </w:r>
      <w:r>
        <w:fldChar w:fldCharType="separate"/>
      </w:r>
      <w:r>
        <w:rPr>
          <w:noProof/>
        </w:rPr>
        <w:t xml:space="preserve">Martha Crenshaw, "The Causes of Terrorism," </w:t>
      </w:r>
      <w:r w:rsidRPr="003D17E7">
        <w:rPr>
          <w:i/>
          <w:noProof/>
        </w:rPr>
        <w:t>Comparative Politics</w:t>
      </w:r>
      <w:r>
        <w:rPr>
          <w:noProof/>
        </w:rPr>
        <w:t xml:space="preserve"> 13 (4)(1981).</w:t>
      </w:r>
      <w:r>
        <w:fldChar w:fldCharType="end"/>
      </w:r>
    </w:p>
  </w:footnote>
  <w:footnote w:id="475">
    <w:p w14:paraId="4711FA87" w14:textId="331B5F14" w:rsidR="007A04F6" w:rsidRDefault="007A04F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&lt;EndNote&gt;&lt;Cite&gt;&lt;Author&gt;Harland&lt;/Author&gt;&lt;Year&gt;2011&lt;/Year&gt;&lt;RecNum&gt;230&lt;/RecNum&gt;&lt;DisplayText&gt;Ken Harland, &amp;quot;Violent Youth Culture in Northern Ireland: Young Men, Violence, and the Challenges of Peacebuilding,&amp;quot; &lt;style face="italic"&gt;Youth and Society&lt;/style&gt; 43 (2)(2011).&lt;/DisplayText&gt;&lt;record&gt;&lt;rec-number&gt;230&lt;/rec-number&gt;&lt;foreign-keys&gt;&lt;key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 xml:space="preserve">Ken Harland, "Violent Youth Culture in Northern Ireland: Young Men, Violence, and the Challenges of Peacebuilding," </w:t>
      </w:r>
      <w:r w:rsidRPr="003D17E7">
        <w:rPr>
          <w:i/>
          <w:noProof/>
        </w:rPr>
        <w:t>Youth and Society</w:t>
      </w:r>
      <w:r>
        <w:rPr>
          <w:noProof/>
        </w:rPr>
        <w:t xml:space="preserve"> 43 (2)(2011).</w:t>
      </w:r>
      <w:r>
        <w:fldChar w:fldCharType="end"/>
      </w:r>
    </w:p>
  </w:footnote>
  <w:footnote w:id="476">
    <w:p w14:paraId="17C4E3AA" w14:textId="77777777" w:rsidR="007A04F6" w:rsidRDefault="007A04F6">
      <w:pPr>
        <w:pStyle w:val="FootnoteText"/>
      </w:pPr>
      <w:r>
        <w:rPr>
          <w:rStyle w:val="FootnoteReference"/>
        </w:rPr>
        <w:footnoteRef/>
      </w:r>
      <w:r>
        <w:t xml:space="preserve"> Once again, the extent to which groups actually disengaged is disputable, with Loyalist paramilitaries still continuing to have a presence and Republicans working as an informal social network. What did change was a desire to move away from punishment beatings by these groups, therefore in addition to disengaging from armed violence they also sought to disengage from their role as vigilantes.</w:t>
      </w:r>
    </w:p>
  </w:footnote>
  <w:footnote w:id="477">
    <w:p w14:paraId="775EA355" w14:textId="77777777" w:rsidR="007A04F6" w:rsidRDefault="007A04F6" w:rsidP="00991000">
      <w:pPr>
        <w:pStyle w:val="FootnoteText"/>
      </w:pPr>
      <w:r>
        <w:rPr>
          <w:rStyle w:val="FootnoteReference"/>
        </w:rPr>
        <w:footnoteRef/>
      </w:r>
      <w:r>
        <w:t xml:space="preserve"> Interview, Former INLA Member, Belfast, 26th August 2013</w:t>
      </w:r>
    </w:p>
  </w:footnote>
  <w:footnote w:id="478">
    <w:p w14:paraId="04ACE506" w14:textId="18021BDE"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&lt;EndNote&gt;&lt;Cite&gt;&lt;Author&gt;Jarman&lt;/Author&gt;&lt;Year&gt;2006&lt;/Year&gt;&lt;RecNum&gt;286&lt;/RecNum&gt;&lt;DisplayText&gt;Neil Jarman, &amp;quot;Peacebuilding and Policing: The Role of Community-Based Initiatives,&amp;quot; &lt;style face="italic"&gt;Shared Space: A research journal on peace, conflict and community relations in Northern Ireland&lt;/style&gt; 3(2006).&lt;/DisplayText&gt;&lt;record&gt;&lt;rec-number&gt;286&lt;/rec-number&gt;&lt;foreign-keys&gt;&lt;key app="EN" db-id="s0ftft29jf2psaezx93xwz5s00fwpa9avrwv"&gt;286&lt;/key&gt;&lt;/foreign-keys&gt;&lt;ref-type name="Journal Article"&gt;17&lt;/ref-type&gt;&lt;contributors&gt;&lt;authors&gt;&lt;author&gt;Jarman, Neil&lt;/author&gt;&lt;/authors&gt;&lt;/contributors&gt;&lt;titles&gt;&lt;title&gt;Peacebuilding and Policing: The Role of Community-based Initiatives&lt;/title&gt;&lt;secondary-title&gt;Shared Space: A research journal on peace, conflict and community relations in Northern Ireland&lt;/secondary-title&gt;&lt;/titles&gt;&lt;pages&gt;pp. 31-44&lt;/pages&gt;&lt;volume&gt;3&lt;/volume&gt;&lt;dates&gt;&lt;year&gt;2006&lt;/year&gt;&lt;/dates&gt;&lt;urls&gt;&lt;/urls&gt;&lt;/record&gt;&lt;/Cite&gt;&lt;/EndNote&gt;</w:instrText>
      </w:r>
      <w:r>
        <w:fldChar w:fldCharType="separate"/>
      </w:r>
      <w:r>
        <w:rPr>
          <w:noProof/>
        </w:rPr>
        <w:t xml:space="preserve">Neil Jarman, "Peacebuilding and Policing: The Role of Community-Based Initiatives," </w:t>
      </w:r>
      <w:r w:rsidRPr="003D17E7">
        <w:rPr>
          <w:i/>
          <w:noProof/>
        </w:rPr>
        <w:t>Shared Space: A research journal on peace, conflict and community relations in Northern Ireland</w:t>
      </w:r>
      <w:r>
        <w:rPr>
          <w:noProof/>
        </w:rPr>
        <w:t xml:space="preserve"> 3(2006).</w:t>
      </w:r>
      <w:r>
        <w:fldChar w:fldCharType="end"/>
      </w:r>
    </w:p>
  </w:footnote>
  <w:footnote w:id="479">
    <w:p w14:paraId="77DAD571" w14:textId="70782CB9" w:rsidR="007A04F6" w:rsidRDefault="007A04F6" w:rsidP="00991000">
      <w:pPr>
        <w:pStyle w:val="FootnoteText"/>
      </w:pPr>
      <w:r>
        <w:rPr>
          <w:rStyle w:val="FootnoteReference"/>
        </w:rPr>
        <w:footnoteRef/>
      </w:r>
      <w:r>
        <w:t xml:space="preserve"> </w:t>
      </w:r>
      <w:r>
        <w:fldChar w:fldCharType="begin"/>
      </w:r>
      <w:r>
        <w:instrText xml:space="preserve"> ADDIN EN.CITE &lt;EndNote&gt;&lt;Cite AuthorYear="1"&gt;&lt;Author&gt;Jarman&lt;/Author&gt;&lt;Year&gt;2002&lt;/Year&gt;&lt;RecNum&gt;287&lt;/RecNum&gt;&lt;DisplayText&gt;&amp;quot;Managing Disorder: Responding to Interface Violence in North Belfast,&amp;quot; (Belfast: Office of the First Minister and Deputy First Minister, 2002).&lt;/DisplayText&gt;&lt;record&gt;&lt;rec-number&gt;287&lt;/rec-number&gt;&lt;foreign-keys&gt;&lt;key app="EN" db-id="s0ftft29jf2psaezx93xwz5s00fwpa9avrwv"&gt;287&lt;/key&gt;&lt;/foreign-keys&gt;&lt;ref-type name="Report"&gt;27&lt;/ref-type&gt;&lt;contributors&gt;&lt;authors&gt;&lt;author&gt;Jarman, Neil&lt;/author&gt;&lt;/authors&gt;&lt;/contributors&gt;&lt;titles&gt;&lt;title&gt;Managing Disorder: Responding to Interface Violence in North Belfast&lt;/title&gt;&lt;/titles&gt;&lt;dates&gt;&lt;year&gt;2002&lt;/year&gt;&lt;/dates&gt;&lt;pub-location&gt;Belfast&lt;/pub-location&gt;&lt;publisher&gt;Office of the First Minister and Deputy First Minister&lt;/publisher&gt;&lt;urls&gt;&lt;/urls&gt;&lt;/record&gt;&lt;/Cite&gt;&lt;/EndNote&gt;</w:instrText>
      </w:r>
      <w:r>
        <w:fldChar w:fldCharType="separate"/>
      </w:r>
      <w:r>
        <w:rPr>
          <w:noProof/>
        </w:rPr>
        <w:t>"Managing Disorder: Responding to Interface Violence in North Belfast," (Belfast: Office of the First Minister and Deputy First Minister, 2002).</w:t>
      </w:r>
      <w:r>
        <w:fldChar w:fldCharType="end"/>
      </w:r>
    </w:p>
  </w:footnote>
  <w:footnote w:id="480">
    <w:p w14:paraId="213B4E15"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481">
    <w:p w14:paraId="7B2F432F" w14:textId="77777777" w:rsidR="007A04F6" w:rsidRPr="006257FF" w:rsidRDefault="007A04F6" w:rsidP="00991000">
      <w:pPr>
        <w:pStyle w:val="FootnoteText"/>
        <w:rPr>
          <w:rFonts w:cs="Times New Roman"/>
          <w:szCs w:val="21"/>
        </w:rPr>
      </w:pPr>
      <w:r w:rsidRPr="006257FF">
        <w:rPr>
          <w:rStyle w:val="FootnoteReference"/>
          <w:rFonts w:cs="Times New Roman"/>
          <w:szCs w:val="21"/>
        </w:rPr>
        <w:footnoteRef/>
      </w:r>
      <w:r w:rsidRPr="006257FF">
        <w:rPr>
          <w:rFonts w:cs="Times New Roman"/>
          <w:szCs w:val="21"/>
        </w:rPr>
        <w:t xml:space="preserve"> Interview, Northern Ireland Police Official, Belfast, 15th August 2013</w:t>
      </w:r>
    </w:p>
  </w:footnote>
  <w:footnote w:id="482">
    <w:p w14:paraId="5F314DD2" w14:textId="77777777" w:rsidR="007A04F6" w:rsidRPr="006257FF" w:rsidRDefault="007A04F6" w:rsidP="00991000">
      <w:pPr>
        <w:pStyle w:val="FootnoteText"/>
        <w:rPr>
          <w:rFonts w:cs="Times New Roman"/>
          <w:szCs w:val="21"/>
        </w:rPr>
      </w:pPr>
      <w:r w:rsidRPr="006257FF">
        <w:rPr>
          <w:rStyle w:val="FootnoteReference"/>
          <w:rFonts w:cs="Times New Roman"/>
          <w:szCs w:val="21"/>
        </w:rPr>
        <w:footnoteRef/>
      </w:r>
      <w:r w:rsidRPr="006257FF">
        <w:rPr>
          <w:rFonts w:cs="Times New Roman"/>
          <w:szCs w:val="21"/>
        </w:rPr>
        <w:t xml:space="preserve"> </w:t>
      </w:r>
      <w:r>
        <w:rPr>
          <w:rFonts w:cs="Times New Roman"/>
          <w:szCs w:val="21"/>
        </w:rPr>
        <w:t>Interview, Community Worker CA, Belfast, 5th September 2013</w:t>
      </w:r>
    </w:p>
  </w:footnote>
  <w:footnote w:id="483">
    <w:p w14:paraId="018352ED" w14:textId="77777777" w:rsidR="007A04F6" w:rsidRPr="006257FF" w:rsidRDefault="007A04F6" w:rsidP="003472BE">
      <w:pPr>
        <w:pStyle w:val="NoSpacing"/>
        <w:rPr>
          <w:rFonts w:ascii="Times New Roman" w:hAnsi="Times New Roman" w:cs="Times New Roman"/>
          <w:sz w:val="21"/>
          <w:szCs w:val="21"/>
        </w:rPr>
      </w:pPr>
      <w:r w:rsidRPr="006257FF">
        <w:rPr>
          <w:rStyle w:val="FootnoteReference"/>
          <w:rFonts w:ascii="Times New Roman" w:hAnsi="Times New Roman" w:cs="Times New Roman"/>
          <w:sz w:val="21"/>
          <w:szCs w:val="21"/>
        </w:rPr>
        <w:footnoteRef/>
      </w:r>
      <w:r w:rsidRPr="006257FF">
        <w:rPr>
          <w:rFonts w:ascii="Times New Roman" w:hAnsi="Times New Roman" w:cs="Times New Roman"/>
          <w:sz w:val="21"/>
          <w:szCs w:val="21"/>
        </w:rPr>
        <w:t xml:space="preserve"> </w:t>
      </w:r>
      <w:r>
        <w:rPr>
          <w:rFonts w:ascii="Times New Roman" w:hAnsi="Times New Roman" w:cs="Times New Roman"/>
          <w:sz w:val="21"/>
          <w:szCs w:val="21"/>
        </w:rPr>
        <w:t>Interview, Community Worker GN, Belfast, 14th August 2013</w:t>
      </w:r>
    </w:p>
  </w:footnote>
  <w:footnote w:id="484">
    <w:p w14:paraId="2610F536" w14:textId="77777777" w:rsidR="007A04F6" w:rsidRPr="006257FF" w:rsidRDefault="007A04F6" w:rsidP="00991000">
      <w:pPr>
        <w:pStyle w:val="FootnoteText"/>
        <w:rPr>
          <w:rFonts w:cs="Times New Roman"/>
          <w:szCs w:val="21"/>
        </w:rPr>
      </w:pPr>
      <w:r w:rsidRPr="006257FF">
        <w:rPr>
          <w:rStyle w:val="FootnoteReference"/>
          <w:rFonts w:cs="Times New Roman"/>
          <w:szCs w:val="21"/>
        </w:rPr>
        <w:footnoteRef/>
      </w:r>
      <w:r w:rsidRPr="006257FF">
        <w:rPr>
          <w:rFonts w:cs="Times New Roman"/>
          <w:szCs w:val="21"/>
        </w:rPr>
        <w:t xml:space="preserve"> Interview, Former Provisional IRA Member 1, Belfast, 22nd August 2013</w:t>
      </w:r>
    </w:p>
  </w:footnote>
  <w:footnote w:id="485">
    <w:p w14:paraId="739BEB69" w14:textId="77777777" w:rsidR="007A04F6" w:rsidRPr="006257FF" w:rsidRDefault="007A04F6" w:rsidP="00991000">
      <w:pPr>
        <w:pStyle w:val="FootnoteText"/>
        <w:rPr>
          <w:rFonts w:cs="Times New Roman"/>
          <w:szCs w:val="21"/>
        </w:rPr>
      </w:pPr>
      <w:r w:rsidRPr="006257FF">
        <w:rPr>
          <w:rStyle w:val="FootnoteReference"/>
          <w:rFonts w:cs="Times New Roman"/>
          <w:szCs w:val="21"/>
        </w:rPr>
        <w:footnoteRef/>
      </w:r>
      <w:r w:rsidRPr="006257FF">
        <w:rPr>
          <w:rFonts w:cs="Times New Roman"/>
          <w:szCs w:val="21"/>
        </w:rPr>
        <w:t xml:space="preserve"> Interview, Former INLA Member, Belfast, 26th August 2013; Interview, Community Worker DE, Belfast, 13th September 2013</w:t>
      </w:r>
    </w:p>
  </w:footnote>
  <w:footnote w:id="486">
    <w:p w14:paraId="3FA31BD6" w14:textId="6F164CFA" w:rsidR="007A04F6" w:rsidRDefault="007A04F6" w:rsidP="00991000">
      <w:pPr>
        <w:pStyle w:val="FootnoteText"/>
      </w:pPr>
      <w:r w:rsidRPr="006257FF">
        <w:rPr>
          <w:rStyle w:val="FootnoteReference"/>
          <w:rFonts w:cs="Times New Roman"/>
          <w:szCs w:val="21"/>
        </w:rPr>
        <w:footnoteRef/>
      </w:r>
      <w:r w:rsidRPr="006257FF">
        <w:rPr>
          <w:rFonts w:cs="Times New Roman"/>
          <w:szCs w:val="21"/>
        </w:rPr>
        <w:t xml:space="preserve"> </w:t>
      </w:r>
      <w:r>
        <w:rPr>
          <w:rFonts w:cs="Times New Roman"/>
          <w:szCs w:val="21"/>
        </w:rPr>
        <w:fldChar w:fldCharType="begin"/>
      </w:r>
      <w:r>
        <w:rPr>
          <w:rFonts w:cs="Times New Roman"/>
          <w:szCs w:val="21"/>
        </w:rPr>
        <w:instrText xml:space="preserve"> ADDIN EN.CITE &lt;EndNote&gt;&lt;Cite&gt;&lt;Author&gt;Jarman&lt;/Author&gt;&lt;Year&gt;2002&lt;/Year&gt;&lt;RecNum&gt;287&lt;/RecNum&gt;&lt;DisplayText&gt;Jarman, &amp;quot;Managing Disorder: Responding to Interface Violence in North Belfast.&amp;quot;&lt;/DisplayText&gt;&lt;record&gt;&lt;rec-number&gt;287&lt;/rec-number&gt;&lt;foreign-keys&gt;&lt;key app="EN" db-id="s0ftft29jf2psaezx93xwz5s00fwpa9avrwv"&gt;287&lt;/key&gt;&lt;/foreign-keys&gt;&lt;ref-type name="Report"&gt;27&lt;/ref-type&gt;&lt;contributors&gt;&lt;authors&gt;&lt;author&gt;Jarman, Neil&lt;/author&gt;&lt;/authors&gt;&lt;/contributors&gt;&lt;titles&gt;&lt;title&gt;Managing Disorder: Responding to Interface Violence in North Belfast&lt;/title&gt;&lt;/titles&gt;&lt;dates&gt;&lt;year&gt;2002&lt;/year&gt;&lt;/dates&gt;&lt;pub-location&gt;Belfast&lt;/pub-location&gt;&lt;publisher&gt;Office of the First Minister and Deputy First Minister&lt;/publisher&gt;&lt;urls&gt;&lt;/urls&gt;&lt;/record&gt;&lt;/Cite&gt;&lt;/EndNote&gt;</w:instrText>
      </w:r>
      <w:r>
        <w:rPr>
          <w:rFonts w:cs="Times New Roman"/>
          <w:szCs w:val="21"/>
        </w:rPr>
        <w:fldChar w:fldCharType="separate"/>
      </w:r>
      <w:r>
        <w:rPr>
          <w:rFonts w:cs="Times New Roman"/>
          <w:noProof/>
          <w:szCs w:val="21"/>
        </w:rPr>
        <w:t>Jarman, "Managing Disorder: Responding to Interface Violence in North Belfast."</w:t>
      </w:r>
      <w:r>
        <w:rPr>
          <w:rFonts w:cs="Times New Roman"/>
          <w:szCs w:val="21"/>
        </w:rPr>
        <w:fldChar w:fldCharType="end"/>
      </w:r>
    </w:p>
  </w:footnote>
  <w:footnote w:id="487">
    <w:p w14:paraId="6F6FA633" w14:textId="4CFB5A1C"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&lt;EndNote&gt;&lt;Cite&gt;&lt;Author&gt;Jarman&lt;/Author&gt;&lt;Year&gt;2002&lt;/Year&gt;&lt;RecNum&gt;287&lt;/RecNum&gt;&lt;DisplayText&gt;Ibid.&lt;/DisplayText&gt;&lt;record&gt;&lt;rec-number&gt;287&lt;/rec-number&gt;&lt;foreign-keys&gt;&lt;key app="EN" db-id="s0ftft29jf2psaezx93xwz5s00fwpa9avrwv"&gt;287&lt;/key&gt;&lt;/foreign-keys&gt;&lt;ref-type name="Report"&gt;27&lt;/ref-type&gt;&lt;contributors&gt;&lt;authors&gt;&lt;author&gt;Jarman, Neil&lt;/author&gt;&lt;/authors&gt;&lt;/contributors&gt;&lt;titles&gt;&lt;title&gt;Managing Disorder: Responding to Interface Violence in North Belfast&lt;/title&gt;&lt;/titles&gt;&lt;dates&gt;&lt;year&gt;2002&lt;/year&gt;&lt;/dates&gt;&lt;pub-location&gt;Belfast&lt;/pub-location&gt;&lt;publisher&gt;Office of the First Minister and Deputy First Minister&lt;/publisher&gt;&lt;urls&gt;&lt;/urls&gt;&lt;/record&gt;&lt;/Cite&gt;&lt;/EndNote&gt;</w:instrText>
      </w:r>
      <w:r>
        <w:fldChar w:fldCharType="separate"/>
      </w:r>
      <w:r>
        <w:rPr>
          <w:noProof/>
        </w:rPr>
        <w:t>Ibid.</w:t>
      </w:r>
      <w:r>
        <w:fldChar w:fldCharType="end"/>
      </w:r>
    </w:p>
  </w:footnote>
  <w:footnote w:id="488">
    <w:p w14:paraId="2947DAFB" w14:textId="77777777" w:rsidR="007A04F6" w:rsidRDefault="007A04F6" w:rsidP="00991000">
      <w:pPr>
        <w:pStyle w:val="FootnoteText"/>
      </w:pPr>
      <w:r>
        <w:rPr>
          <w:rStyle w:val="FootnoteReference"/>
        </w:rPr>
        <w:footnoteRef/>
      </w:r>
      <w:r>
        <w:t xml:space="preserve"> Interview, Community Worker CH, Belfast, 30th August 2013</w:t>
      </w:r>
    </w:p>
  </w:footnote>
  <w:footnote w:id="489">
    <w:p w14:paraId="44A88AC0" w14:textId="77777777" w:rsidR="007A04F6" w:rsidRDefault="007A04F6" w:rsidP="00991000">
      <w:pPr>
        <w:pStyle w:val="FootnoteText"/>
      </w:pPr>
      <w:r>
        <w:rPr>
          <w:rStyle w:val="FootnoteReference"/>
        </w:rPr>
        <w:footnoteRef/>
      </w:r>
      <w:r>
        <w:t xml:space="preserve"> Interview, Former INLA Member, Belfast, 26th August 2013</w:t>
      </w:r>
    </w:p>
  </w:footnote>
  <w:footnote w:id="490">
    <w:p w14:paraId="10DFD11A" w14:textId="77777777" w:rsidR="007A04F6" w:rsidRDefault="007A04F6" w:rsidP="00991000">
      <w:pPr>
        <w:pStyle w:val="FootnoteText"/>
      </w:pPr>
      <w:r>
        <w:rPr>
          <w:rStyle w:val="FootnoteReference"/>
        </w:rPr>
        <w:footnoteRef/>
      </w:r>
      <w:r>
        <w:t xml:space="preserve"> Interview, Community Worker CH, Belfast, 30th August 2013; Interview, Community Worker SA, Belfast, 2nd September 2013</w:t>
      </w:r>
    </w:p>
  </w:footnote>
  <w:footnote w:id="491">
    <w:p w14:paraId="756594C1" w14:textId="77777777" w:rsidR="007A04F6" w:rsidRDefault="007A04F6" w:rsidP="00991000">
      <w:pPr>
        <w:pStyle w:val="FootnoteText"/>
      </w:pPr>
      <w:r>
        <w:rPr>
          <w:rStyle w:val="FootnoteReference"/>
        </w:rPr>
        <w:footnoteRef/>
      </w:r>
      <w:r>
        <w:t xml:space="preserve"> Interview, Former INLA Member, Belfast, 26th August 2013</w:t>
      </w:r>
    </w:p>
  </w:footnote>
  <w:footnote w:id="492">
    <w:p w14:paraId="5508A6CC" w14:textId="77777777" w:rsidR="007A04F6" w:rsidRPr="00837EA3" w:rsidRDefault="007A04F6" w:rsidP="00837EA3">
      <w:pPr>
        <w:pStyle w:val="FootnoteText"/>
        <w:rPr>
          <w:rFonts w:cs="Times New Roman"/>
          <w:szCs w:val="21"/>
        </w:rPr>
      </w:pPr>
      <w:r w:rsidRPr="00837EA3">
        <w:rPr>
          <w:rStyle w:val="FootnoteReference"/>
          <w:rFonts w:cs="Times New Roman"/>
          <w:szCs w:val="21"/>
        </w:rPr>
        <w:footnoteRef/>
      </w:r>
      <w:r w:rsidRPr="00837EA3">
        <w:rPr>
          <w:rFonts w:cs="Times New Roman"/>
          <w:szCs w:val="21"/>
        </w:rPr>
        <w:t xml:space="preserve"> Interview, Former Provisional IRA Member 1, Belfast, 22nd August 2013</w:t>
      </w:r>
    </w:p>
  </w:footnote>
  <w:footnote w:id="493">
    <w:p w14:paraId="47F3D586" w14:textId="77777777" w:rsidR="007A04F6" w:rsidRPr="00837EA3" w:rsidRDefault="007A04F6" w:rsidP="00837EA3">
      <w:pPr>
        <w:pStyle w:val="NoSpacing"/>
        <w:rPr>
          <w:rFonts w:ascii="Times New Roman" w:hAnsi="Times New Roman" w:cs="Times New Roman"/>
          <w:sz w:val="21"/>
          <w:szCs w:val="21"/>
        </w:rPr>
      </w:pPr>
      <w:r w:rsidRPr="00837EA3">
        <w:rPr>
          <w:rStyle w:val="FootnoteReference"/>
          <w:rFonts w:ascii="Times New Roman" w:hAnsi="Times New Roman" w:cs="Times New Roman"/>
          <w:sz w:val="21"/>
          <w:szCs w:val="21"/>
        </w:rPr>
        <w:footnoteRef/>
      </w:r>
      <w:r w:rsidRPr="00837EA3">
        <w:rPr>
          <w:rFonts w:ascii="Times New Roman" w:hAnsi="Times New Roman" w:cs="Times New Roman"/>
          <w:sz w:val="21"/>
          <w:szCs w:val="21"/>
        </w:rPr>
        <w:t xml:space="preserve"> Interview, Community Worker JD, Belfast, 30</w:t>
      </w:r>
      <w:r w:rsidRPr="00837EA3">
        <w:rPr>
          <w:rFonts w:ascii="Times New Roman" w:hAnsi="Times New Roman" w:cs="Times New Roman"/>
          <w:sz w:val="21"/>
          <w:szCs w:val="21"/>
          <w:vertAlign w:val="superscript"/>
        </w:rPr>
        <w:t>th</w:t>
      </w:r>
      <w:r w:rsidRPr="00837EA3">
        <w:rPr>
          <w:rFonts w:ascii="Times New Roman" w:hAnsi="Times New Roman" w:cs="Times New Roman"/>
          <w:sz w:val="21"/>
          <w:szCs w:val="21"/>
        </w:rPr>
        <w:t xml:space="preserve"> August 2013</w:t>
      </w:r>
    </w:p>
  </w:footnote>
  <w:footnote w:id="494">
    <w:p w14:paraId="7053415B" w14:textId="77777777" w:rsidR="007A04F6" w:rsidRDefault="007A04F6" w:rsidP="00837EA3">
      <w:pPr>
        <w:pStyle w:val="FootnoteText"/>
      </w:pPr>
      <w:r w:rsidRPr="00837EA3">
        <w:rPr>
          <w:rStyle w:val="FootnoteReference"/>
          <w:rFonts w:cs="Times New Roman"/>
          <w:szCs w:val="21"/>
        </w:rPr>
        <w:footnoteRef/>
      </w:r>
      <w:r w:rsidRPr="00837EA3">
        <w:rPr>
          <w:rFonts w:cs="Times New Roman"/>
          <w:szCs w:val="21"/>
        </w:rPr>
        <w:t xml:space="preserve"> Interview, Community Worker CH, Belfast, 30th August 2013</w:t>
      </w:r>
    </w:p>
  </w:footnote>
  <w:footnote w:id="495">
    <w:p w14:paraId="44FF2B6E" w14:textId="12E8A90E" w:rsidR="007A04F6" w:rsidRDefault="007A04F6">
      <w:pPr>
        <w:pStyle w:val="FootnoteText"/>
      </w:pPr>
      <w:r>
        <w:rPr>
          <w:rStyle w:val="FootnoteReference"/>
        </w:rPr>
        <w:footnoteRef/>
      </w:r>
      <w:r>
        <w:t xml:space="preserve"> </w:t>
      </w:r>
      <w:r>
        <w:fldChar w:fldCharType="begin"/>
      </w:r>
      <w:r>
        <w:instrText xml:space="preserve"> ADDIN EN.CITE &lt;EndNote&gt;&lt;Cite&gt;&lt;Author&gt;Jarman&lt;/Author&gt;&lt;Year&gt;2002&lt;/Year&gt;&lt;RecNum&gt;287&lt;/RecNum&gt;&lt;DisplayText&gt;Jarman, &amp;quot;Managing Disorder: Responding to Interface Violence in North Belfast.&amp;quot;&lt;/DisplayText&gt;&lt;record&gt;&lt;rec-number&gt;287&lt;/rec-number&gt;&lt;foreign-keys&gt;&lt;key app="EN" db-id="s0ftft29jf2psaezx93xwz5s00fwpa9avrwv"&gt;287&lt;/key&gt;&lt;/foreign-keys&gt;&lt;ref-type name="Report"&gt;27&lt;/ref-type&gt;&lt;contributors&gt;&lt;authors&gt;&lt;author&gt;Jarman, Neil&lt;/author&gt;&lt;/authors&gt;&lt;/contributors&gt;&lt;titles&gt;&lt;title&gt;Managing Disorder: Responding to Interface Violence in North Belfast&lt;/title&gt;&lt;/titles&gt;&lt;dates&gt;&lt;year&gt;2002&lt;/year&gt;&lt;/dates&gt;&lt;pub-location&gt;Belfast&lt;/pub-location&gt;&lt;publisher&gt;Office of the First Minister and Deputy First Minister&lt;/publisher&gt;&lt;urls&gt;&lt;/urls&gt;&lt;/record&gt;&lt;/Cite&gt;&lt;/EndNote&gt;</w:instrText>
      </w:r>
      <w:r>
        <w:fldChar w:fldCharType="separate"/>
      </w:r>
      <w:r>
        <w:rPr>
          <w:noProof/>
        </w:rPr>
        <w:t>Jarman, "Managing Disorder: Responding to Interface Violence in North Belfast."</w:t>
      </w:r>
      <w:r>
        <w:fldChar w:fldCharType="end"/>
      </w:r>
      <w:r>
        <w:t xml:space="preserve">; </w:t>
      </w:r>
      <w:r w:rsidRPr="00837EA3">
        <w:rPr>
          <w:rFonts w:cs="Times New Roman"/>
          <w:szCs w:val="21"/>
        </w:rPr>
        <w:t>Interview, Community Worker CH, Belfast, 30th August 2013</w:t>
      </w:r>
    </w:p>
  </w:footnote>
  <w:footnote w:id="496">
    <w:p w14:paraId="61FBA19E" w14:textId="22E54E3C" w:rsidR="007A04F6" w:rsidRDefault="007A04F6">
      <w:pPr>
        <w:pStyle w:val="FootnoteText"/>
      </w:pPr>
      <w:r>
        <w:rPr>
          <w:rStyle w:val="FootnoteReference"/>
        </w:rPr>
        <w:footnoteRef/>
      </w:r>
      <w:r>
        <w:t xml:space="preserve"> See </w:t>
      </w:r>
      <w:r>
        <w:fldChar w:fldCharType="begin"/>
      </w:r>
      <w:r>
        <w:instrText xml:space="preserve"> ADDIN EN.CITE &lt;EndNote&gt;&lt;Cite&gt;&lt;Author&gt;Della Porta&lt;/Author&gt;&lt;Year&gt;1999&lt;/Year&gt;&lt;RecNum&gt;309&lt;/RecNum&gt;&lt;DisplayText&gt;Della Porta and Diani, &lt;style face="italic"&gt;Social Movements: An Introduction&lt;/style&gt;.&lt;/DisplayText&gt;&lt;record&gt;&lt;rec-number&gt;309&lt;/rec-number&gt;&lt;foreign-keys&gt;&lt;key app="EN" db-id="s0ftft29jf2psaezx93xwz5s00fwpa9avrwv"&gt;309&lt;/key&gt;&lt;/foreign-keys&gt;&lt;ref-type name="Book"&gt;6&lt;/ref-type&gt;&lt;contributors&gt;&lt;authors&gt;&lt;author&gt;Della Porta, Donatella&lt;/author&gt;&lt;author&gt;Diani, Mario&lt;/author&gt;&lt;/authors&gt;&lt;/contributors&gt;&lt;titles&gt;&lt;title&gt;Social Movements: An Introduction&lt;/title&gt;&lt;/titles&gt;&lt;dates&gt;&lt;year&gt;1999&lt;/year&gt;&lt;/dates&gt;&lt;pub-location&gt;Oxford&lt;/pub-location&gt;&lt;publisher&gt;Blackwell Publishers&lt;/publisher&gt;&lt;urls&gt;&lt;/urls&gt;&lt;/record&gt;&lt;/Cite&gt;&lt;/EndNote&gt;</w:instrText>
      </w:r>
      <w:r>
        <w:fldChar w:fldCharType="separate"/>
      </w:r>
      <w:r>
        <w:rPr>
          <w:noProof/>
        </w:rPr>
        <w:t xml:space="preserve">Della Porta and Diani, </w:t>
      </w:r>
      <w:r w:rsidRPr="003D17E7">
        <w:rPr>
          <w:i/>
          <w:noProof/>
        </w:rPr>
        <w:t>Social Movements: An Introduction</w:t>
      </w:r>
      <w:r>
        <w:rPr>
          <w:noProof/>
        </w:rPr>
        <w:t>.</w:t>
      </w:r>
      <w:r>
        <w:fldChar w:fldCharType="end"/>
      </w:r>
    </w:p>
  </w:footnote>
  <w:footnote w:id="497">
    <w:p w14:paraId="0C32000B" w14:textId="77777777" w:rsidR="007A04F6" w:rsidRDefault="007A04F6" w:rsidP="00991000">
      <w:pPr>
        <w:pStyle w:val="FootnoteText"/>
      </w:pPr>
      <w:r>
        <w:rPr>
          <w:rStyle w:val="FootnoteReference"/>
        </w:rPr>
        <w:footnoteRef/>
      </w:r>
      <w:r>
        <w:t xml:space="preserve"> Interview, 32 County Sovereignty Movement Member, Belfast, 15th August 2013</w:t>
      </w:r>
    </w:p>
  </w:footnote>
  <w:footnote w:id="498">
    <w:p w14:paraId="75385ABE" w14:textId="77777777" w:rsidR="007A04F6" w:rsidRDefault="007A04F6" w:rsidP="00991000">
      <w:pPr>
        <w:pStyle w:val="FootnoteText"/>
      </w:pPr>
      <w:r>
        <w:rPr>
          <w:rStyle w:val="FootnoteReference"/>
        </w:rPr>
        <w:footnoteRef/>
      </w:r>
      <w:r>
        <w:t xml:space="preserve"> Interview, Former INLA Member, Belfast, 26th August 2013</w:t>
      </w:r>
    </w:p>
  </w:footnote>
  <w:footnote w:id="499">
    <w:p w14:paraId="5BEBC202" w14:textId="76133705" w:rsidR="007A04F6" w:rsidRDefault="007A04F6">
      <w:pPr>
        <w:pStyle w:val="FootnoteText"/>
      </w:pPr>
      <w:r>
        <w:rPr>
          <w:rStyle w:val="FootnoteReference"/>
        </w:rPr>
        <w:footnoteRef/>
      </w:r>
      <w:r>
        <w:t xml:space="preserve"> </w:t>
      </w:r>
      <w:r>
        <w:fldChar w:fldCharType="begin"/>
      </w:r>
      <w:r>
        <w:instrText xml:space="preserve"> ADDIN EN.CITE &lt;EndNote&gt;&lt;Cite&gt;&lt;Author&gt;Horgan&lt;/Author&gt;&lt;Year&gt;2008&lt;/Year&gt;&lt;RecNum&gt;86&lt;/RecNum&gt;&lt;DisplayText&gt;Horgan, &amp;quot;Deradicalization or Disengagement?; Bjorgo and Horgan, &lt;style face="italic"&gt;Leaving Terrorism Behind: Individual and Collective Disengagement&lt;/style&gt;.&lt;/DisplayText&gt;&lt;record&gt;&lt;rec-number&gt;86&lt;/rec-number&gt;&lt;foreign-keys&gt;&lt;key app="EN" db-id="s0ftft29jf2psaezx93xwz5s00fwpa9avrwv"&gt;86&lt;/key&gt;&lt;/foreign-keys&gt;&lt;ref-type name="Journal Article"&gt;17&lt;/ref-type&gt;&lt;contributors&gt;&lt;authors&gt;&lt;author&gt;Horgan, John&lt;/author&gt;&lt;/authors&gt;&lt;/contributors&gt;&lt;titles&gt;&lt;title&gt;Deradicalization or Disengagement?&lt;/title&gt;&lt;secondary-title&gt;Perspectives on Terrorism&lt;/secondary-title&gt;&lt;/titles&gt;&lt;volume&gt;2 (4)&lt;/volume&gt;&lt;dates&gt;&lt;year&gt;2008&lt;/year&gt;&lt;/dates&gt;&lt;urls&gt;&lt;/urls&gt;&lt;/record&gt;&lt;/Cite&gt;&lt;Cite&gt;&lt;Author&gt;Bjorgo&lt;/Author&gt;&lt;Year&gt;2009&lt;/Year&gt;&lt;RecNum&gt;35&lt;/RecNum&gt;&lt;record&gt;&lt;rec-number&gt;35&lt;/rec-number&gt;&lt;foreign-keys&gt;&lt;key app="EN" db-id="s0ftft29jf2psaezx93xwz5s00fwpa9avrwv"&gt;35&lt;/key&gt;&lt;/foreign-keys&gt;&lt;ref-type name="Edited Book"&gt;28&lt;/ref-type&gt;&lt;contributors&gt;&lt;authors&gt;&lt;author&gt;Bjorgo, Tore&lt;/author&gt;&lt;author&gt;Horgan, John&lt;/author&gt;&lt;/authors&gt;&lt;/contributors&gt;&lt;titles&gt;&lt;title&gt;Leaving Terrorism Behind: individual and collective disengagement&lt;/title&gt;&lt;/titles&gt;&lt;dates&gt;&lt;year&gt;2009&lt;/year&gt;&lt;/dates&gt;&lt;pub-location&gt;Oxon&lt;/pub-location&gt;&lt;publisher&gt;Routledge&lt;/publisher&gt;&lt;urls&gt;&lt;/urls&gt;&lt;/record&gt;&lt;/Cite&gt;&lt;/EndNote&gt;</w:instrText>
      </w:r>
      <w:r>
        <w:fldChar w:fldCharType="separate"/>
      </w:r>
      <w:r>
        <w:rPr>
          <w:noProof/>
        </w:rPr>
        <w:t xml:space="preserve">Horgan, "Deradicalization or Disengagement?; Bjorgo and Horgan, </w:t>
      </w:r>
      <w:r w:rsidRPr="003D17E7">
        <w:rPr>
          <w:i/>
          <w:noProof/>
        </w:rPr>
        <w:t>Leaving Terrorism Behind: Individual and Collective Disengagement</w:t>
      </w:r>
      <w:r>
        <w:rPr>
          <w:noProof/>
        </w:rPr>
        <w:t>.</w:t>
      </w:r>
      <w:r>
        <w:fldChar w:fldCharType="end"/>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500">
    <w:p w14:paraId="0DFE266F" w14:textId="77777777" w:rsidR="007A04F6" w:rsidRDefault="007A04F6" w:rsidP="00991000">
      <w:pPr>
        <w:pStyle w:val="FootnoteText"/>
      </w:pPr>
      <w:r>
        <w:rPr>
          <w:rStyle w:val="FootnoteReference"/>
        </w:rPr>
        <w:footnoteRef/>
      </w:r>
      <w:r>
        <w:t xml:space="preserve"> Interview, Community Worker DE, Belfast, 13th September 2013</w:t>
      </w:r>
    </w:p>
  </w:footnote>
  <w:footnote w:id="501">
    <w:p w14:paraId="6A152A17"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502">
    <w:p w14:paraId="48FCB648" w14:textId="77777777" w:rsidR="007A04F6" w:rsidRDefault="007A04F6" w:rsidP="00991000">
      <w:pPr>
        <w:pStyle w:val="FootnoteText"/>
      </w:pPr>
      <w:r>
        <w:rPr>
          <w:rStyle w:val="FootnoteReference"/>
        </w:rPr>
        <w:footnoteRef/>
      </w:r>
      <w:r>
        <w:t xml:space="preserve"> Interview, Former Provisional IRA Member 1, Belfast, 22nd August 2013</w:t>
      </w:r>
    </w:p>
  </w:footnote>
  <w:footnote w:id="503">
    <w:p w14:paraId="21E9C0A6" w14:textId="77777777" w:rsidR="007A04F6" w:rsidRDefault="007A04F6">
      <w:pPr>
        <w:pStyle w:val="FootnoteText"/>
      </w:pPr>
      <w:r>
        <w:rPr>
          <w:rStyle w:val="FootnoteReference"/>
        </w:rPr>
        <w:footnoteRef/>
      </w:r>
      <w:r>
        <w:t xml:space="preserve"> Interview, Community Worker CA, Belfast, 5th September 2013</w:t>
      </w:r>
    </w:p>
  </w:footnote>
  <w:footnote w:id="504">
    <w:p w14:paraId="1F9067A4" w14:textId="77777777" w:rsidR="007A04F6" w:rsidRDefault="007A04F6">
      <w:pPr>
        <w:pStyle w:val="FootnoteText"/>
      </w:pPr>
      <w:r>
        <w:rPr>
          <w:rStyle w:val="FootnoteReference"/>
        </w:rPr>
        <w:footnoteRef/>
      </w:r>
      <w:r>
        <w:t xml:space="preserve"> Interview, Community Worker CA, Belfast, 5th September 2013</w:t>
      </w:r>
    </w:p>
  </w:footnote>
  <w:footnote w:id="505">
    <w:p w14:paraId="16436191" w14:textId="189925C7"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&lt;EndNote&gt;&lt;Cite&gt;&lt;Author&gt;Ashour&lt;/Author&gt;&lt;Year&gt;2008&lt;/Year&gt;&lt;RecNum&gt;26&lt;/RecNum&gt;&lt;DisplayText&gt;Ashour, &amp;quot;De-Radicalization of Jihad? The Impact of Egyptian Islamist Revisionists on Al-Qaeda.&amp;quot;&lt;/DisplayText&gt;&lt;record&gt;&lt;rec-number&gt;26&lt;/rec-number&gt;&lt;foreign-keys&gt;&lt;key app="EN" db-id="s0ftft29jf2psaezx93xwz5s00fwpa9avrwv"&gt;26&lt;/key&gt;&lt;/foreign-keys&gt;&lt;ref-type name="Journal Article"&gt;17&lt;/ref-type&gt;&lt;contributors&gt;&lt;authors&gt;&lt;author&gt;Ashour, Omar&lt;/author&gt;&lt;/authors&gt;&lt;/contributors&gt;&lt;titles&gt;&lt;title&gt;De-Radicalization of Jihad? The impact of Egyptian Islamist Revisionists on al-Qaeda&lt;/title&gt;&lt;secondary-title&gt;Perspectives on Terrorism&lt;/secondary-title&gt;&lt;/titles&gt;&lt;pages&gt;pp. 11-14&lt;/pages&gt;&lt;volume&gt;2 (5)&lt;/volume&gt;&lt;dates&gt;&lt;year&gt;2008&lt;/year&gt;&lt;/dates&gt;&lt;urls&gt;&lt;/urls&gt;&lt;/record&gt;&lt;/Cite&gt;&lt;/EndNote&gt;</w:instrText>
      </w:r>
      <w:r>
        <w:fldChar w:fldCharType="separate"/>
      </w:r>
      <w:r>
        <w:rPr>
          <w:noProof/>
        </w:rPr>
        <w:t>Ashour, "De-Radicalization of Jihad? The Impact of Egyptian Islamist Revisionists on Al-Qaeda."</w:t>
      </w:r>
      <w:r>
        <w:fldChar w:fldCharType="end"/>
      </w:r>
    </w:p>
  </w:footnote>
  <w:footnote w:id="506">
    <w:p w14:paraId="4D319120" w14:textId="73780838" w:rsidR="007A04F6" w:rsidRDefault="007A04F6">
      <w:pPr>
        <w:pStyle w:val="FootnoteText"/>
      </w:pPr>
      <w:r>
        <w:rPr>
          <w:rStyle w:val="FootnoteReference"/>
        </w:rPr>
        <w:footnoteRef/>
      </w:r>
      <w:r>
        <w:t xml:space="preserve"> </w:t>
      </w:r>
      <w:r>
        <w:fldChar w:fldCharType="begin"/>
      </w:r>
      <w:r>
        <w:instrText xml:space="preserve"> ADDIN EN.CITE &lt;EndNote&gt;&lt;Cite&gt;&lt;Author&gt;Mitchell&lt;/Author&gt;&lt;Year&gt;2010&lt;/Year&gt;&lt;RecNum&gt;311&lt;/RecNum&gt;&lt;DisplayText&gt;David Mitchell, &amp;quot;Sticking to Their Guns? The Politics of Arms Decommissioning in Northern Ireland, 1998-2007,&amp;quot; &lt;style face="italic"&gt;Contemporary British History&lt;/style&gt; 24 (3)(2010).&lt;/DisplayText&gt;&lt;record&gt;&lt;rec-number&gt;311&lt;/rec-number&gt;&lt;foreign-keys&gt;&lt;key app="EN" db-id="s0ftft29jf2psaezx93xwz5s00fwpa9avrwv"&gt;311&lt;/key&gt;&lt;/foreign-keys&gt;&lt;ref-type name="Journal Article"&gt;17&lt;/ref-type&gt;&lt;contributors&gt;&lt;authors&gt;&lt;author&gt;Mitchell, David&lt;/author&gt;&lt;/authors&gt;&lt;/contributors&gt;&lt;titles&gt;&lt;title&gt;Sticking to Their Guns? The Politics of Arms Decommissioning in Northern Ireland, 1998-2007&lt;/title&gt;&lt;secondary-title&gt;Contemporary British History&lt;/secondary-title&gt;&lt;/titles&gt;&lt;pages&gt;pp. 341-361&lt;/pages&gt;&lt;volume&gt;24 (3)&lt;/volume&gt;&lt;dates&gt;&lt;year&gt;2010&lt;/year&gt;&lt;/dates&gt;&lt;urls&gt;&lt;/urls&gt;&lt;/record&gt;&lt;/Cite&gt;&lt;/EndNote&gt;</w:instrText>
      </w:r>
      <w:r>
        <w:fldChar w:fldCharType="separate"/>
      </w:r>
      <w:r>
        <w:rPr>
          <w:noProof/>
        </w:rPr>
        <w:t xml:space="preserve">David Mitchell, "Sticking to Their Guns? The Politics of Arms Decommissioning in Northern Ireland, 1998-2007," </w:t>
      </w:r>
      <w:r w:rsidRPr="003D17E7">
        <w:rPr>
          <w:i/>
          <w:noProof/>
        </w:rPr>
        <w:t>Contemporary British History</w:t>
      </w:r>
      <w:r>
        <w:rPr>
          <w:noProof/>
        </w:rPr>
        <w:t xml:space="preserve"> 24 (3)(2010).</w:t>
      </w:r>
      <w:r>
        <w:fldChar w:fldCharType="end"/>
      </w:r>
      <w:r>
        <w:t xml:space="preserve"> </w:t>
      </w:r>
      <w:r>
        <w:fldChar w:fldCharType="begin"/>
      </w:r>
      <w:r>
        <w:instrText xml:space="preserve"> ADDIN EN.CITE &lt;EndNote&gt;&lt;Cite&gt;&lt;Author&gt;O&amp;apos;Kane&lt;/Author&gt;&lt;Year&gt;2007&lt;/Year&gt;&lt;RecNum&gt;312&lt;/RecNum&gt;&lt;DisplayText&gt;Eamonn O&amp;apos;Kane, &amp;quot;Decommissioning and the Peace Process: Where Did It Come from and Why Did It Stay So Long?,&amp;quot; &lt;style face="italic"&gt;Irish Political Studies&lt;/style&gt; 22 (1)(2007).&lt;/DisplayText&gt;&lt;record&gt;&lt;rec-number&gt;312&lt;/rec-number&gt;&lt;foreign-keys&gt;&lt;key app="EN" db-id="s0ftft29jf2psaezx93xwz5s00fwpa9avrwv"&gt;312&lt;/key&gt;&lt;/foreign-keys&gt;&lt;ref-type name="Journal Article"&gt;17&lt;/ref-type&gt;&lt;contributors&gt;&lt;authors&gt;&lt;author&gt;O&amp;apos;Kane, Eamonn&lt;/author&gt;&lt;/authors&gt;&lt;/contributors&gt;&lt;titles&gt;&lt;title&gt;Decommissioning and the Peace Process: Where Did It Come From and Why Did It Stay So Long?&lt;/title&gt;&lt;secondary-title&gt;Irish Political Studies&lt;/secondary-title&gt;&lt;/titles&gt;&lt;pages&gt;pp. 81-101&lt;/pages&gt;&lt;volume&gt;22 (1)&lt;/volume&gt;&lt;dates&gt;&lt;year&gt;2007&lt;/year&gt;&lt;/dates&gt;&lt;urls&gt;&lt;/urls&gt;&lt;/record&gt;&lt;/Cite&gt;&lt;/EndNote&gt;</w:instrText>
      </w:r>
      <w:r>
        <w:fldChar w:fldCharType="separate"/>
      </w:r>
      <w:r>
        <w:rPr>
          <w:noProof/>
        </w:rPr>
        <w:t xml:space="preserve">Eamonn O'Kane, "Decommissioning and the Peace Process: Where Did It Come from and Why Did It Stay So Long?," </w:t>
      </w:r>
      <w:r w:rsidRPr="003D17E7">
        <w:rPr>
          <w:i/>
          <w:noProof/>
        </w:rPr>
        <w:t>Irish Political Studies</w:t>
      </w:r>
      <w:r>
        <w:rPr>
          <w:noProof/>
        </w:rPr>
        <w:t xml:space="preserve"> 22 (1)(2007).</w:t>
      </w:r>
      <w:r>
        <w:fldChar w:fldCharType="end"/>
      </w:r>
    </w:p>
  </w:footnote>
  <w:footnote w:id="507">
    <w:p w14:paraId="01E4AF10" w14:textId="77777777" w:rsidR="007A04F6" w:rsidRDefault="007A04F6" w:rsidP="00991000">
      <w:pPr>
        <w:pStyle w:val="FootnoteText"/>
      </w:pPr>
      <w:r>
        <w:rPr>
          <w:rStyle w:val="FootnoteReference"/>
        </w:rPr>
        <w:footnoteRef/>
      </w:r>
      <w:r>
        <w:t xml:space="preserve"> Interview, Community Worker CA, Belfast, 5th September 2013</w:t>
      </w:r>
    </w:p>
  </w:footnote>
  <w:footnote w:id="508">
    <w:p w14:paraId="3C2691C9" w14:textId="22A15DE7" w:rsidR="007A04F6" w:rsidRDefault="007A04F6">
      <w:pPr>
        <w:pStyle w:val="FootnoteText"/>
      </w:pPr>
      <w:r>
        <w:rPr>
          <w:rStyle w:val="FootnoteReference"/>
        </w:rPr>
        <w:footnoteRef/>
      </w:r>
      <w:r>
        <w:t xml:space="preserve"> See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509">
    <w:p w14:paraId="20D85597" w14:textId="33596701" w:rsidR="007A04F6" w:rsidRDefault="007A04F6">
      <w:pPr>
        <w:pStyle w:val="FootnoteText"/>
      </w:pPr>
      <w:r>
        <w:rPr>
          <w:rStyle w:val="FootnoteReference"/>
        </w:rPr>
        <w:footnoteRef/>
      </w:r>
      <w:r>
        <w:t xml:space="preserve"> </w:t>
      </w:r>
      <w:r>
        <w:fldChar w:fldCharType="begin"/>
      </w:r>
      <w:r>
        <w:instrText xml:space="preserve"> ADDIN EN.CITE &lt;EndNote&gt;&lt;Cite&gt;&lt;Author&gt;Della Porta&lt;/Author&gt;&lt;Year&gt;1999&lt;/Year&gt;&lt;RecNum&gt;309&lt;/RecNum&gt;&lt;DisplayText&gt;Della Porta and Diani, &lt;style face="italic"&gt;Social Movements: An Introduction&lt;/style&gt;.&lt;/DisplayText&gt;&lt;record&gt;&lt;rec-number&gt;309&lt;/rec-number&gt;&lt;foreign-keys&gt;&lt;key app="EN" db-id="s0ftft29jf2psaezx93xwz5s00fwpa9avrwv"&gt;309&lt;/key&gt;&lt;/foreign-keys&gt;&lt;ref-type name="Book"&gt;6&lt;/ref-type&gt;&lt;contributors&gt;&lt;authors&gt;&lt;author&gt;Della Porta, Donatella&lt;/author&gt;&lt;author&gt;Diani, Mario&lt;/author&gt;&lt;/authors&gt;&lt;/contributors&gt;&lt;titles&gt;&lt;title&gt;Social Movements: An Introduction&lt;/title&gt;&lt;/titles&gt;&lt;dates&gt;&lt;year&gt;1999&lt;/year&gt;&lt;/dates&gt;&lt;pub-location&gt;Oxford&lt;/pub-location&gt;&lt;publisher&gt;Blackwell Publishers&lt;/publisher&gt;&lt;urls&gt;&lt;/urls&gt;&lt;/record&gt;&lt;/Cite&gt;&lt;/EndNote&gt;</w:instrText>
      </w:r>
      <w:r>
        <w:fldChar w:fldCharType="separate"/>
      </w:r>
      <w:r>
        <w:rPr>
          <w:noProof/>
        </w:rPr>
        <w:t xml:space="preserve">Della Porta and Diani, </w:t>
      </w:r>
      <w:r w:rsidRPr="003D17E7">
        <w:rPr>
          <w:i/>
          <w:noProof/>
        </w:rPr>
        <w:t>Social Movements: An Introduction</w:t>
      </w:r>
      <w:r>
        <w:rPr>
          <w:noProof/>
        </w:rPr>
        <w:t>.</w:t>
      </w:r>
      <w:r>
        <w:fldChar w:fldCharType="end"/>
      </w:r>
    </w:p>
  </w:footnote>
  <w:footnote w:id="510">
    <w:p w14:paraId="3D1C99EE" w14:textId="41439BDF" w:rsidR="007A04F6" w:rsidRPr="00CC4B0E" w:rsidRDefault="007A04F6" w:rsidP="00491613">
      <w:pPr>
        <w:pStyle w:val="EndnoteText"/>
        <w:rPr>
          <w:rFonts w:ascii="Times New Roman" w:hAnsi="Times New Roman" w:cs="Times New Roman"/>
          <w:szCs w:val="24"/>
        </w:rPr>
      </w:pPr>
      <w:r>
        <w:rPr>
          <w:rStyle w:val="FootnoteReference"/>
        </w:rPr>
        <w:footnoteRef/>
      </w:r>
      <w:r>
        <w:t xml:space="preserve"> </w:t>
      </w:r>
      <w:r w:rsidRPr="00491613">
        <w:rPr>
          <w:rFonts w:ascii="Times New Roman" w:hAnsi="Times New Roman" w:cs="Times New Roman"/>
          <w:sz w:val="21"/>
          <w:szCs w:val="21"/>
        </w:rPr>
        <w:fldChar w:fldCharType="begin"/>
      </w:r>
      <w:r>
        <w:rPr>
          <w:rFonts w:ascii="Times New Roman" w:hAnsi="Times New Roman" w:cs="Times New Roman"/>
          <w:sz w:val="21"/>
          <w:szCs w:val="21"/>
        </w:rPr>
        <w:instrText xml:space="preserve"> ADDIN EN.CITE &lt;EndNote&gt;&lt;Cite&gt;&lt;Author&gt;Horowitz&lt;/Author&gt;&lt;Year&gt;2002&lt;/Year&gt;&lt;RecNum&gt;214&lt;/RecNum&gt;&lt;DisplayText&gt;Horowitz, &amp;quot;Explaining the Northern Ireland Agreement: The Sources of an Unlikely Constitutional Consensus.&amp;quot;&lt;/DisplayText&gt;&lt;record&gt;&lt;rec-number&gt;214&lt;/rec-number&gt;&lt;foreign-keys&gt;&lt;key app="EN" db-id="s0ftft29jf2psaezx93xwz5s00fwpa9avrwv"&gt;214&lt;/key&gt;&lt;/foreign-keys&gt;&lt;ref-type name="Journal Article"&gt;17&lt;/ref-type&gt;&lt;contributors&gt;&lt;authors&gt;&lt;author&gt;Horowitz, Donald&lt;/author&gt;&lt;/authors&gt;&lt;/contributors&gt;&lt;titles&gt;&lt;title&gt;Explaining the Northern Ireland Agreement: The Sources of an Unlikely Constitutional Consensus&lt;/title&gt;&lt;secondary-title&gt;British Journal of Political Science&lt;/secondary-title&gt;&lt;/titles&gt;&lt;pages&gt;pp. 193-220&lt;/pages&gt;&lt;volume&gt;32 (2)&lt;/volume&gt;&lt;dates&gt;&lt;year&gt;2002&lt;/year&gt;&lt;/dates&gt;&lt;urls&gt;&lt;/urls&gt;&lt;/record&gt;&lt;/Cite&gt;&lt;/EndNote&gt;</w:instrText>
      </w:r>
      <w:r w:rsidRPr="00491613">
        <w:rPr>
          <w:rFonts w:ascii="Times New Roman" w:hAnsi="Times New Roman" w:cs="Times New Roman"/>
          <w:sz w:val="21"/>
          <w:szCs w:val="21"/>
        </w:rPr>
        <w:fldChar w:fldCharType="separate"/>
      </w:r>
      <w:r>
        <w:rPr>
          <w:rFonts w:ascii="Times New Roman" w:hAnsi="Times New Roman" w:cs="Times New Roman"/>
          <w:noProof/>
          <w:sz w:val="21"/>
          <w:szCs w:val="21"/>
        </w:rPr>
        <w:t>Horowitz, "Explaining the Northern Ireland Agreement: The Sources of an Unlikely Constitutional Consensus."</w:t>
      </w:r>
      <w:r w:rsidRPr="00491613">
        <w:rPr>
          <w:rFonts w:ascii="Times New Roman" w:hAnsi="Times New Roman" w:cs="Times New Roman"/>
          <w:sz w:val="21"/>
          <w:szCs w:val="21"/>
        </w:rPr>
        <w:fldChar w:fldCharType="end"/>
      </w:r>
      <w:r>
        <w:rPr>
          <w:rFonts w:ascii="Times New Roman" w:hAnsi="Times New Roman" w:cs="Times New Roman"/>
          <w:sz w:val="21"/>
          <w:szCs w:val="21"/>
        </w:rPr>
        <w:t xml:space="preserve"> pp</w:t>
      </w:r>
      <w:r w:rsidRPr="00491613">
        <w:rPr>
          <w:rFonts w:ascii="Times New Roman" w:hAnsi="Times New Roman" w:cs="Times New Roman"/>
          <w:sz w:val="21"/>
          <w:szCs w:val="21"/>
        </w:rPr>
        <w:t xml:space="preserve">. </w:t>
      </w:r>
      <w:r w:rsidRPr="00491613">
        <w:rPr>
          <w:rFonts w:ascii="Times New Roman" w:hAnsi="Times New Roman" w:cs="Times New Roman"/>
          <w:sz w:val="21"/>
          <w:szCs w:val="21"/>
          <w:lang w:bidi="hi-IN"/>
        </w:rPr>
        <w:t>193-220.</w:t>
      </w:r>
    </w:p>
  </w:footnote>
  <w:footnote w:id="511">
    <w:p w14:paraId="0D4A243F" w14:textId="567566E6" w:rsidR="007A04F6" w:rsidRDefault="007A04F6" w:rsidP="00991000">
      <w:pPr>
        <w:pStyle w:val="FootnoteText"/>
      </w:pPr>
      <w:r>
        <w:rPr>
          <w:rStyle w:val="FootnoteReference"/>
        </w:rPr>
        <w:footnoteRef/>
      </w:r>
      <w:r>
        <w:t xml:space="preserve"> </w:t>
      </w:r>
      <w:r>
        <w:fldChar w:fldCharType="begin"/>
      </w:r>
      <w:r>
        <w:instrText xml:space="preserve"> ADDIN EN.CITE &lt;EndNote&gt;&lt;Cite&gt;&lt;Author&gt;Dixon&lt;/Author&gt;&lt;Year&gt;1996&lt;/Year&gt;&lt;RecNum&gt;220&lt;/RecNum&gt;&lt;DisplayText&gt;Paul Dixon, &amp;quot;The Politics of Antagonism: Explaining Mcgarry and O&amp;apos;leary,&amp;quot; &lt;style face="italic"&gt;Irish Political Studies&lt;/style&gt; 11 (1)(1996).&lt;/DisplayText&gt;&lt;record&gt;&lt;rec-number&gt;220&lt;/rec-number&gt;&lt;foreign-keys&gt;&lt;key app="EN" db-id="s0ftft29jf2psaezx93xwz5s00fwpa9avrwv"&gt;220&lt;/key&gt;&lt;/foreign-keys&gt;&lt;ref-type name="Journal Article"&gt;17&lt;/ref-type&gt;&lt;contributors&gt;&lt;authors&gt;&lt;author&gt;Dixon, Paul&lt;/author&gt;&lt;/authors&gt;&lt;/contributors&gt;&lt;titles&gt;&lt;title&gt;The politics of antagonism: Explaining McGarry and O&amp;apos;Leary&lt;/title&gt;&lt;secondary-title&gt;Irish Political Studies&lt;/secondary-title&gt;&lt;/titles&gt;&lt;pages&gt;pp. 130-141&lt;/pages&gt;&lt;volume&gt;11 (1)&lt;/volume&gt;&lt;dates&gt;&lt;year&gt;1996&lt;/year&gt;&lt;/dates&gt;&lt;urls&gt;&lt;/urls&gt;&lt;/record&gt;&lt;/Cite&gt;&lt;/EndNote&gt;</w:instrText>
      </w:r>
      <w:r>
        <w:fldChar w:fldCharType="separate"/>
      </w:r>
      <w:r>
        <w:rPr>
          <w:noProof/>
        </w:rPr>
        <w:t xml:space="preserve">Paul Dixon, "The Politics of Antagonism: Explaining Mcgarry and O'leary," </w:t>
      </w:r>
      <w:r w:rsidRPr="003D17E7">
        <w:rPr>
          <w:i/>
          <w:noProof/>
        </w:rPr>
        <w:t>Irish Political Studies</w:t>
      </w:r>
      <w:r>
        <w:rPr>
          <w:noProof/>
        </w:rPr>
        <w:t xml:space="preserve"> 11 (1)(1996).</w:t>
      </w:r>
      <w:r>
        <w:fldChar w:fldCharType="end"/>
      </w:r>
      <w:r>
        <w:t>; Interview, Community Worker DE, Belfast, 13th September 2013</w:t>
      </w:r>
    </w:p>
  </w:footnote>
  <w:footnote w:id="512">
    <w:p w14:paraId="705D34C3" w14:textId="2273F703" w:rsidR="007A04F6" w:rsidRDefault="007A04F6">
      <w:pPr>
        <w:pStyle w:val="FootnoteText"/>
      </w:pPr>
      <w:r>
        <w:rPr>
          <w:rStyle w:val="FootnoteReference"/>
        </w:rPr>
        <w:footnoteRef/>
      </w:r>
      <w:r>
        <w:t xml:space="preserve"> </w:t>
      </w:r>
      <w:r>
        <w:fldChar w:fldCharType="begin"/>
      </w:r>
      <w:r>
        <w:instrText xml:space="preserve"> ADDIN EN.CITE &lt;EndNote&gt;&lt;Cite&gt;&lt;Author&gt;McGarry&lt;/Author&gt;&lt;Year&gt;1996&lt;/Year&gt;&lt;RecNum&gt;221&lt;/RecNum&gt;&lt;DisplayText&gt;John McGarry and Brendan O&amp;apos;Leary, &amp;quot;Proving Our Points on Northern Ireland (and Giving Reading Lessons to Dr. Dixon),&amp;quot; ibid.&lt;/DisplayText&gt;&lt;record&gt;&lt;rec-number&gt;221&lt;/rec-number&gt;&lt;foreign-keys&gt;&lt;key app="EN" db-id="s0ftft29jf2psaezx93xwz5s00fwpa9avrwv"&gt;221&lt;/key&gt;&lt;/foreign-keys&gt;&lt;ref-type name="Journal Article"&gt;17&lt;/ref-type&gt;&lt;contributors&gt;&lt;authors&gt;&lt;author&gt;McGarry, John&lt;/author&gt;&lt;author&gt;O&amp;apos;Leary, Brendan&lt;/author&gt;&lt;/authors&gt;&lt;/contributors&gt;&lt;titles&gt;&lt;title&gt;Proving our points on Northern Ireland (and giving reading lessons to Dr. Dixon)&lt;/title&gt;&lt;secondary-title&gt;Irish Political Studies&lt;/secondary-title&gt;&lt;/titles&gt;&lt;pages&gt;pp. 142-154&lt;/pages&gt;&lt;volume&gt;11 (1)&lt;/volume&gt;&lt;dates&gt;&lt;year&gt;1996&lt;/year&gt;&lt;/dates&gt;&lt;urls&gt;&lt;/urls&gt;&lt;/record&gt;&lt;/Cite&gt;&lt;/EndNote&gt;</w:instrText>
      </w:r>
      <w:r>
        <w:fldChar w:fldCharType="separate"/>
      </w:r>
      <w:r>
        <w:rPr>
          <w:noProof/>
        </w:rPr>
        <w:t>John McGarry and Brendan O'Leary, "Proving Our Points on Northern Ireland (and Giving Reading Lessons to Dr. Dixon)," ibid.</w:t>
      </w:r>
      <w:r>
        <w:fldChar w:fldCharType="end"/>
      </w:r>
    </w:p>
  </w:footnote>
  <w:footnote w:id="513">
    <w:p w14:paraId="05F7D0E7" w14:textId="31D0CB78" w:rsidR="007A04F6" w:rsidRDefault="007A04F6">
      <w:pPr>
        <w:pStyle w:val="FootnoteText"/>
      </w:pPr>
      <w:r>
        <w:rPr>
          <w:rStyle w:val="FootnoteReference"/>
        </w:rPr>
        <w:footnoteRef/>
      </w:r>
      <w:r>
        <w:t xml:space="preserve"> </w:t>
      </w:r>
      <w:r>
        <w:fldChar w:fldCharType="begin"/>
      </w:r>
      <w:r>
        <w:instrText xml:space="preserve"> ADDIN EN.CITE &lt;EndNote&gt;&lt;Cite&gt;&lt;Author&gt;Meyer&lt;/Author&gt;&lt;Year&gt;2004&lt;/Year&gt;&lt;RecNum&gt;124&lt;/RecNum&gt;&lt;DisplayText&gt;David Meyer and Debra Minkoff, &amp;quot;Conceptualizing Political Opportunity,&amp;quot; &lt;style face="italic"&gt;Social Forces&lt;/style&gt; 82 (4)(2004).&lt;/DisplayText&gt;&lt;record&gt;&lt;rec-number&gt;124&lt;/rec-number&gt;&lt;foreign-keys&gt;&lt;key app="EN" db-id="s0ftft29jf2psaezx93xwz5s00fwpa9avrwv"&gt;124&lt;/key&gt;&lt;/foreign-keys&gt;&lt;ref-type name="Journal Article"&gt;17&lt;/ref-type&gt;&lt;contributors&gt;&lt;authors&gt;&lt;author&gt;Meyer, David&lt;/author&gt;&lt;author&gt;Minkoff, Debra&lt;/author&gt;&lt;/authors&gt;&lt;/contributors&gt;&lt;titles&gt;&lt;title&gt;Conceptualizing Political Opportunity&lt;/title&gt;&lt;secondary-title&gt;Social Forces&lt;/secondary-title&gt;&lt;/titles&gt;&lt;pages&gt;pp.1457-1492&lt;/pages&gt;&lt;volume&gt;82 (4)&lt;/volume&gt;&lt;dates&gt;&lt;year&gt;2004&lt;/year&gt;&lt;/dates&gt;&lt;urls&gt;&lt;/urls&gt;&lt;/record&gt;&lt;/Cite&gt;&lt;/EndNote&gt;</w:instrText>
      </w:r>
      <w:r>
        <w:fldChar w:fldCharType="separate"/>
      </w:r>
      <w:r>
        <w:rPr>
          <w:noProof/>
        </w:rPr>
        <w:t xml:space="preserve">David Meyer and Debra Minkoff, "Conceptualizing Political Opportunity," </w:t>
      </w:r>
      <w:r w:rsidRPr="003D17E7">
        <w:rPr>
          <w:i/>
          <w:noProof/>
        </w:rPr>
        <w:t>Social Forces</w:t>
      </w:r>
      <w:r>
        <w:rPr>
          <w:noProof/>
        </w:rPr>
        <w:t xml:space="preserve"> 82 (4)(2004).</w:t>
      </w:r>
      <w:r>
        <w:fldChar w:fldCharType="end"/>
      </w:r>
      <w:r>
        <w:t xml:space="preserve"> </w:t>
      </w:r>
      <w:r>
        <w:fldChar w:fldCharType="begin"/>
      </w:r>
      <w:r>
        <w:instrText xml:space="preserve"> ADDIN EN.CITE &lt;EndNote&gt;&lt;Cite&gt;&lt;Author&gt;Opp&lt;/Author&gt;&lt;Year&gt;2009&lt;/Year&gt;&lt;RecNum&gt;310&lt;/RecNum&gt;&lt;DisplayText&gt;Opp, &lt;style face="italic"&gt;Theories of Political Protest and Social Movements: A Multidisciplinary Introduction, Critique, and Synthesis&lt;/style&gt;.&lt;/DisplayText&gt;&lt;record&gt;&lt;rec-number&gt;310&lt;/rec-number&gt;&lt;foreign-keys&gt;&lt;key app="EN" db-id="s0ftft29jf2psaezx93xwz5s00fwpa9avrwv"&gt;310&lt;/key&gt;&lt;/foreign-keys&gt;&lt;ref-type name="Book"&gt;6&lt;/ref-type&gt;&lt;contributors&gt;&lt;authors&gt;&lt;author&gt;Opp, Karl-Dieter&lt;/author&gt;&lt;/authors&gt;&lt;/contributors&gt;&lt;titles&gt;&lt;title&gt;Theories of Political Protest and Social Movements: a Multidisciplinary Introduction, Critique, and Synthesis&lt;/title&gt;&lt;/titles&gt;&lt;dates&gt;&lt;year&gt;2009&lt;/year&gt;&lt;/dates&gt;&lt;pub-location&gt;Oxon&lt;/pub-location&gt;&lt;publisher&gt;Routledge&lt;/publisher&gt;&lt;urls&gt;&lt;/urls&gt;&lt;/record&gt;&lt;/Cite&gt;&lt;/EndNote&gt;</w:instrText>
      </w:r>
      <w:r>
        <w:fldChar w:fldCharType="separate"/>
      </w:r>
      <w:r>
        <w:rPr>
          <w:noProof/>
        </w:rPr>
        <w:t xml:space="preserve">Opp, </w:t>
      </w:r>
      <w:r w:rsidRPr="003D17E7">
        <w:rPr>
          <w:i/>
          <w:noProof/>
        </w:rPr>
        <w:t>Theories of Political Protest and Social Movements: A Multidisciplinary Introduction, Critique, and Synthesis</w:t>
      </w:r>
      <w:r>
        <w:rPr>
          <w:noProof/>
        </w:rPr>
        <w:t>.</w:t>
      </w:r>
      <w:r>
        <w:fldChar w:fldCharType="end"/>
      </w:r>
    </w:p>
  </w:footnote>
  <w:footnote w:id="514">
    <w:p w14:paraId="46EF2AA0" w14:textId="271F52B9" w:rsidR="007A04F6" w:rsidRDefault="007A04F6">
      <w:pPr>
        <w:pStyle w:val="FootnoteText"/>
      </w:pPr>
      <w:r>
        <w:rPr>
          <w:rStyle w:val="FootnoteReference"/>
        </w:rPr>
        <w:footnoteRef/>
      </w:r>
      <w:r>
        <w:t xml:space="preserve"> </w:t>
      </w:r>
      <w:r>
        <w:fldChar w:fldCharType="begin"/>
      </w:r>
      <w:r>
        <w:instrText xml:space="preserve"> ADDIN EN.CITE &lt;EndNote&gt;&lt;Cite&gt;&lt;Author&gt;Taylor&lt;/Author&gt;&lt;Year&gt;2009&lt;/Year&gt;&lt;RecNum&gt;313&lt;/RecNum&gt;&lt;DisplayText&gt;Rupert Taylor, ed. &lt;style face="italic"&gt;Consociational Theory: Mcgarry &amp;amp; O&amp;apos;leary and the Northern Ireland Conflict&lt;/style&gt; (Oxon: Routledge, 2009).&lt;/DisplayText&gt;&lt;record&gt;&lt;rec-number&gt;313&lt;/rec-number&gt;&lt;foreign-keys&gt;&lt;key app="EN" db-id="s0ftft29jf2psaezx93xwz5s00fwpa9avrwv"&gt;313&lt;/key&gt;&lt;/foreign-keys&gt;&lt;ref-type name="Edited Book"&gt;28&lt;/ref-type&gt;&lt;contributors&gt;&lt;authors&gt;&lt;author&gt;Taylor, Rupert&lt;/author&gt;&lt;/authors&gt;&lt;/contributors&gt;&lt;titles&gt;&lt;title&gt;Consociational Theory: McGarry &amp;amp; O&amp;apos;Leary and the Northern Ireland Conflict&lt;/title&gt;&lt;/titles&gt;&lt;dates&gt;&lt;year&gt;2009&lt;/year&gt;&lt;/dates&gt;&lt;pub-location&gt;Oxon&lt;/pub-location&gt;&lt;publisher&gt;Routledge&lt;/publisher&gt;&lt;urls&gt;&lt;/urls&gt;&lt;/record&gt;&lt;/Cite&gt;&lt;/EndNote&gt;</w:instrText>
      </w:r>
      <w:r>
        <w:fldChar w:fldCharType="separate"/>
      </w:r>
      <w:r>
        <w:rPr>
          <w:noProof/>
        </w:rPr>
        <w:t xml:space="preserve">Rupert Taylor, ed. </w:t>
      </w:r>
      <w:r w:rsidRPr="003D17E7">
        <w:rPr>
          <w:i/>
          <w:noProof/>
        </w:rPr>
        <w:t>Consociational Theory: Mcgarry &amp; O'leary and the Northern Ireland Conflict</w:t>
      </w:r>
      <w:r>
        <w:rPr>
          <w:noProof/>
        </w:rPr>
        <w:t xml:space="preserve"> (Oxon: Routledge, 2009).</w:t>
      </w:r>
      <w:r>
        <w:fldChar w:fldCharType="end"/>
      </w:r>
    </w:p>
  </w:footnote>
  <w:footnote w:id="515">
    <w:p w14:paraId="42BE1FAA" w14:textId="77777777" w:rsidR="007A04F6" w:rsidRDefault="007A04F6">
      <w:pPr>
        <w:pStyle w:val="FootnoteText"/>
      </w:pPr>
      <w:r>
        <w:rPr>
          <w:rStyle w:val="FootnoteReference"/>
        </w:rPr>
        <w:footnoteRef/>
      </w:r>
      <w:r>
        <w:t xml:space="preserve"> Interview, Community Worker CH, Belfast, 30th August 2013</w:t>
      </w:r>
    </w:p>
  </w:footnote>
  <w:footnote w:id="516">
    <w:p w14:paraId="12D19C4B" w14:textId="77777777" w:rsidR="007A04F6" w:rsidRPr="00FC1252" w:rsidRDefault="007A04F6" w:rsidP="00FC1252">
      <w:pPr>
        <w:pStyle w:val="NoSpacing"/>
        <w:rPr>
          <w:rFonts w:ascii="Times New Roman" w:hAnsi="Times New Roman" w:cs="Times New Roman"/>
          <w:sz w:val="21"/>
          <w:szCs w:val="21"/>
        </w:rPr>
      </w:pPr>
      <w:r w:rsidRPr="00FC1252">
        <w:rPr>
          <w:rStyle w:val="FootnoteReference"/>
          <w:rFonts w:ascii="Times New Roman" w:hAnsi="Times New Roman" w:cs="Times New Roman"/>
          <w:sz w:val="21"/>
          <w:szCs w:val="21"/>
        </w:rPr>
        <w:footnoteRef/>
      </w:r>
      <w:r w:rsidRPr="00FC1252">
        <w:rPr>
          <w:rFonts w:ascii="Times New Roman" w:hAnsi="Times New Roman" w:cs="Times New Roman"/>
          <w:sz w:val="21"/>
          <w:szCs w:val="21"/>
        </w:rPr>
        <w:t xml:space="preserve"> Interview, Community Worker J</w:t>
      </w:r>
      <w:r>
        <w:rPr>
          <w:rFonts w:ascii="Times New Roman" w:hAnsi="Times New Roman" w:cs="Times New Roman"/>
          <w:sz w:val="21"/>
          <w:szCs w:val="21"/>
        </w:rPr>
        <w:t>EB</w:t>
      </w:r>
      <w:r w:rsidRPr="00FC1252">
        <w:rPr>
          <w:rFonts w:ascii="Times New Roman" w:hAnsi="Times New Roman" w:cs="Times New Roman"/>
          <w:sz w:val="21"/>
          <w:szCs w:val="21"/>
        </w:rPr>
        <w:t>, Belfast, 14</w:t>
      </w:r>
      <w:r w:rsidRPr="00FC1252">
        <w:rPr>
          <w:rFonts w:ascii="Times New Roman" w:hAnsi="Times New Roman" w:cs="Times New Roman"/>
          <w:sz w:val="21"/>
          <w:szCs w:val="21"/>
          <w:vertAlign w:val="superscript"/>
        </w:rPr>
        <w:t>th</w:t>
      </w:r>
      <w:r w:rsidRPr="00FC1252">
        <w:rPr>
          <w:rFonts w:ascii="Times New Roman" w:hAnsi="Times New Roman" w:cs="Times New Roman"/>
          <w:sz w:val="21"/>
          <w:szCs w:val="21"/>
        </w:rPr>
        <w:t xml:space="preserve"> August 2013</w:t>
      </w:r>
    </w:p>
    <w:p w14:paraId="0E65B36E" w14:textId="77777777" w:rsidR="007A04F6" w:rsidRDefault="007A04F6">
      <w:pPr>
        <w:pStyle w:val="FootnoteText"/>
      </w:pPr>
    </w:p>
  </w:footnote>
  <w:footnote w:id="517">
    <w:p w14:paraId="6EA12FB1" w14:textId="77777777" w:rsidR="007A04F6" w:rsidRDefault="007A04F6" w:rsidP="00991000">
      <w:pPr>
        <w:pStyle w:val="FootnoteText"/>
      </w:pPr>
      <w:r>
        <w:rPr>
          <w:rStyle w:val="FootnoteReference"/>
        </w:rPr>
        <w:footnoteRef/>
      </w:r>
      <w:r>
        <w:t xml:space="preserve"> Interview, Community Worker CA, Belfast, 5th September 2013</w:t>
      </w:r>
    </w:p>
  </w:footnote>
  <w:footnote w:id="518">
    <w:p w14:paraId="38AF8400" w14:textId="77777777" w:rsidR="007A04F6" w:rsidRDefault="007A04F6" w:rsidP="00991000">
      <w:pPr>
        <w:pStyle w:val="FootnoteText"/>
      </w:pPr>
      <w:r>
        <w:rPr>
          <w:rStyle w:val="FootnoteReference"/>
        </w:rPr>
        <w:footnoteRef/>
      </w:r>
      <w:r>
        <w:t xml:space="preserve"> Interview, Community Worker CA, Belfast, 5th September 2013</w:t>
      </w:r>
    </w:p>
  </w:footnote>
  <w:footnote w:id="519">
    <w:p w14:paraId="4067C0A7" w14:textId="77777777" w:rsidR="007A04F6" w:rsidRDefault="007A04F6" w:rsidP="00991000">
      <w:pPr>
        <w:pStyle w:val="FootnoteText"/>
      </w:pPr>
      <w:r>
        <w:rPr>
          <w:rStyle w:val="FootnoteReference"/>
        </w:rPr>
        <w:footnoteRef/>
      </w:r>
      <w:r>
        <w:t xml:space="preserve"> Interview, Community Worker CA, Belfast, 5th September 2013</w:t>
      </w:r>
    </w:p>
  </w:footnote>
  <w:footnote w:id="520">
    <w:p w14:paraId="67569989" w14:textId="77777777" w:rsidR="007A04F6" w:rsidRDefault="007A04F6" w:rsidP="00991000">
      <w:pPr>
        <w:pStyle w:val="FootnoteText"/>
      </w:pPr>
      <w:r>
        <w:rPr>
          <w:rStyle w:val="FootnoteReference"/>
        </w:rPr>
        <w:footnoteRef/>
      </w:r>
      <w:r>
        <w:t xml:space="preserve"> The violence has primarily emerged in East Belfast where the UVF leadership has little control over the battalion in this area. Violence has also been motivated by a desire to assert their authority on the political landscape and to send a signal against prosecuting UVF members for killings during the Troubles. </w:t>
      </w:r>
    </w:p>
  </w:footnote>
  <w:footnote w:id="521">
    <w:p w14:paraId="004D18EE" w14:textId="77777777" w:rsidR="007A04F6" w:rsidRDefault="007A04F6" w:rsidP="00991000">
      <w:pPr>
        <w:pStyle w:val="FootnoteText"/>
      </w:pPr>
      <w:r>
        <w:rPr>
          <w:rStyle w:val="FootnoteReference"/>
        </w:rPr>
        <w:footnoteRef/>
      </w:r>
      <w:r>
        <w:t xml:space="preserve"> Interview, Community Worker DE, Belfast, 13th September 2013</w:t>
      </w:r>
    </w:p>
  </w:footnote>
  <w:footnote w:id="522">
    <w:p w14:paraId="2EC7549A" w14:textId="112BF6B2" w:rsidR="007A04F6" w:rsidRDefault="007A04F6">
      <w:pPr>
        <w:pStyle w:val="FootnoteText"/>
      </w:pPr>
      <w:r>
        <w:rPr>
          <w:rStyle w:val="FootnoteReference"/>
        </w:rPr>
        <w:footnoteRef/>
      </w:r>
      <w:r>
        <w:t xml:space="preserve"> </w:t>
      </w:r>
      <w:r>
        <w:fldChar w:fldCharType="begin"/>
      </w:r>
      <w:r>
        <w:instrText xml:space="preserve"> ADDIN EN.CITE &lt;EndNote&gt;&lt;Cite&gt;&lt;Author&gt;Dixon&lt;/Author&gt;&lt;Year&gt;1996&lt;/Year&gt;&lt;RecNum&gt;220&lt;/RecNum&gt;&lt;DisplayText&gt;Dixon, &amp;quot;The Politics of Antagonism: Explaining Mcgarry and O&amp;apos;leary; John McGarry and Brendan O&amp;apos;Leary, &amp;quot;Proving Our Points on Northern Ireland (and Giving Reading Lessons to Dr. Dixon),&amp;quot; ibid.&lt;/DisplayText&gt;&lt;record&gt;&lt;rec-number&gt;220&lt;/rec-number&gt;&lt;foreign-keys&gt;&lt;key app="EN" db-id="s0ftft29jf2psaezx93xwz5s00fwpa9avrwv"&gt;220&lt;/key&gt;&lt;/foreign-keys&gt;&lt;ref-type name="Journal Article"&gt;17&lt;/ref-type&gt;&lt;contributors&gt;&lt;authors&gt;&lt;author&gt;Dixon, Paul&lt;/author&gt;&lt;/authors&gt;&lt;/contributors&gt;&lt;titles&gt;&lt;title&gt;The politics of antagonism: Explaining McGarry and O&amp;apos;Leary&lt;/title&gt;&lt;secondary-title&gt;Irish Political Studies&lt;/secondary-title&gt;&lt;/titles&gt;&lt;pages&gt;pp. 130-141&lt;/pages&gt;&lt;volume&gt;11 (1)&lt;/volume&gt;&lt;dates&gt;&lt;year&gt;1996&lt;/year&gt;&lt;/dates&gt;&lt;urls&gt;&lt;/urls&gt;&lt;/record&gt;&lt;/Cite&gt;&lt;Cite&gt;&lt;Author&gt;McGarry&lt;/Author&gt;&lt;Year&gt;1996&lt;/Year&gt;&lt;RecNum&gt;221&lt;/RecNum&gt;&lt;record&gt;&lt;rec-number&gt;221&lt;/rec-number&gt;&lt;foreign-keys&gt;&lt;key app="EN" db-id="s0ftft29jf2psaezx93xwz5s00fwpa9avrwv"&gt;221&lt;/key&gt;&lt;/foreign-keys&gt;&lt;ref-type name="Journal Article"&gt;17&lt;/ref-type&gt;&lt;contributors&gt;&lt;authors&gt;&lt;author&gt;McGarry, John&lt;/author&gt;&lt;author&gt;O&amp;apos;Leary, Brendan&lt;/author&gt;&lt;/authors&gt;&lt;/contributors&gt;&lt;titles&gt;&lt;title&gt;Proving our points on Northern Ireland (and giving reading lessons to Dr. Dixon)&lt;/title&gt;&lt;secondary-title&gt;Irish Political Studies&lt;/secondary-title&gt;&lt;/titles&gt;&lt;pages&gt;pp. 142-154&lt;/pages&gt;&lt;volume&gt;11 (1)&lt;/volume&gt;&lt;dates&gt;&lt;year&gt;1996&lt;/year&gt;&lt;/dates&gt;&lt;urls&gt;&lt;/urls&gt;&lt;/record&gt;&lt;/Cite&gt;&lt;/EndNote&gt;</w:instrText>
      </w:r>
      <w:r>
        <w:fldChar w:fldCharType="separate"/>
      </w:r>
      <w:r>
        <w:rPr>
          <w:noProof/>
        </w:rPr>
        <w:t>Dixon, "The Politics of Antagonism: Explaining Mcgarry and O'leary; John McGarry and Brendan O'Leary, "Proving Our Points on Northern Ireland (and Giving Reading Lessons to Dr. Dixon)," ibid.</w:t>
      </w:r>
      <w:r>
        <w:fldChar w:fldCharType="end"/>
      </w:r>
    </w:p>
  </w:footnote>
  <w:footnote w:id="523">
    <w:p w14:paraId="28C2151D" w14:textId="77777777" w:rsidR="007A04F6" w:rsidRDefault="007A04F6" w:rsidP="00991000">
      <w:pPr>
        <w:pStyle w:val="FootnoteText"/>
      </w:pPr>
      <w:r>
        <w:rPr>
          <w:rStyle w:val="FootnoteReference"/>
        </w:rPr>
        <w:footnoteRef/>
      </w:r>
      <w:r>
        <w:t xml:space="preserve"> Interview, Community Worker DE, Belfast, 13th September 2013</w:t>
      </w:r>
    </w:p>
  </w:footnote>
  <w:footnote w:id="524">
    <w:p w14:paraId="38B0CB49" w14:textId="77777777" w:rsidR="007A04F6" w:rsidRDefault="007A04F6">
      <w:pPr>
        <w:pStyle w:val="FootnoteText"/>
      </w:pPr>
      <w:r>
        <w:rPr>
          <w:rStyle w:val="FootnoteReference"/>
        </w:rPr>
        <w:footnoteRef/>
      </w:r>
      <w:r>
        <w:t xml:space="preserve"> Interview, Former Provisional IRA Member 5, Belfast, 3rd September 2013; Interview, 32 County Sovereignty Movement Member, Belfast, 15th August 2013</w:t>
      </w:r>
    </w:p>
  </w:footnote>
  <w:footnote w:id="525">
    <w:p w14:paraId="717377E6" w14:textId="77777777" w:rsidR="007A04F6" w:rsidRDefault="007A04F6">
      <w:pPr>
        <w:pStyle w:val="FootnoteText"/>
      </w:pPr>
      <w:r>
        <w:rPr>
          <w:rStyle w:val="FootnoteReference"/>
        </w:rPr>
        <w:footnoteRef/>
      </w:r>
      <w:r>
        <w:t xml:space="preserve"> Interview, Former INLA Member, Belfast, 26th August 2013</w:t>
      </w:r>
    </w:p>
  </w:footnote>
  <w:footnote w:id="526">
    <w:p w14:paraId="75CB9E39" w14:textId="45C63EE2" w:rsidR="007A04F6" w:rsidRDefault="007A04F6">
      <w:pPr>
        <w:pStyle w:val="FootnoteText"/>
      </w:pPr>
      <w:r>
        <w:rPr>
          <w:rStyle w:val="FootnoteReference"/>
        </w:rPr>
        <w:footnoteRef/>
      </w:r>
      <w:r>
        <w:t xml:space="preserve"> </w:t>
      </w:r>
      <w:r>
        <w:fldChar w:fldCharType="begin"/>
      </w:r>
      <w:r>
        <w:instrText xml:space="preserve"> ADDIN EN.CITE &lt;EndNote&gt;&lt;Cite&gt;&lt;Author&gt;Byrne&lt;/Author&gt;&lt;Year&gt;2011&lt;/Year&gt;&lt;RecNum&gt;232&lt;/RecNum&gt;&lt;DisplayText&gt;Jonny Byrne and Neil Jarman, &amp;quot;Ten Years after Patten: Young People and Policing in Northern Ireland,&amp;quot; &lt;style face="italic"&gt;Youth and Society&lt;/style&gt; 43 (2)(2011).&lt;/DisplayText&gt;&lt;record&gt;&lt;rec-number&gt;232&lt;/rec-number&gt;&lt;foreign-keys&gt;&lt;key app="EN" db-id="s0ftft29jf2psaezx93xwz5s00fwpa9avrwv"&gt;232&lt;/key&gt;&lt;/foreign-keys&gt;&lt;ref-type name="Journal Article"&gt;17&lt;/ref-type&gt;&lt;contributors&gt;&lt;authors&gt;&lt;author&gt;Byrne, Jonny&lt;/author&gt;&lt;author&gt;Jarman, Neil&lt;/author&gt;&lt;/authors&gt;&lt;/contributors&gt;&lt;titles&gt;&lt;title&gt;Ten Years After Patten: Young People and Policing in Northern Ireland&lt;/title&gt;&lt;secondary-title&gt;Youth and Society&lt;/secondary-title&gt;&lt;/titles&gt;&lt;pages&gt;pp. 433-452&lt;/pages&gt;&lt;volume&gt;43 (2)&lt;/volume&gt;&lt;dates&gt;&lt;year&gt;2011&lt;/year&gt;&lt;/dates&gt;&lt;urls&gt;&lt;/urls&gt;&lt;/record&gt;&lt;/Cite&gt;&lt;/EndNote&gt;</w:instrText>
      </w:r>
      <w:r>
        <w:fldChar w:fldCharType="separate"/>
      </w:r>
      <w:r>
        <w:rPr>
          <w:noProof/>
        </w:rPr>
        <w:t xml:space="preserve">Jonny Byrne and Neil Jarman, "Ten Years after Patten: Young People and Policing in Northern Ireland," </w:t>
      </w:r>
      <w:r w:rsidRPr="003D17E7">
        <w:rPr>
          <w:i/>
          <w:noProof/>
        </w:rPr>
        <w:t>Youth and Society</w:t>
      </w:r>
      <w:r>
        <w:rPr>
          <w:noProof/>
        </w:rPr>
        <w:t xml:space="preserve"> 43 (2)(2011).</w:t>
      </w:r>
      <w:r>
        <w:fldChar w:fldCharType="end"/>
      </w:r>
    </w:p>
  </w:footnote>
  <w:footnote w:id="527">
    <w:p w14:paraId="1F81F1A9" w14:textId="77777777" w:rsidR="007A04F6" w:rsidRDefault="007A04F6">
      <w:pPr>
        <w:pStyle w:val="FootnoteText"/>
      </w:pPr>
      <w:r>
        <w:rPr>
          <w:rStyle w:val="FootnoteReference"/>
        </w:rPr>
        <w:footnoteRef/>
      </w:r>
      <w:r>
        <w:t xml:space="preserve"> Interview, Community Worker CA, Belfast, 5th September 2013</w:t>
      </w:r>
    </w:p>
  </w:footnote>
  <w:footnote w:id="528">
    <w:p w14:paraId="5720AB19" w14:textId="1BE9F1DF" w:rsidR="007A04F6" w:rsidRDefault="007A04F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&lt;EndNote&gt;&lt;Cite&gt;&lt;Author&gt;Harland&lt;/Author&gt;&lt;Year&gt;2011&lt;/Year&gt;&lt;RecNum&gt;230&lt;/RecNum&gt;&lt;DisplayText&gt;Harland, &amp;quot;Violent Youth Culture in Northern Ireland: Young Men, Violence, and the Challenges of Peacebuilding; Frampton, &amp;quot;Dissident Irish Republican Violence: A Resurgent Threat?.&amp;quot;&lt;/DisplayText&gt;&lt;record&gt;&lt;rec-number&gt;230&lt;/rec-number&gt;&lt;foreign-keys&gt;&lt;key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Cite&gt;&lt;Author&gt;Frampton&lt;/Author&gt;&lt;Year&gt;2012&lt;/Year&gt;&lt;RecNum&gt;215&lt;/RecNum&gt;&lt;record&gt;&lt;rec-number&gt;215&lt;/rec-number&gt;&lt;foreign-keys&gt;&lt;key app="EN" db-id="s0ftft29jf2psaezx93xwz5s00fwpa9avrwv"&gt;215&lt;/key&gt;&lt;/foreign-keys&gt;&lt;ref-type name="Journal Article"&gt;17&lt;/ref-type&gt;&lt;contributors&gt;&lt;authors&gt;&lt;author&gt;Frampton, Martyn&lt;/author&gt;&lt;/authors&gt;&lt;/contributors&gt;&lt;titles&gt;&lt;title&gt;Dissident Irish Republican Violence: A Resurgent Threat?&lt;/title&gt;&lt;secondary-title&gt;The Political Quarterly&lt;/secondary-title&gt;&lt;/titles&gt;&lt;periodical&gt;&lt;full-title&gt;The Political Quarterly&lt;/full-title&gt;&lt;/periodical&gt;&lt;pages&gt;pp. 227-237&lt;/pages&gt;&lt;volume&gt;83 (2)&lt;/volume&gt;&lt;dates&gt;&lt;year&gt;2012&lt;/year&gt;&lt;/dates&gt;&lt;urls&gt;&lt;/urls&gt;&lt;/record&gt;&lt;/Cite&gt;&lt;/EndNote&gt;</w:instrText>
      </w:r>
      <w:r>
        <w:fldChar w:fldCharType="separate"/>
      </w:r>
      <w:r>
        <w:rPr>
          <w:noProof/>
        </w:rPr>
        <w:t>Harland, "Violent Youth Culture in Northern Ireland: Young Men, Violence, and the Challenges of Peacebuilding; Frampton, "Dissident Irish Republican Violence: A Resurgent Threat?."</w:t>
      </w:r>
      <w:r>
        <w:fldChar w:fldCharType="end"/>
      </w:r>
    </w:p>
  </w:footnote>
  <w:footnote w:id="529">
    <w:p w14:paraId="1B50BB98" w14:textId="77777777" w:rsidR="007A04F6" w:rsidRDefault="007A04F6">
      <w:pPr>
        <w:pStyle w:val="FootnoteText"/>
      </w:pPr>
      <w:r>
        <w:rPr>
          <w:rStyle w:val="FootnoteReference"/>
        </w:rPr>
        <w:footnoteRef/>
      </w:r>
      <w:r>
        <w:t xml:space="preserve"> Interview, Former INLA Member, Belfast, 26th August 2013</w:t>
      </w:r>
    </w:p>
  </w:footnote>
  <w:footnote w:id="530">
    <w:p w14:paraId="03398413" w14:textId="31F768AC" w:rsidR="007A04F6" w:rsidRDefault="007A04F6" w:rsidP="00991000">
      <w:pPr>
        <w:pStyle w:val="FootnoteText"/>
      </w:pPr>
      <w:r>
        <w:rPr>
          <w:rStyle w:val="FootnoteReference"/>
        </w:rPr>
        <w:footnoteRef/>
      </w:r>
      <w:r>
        <w:t xml:space="preserve"> Interview, Community Worker CA, Belfast, 5th September 2013</w:t>
      </w:r>
    </w:p>
  </w:footnote>
  <w:footnote w:id="531">
    <w:p w14:paraId="149DD972" w14:textId="77777777" w:rsidR="007A04F6" w:rsidRDefault="007A04F6" w:rsidP="00107046">
      <w:pPr>
        <w:pStyle w:val="FootnoteText"/>
      </w:pPr>
      <w:r>
        <w:rPr>
          <w:rStyle w:val="FootnoteReference"/>
        </w:rPr>
        <w:footnoteRef/>
      </w:r>
      <w:r>
        <w:t xml:space="preserve"> </w:t>
      </w:r>
      <w:r>
        <w:fldChar w:fldCharType="begin"/>
      </w:r>
      <w:r>
        <w:instrText xml:space="preserve"> ADDIN EN.CITE &lt;EndNote&gt;&lt;Cite&gt;&lt;Year&gt;2013&lt;/Year&gt;&lt;RecNum&gt;317&lt;/RecNum&gt;&lt;DisplayText&gt;&amp;quot;In Pictures: Gerry Kelly&amp;apos; Speech in Full,&amp;quot; &lt;style face="italic"&gt;News Letter&lt;/style&gt; 2013.&lt;/DisplayText&gt;&lt;record&gt;&lt;rec-number&gt;317&lt;/rec-number&gt;&lt;foreign-keys&gt;&lt;key app="EN" db-id="s0ftft29jf2psaezx93xwz5s00fwpa9avrwv"&gt;317&lt;/key&gt;&lt;/foreign-keys&gt;&lt;ref-type name="Newspaper Article"&gt;23&lt;/ref-type&gt;&lt;contributors&gt;&lt;/contributors&gt;&lt;titles&gt;&lt;title&gt;In Pictures: Gerry Kelly&amp;apos; speech in full&lt;/title&gt;&lt;secondary-title&gt;News Letter&lt;/secondary-title&gt;&lt;/titles&gt;&lt;dates&gt;&lt;year&gt;2013&lt;/year&gt;&lt;/dates&gt;&lt;pub-location&gt;Belfast&lt;/pub-location&gt;&lt;urls&gt;&lt;/urls&gt;&lt;/record&gt;&lt;/Cite&gt;&lt;/EndNote&gt;</w:instrText>
      </w:r>
      <w:r>
        <w:fldChar w:fldCharType="separate"/>
      </w:r>
      <w:r>
        <w:rPr>
          <w:noProof/>
        </w:rPr>
        <w:t xml:space="preserve">"In Pictures: Gerry Kelly' Speech in Full," </w:t>
      </w:r>
      <w:r w:rsidRPr="00107046">
        <w:rPr>
          <w:i/>
          <w:noProof/>
        </w:rPr>
        <w:t>News Letter</w:t>
      </w:r>
      <w:r>
        <w:rPr>
          <w:noProof/>
        </w:rPr>
        <w:t xml:space="preserve"> 2013.</w:t>
      </w:r>
      <w:r>
        <w:fldChar w:fldCharType="end"/>
      </w:r>
      <w:r>
        <w:t xml:space="preserve"> URL: </w:t>
      </w:r>
      <w:hyperlink r:id="rId1" w:history="1">
        <w:r w:rsidRPr="004F6DA6">
          <w:rPr>
            <w:rStyle w:val="Hyperlink"/>
          </w:rPr>
          <w:t>http://www.newsletter.co.uk/news/regional/in-pictures-gerry-kelly-s-speech-in-full-1-5376906</w:t>
        </w:r>
      </w:hyperlink>
      <w:r>
        <w:t xml:space="preserve"> [Accessed] 1/11/2014</w:t>
      </w:r>
    </w:p>
    <w:p w14:paraId="1C86F69F" w14:textId="607571DB" w:rsidR="007A04F6" w:rsidRDefault="007A04F6">
      <w:pPr>
        <w:pStyle w:val="FootnoteText"/>
      </w:pPr>
    </w:p>
  </w:footnote>
  <w:footnote w:id="532">
    <w:p w14:paraId="508C75D0" w14:textId="77777777" w:rsidR="007A04F6" w:rsidRDefault="007A04F6" w:rsidP="00991000">
      <w:pPr>
        <w:pStyle w:val="FootnoteText"/>
      </w:pPr>
      <w:r>
        <w:rPr>
          <w:rStyle w:val="FootnoteReference"/>
        </w:rPr>
        <w:footnoteRef/>
      </w:r>
      <w:r>
        <w:t xml:space="preserve"> Interview, Community Worker DE, Belfast, 13th September 2013</w:t>
      </w:r>
    </w:p>
  </w:footnote>
  <w:footnote w:id="533">
    <w:p w14:paraId="37908D26" w14:textId="77777777" w:rsidR="007A04F6" w:rsidRDefault="007A04F6" w:rsidP="00991000">
      <w:pPr>
        <w:pStyle w:val="FootnoteText"/>
      </w:pPr>
      <w:r>
        <w:rPr>
          <w:rStyle w:val="FootnoteReference"/>
        </w:rPr>
        <w:footnoteRef/>
      </w:r>
      <w:r>
        <w:t xml:space="preserve"> Interview, Former Provisional IRA Member 5, Belfast, 3rd September 2013</w:t>
      </w:r>
    </w:p>
  </w:footnote>
  <w:footnote w:id="534">
    <w:p w14:paraId="3F83BA74" w14:textId="77777777" w:rsidR="007A04F6" w:rsidRDefault="007A04F6" w:rsidP="00991000">
      <w:pPr>
        <w:pStyle w:val="FootnoteText"/>
      </w:pPr>
      <w:r>
        <w:rPr>
          <w:rStyle w:val="FootnoteReference"/>
        </w:rPr>
        <w:footnoteRef/>
      </w:r>
      <w:r>
        <w:t xml:space="preserve"> Interview, Community Worker DE, Belfast, 13th September 2013</w:t>
      </w:r>
    </w:p>
  </w:footnote>
  <w:footnote w:id="535">
    <w:p w14:paraId="3B94D134" w14:textId="77777777" w:rsidR="007A04F6" w:rsidRDefault="007A04F6">
      <w:pPr>
        <w:pStyle w:val="FootnoteText"/>
      </w:pPr>
      <w:r>
        <w:rPr>
          <w:rStyle w:val="FootnoteReference"/>
        </w:rPr>
        <w:footnoteRef/>
      </w:r>
      <w:r>
        <w:t xml:space="preserve"> Interview, Former Provisional IRA Member 3, Belfast, 3rd September 2013</w:t>
      </w:r>
    </w:p>
  </w:footnote>
  <w:footnote w:id="536">
    <w:p w14:paraId="572A824B" w14:textId="77777777" w:rsidR="007A04F6" w:rsidRDefault="007A04F6" w:rsidP="00991000">
      <w:pPr>
        <w:pStyle w:val="FootnoteText"/>
      </w:pPr>
      <w:r>
        <w:rPr>
          <w:rStyle w:val="FootnoteReference"/>
        </w:rPr>
        <w:footnoteRef/>
      </w:r>
      <w:r>
        <w:t xml:space="preserve"> Interview, Former Provisional IRA Member 3, Belfast, 3rd September 2013</w:t>
      </w:r>
    </w:p>
  </w:footnote>
  <w:footnote w:id="537">
    <w:p w14:paraId="0EAA5399" w14:textId="3131DE7B" w:rsidR="007A04F6" w:rsidRDefault="007A04F6">
      <w:pPr>
        <w:pStyle w:val="FootnoteText"/>
      </w:pPr>
      <w:r>
        <w:rPr>
          <w:rStyle w:val="FootnoteReference"/>
        </w:rPr>
        <w:footnoteRef/>
      </w:r>
      <w:r>
        <w:t xml:space="preserv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r>
        <w:t xml:space="preserve"> </w:t>
      </w:r>
      <w:r>
        <w:fldChar w:fldCharType="begin"/>
      </w:r>
      <w:r>
        <w:instrText xml:space="preserve"> ADDIN EN.CITE &lt;EndNote&gt;&lt;Cite&gt;&lt;Author&gt;Della Porta&lt;/Author&gt;&lt;Year&gt;2012&lt;/Year&gt;&lt;RecNum&gt;224&lt;/RecNum&gt;&lt;DisplayText&gt;Della Porta and LaFree, &amp;quot;Guest Editorial: Processes of Radicalization and De-Radicalization.&amp;quot;&lt;/DisplayText&gt;&lt;record&gt;&lt;rec-number&gt;224&lt;/rec-number&gt;&lt;foreign-keys&gt;&lt;key app="EN" db-id="s0ftft29jf2psaezx93xwz5s00fwpa9avrwv"&gt;224&lt;/key&gt;&lt;/foreign-keys&gt;&lt;ref-type name="Journal Article"&gt;17&lt;/ref-type&gt;&lt;contributors&gt;&lt;authors&gt;&lt;author&gt;Della Porta, Donatella&lt;/author&gt;&lt;author&gt;LaFree, Gary&lt;/author&gt;&lt;/authors&gt;&lt;/contributors&gt;&lt;titles&gt;&lt;title&gt;Guest Editorial: Processes of Radicalization and De-Radicalization&lt;/title&gt;&lt;secondary-title&gt;International Journal of Conflict and Violence&lt;/secondary-title&gt;&lt;/titles&gt;&lt;pages&gt;pp. 5-10&lt;/pages&gt;&lt;volume&gt;6 (1)&lt;/volume&gt;&lt;dates&gt;&lt;year&gt;2012&lt;/year&gt;&lt;/dates&gt;&lt;urls&gt;&lt;/urls&gt;&lt;/record&gt;&lt;/Cite&gt;&lt;/EndNote&gt;</w:instrText>
      </w:r>
      <w:r>
        <w:fldChar w:fldCharType="separate"/>
      </w:r>
      <w:r>
        <w:rPr>
          <w:noProof/>
        </w:rPr>
        <w:t>Della Porta and LaFree, "Guest Editorial: Processes of Radicalization and De-Radicalization."</w:t>
      </w:r>
      <w:r>
        <w:fldChar w:fldCharType="end"/>
      </w:r>
    </w:p>
  </w:footnote>
  <w:footnote w:id="538">
    <w:p w14:paraId="14D55F40" w14:textId="77777777" w:rsidR="007A04F6" w:rsidRDefault="007A04F6">
      <w:pPr>
        <w:pStyle w:val="FootnoteText"/>
      </w:pPr>
      <w:r>
        <w:rPr>
          <w:rStyle w:val="FootnoteReference"/>
        </w:rPr>
        <w:footnoteRef/>
      </w:r>
      <w:r>
        <w:t xml:space="preserve"> Interview, Community Worker CA, Belfast, 5th September 2013</w:t>
      </w:r>
    </w:p>
  </w:footnote>
  <w:footnote w:id="539">
    <w:p w14:paraId="58B3D238" w14:textId="0F82D7B0" w:rsidR="007A04F6" w:rsidRDefault="007A04F6">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p>
  </w:footnote>
  <w:footnote w:id="540">
    <w:p w14:paraId="0594A27D" w14:textId="2D142A93"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&lt;EndNote&gt;&lt;Cite&gt;&lt;Author&gt;Cronin&lt;/Author&gt;&lt;Year&gt;2008&lt;/Year&gt;&lt;RecNum&gt;51&lt;/RecNum&gt;&lt;DisplayText&gt;Cronin, &lt;style face="italic"&gt;Ending Terrorism : Lessons for Defeating Al-Qaeda&lt;/style&gt;.&lt;/DisplayText&gt;&lt;record&gt;&lt;rec-number&gt;51&lt;/rec-number&gt;&lt;foreign-keys&gt;&lt;key app="EN" db-id="s0ftft29jf2psaezx93xwz5s00fwpa9avrwv"&gt;51&lt;/key&gt;&lt;/foreign-keys&gt;&lt;ref-type name="Book"&gt;6&lt;/ref-type&gt;&lt;contributors&gt;&lt;authors&gt;&lt;author&gt;Cronin, Audrey Kurth&lt;/author&gt;&lt;/authors&gt;&lt;/contributors&gt;&lt;titles&gt;&lt;title&gt;Ending terrorism : lessons for defeating al-Qaeda&lt;/title&gt;&lt;/titles&gt;&lt;pages&gt;86 p.&lt;/pages&gt;&lt;keywords&gt;&lt;keyword&gt;Qaida (Organization)&lt;/keyword&gt;&lt;keyword&gt;Terrorism Prevention.&lt;/keyword&gt;&lt;keyword&gt;Terrorism Government policy.&lt;/keyword&gt;&lt;/keywords&gt;&lt;dates&gt;&lt;year&gt;2008&lt;/year&gt;&lt;/dates&gt;&lt;pub-location&gt;Abingdon&lt;/pub-location&gt;&lt;publisher&gt;Routledge&lt;/publisher&gt;&lt;isbn&gt;9780415450621 (pbk.)&amp;#xD;0415450624 (pbk.)&lt;/isbn&gt;&lt;call-num&gt;1.&amp;#xD;30.&amp;#xD;Brotherton West floor&amp;amp;nbsp;2 Politics R-5.4 CRO DUE 11-06-11&amp;#xD;Edward Boyle level&amp;amp;nbsp;10 Politics R-5.4 CRO DUE 22-03-11 +1 RECALLED&lt;/call-num&gt;&lt;urls&gt;&lt;/urls&gt;&lt;/record&gt;&lt;/Cite&gt;&lt;/EndNote&gt;</w:instrText>
      </w:r>
      <w:r>
        <w:fldChar w:fldCharType="separate"/>
      </w:r>
      <w:r>
        <w:rPr>
          <w:noProof/>
        </w:rPr>
        <w:t xml:space="preserve">Cronin, </w:t>
      </w:r>
      <w:r w:rsidRPr="003D17E7">
        <w:rPr>
          <w:i/>
          <w:noProof/>
        </w:rPr>
        <w:t>Ending Terrorism : Lessons for Defeating Al-Qaeda</w:t>
      </w:r>
      <w:r>
        <w:rPr>
          <w:noProof/>
        </w:rPr>
        <w:t>.</w:t>
      </w:r>
      <w:r>
        <w:fldChar w:fldCharType="end"/>
      </w:r>
    </w:p>
  </w:footnote>
  <w:footnote w:id="541">
    <w:p w14:paraId="322A375B" w14:textId="04392169"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&lt;EndNote&gt;&lt;Cite&gt;&lt;Author&gt;Sageman&lt;/Author&gt;&lt;Year&gt;2011&lt;/Year&gt;&lt;RecNum&gt;151&lt;/RecNum&gt;&lt;DisplayText&gt;Sageman, &amp;quot;Ripples in the Waves: Fantasies and Fashions.&amp;quot;&lt;/DisplayText&gt;&lt;record&gt;&lt;rec-number&gt;151&lt;/rec-number&gt;&lt;foreign-keys&gt;&lt;key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Sageman, "Ripples in the Waves: Fantasies and Fashions."</w:t>
      </w:r>
      <w:r>
        <w:fldChar w:fldCharType="end"/>
      </w:r>
    </w:p>
  </w:footnote>
  <w:footnote w:id="542">
    <w:p w14:paraId="189A5C67" w14:textId="00B1C817" w:rsidR="007A04F6" w:rsidRDefault="007A04F6">
      <w:pPr>
        <w:pStyle w:val="FootnoteText"/>
      </w:pPr>
      <w:r>
        <w:rPr>
          <w:rStyle w:val="FootnoteReference"/>
        </w:rPr>
        <w:footnoteRef/>
      </w:r>
      <w:r>
        <w:t xml:space="preserve"> </w:t>
      </w:r>
      <w:r>
        <w:fldChar w:fldCharType="begin"/>
      </w:r>
      <w:r>
        <w:instrText xml:space="preserve"> ADDIN EN.CITE &lt;EndNote&gt;&lt;Cite&gt;&lt;Author&gt;Moghadam&lt;/Author&gt;&lt;Year&gt;2012&lt;/Year&gt;&lt;RecNum&gt;228&lt;/RecNum&gt;&lt;DisplayText&gt;Moghadam, &amp;quot;Failure and Disengagement in the Red Army Faction.&amp;quot;&lt;/DisplayText&gt;&lt;record&gt;&lt;rec-number&gt;228&lt;/rec-number&gt;&lt;foreign-keys&gt;&lt;key app="EN" db-id="s0ftft29jf2psaezx93xwz5s00fwpa9avrwv"&gt;228&lt;/key&gt;&lt;/foreign-keys&gt;&lt;ref-type name="Journal Article"&gt;17&lt;/ref-type&gt;&lt;contributors&gt;&lt;authors&gt;&lt;author&gt;Moghadam, Assaf&lt;/author&gt;&lt;/authors&gt;&lt;/contributors&gt;&lt;titles&gt;&lt;title&gt;Failure and Disengagement in the Red Army Faction&lt;/title&gt;&lt;secondary-title&gt;Studies in Conflict &amp;amp; Terrorism&lt;/secondary-title&gt;&lt;/titles&gt;&lt;pages&gt;pp. 156-181&lt;/pages&gt;&lt;volume&gt;35 (2)&lt;/volume&gt;&lt;dates&gt;&lt;year&gt;2012&lt;/year&gt;&lt;/dates&gt;&lt;urls&gt;&lt;/urls&gt;&lt;/record&gt;&lt;/Cite&gt;&lt;/EndNote&gt;</w:instrText>
      </w:r>
      <w:r>
        <w:fldChar w:fldCharType="separate"/>
      </w:r>
      <w:r>
        <w:rPr>
          <w:noProof/>
        </w:rPr>
        <w:t>Moghadam, "Failure and Disengagement in the Red Army Faction."</w:t>
      </w:r>
      <w:r>
        <w:fldChar w:fldCharType="end"/>
      </w:r>
    </w:p>
  </w:footnote>
  <w:footnote w:id="543">
    <w:p w14:paraId="74D793B0" w14:textId="0B3E4C51"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544">
    <w:p w14:paraId="0D49B097" w14:textId="134CAAEE"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545">
    <w:p w14:paraId="41698AA6" w14:textId="56FFC192" w:rsidR="007A04F6" w:rsidRDefault="007A04F6">
      <w:pPr>
        <w:pStyle w:val="FootnoteText"/>
      </w:pPr>
      <w:r>
        <w:rPr>
          <w:rStyle w:val="FootnoteReference"/>
        </w:rPr>
        <w:footnoteRef/>
      </w:r>
      <w:r>
        <w:t xml:space="preserve"> </w:t>
      </w:r>
      <w:r>
        <w:fldChar w:fldCharType="begin"/>
      </w:r>
      <w:r>
        <w:instrText xml:space="preserve"> ADDIN EN.CITE &lt;EndNote&gt;&lt;Cite&gt;&lt;Author&gt;Rapoport&lt;/Author&gt;&lt;Year&gt;2004&lt;/Year&gt;&lt;RecNum&gt;142&lt;/RecNum&gt;&lt;DisplayText&gt;Rapoport, &amp;quot;The Four Waves of Modern Terrorism.&amp;quot;&lt;/DisplayText&gt;&lt;record&gt;&lt;rec-number&gt;142&lt;/rec-number&gt;&lt;foreign-keys&gt;&lt;key app="EN" db-id="s0ftft29jf2psaezx93xwz5s00fwpa9avrwv"&gt;142&lt;/key&gt;&lt;/foreign-keys&gt;&lt;ref-type name="Book Section"&gt;5&lt;/ref-type&gt;&lt;contributors&gt;&lt;authors&gt;&lt;author&gt;Rapoport, David&lt;/author&gt;&lt;/authors&gt;&lt;secondary-authors&gt;&lt;author&gt;Cronin, Audrey Kurth&lt;/author&gt;&lt;author&gt;Ludes, James&lt;/author&gt;&lt;/secondary-authors&gt;&lt;/contributors&gt;&lt;titles&gt;&lt;title&gt;The Four Waves of Modern Terrorism&lt;/title&gt;&lt;secondary-title&gt;Attacking Terrorism: Elements of a Grand Strategy&lt;/secondary-title&gt;&lt;/titles&gt;&lt;dates&gt;&lt;year&gt;2004&lt;/year&gt;&lt;/dates&gt;&lt;pub-location&gt;Washington&lt;/pub-location&gt;&lt;publisher&gt;Georgetown University Press&lt;/publisher&gt;&lt;urls&gt;&lt;/urls&gt;&lt;/record&gt;&lt;/Cite&gt;&lt;/EndNote&gt;</w:instrText>
      </w:r>
      <w:r>
        <w:fldChar w:fldCharType="separate"/>
      </w:r>
      <w:r>
        <w:rPr>
          <w:noProof/>
        </w:rPr>
        <w:t>Rapoport, "The Four Waves of Modern Terrorism."</w:t>
      </w:r>
      <w:r>
        <w:fldChar w:fldCharType="end"/>
      </w:r>
      <w:r>
        <w:t xml:space="preserve"> </w:t>
      </w:r>
      <w:r>
        <w:fldChar w:fldCharType="begin"/>
      </w:r>
      <w:r>
        <w:instrText xml:space="preserve"> ADDIN EN.CITE &lt;EndNote&gt;&lt;Cite&gt;&lt;Author&gt;Sageman&lt;/Author&gt;&lt;Year&gt;2011&lt;/Year&gt;&lt;RecNum&gt;151&lt;/RecNum&gt;&lt;DisplayText&gt;Sageman, &amp;quot;Ripples in the Waves: Fantasies and Fashions.&amp;quot;&lt;/DisplayText&gt;&lt;record&gt;&lt;rec-number&gt;151&lt;/rec-number&gt;&lt;foreign-keys&gt;&lt;key app="EN" db-id="s0ftft29jf2psaezx93xwz5s00fwpa9avrwv"&gt;151&lt;/key&gt;&lt;/foreign-keys&gt;&lt;ref-type name="Book Section"&gt;5&lt;/ref-type&gt;&lt;contributors&gt;&lt;authors&gt;&lt;author&gt;Sageman, Mark&lt;/author&gt;&lt;/authors&gt;&lt;secondary-authors&gt;&lt;author&gt;Rosenfeld, J&lt;/author&gt;&lt;/secondary-authors&gt;&lt;/contributors&gt;&lt;titles&gt;&lt;title&gt;Ripples in the waves: fantasies and fashions&lt;/title&gt;&lt;secondary-title&gt;Terrorism, Identity and Legitimacy: The Four Waves theory and political violence&lt;/secondary-title&gt;&lt;/titles&gt;&lt;dates&gt;&lt;year&gt;2011&lt;/year&gt;&lt;/dates&gt;&lt;pub-location&gt;Oxon&lt;/pub-location&gt;&lt;publisher&gt;Routledge&lt;/publisher&gt;&lt;urls&gt;&lt;/urls&gt;&lt;/record&gt;&lt;/Cite&gt;&lt;/EndNote&gt;</w:instrText>
      </w:r>
      <w:r>
        <w:fldChar w:fldCharType="separate"/>
      </w:r>
      <w:r>
        <w:rPr>
          <w:noProof/>
        </w:rPr>
        <w:t>Sageman, "Ripples in the Waves: Fantasies and Fashions."</w:t>
      </w:r>
      <w:r>
        <w:fldChar w:fldCharType="end"/>
      </w:r>
    </w:p>
  </w:footnote>
  <w:footnote w:id="546">
    <w:p w14:paraId="5F0848D3" w14:textId="5DED0B9B" w:rsidR="007A04F6" w:rsidRDefault="007A04F6">
      <w:pPr>
        <w:pStyle w:val="FootnoteText"/>
      </w:pPr>
      <w:r>
        <w:rPr>
          <w:rStyle w:val="FootnoteReference"/>
        </w:rPr>
        <w:footnoteRef/>
      </w:r>
      <w:r>
        <w:t xml:space="preserve"> </w:t>
      </w:r>
      <w:r>
        <w:fldChar w:fldCharType="begin"/>
      </w:r>
      <w:r>
        <w:instrText xml:space="preserve"> ADDIN EN.CITE &lt;EndNote&gt;&lt;Cite&gt;&lt;Author&gt;McEvoy&lt;/Author&gt;&lt;Year&gt;2000&lt;/Year&gt;&lt;RecNum&gt;233&lt;/RecNum&gt;&lt;DisplayText&gt;McEvoy, &amp;quot;Communities and Peace: Catholic Youth in Northern Ireland.&amp;quot;&lt;/DisplayText&gt;&lt;record&gt;&lt;rec-number&gt;233&lt;/rec-number&gt;&lt;foreign-keys&gt;&lt;key app="EN" db-id="s0ftft29jf2psaezx93xwz5s00fwpa9avrwv"&gt;233&lt;/key&gt;&lt;/foreign-keys&gt;&lt;ref-type name="Journal Article"&gt;17&lt;/ref-type&gt;&lt;contributors&gt;&lt;authors&gt;&lt;author&gt;McEvoy, Siobhan&lt;/author&gt;&lt;/authors&gt;&lt;/contributors&gt;&lt;titles&gt;&lt;title&gt;Communities and Peace: Catholic Youth in Northern Ireland&lt;/title&gt;&lt;secondary-title&gt;Journal of Peace Research&lt;/secondary-title&gt;&lt;/titles&gt;&lt;pages&gt;pp. 85-103&lt;/pages&gt;&lt;volume&gt;37 (1)&lt;/volume&gt;&lt;dates&gt;&lt;year&gt;2000&lt;/year&gt;&lt;/dates&gt;&lt;urls&gt;&lt;/urls&gt;&lt;/record&gt;&lt;/Cite&gt;&lt;/EndNote&gt;</w:instrText>
      </w:r>
      <w:r>
        <w:fldChar w:fldCharType="separate"/>
      </w:r>
      <w:r>
        <w:rPr>
          <w:noProof/>
        </w:rPr>
        <w:t>McEvoy, "Communities and Peace: Catholic Youth in Northern Ireland."</w:t>
      </w:r>
      <w:r>
        <w:fldChar w:fldCharType="end"/>
      </w:r>
    </w:p>
  </w:footnote>
  <w:footnote w:id="547">
    <w:p w14:paraId="5BDEBACA" w14:textId="02614CD4"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&lt;EndNote&gt;&lt;Cite&gt;&lt;Author&gt;Horgan&lt;/Author&gt;&lt;Year&gt;2011&lt;/Year&gt;&lt;RecNum&gt;260&lt;/RecNum&gt;&lt;DisplayText&gt;Horgan and Gill, &amp;quot;Who Are the Dissidents? An Introduction to the Icst Violent Dissident Republican Project.&amp;quot;&lt;/DisplayText&gt;&lt;record&gt;&lt;rec-number&gt;260&lt;/rec-number&gt;&lt;foreign-keys&gt;&lt;key app="EN" db-id="s0ftft29jf2psaezx93xwz5s00fwpa9avrwv"&gt;260&lt;/key&gt;&lt;/foreign-keys&gt;&lt;ref-type name="Book Section"&gt;5&lt;/ref-type&gt;&lt;contributors&gt;&lt;authors&gt;&lt;author&gt;Horgan, John&lt;/author&gt;&lt;author&gt;Gill, Paul&lt;/author&gt;&lt;/authors&gt;&lt;secondary-authors&gt;&lt;author&gt;Currie, P.M.&lt;/author&gt;&lt;author&gt;Taylor, Max&lt;/author&gt;&lt;/secondary-authors&gt;&lt;/contributors&gt;&lt;titles&gt;&lt;title&gt;Who Are the Dissidents? An Introduction to the ICST Violent Dissident Republican Project&lt;/title&gt;&lt;secondary-title&gt;Dissident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Horgan and Gill, "Who Are the Dissidents? An Introduction to the Icst Violent Dissident Republican Project."</w:t>
      </w:r>
      <w:r>
        <w:fldChar w:fldCharType="end"/>
      </w:r>
    </w:p>
  </w:footnote>
  <w:footnote w:id="548">
    <w:p w14:paraId="0AB0C60E" w14:textId="03926052" w:rsidR="007A04F6" w:rsidRDefault="007A04F6">
      <w:pPr>
        <w:pStyle w:val="FootnoteText"/>
      </w:pPr>
      <w:r>
        <w:rPr>
          <w:rStyle w:val="FootnoteReference"/>
        </w:rPr>
        <w:footnoteRef/>
      </w:r>
      <w:r>
        <w:t xml:space="preserve"> </w:t>
      </w:r>
      <w:r>
        <w:fldChar w:fldCharType="begin"/>
      </w:r>
      <w:r>
        <w:instrText xml:space="preserve"> ADDIN EN.CITE &lt;EndNote&gt;&lt;Cite&gt;&lt;Author&gt;News&lt;/Author&gt;&lt;Year&gt;19th December 2013&lt;/Year&gt;&lt;RecNum&gt;289&lt;/RecNum&gt;&lt;DisplayText&gt;BBC News, &amp;quot;Three Arrests in Dissident Republican Investigation,&amp;quot;  http://www.bbc.co.uk/news/uk-northern-ireland-25449442.&lt;/DisplayText&gt;&lt;record&gt;&lt;rec-number&gt;289&lt;/rec-number&gt;&lt;foreign-keys&gt;&lt;key app="EN" db-id="s0ftft29jf2psaezx93xwz5s00fwpa9avrwv"&gt;289&lt;/key&gt;&lt;/foreign-keys&gt;&lt;ref-type name="Web Page"&gt;12&lt;/ref-type&gt;&lt;contributors&gt;&lt;authors&gt;&lt;author&gt;BBC News&lt;/author&gt;&lt;/authors&gt;&lt;/contributors&gt;&lt;titles&gt;&lt;title&gt;Three arrests in dissident republican investigation&lt;/title&gt;&lt;/titles&gt;&lt;number&gt;[Accessed] 19/12/2013&lt;/number&gt;&lt;dates&gt;&lt;year&gt;19th December 2013&lt;/year&gt;&lt;/dates&gt;&lt;pub-location&gt;http://www.bbc.co.uk/news/uk-northern-ireland-foyle-west-27127981&lt;/pub-location&gt;&lt;urls&gt;&lt;related-urls&gt;&lt;url&gt;http://www.bbc.co.uk/news/uk-northern-ireland-25449442&lt;/url&gt;&lt;/related-urls&gt;&lt;/urls&gt;&lt;/record&gt;&lt;/Cite&gt;&lt;/EndNote&gt;</w:instrText>
      </w:r>
      <w:r>
        <w:fldChar w:fldCharType="separate"/>
      </w:r>
      <w:r>
        <w:rPr>
          <w:noProof/>
        </w:rPr>
        <w:t>BBC News, "Three Arrests in Dissident Republican Investigation,"  http://www.bbc.co.uk/news/uk-northern-ireland-25449442.</w:t>
      </w:r>
      <w:r>
        <w:fldChar w:fldCharType="end"/>
      </w:r>
    </w:p>
  </w:footnote>
  <w:footnote w:id="549">
    <w:p w14:paraId="3AAAC56D" w14:textId="77777777" w:rsidR="007A04F6" w:rsidRDefault="007A04F6" w:rsidP="00655AD6">
      <w:pPr>
        <w:pStyle w:val="FootnoteText"/>
      </w:pPr>
      <w:r>
        <w:rPr>
          <w:rStyle w:val="FootnoteReference"/>
        </w:rPr>
        <w:footnoteRef/>
      </w:r>
      <w:r>
        <w:t xml:space="preserve"> Waldman’s concept of the ‘radical milieu’ and the ‘waves of terrorism theory’ discuss structural factors that condition the attitudes and behaviour of the next generation. However, the thesis does not build on these contributions because they tend to be structurally deterministic and it is out of the scope of the research to provide the conceptual clarity that could link structure and agency. Nevertheless, as the thesis has been informed by Critical Realism’s approach to the structure-agency debate, it implicitly makes the case for combining the macro level that Rapoport discusses with the micro and meso level which is more relevant to the study of de-radicalisation.</w:t>
      </w:r>
    </w:p>
  </w:footnote>
  <w:footnote w:id="550">
    <w:p w14:paraId="4464C53B" w14:textId="24A5C1B3"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&lt;EndNote&gt;&lt;Cite&gt;&lt;Author&gt;Morrison&lt;/Author&gt;&lt;Year&gt;2011&lt;/Year&gt;&lt;RecNum&gt;255&lt;/RecNum&gt;&lt;DisplayText&gt;Morrison, &amp;quot;Why Do People Become Dissident Republicans?.&amp;quot;&lt;/DisplayText&gt;&lt;record&gt;&lt;rec-number&gt;255&lt;/rec-number&gt;&lt;foreign-keys&gt;&lt;key app="EN" db-id="s0ftft29jf2psaezx93xwz5s00fwpa9avrwv"&gt;255&lt;/key&gt;&lt;/foreign-keys&gt;&lt;ref-type name="Book Section"&gt;5&lt;/ref-type&gt;&lt;contributors&gt;&lt;authors&gt;&lt;author&gt;Morrison, John&lt;/author&gt;&lt;/authors&gt;&lt;secondary-authors&gt;&lt;author&gt;Currie, P.M.&lt;/author&gt;&lt;author&gt;Taylor, Max&lt;/author&gt;&lt;/secondary-authors&gt;&lt;/contributors&gt;&lt;titles&gt;&lt;title&gt;Why do People Become Dissident Republicans?&lt;/title&gt;&lt;secondary-title&gt;Dissident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Morrison, "Why Do People Become Dissident Republicans?."</w:t>
      </w:r>
      <w:r>
        <w:fldChar w:fldCharType="end"/>
      </w:r>
    </w:p>
  </w:footnote>
  <w:footnote w:id="551">
    <w:p w14:paraId="68EF5215" w14:textId="77777777" w:rsidR="007A04F6" w:rsidRDefault="007A04F6" w:rsidP="00655AD6">
      <w:pPr>
        <w:pStyle w:val="FootnoteText"/>
      </w:pPr>
      <w:r>
        <w:rPr>
          <w:rStyle w:val="FootnoteReference"/>
        </w:rPr>
        <w:footnoteRef/>
      </w:r>
      <w:r>
        <w:t xml:space="preserve"> In a discussion with a Sinn Fein official, they stated their opposition to the term ‘de-radicalisation’ as Sinn Fein sought to radicalise young people. Nevertheless, the important factor is not whether Sinn Fein can radicalise young people, but if young people view Sinn Fein as being radical and attractive for them to join.</w:t>
      </w:r>
    </w:p>
  </w:footnote>
  <w:footnote w:id="552">
    <w:p w14:paraId="402CCDD0" w14:textId="0DF3B5FB" w:rsidR="007A04F6" w:rsidRDefault="007A04F6">
      <w:pPr>
        <w:pStyle w:val="FootnoteText"/>
      </w:pPr>
      <w:r>
        <w:rPr>
          <w:rStyle w:val="FootnoteReference"/>
        </w:rPr>
        <w:footnoteRef/>
      </w:r>
      <w:r>
        <w:t xml:space="preserve"> See </w:t>
      </w:r>
      <w:r>
        <w:fldChar w:fldCharType="begin"/>
      </w:r>
      <w:r>
        <w:instrText xml:space="preserve"> ADDIN EN.CITE &lt;EndNote&gt;&lt;Cite&gt;&lt;Author&gt;Schmid&lt;/Author&gt;&lt;Year&gt;2013&lt;/Year&gt;&lt;RecNum&gt;222&lt;/RecNum&gt;&lt;DisplayText&gt;Schmid, &amp;quot;Radicalisation, De-Radicalisation, Counter-Radicalisation: A Conceptual Discussion and Literature Review.&amp;quot;&lt;/DisplayText&gt;&lt;record&gt;&lt;rec-number&gt;222&lt;/rec-number&gt;&lt;foreign-keys&gt;&lt;key app="EN" db-id="s0ftft29jf2psaezx93xwz5s00fwpa9avrwv"&gt;222&lt;/key&gt;&lt;/foreign-keys&gt;&lt;ref-type name="Journal Article"&gt;17&lt;/ref-type&gt;&lt;contributors&gt;&lt;authors&gt;&lt;author&gt;Schmid, Alex P.&lt;/author&gt;&lt;/authors&gt;&lt;/contributors&gt;&lt;titles&gt;&lt;title&gt;Radicalisation, De-Radicalisation, Counter-Radicalisation: A Conceptual Discussion and Literature Review&lt;/title&gt;&lt;/titles&gt;&lt;dates&gt;&lt;year&gt;2013&lt;/year&gt;&lt;/dates&gt;&lt;pub-location&gt;the Hague&lt;/pub-location&gt;&lt;publisher&gt;International Centre for Counter-Terrorism&lt;/publisher&gt;&lt;urls&gt;&lt;/urls&gt;&lt;/record&gt;&lt;/Cite&gt;&lt;/EndNote&gt;</w:instrText>
      </w:r>
      <w:r>
        <w:fldChar w:fldCharType="separate"/>
      </w:r>
      <w:r>
        <w:rPr>
          <w:noProof/>
        </w:rPr>
        <w:t>Schmid, "Radicalisation, De-Radicalisation, Counter-Radicalisation: A Conceptual Discussion and Literature Review."</w:t>
      </w:r>
      <w:r>
        <w:fldChar w:fldCharType="end"/>
      </w:r>
    </w:p>
  </w:footnote>
  <w:footnote w:id="553">
    <w:p w14:paraId="11E08AC5" w14:textId="77777777" w:rsidR="007A04F6" w:rsidRDefault="007A04F6" w:rsidP="00655AD6">
      <w:pPr>
        <w:pStyle w:val="FootnoteText"/>
      </w:pPr>
      <w:r>
        <w:rPr>
          <w:rStyle w:val="FootnoteReference"/>
        </w:rPr>
        <w:footnoteRef/>
      </w:r>
      <w:r>
        <w:t xml:space="preserve"> See the discussion in Chapter Two</w:t>
      </w:r>
    </w:p>
  </w:footnote>
  <w:footnote w:id="554">
    <w:p w14:paraId="6E3851C0" w14:textId="1C56DE06"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555">
    <w:p w14:paraId="01A516B5" w14:textId="77777777" w:rsidR="007A04F6" w:rsidRDefault="007A04F6" w:rsidP="00655AD6">
      <w:pPr>
        <w:pStyle w:val="FootnoteText"/>
      </w:pPr>
      <w:r>
        <w:rPr>
          <w:rStyle w:val="FootnoteReference"/>
        </w:rPr>
        <w:footnoteRef/>
      </w:r>
      <w:r>
        <w:t xml:space="preserve"> Interview, Former INLA Member, Belfast, 26th August 2013</w:t>
      </w:r>
    </w:p>
  </w:footnote>
  <w:footnote w:id="556">
    <w:p w14:paraId="3564DD38" w14:textId="77777777" w:rsidR="007A04F6" w:rsidRDefault="007A04F6" w:rsidP="00655AD6">
      <w:pPr>
        <w:pStyle w:val="FootnoteText"/>
      </w:pPr>
      <w:r>
        <w:rPr>
          <w:rStyle w:val="FootnoteReference"/>
        </w:rPr>
        <w:footnoteRef/>
      </w:r>
      <w:r>
        <w:t xml:space="preserve"> Interview, Community Worker SA, Belfast, 2nd September 2013; Interview, Former Provisional IRA Member 1, Belfast, 22nd August 2013</w:t>
      </w:r>
    </w:p>
  </w:footnote>
  <w:footnote w:id="557">
    <w:p w14:paraId="79878169" w14:textId="5F9EFBE8"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&lt;EndNote&gt;&lt;Cite&gt;&lt;Author&gt;Harland&lt;/Author&gt;&lt;Year&gt;2011&lt;/Year&gt;&lt;RecNum&gt;230&lt;/RecNum&gt;&lt;DisplayText&gt;Harland, &amp;quot;Violent Youth Culture in Northern Ireland: Young Men, Violence, and the Challenges of Peacebuilding.&amp;quot;&lt;/DisplayText&gt;&lt;record&gt;&lt;rec-number&gt;230&lt;/rec-number&gt;&lt;foreign-keys&gt;&lt;key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Harland, "Violent Youth Culture in Northern Ireland: Young Men, Violence, and the Challenges of Peacebuilding."</w:t>
      </w:r>
      <w:r>
        <w:fldChar w:fldCharType="end"/>
      </w:r>
    </w:p>
  </w:footnote>
  <w:footnote w:id="558">
    <w:p w14:paraId="5E7C9D2B" w14:textId="31C7A70B" w:rsidR="007A04F6" w:rsidRDefault="007A04F6">
      <w:pPr>
        <w:pStyle w:val="FootnoteText"/>
      </w:pPr>
      <w:r>
        <w:rPr>
          <w:rStyle w:val="FootnoteReference"/>
        </w:rPr>
        <w:footnoteRef/>
      </w:r>
      <w:r>
        <w:t xml:space="preserve"> Interview, Academic/Project Manager, Belfast, 2nd September 2013 pp. 416</w:t>
      </w:r>
    </w:p>
  </w:footnote>
  <w:footnote w:id="559">
    <w:p w14:paraId="6DA6568E" w14:textId="51D9F399"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&lt;EndNote&gt;&lt;Cite&gt;&lt;Author&gt;Harland&lt;/Author&gt;&lt;Year&gt;2011&lt;/Year&gt;&lt;RecNum&gt;230&lt;/RecNum&gt;&lt;DisplayText&gt;Harland, &amp;quot;Violent Youth Culture in Northern Ireland: Young Men, Violence, and the Challenges of Peacebuilding.&amp;quot;&lt;/DisplayText&gt;&lt;record&gt;&lt;rec-number&gt;230&lt;/rec-number&gt;&lt;foreign-keys&gt;&lt;key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Harland, "Violent Youth Culture in Northern Ireland: Young Men, Violence, and the Challenges of Peacebuilding."</w:t>
      </w:r>
      <w:r>
        <w:fldChar w:fldCharType="end"/>
      </w:r>
    </w:p>
  </w:footnote>
  <w:footnote w:id="560">
    <w:p w14:paraId="215380EC" w14:textId="498CFDAA"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&lt;EndNote&gt;&lt;Cite&gt;&lt;Author&gt;Harland&lt;/Author&gt;&lt;Year&gt;2011&lt;/Year&gt;&lt;RecNum&gt;230&lt;/RecNum&gt;&lt;DisplayText&gt;Ibid.&lt;/DisplayText&gt;&lt;record&gt;&lt;rec-number&gt;230&lt;/rec-number&gt;&lt;foreign-keys&gt;&lt;key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Ibid.</w:t>
      </w:r>
      <w:r>
        <w:fldChar w:fldCharType="end"/>
      </w:r>
    </w:p>
  </w:footnote>
  <w:footnote w:id="561">
    <w:p w14:paraId="1B85909D" w14:textId="0596BC45"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&lt;EndNote&gt;&lt;Cite&gt;&lt;Author&gt;Hall&lt;/Author&gt;&lt;Year&gt;2009&lt;/Year&gt;&lt;RecNum&gt;262&lt;/RecNum&gt;&lt;DisplayText&gt;Michael Hall, &amp;quot;Preventing a Return to Conflict: A Discussion by Ex-Combatants,&amp;quot; (Netownabbey: Island Publications, 2009).&lt;/DisplayText&gt;&lt;record&gt;&lt;rec-number&gt;262&lt;/rec-number&gt;&lt;foreign-keys&gt;&lt;key app="EN" db-id="s0ftft29jf2psaezx93xwz5s00fwpa9avrwv"&gt;262&lt;/key&gt;&lt;/foreign-keys&gt;&lt;ref-type name="Generic"&gt;13&lt;/ref-type&gt;&lt;contributors&gt;&lt;authors&gt;&lt;author&gt;Hall, Michael&lt;/author&gt;&lt;/authors&gt;&lt;/contributors&gt;&lt;titles&gt;&lt;title&gt;Preventing a return to conflict: A discussion by ex-combatants&lt;/title&gt;&lt;/titles&gt;&lt;dates&gt;&lt;year&gt;2009&lt;/year&gt;&lt;/dates&gt;&lt;pub-location&gt;Netownabbey&lt;/pub-location&gt;&lt;publisher&gt;Island Publications&lt;/publisher&gt;&lt;urls&gt;&lt;/urls&gt;&lt;/record&gt;&lt;/Cite&gt;&lt;/EndNote&gt;</w:instrText>
      </w:r>
      <w:r>
        <w:fldChar w:fldCharType="separate"/>
      </w:r>
      <w:r>
        <w:rPr>
          <w:noProof/>
        </w:rPr>
        <w:t>Michael Hall, "Preventing a Return to Conflict: A Discussion by Ex-Combatants," (Netownabbey: Island Publications, 2009).</w:t>
      </w:r>
      <w:r>
        <w:fldChar w:fldCharType="end"/>
      </w:r>
      <w:r>
        <w:t xml:space="preserve"> pp. 27 </w:t>
      </w:r>
    </w:p>
  </w:footnote>
  <w:footnote w:id="562">
    <w:p w14:paraId="6E099752" w14:textId="77777777" w:rsidR="007A04F6" w:rsidRDefault="007A04F6" w:rsidP="00655AD6">
      <w:pPr>
        <w:pStyle w:val="FootnoteText"/>
      </w:pPr>
      <w:r>
        <w:rPr>
          <w:rStyle w:val="FootnoteReference"/>
        </w:rPr>
        <w:footnoteRef/>
      </w:r>
      <w:r>
        <w:t xml:space="preserve"> Interview, Former INLA Member, Belfast, 26th August 2013</w:t>
      </w:r>
    </w:p>
  </w:footnote>
  <w:footnote w:id="563">
    <w:p w14:paraId="00FF1F27" w14:textId="77777777" w:rsidR="007A04F6" w:rsidRDefault="007A04F6" w:rsidP="00655AD6">
      <w:pPr>
        <w:pStyle w:val="FootnoteText"/>
      </w:pPr>
      <w:r>
        <w:rPr>
          <w:rStyle w:val="FootnoteReference"/>
        </w:rPr>
        <w:footnoteRef/>
      </w:r>
      <w:r>
        <w:t xml:space="preserve"> Thus, there are indications that back up Waldmann’s concept of the ‘radical milieu’. While it may be a pedantic issue of definitions, de-radicalisation, rather than counter-radicalisation strategies, would be more relevant in this scenario. While the thesis does not have the scope to explore this issue further, there seems to be a case for arguing that there is a significant difference. Whereas counter-radicalisation refers to preventing someone from becoming radical through intervention, the process of de-radicalisation requires attitudes which have already been developed to be challenged and ‘de-programmed’. In cases where there is a ‘radical milieu’ present, especially among the younger generation, counter-terrorism efforts may require a social de-radicalisation strategy then. </w:t>
      </w:r>
    </w:p>
  </w:footnote>
  <w:footnote w:id="564">
    <w:p w14:paraId="565AC01B" w14:textId="0BDC8A24"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&lt;EndNote&gt;&lt;Cite&gt;&lt;Author&gt;Hall&lt;/Author&gt;&lt;Year&gt;2009&lt;/Year&gt;&lt;RecNum&gt;262&lt;/RecNum&gt;&lt;DisplayText&gt;Hall, &amp;quot;Preventing a Return to Conflict: A Discussion by Ex-Combatants.&amp;quot;&lt;/DisplayText&gt;&lt;record&gt;&lt;rec-number&gt;262&lt;/rec-number&gt;&lt;foreign-keys&gt;&lt;key app="EN" db-id="s0ftft29jf2psaezx93xwz5s00fwpa9avrwv"&gt;262&lt;/key&gt;&lt;/foreign-keys&gt;&lt;ref-type name="Generic"&gt;13&lt;/ref-type&gt;&lt;contributors&gt;&lt;authors&gt;&lt;author&gt;Hall, Michael&lt;/author&gt;&lt;/authors&gt;&lt;/contributors&gt;&lt;titles&gt;&lt;title&gt;Preventing a return to conflict: A discussion by ex-combatants&lt;/title&gt;&lt;/titles&gt;&lt;dates&gt;&lt;year&gt;2009&lt;/year&gt;&lt;/dates&gt;&lt;pub-location&gt;Netownabbey&lt;/pub-location&gt;&lt;publisher&gt;Island Publications&lt;/publisher&gt;&lt;urls&gt;&lt;/urls&gt;&lt;/record&gt;&lt;/Cite&gt;&lt;/EndNote&gt;</w:instrText>
      </w:r>
      <w:r>
        <w:fldChar w:fldCharType="separate"/>
      </w:r>
      <w:r>
        <w:rPr>
          <w:noProof/>
        </w:rPr>
        <w:t>Hall, "Preventing a Return to Conflict: A Discussion by Ex-Combatants."</w:t>
      </w:r>
      <w:r>
        <w:fldChar w:fldCharType="end"/>
      </w:r>
      <w:r>
        <w:t xml:space="preserve"> pp. 28</w:t>
      </w:r>
    </w:p>
  </w:footnote>
  <w:footnote w:id="565">
    <w:p w14:paraId="7288BAB3" w14:textId="7D9EA64E"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&lt;EndNote&gt;&lt;Cite&gt;&lt;Author&gt;Hall&lt;/Author&gt;&lt;Year&gt;2009&lt;/Year&gt;&lt;RecNum&gt;262&lt;/RecNum&gt;&lt;DisplayText&gt;Ibid.&lt;/DisplayText&gt;&lt;record&gt;&lt;rec-number&gt;262&lt;/rec-number&gt;&lt;foreign-keys&gt;&lt;key app="EN" db-id="s0ftft29jf2psaezx93xwz5s00fwpa9avrwv"&gt;262&lt;/key&gt;&lt;/foreign-keys&gt;&lt;ref-type name="Generic"&gt;13&lt;/ref-type&gt;&lt;contributors&gt;&lt;authors&gt;&lt;author&gt;Hall, Michael&lt;/author&gt;&lt;/authors&gt;&lt;/contributors&gt;&lt;titles&gt;&lt;title&gt;Preventing a return to conflict: A discussion by ex-combatants&lt;/title&gt;&lt;/titles&gt;&lt;dates&gt;&lt;year&gt;2009&lt;/year&gt;&lt;/dates&gt;&lt;pub-location&gt;Netownabbey&lt;/pub-location&gt;&lt;publisher&gt;Island Publications&lt;/publisher&gt;&lt;urls&gt;&lt;/urls&gt;&lt;/record&gt;&lt;/Cite&gt;&lt;/EndNote&gt;</w:instrText>
      </w:r>
      <w:r>
        <w:fldChar w:fldCharType="separate"/>
      </w:r>
      <w:r>
        <w:rPr>
          <w:noProof/>
        </w:rPr>
        <w:t>Ibid.</w:t>
      </w:r>
      <w:r>
        <w:fldChar w:fldCharType="end"/>
      </w:r>
      <w:r>
        <w:t xml:space="preserve"> pp. 28</w:t>
      </w:r>
    </w:p>
  </w:footnote>
  <w:footnote w:id="566">
    <w:p w14:paraId="026F6A1B" w14:textId="77777777" w:rsidR="007A04F6" w:rsidRDefault="007A04F6" w:rsidP="00655AD6">
      <w:pPr>
        <w:pStyle w:val="FootnoteText"/>
      </w:pPr>
      <w:r>
        <w:rPr>
          <w:rStyle w:val="FootnoteReference"/>
        </w:rPr>
        <w:footnoteRef/>
      </w:r>
      <w:r>
        <w:t xml:space="preserve"> A problem with mixing primary and secondary source interviews that have both been anonymised is it is unclear to what extent there is overlap. There are indications that, in the quote referenced, this is the same interviewee, however there is no way to confirm this. </w:t>
      </w:r>
    </w:p>
  </w:footnote>
  <w:footnote w:id="567">
    <w:p w14:paraId="074631B4" w14:textId="77777777" w:rsidR="007A04F6" w:rsidRDefault="007A04F6" w:rsidP="00655AD6">
      <w:pPr>
        <w:pStyle w:val="FootnoteText"/>
      </w:pPr>
      <w:r>
        <w:rPr>
          <w:rStyle w:val="FootnoteReference"/>
        </w:rPr>
        <w:footnoteRef/>
      </w:r>
      <w:r>
        <w:t xml:space="preserve"> Interview, Former Provisional IRA Member 1, Belfast, 22nd August 2013</w:t>
      </w:r>
    </w:p>
  </w:footnote>
  <w:footnote w:id="568">
    <w:p w14:paraId="2AED7A18" w14:textId="77777777" w:rsidR="007A04F6" w:rsidRDefault="007A04F6" w:rsidP="00655AD6">
      <w:pPr>
        <w:pStyle w:val="FootnoteText"/>
      </w:pPr>
      <w:r>
        <w:rPr>
          <w:rStyle w:val="FootnoteReference"/>
        </w:rPr>
        <w:footnoteRef/>
      </w:r>
      <w:r>
        <w:t xml:space="preserve"> Interview, Community Worker SA, Belfast, 2nd September 2013</w:t>
      </w:r>
    </w:p>
  </w:footnote>
  <w:footnote w:id="569">
    <w:p w14:paraId="7371C1EC" w14:textId="7EECD7B1" w:rsidR="007A04F6" w:rsidRDefault="007A04F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&lt;EndNote&gt;&lt;Cite&gt;&lt;Author&gt;Harland&lt;/Author&gt;&lt;Year&gt;2011&lt;/Year&gt;&lt;RecNum&gt;230&lt;/RecNum&gt;&lt;DisplayText&gt;Harland, &amp;quot;Violent Youth Culture in Northern Ireland: Young Men, Violence, and the Challenges of Peacebuilding.&amp;quot;&lt;/DisplayText&gt;&lt;record&gt;&lt;rec-number&gt;230&lt;/rec-number&gt;&lt;foreign-keys&gt;&lt;key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Harland, "Violent Youth Culture in Northern Ireland: Young Men, Violence, and the Challenges of Peacebuilding."</w:t>
      </w:r>
      <w:r>
        <w:fldChar w:fldCharType="end"/>
      </w:r>
    </w:p>
  </w:footnote>
  <w:footnote w:id="570">
    <w:p w14:paraId="6E297C2C" w14:textId="30F6012B" w:rsidR="007A04F6" w:rsidRDefault="007A04F6">
      <w:pPr>
        <w:pStyle w:val="FootnoteText"/>
      </w:pPr>
      <w:r>
        <w:rPr>
          <w:rStyle w:val="FootnoteReference"/>
        </w:rPr>
        <w:footnoteRef/>
      </w:r>
      <w:r>
        <w:t xml:space="preserve"> </w:t>
      </w:r>
      <w:r>
        <w:fldChar w:fldCharType="begin"/>
      </w:r>
      <w:r>
        <w:instrText xml:space="preserve"> ADDIN EN.CITE &lt;EndNote&gt;&lt;Cite&gt;&lt;Author&gt;Horgan&lt;/Author&gt;&lt;Year&gt;2011&lt;/Year&gt;&lt;RecNum&gt;263&lt;/RecNum&gt;&lt;DisplayText&gt;John Horgan and John Morrison, &amp;quot;Here to Stay? The Rising Threat of Violent Dissident Republicanism in Northern Ireland,&amp;quot; &lt;style face="italic"&gt;Terrorism and Political Violence&lt;/style&gt; 23 (4)(2011).&lt;/DisplayText&gt;&lt;record&gt;&lt;rec-number&gt;263&lt;/rec-number&gt;&lt;foreign-keys&gt;&lt;key app="EN" db-id="s0ftft29jf2psaezx93xwz5s00fwpa9avrwv"&gt;263&lt;/key&gt;&lt;/foreign-keys&gt;&lt;ref-type name="Journal Article"&gt;17&lt;/ref-type&gt;&lt;contributors&gt;&lt;authors&gt;&lt;author&gt;Horgan, John&lt;/author&gt;&lt;author&gt;Morrison, John&lt;/author&gt;&lt;/authors&gt;&lt;/contributors&gt;&lt;titles&gt;&lt;title&gt;Here to Stay? The Rising Threat of Violent Dissident Republicanism in Northern Ireland&lt;/title&gt;&lt;secondary-title&gt;Terrorism and Political Violence&lt;/secondary-title&gt;&lt;/titles&gt;&lt;periodical&gt;&lt;full-title&gt;Terrorism and Political Violence&lt;/full-title&gt;&lt;/periodical&gt;&lt;pages&gt;642-669&lt;/pages&gt;&lt;volume&gt;23 (4)&lt;/volume&gt;&lt;dates&gt;&lt;year&gt;2011&lt;/year&gt;&lt;/dates&gt;&lt;urls&gt;&lt;/urls&gt;&lt;/record&gt;&lt;/Cite&gt;&lt;/EndNote&gt;</w:instrText>
      </w:r>
      <w:r>
        <w:fldChar w:fldCharType="separate"/>
      </w:r>
      <w:r>
        <w:rPr>
          <w:noProof/>
        </w:rPr>
        <w:t xml:space="preserve">John Horgan and John Morrison, "Here to Stay? The Rising Threat of Violent Dissident Republicanism in Northern Ireland," </w:t>
      </w:r>
      <w:r w:rsidRPr="003D17E7">
        <w:rPr>
          <w:i/>
          <w:noProof/>
        </w:rPr>
        <w:t>Terrorism and Political Violence</w:t>
      </w:r>
      <w:r>
        <w:rPr>
          <w:noProof/>
        </w:rPr>
        <w:t xml:space="preserve"> 23 (4)(2011).</w:t>
      </w:r>
      <w:r>
        <w:fldChar w:fldCharType="end"/>
      </w:r>
    </w:p>
  </w:footnote>
  <w:footnote w:id="571">
    <w:p w14:paraId="488D88C3" w14:textId="77777777" w:rsidR="007A04F6" w:rsidRDefault="007A04F6" w:rsidP="00655AD6">
      <w:pPr>
        <w:pStyle w:val="FootnoteText"/>
      </w:pPr>
      <w:r>
        <w:rPr>
          <w:rStyle w:val="FootnoteReference"/>
        </w:rPr>
        <w:footnoteRef/>
      </w:r>
      <w:r>
        <w:t xml:space="preserve"> </w:t>
      </w:r>
      <w:r w:rsidRPr="005075BE">
        <w:t>To repeat, Horgan and Braddock are sceptical as to whether individual participation in de-radicalisation programmes reduces the risk of recidivism. Silke argues that the differential recidivism rates are marginally different and that a change in attitudes is not necessary for militants to remain disengaged.</w:t>
      </w:r>
    </w:p>
  </w:footnote>
  <w:footnote w:id="572">
    <w:p w14:paraId="78C48684" w14:textId="0A6000C1" w:rsidR="007A04F6" w:rsidRDefault="007A04F6">
      <w:pPr>
        <w:pStyle w:val="FootnoteText"/>
      </w:pPr>
      <w:r>
        <w:rPr>
          <w:rStyle w:val="FootnoteReference"/>
        </w:rPr>
        <w:footnoteRef/>
      </w:r>
      <w:r>
        <w:t xml:space="preserve"> </w:t>
      </w:r>
      <w:r>
        <w:fldChar w:fldCharType="begin"/>
      </w:r>
      <w:r>
        <w:instrText xml:space="preserve"> ADDIN EN.CITE &lt;EndNote&gt;&lt;Cite&gt;&lt;Author&gt;Rabasa&lt;/Author&gt;&lt;Year&gt;2010&lt;/Year&gt;&lt;RecNum&gt;141&lt;/RecNum&gt;&lt;DisplayText&gt;Rabasa et al., &amp;quot;Deradicalizing Islamist Extremists.&amp;quot;&lt;/DisplayText&gt;&lt;record&gt;&lt;rec-number&gt;141&lt;/rec-number&gt;&lt;foreign-keys&gt;&lt;key app="EN" db-id="s0ftft29jf2psaezx93xwz5s00fwpa9avrwv"&gt;141&lt;/key&gt;&lt;/foreign-keys&gt;&lt;ref-type name="Report"&gt;27&lt;/ref-type&gt;&lt;contributors&gt;&lt;authors&gt;&lt;author&gt;Rabasa, Angel&lt;/author&gt;&lt;author&gt;Pettyjohn, Stacie&lt;/author&gt;&lt;author&gt;Ghez, Jeremy&lt;/author&gt;&lt;author&gt;Boucek, Christopher&lt;/author&gt;&lt;/authors&gt;&lt;tertiary-authors&gt;&lt;author&gt;RAND Corporation&lt;/author&gt;&lt;/tertiary-authors&gt;&lt;/contributors&gt;&lt;titles&gt;&lt;title&gt;Deradicalizing Islamist Extremists&lt;/title&gt;&lt;/titles&gt;&lt;dates&gt;&lt;year&gt;2010&lt;/year&gt;&lt;/dates&gt;&lt;pub-location&gt;Santa Monica&lt;/pub-location&gt;&lt;publisher&gt;RAND&lt;/publisher&gt;&lt;urls&gt;&lt;/urls&gt;&lt;/record&gt;&lt;/Cite&gt;&lt;/EndNote&gt;</w:instrText>
      </w:r>
      <w:r>
        <w:fldChar w:fldCharType="separate"/>
      </w:r>
      <w:r>
        <w:rPr>
          <w:noProof/>
        </w:rPr>
        <w:t>Rabasa et al., "Deradicalizing Islamist Extremists."</w:t>
      </w:r>
      <w:r>
        <w:fldChar w:fldCharType="end"/>
      </w:r>
    </w:p>
  </w:footnote>
  <w:footnote w:id="573">
    <w:p w14:paraId="26696274" w14:textId="77777777" w:rsidR="007A04F6" w:rsidRDefault="007A04F6" w:rsidP="00655AD6">
      <w:pPr>
        <w:pStyle w:val="FootnoteText"/>
      </w:pPr>
      <w:r>
        <w:rPr>
          <w:rStyle w:val="FootnoteReference"/>
        </w:rPr>
        <w:footnoteRef/>
      </w:r>
      <w:r>
        <w:t xml:space="preserve"> In addition to some academic sources, proponents of this view include former combatants and NGO workers.</w:t>
      </w:r>
    </w:p>
  </w:footnote>
  <w:footnote w:id="574">
    <w:p w14:paraId="005F110A" w14:textId="538A4CAF" w:rsidR="007A04F6" w:rsidRDefault="007A04F6" w:rsidP="00655AD6">
      <w:pPr>
        <w:pStyle w:val="FootnoteText"/>
      </w:pPr>
      <w:r>
        <w:rPr>
          <w:rStyle w:val="FootnoteReference"/>
        </w:rPr>
        <w:footnoteRef/>
      </w:r>
      <w:r>
        <w:t xml:space="preserve"> Reference to the ‘Great Escape’ was quite substantial. It refers to the stories that former combatants such as Kelly would tell about the 1983 escape from the Long Kesh/Maze Prison by thirty-eight Provisional IRA prisoners. </w:t>
      </w:r>
    </w:p>
  </w:footnote>
  <w:footnote w:id="575">
    <w:p w14:paraId="5A1D650D" w14:textId="5C866616"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&lt;EndNote&gt;&lt;Cite&gt;&lt;Author&gt;Morrison&lt;/Author&gt;&lt;Year&gt;2011&lt;/Year&gt;&lt;RecNum&gt;255&lt;/RecNum&gt;&lt;DisplayText&gt;Morrison, &amp;quot;Why Do People Become Dissident Republicans?.&amp;quot;&lt;/DisplayText&gt;&lt;record&gt;&lt;rec-number&gt;255&lt;/rec-number&gt;&lt;foreign-keys&gt;&lt;key app="EN" db-id="s0ftft29jf2psaezx93xwz5s00fwpa9avrwv"&gt;255&lt;/key&gt;&lt;/foreign-keys&gt;&lt;ref-type name="Book Section"&gt;5&lt;/ref-type&gt;&lt;contributors&gt;&lt;authors&gt;&lt;author&gt;Morrison, John&lt;/author&gt;&lt;/authors&gt;&lt;secondary-authors&gt;&lt;author&gt;Currie, P.M.&lt;/author&gt;&lt;author&gt;Taylor, Max&lt;/author&gt;&lt;/secondary-authors&gt;&lt;/contributors&gt;&lt;titles&gt;&lt;title&gt;Why do People Become Dissident Republicans?&lt;/title&gt;&lt;secondary-title&gt;Dissident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Morrison, "Why Do People Become Dissident Republicans?."</w:t>
      </w:r>
      <w:r>
        <w:fldChar w:fldCharType="end"/>
      </w:r>
    </w:p>
  </w:footnote>
  <w:footnote w:id="576">
    <w:p w14:paraId="34BA9B50" w14:textId="77777777" w:rsidR="007A04F6" w:rsidRDefault="007A04F6">
      <w:pPr>
        <w:pStyle w:val="FootnoteText"/>
      </w:pPr>
      <w:r>
        <w:rPr>
          <w:rStyle w:val="FootnoteReference"/>
        </w:rPr>
        <w:footnoteRef/>
      </w:r>
      <w:r>
        <w:t xml:space="preserve"> Sinn Fein Youth Focus Group, Male 3, Belfast, 11</w:t>
      </w:r>
      <w:r w:rsidRPr="002C0079">
        <w:rPr>
          <w:vertAlign w:val="superscript"/>
        </w:rPr>
        <w:t>th</w:t>
      </w:r>
      <w:r>
        <w:t xml:space="preserve"> September 2013</w:t>
      </w:r>
    </w:p>
  </w:footnote>
  <w:footnote w:id="577">
    <w:p w14:paraId="75E50A06" w14:textId="77777777" w:rsidR="007A04F6" w:rsidRDefault="007A04F6">
      <w:pPr>
        <w:pStyle w:val="FootnoteText"/>
      </w:pPr>
      <w:r>
        <w:rPr>
          <w:rStyle w:val="FootnoteReference"/>
        </w:rPr>
        <w:footnoteRef/>
      </w:r>
      <w:r>
        <w:t xml:space="preserve"> Sinn Fein Youth Focus Group, Female 2, Belfast, 11</w:t>
      </w:r>
      <w:r w:rsidRPr="002C0079">
        <w:rPr>
          <w:vertAlign w:val="superscript"/>
        </w:rPr>
        <w:t>th</w:t>
      </w:r>
      <w:r>
        <w:t xml:space="preserve"> September 2013</w:t>
      </w:r>
    </w:p>
  </w:footnote>
  <w:footnote w:id="578">
    <w:p w14:paraId="6EBE90B2" w14:textId="77777777" w:rsidR="007A04F6" w:rsidRDefault="007A04F6" w:rsidP="008E0806">
      <w:pPr>
        <w:pStyle w:val="FootnoteText"/>
      </w:pPr>
      <w:r>
        <w:rPr>
          <w:rStyle w:val="FootnoteReference"/>
        </w:rPr>
        <w:footnoteRef/>
      </w:r>
      <w:r>
        <w:t xml:space="preserve"> For example, where family and social networks are highly politicised.</w:t>
      </w:r>
    </w:p>
  </w:footnote>
  <w:footnote w:id="579">
    <w:p w14:paraId="1FC1FB12" w14:textId="77777777" w:rsidR="007A04F6" w:rsidRDefault="007A04F6">
      <w:pPr>
        <w:pStyle w:val="FootnoteText"/>
      </w:pPr>
      <w:r>
        <w:rPr>
          <w:rStyle w:val="FootnoteReference"/>
        </w:rPr>
        <w:footnoteRef/>
      </w:r>
      <w:r>
        <w:t xml:space="preserve"> Sinn Fein Youth Focus Group, Female 1, Belfast, 11</w:t>
      </w:r>
      <w:r w:rsidRPr="002C0079">
        <w:rPr>
          <w:vertAlign w:val="superscript"/>
        </w:rPr>
        <w:t>th</w:t>
      </w:r>
      <w:r>
        <w:t xml:space="preserve"> September 2013</w:t>
      </w:r>
    </w:p>
  </w:footnote>
  <w:footnote w:id="580">
    <w:p w14:paraId="6FC9A57F" w14:textId="77777777" w:rsidR="007A04F6" w:rsidRDefault="007A04F6">
      <w:pPr>
        <w:pStyle w:val="FootnoteText"/>
      </w:pPr>
      <w:r>
        <w:rPr>
          <w:rStyle w:val="FootnoteReference"/>
        </w:rPr>
        <w:footnoteRef/>
      </w:r>
      <w:r>
        <w:t xml:space="preserve"> Sinn Fein Youth Focus Group, Female 1, Belfast, 11</w:t>
      </w:r>
      <w:r w:rsidRPr="002C0079">
        <w:rPr>
          <w:vertAlign w:val="superscript"/>
        </w:rPr>
        <w:t>th</w:t>
      </w:r>
      <w:r>
        <w:t xml:space="preserve"> September 2013</w:t>
      </w:r>
    </w:p>
  </w:footnote>
  <w:footnote w:id="581">
    <w:p w14:paraId="25DEEFAD" w14:textId="77777777" w:rsidR="007A04F6" w:rsidRDefault="007A04F6">
      <w:pPr>
        <w:pStyle w:val="FootnoteText"/>
      </w:pPr>
      <w:r>
        <w:rPr>
          <w:rStyle w:val="FootnoteReference"/>
        </w:rPr>
        <w:footnoteRef/>
      </w:r>
      <w:r>
        <w:t xml:space="preserve"> Interview, Former Provisional IRA Member 4, Belfast, 3rd September 2013</w:t>
      </w:r>
    </w:p>
  </w:footnote>
  <w:footnote w:id="582">
    <w:p w14:paraId="749D811B" w14:textId="77777777" w:rsidR="007A04F6" w:rsidRDefault="007A04F6">
      <w:pPr>
        <w:pStyle w:val="FootnoteText"/>
      </w:pPr>
      <w:r>
        <w:rPr>
          <w:rStyle w:val="FootnoteReference"/>
        </w:rPr>
        <w:footnoteRef/>
      </w:r>
      <w:r>
        <w:t xml:space="preserve"> Sinn Fein Youth Focus Group, Male 3, Belfast, 11</w:t>
      </w:r>
      <w:r w:rsidRPr="002C0079">
        <w:rPr>
          <w:vertAlign w:val="superscript"/>
        </w:rPr>
        <w:t>th</w:t>
      </w:r>
      <w:r>
        <w:t xml:space="preserve"> September 2013</w:t>
      </w:r>
    </w:p>
  </w:footnote>
  <w:footnote w:id="583">
    <w:p w14:paraId="596EF107" w14:textId="77777777" w:rsidR="007A04F6" w:rsidRDefault="007A04F6">
      <w:pPr>
        <w:pStyle w:val="FootnoteText"/>
      </w:pPr>
      <w:r>
        <w:rPr>
          <w:rStyle w:val="FootnoteReference"/>
        </w:rPr>
        <w:footnoteRef/>
      </w:r>
      <w:r>
        <w:t xml:space="preserve"> Sinn Fein Youth Focus Group, Female 1, Belfast, 11</w:t>
      </w:r>
      <w:r w:rsidRPr="002C0079">
        <w:rPr>
          <w:vertAlign w:val="superscript"/>
        </w:rPr>
        <w:t>th</w:t>
      </w:r>
      <w:r>
        <w:t xml:space="preserve"> September 2013</w:t>
      </w:r>
    </w:p>
  </w:footnote>
  <w:footnote w:id="584">
    <w:p w14:paraId="10217C14" w14:textId="77777777" w:rsidR="007A04F6" w:rsidRDefault="007A04F6">
      <w:pPr>
        <w:pStyle w:val="FootnoteText"/>
      </w:pPr>
      <w:r>
        <w:rPr>
          <w:rStyle w:val="FootnoteReference"/>
        </w:rPr>
        <w:footnoteRef/>
      </w:r>
      <w:r>
        <w:t xml:space="preserve"> Sinn Fein Youth Focus Group, Female 1, Belfast, 11</w:t>
      </w:r>
      <w:r w:rsidRPr="002C0079">
        <w:rPr>
          <w:vertAlign w:val="superscript"/>
        </w:rPr>
        <w:t>th</w:t>
      </w:r>
      <w:r>
        <w:t xml:space="preserve"> September 2013</w:t>
      </w:r>
    </w:p>
  </w:footnote>
  <w:footnote w:id="585">
    <w:p w14:paraId="6FA1B945" w14:textId="77777777" w:rsidR="007A04F6" w:rsidRDefault="007A04F6">
      <w:pPr>
        <w:pStyle w:val="FootnoteText"/>
      </w:pPr>
      <w:r>
        <w:rPr>
          <w:rStyle w:val="FootnoteReference"/>
        </w:rPr>
        <w:footnoteRef/>
      </w:r>
      <w:r>
        <w:t xml:space="preserve"> Sinn Fein Youth Focus Group, Male 3, Belfast, 11</w:t>
      </w:r>
      <w:r w:rsidRPr="002C0079">
        <w:rPr>
          <w:vertAlign w:val="superscript"/>
        </w:rPr>
        <w:t>th</w:t>
      </w:r>
      <w:r>
        <w:t xml:space="preserve"> September 2013</w:t>
      </w:r>
    </w:p>
  </w:footnote>
  <w:footnote w:id="586">
    <w:p w14:paraId="2A4D7A23" w14:textId="77777777" w:rsidR="007A04F6" w:rsidRDefault="007A04F6">
      <w:pPr>
        <w:pStyle w:val="FootnoteText"/>
      </w:pPr>
      <w:r>
        <w:rPr>
          <w:rStyle w:val="FootnoteReference"/>
        </w:rPr>
        <w:footnoteRef/>
      </w:r>
      <w:r>
        <w:t xml:space="preserve"> Sinn Fein Youth Focus Group, Female 2, Belfast, 11</w:t>
      </w:r>
      <w:r w:rsidRPr="002C0079">
        <w:rPr>
          <w:vertAlign w:val="superscript"/>
        </w:rPr>
        <w:t>th</w:t>
      </w:r>
      <w:r>
        <w:t xml:space="preserve"> September 2013</w:t>
      </w:r>
    </w:p>
  </w:footnote>
  <w:footnote w:id="587">
    <w:p w14:paraId="7953641B" w14:textId="77777777" w:rsidR="007A04F6" w:rsidRDefault="007A04F6">
      <w:pPr>
        <w:pStyle w:val="FootnoteText"/>
      </w:pPr>
      <w:r>
        <w:rPr>
          <w:rStyle w:val="FootnoteReference"/>
        </w:rPr>
        <w:footnoteRef/>
      </w:r>
      <w:r>
        <w:t xml:space="preserve"> Sinn Fein Youth Focus Group, Male 3, Belfast, 11</w:t>
      </w:r>
      <w:r w:rsidRPr="002C0079">
        <w:rPr>
          <w:vertAlign w:val="superscript"/>
        </w:rPr>
        <w:t>th</w:t>
      </w:r>
      <w:r>
        <w:t xml:space="preserve"> September 2013</w:t>
      </w:r>
    </w:p>
  </w:footnote>
  <w:footnote w:id="588">
    <w:p w14:paraId="0F346662" w14:textId="77777777" w:rsidR="007A04F6" w:rsidRDefault="007A04F6">
      <w:pPr>
        <w:pStyle w:val="FootnoteText"/>
      </w:pPr>
      <w:r>
        <w:rPr>
          <w:rStyle w:val="FootnoteReference"/>
        </w:rPr>
        <w:footnoteRef/>
      </w:r>
      <w:r>
        <w:t xml:space="preserve"> Sinn Fein Youth Focus Group, Female 1, Belfast, 11</w:t>
      </w:r>
      <w:r w:rsidRPr="002C0079">
        <w:rPr>
          <w:vertAlign w:val="superscript"/>
        </w:rPr>
        <w:t>th</w:t>
      </w:r>
      <w:r>
        <w:t xml:space="preserve"> September 2013</w:t>
      </w:r>
    </w:p>
  </w:footnote>
  <w:footnote w:id="589">
    <w:p w14:paraId="684879C4" w14:textId="77777777" w:rsidR="007A04F6" w:rsidRDefault="007A04F6">
      <w:pPr>
        <w:pStyle w:val="FootnoteText"/>
      </w:pPr>
      <w:r>
        <w:rPr>
          <w:rStyle w:val="FootnoteReference"/>
        </w:rPr>
        <w:footnoteRef/>
      </w:r>
      <w:r>
        <w:t xml:space="preserve"> Interview, Former Provisional IRA Member 5, Belfast, 3rd September 2013</w:t>
      </w:r>
    </w:p>
  </w:footnote>
  <w:footnote w:id="590">
    <w:p w14:paraId="3F744EF0" w14:textId="77777777" w:rsidR="007A04F6" w:rsidRDefault="007A04F6">
      <w:pPr>
        <w:pStyle w:val="FootnoteText"/>
      </w:pPr>
      <w:r>
        <w:rPr>
          <w:rStyle w:val="FootnoteReference"/>
        </w:rPr>
        <w:footnoteRef/>
      </w:r>
      <w:r>
        <w:t xml:space="preserve"> Sinn Fein Youth Focus Group, Male 3, Belfast, 11</w:t>
      </w:r>
      <w:r w:rsidRPr="002C0079">
        <w:rPr>
          <w:vertAlign w:val="superscript"/>
        </w:rPr>
        <w:t>th</w:t>
      </w:r>
      <w:r>
        <w:t xml:space="preserve"> September 2013</w:t>
      </w:r>
    </w:p>
  </w:footnote>
  <w:footnote w:id="591">
    <w:p w14:paraId="2CFCED05" w14:textId="5514FCAA" w:rsidR="007A04F6" w:rsidRDefault="007A04F6" w:rsidP="00A66A78">
      <w:pPr>
        <w:pStyle w:val="FootnoteText"/>
      </w:pPr>
      <w:r>
        <w:rPr>
          <w:rStyle w:val="FootnoteReference"/>
        </w:rPr>
        <w:footnoteRef/>
      </w:r>
      <w:r>
        <w:t xml:space="preserve"> </w:t>
      </w:r>
      <w:r>
        <w:fldChar w:fldCharType="begin"/>
      </w:r>
      <w:r>
        <w:instrText xml:space="preserve"> ADDIN EN.CITE &lt;EndNote&gt;&lt;Cite&gt;&lt;Author&gt;Morrison&lt;/Author&gt;&lt;Year&gt;2011&lt;/Year&gt;&lt;RecNum&gt;255&lt;/RecNum&gt;&lt;DisplayText&gt;Morrison, &amp;quot;Why Do People Become Dissident Republicans?.&amp;quot;&lt;/DisplayText&gt;&lt;record&gt;&lt;rec-number&gt;255&lt;/rec-number&gt;&lt;foreign-keys&gt;&lt;key app="EN" db-id="s0ftft29jf2psaezx93xwz5s00fwpa9avrwv"&gt;255&lt;/key&gt;&lt;/foreign-keys&gt;&lt;ref-type name="Book Section"&gt;5&lt;/ref-type&gt;&lt;contributors&gt;&lt;authors&gt;&lt;author&gt;Morrison, John&lt;/author&gt;&lt;/authors&gt;&lt;secondary-authors&gt;&lt;author&gt;Currie, P.M.&lt;/author&gt;&lt;author&gt;Taylor, Max&lt;/author&gt;&lt;/secondary-authors&gt;&lt;/contributors&gt;&lt;titles&gt;&lt;title&gt;Why do People Become Dissident Republicans?&lt;/title&gt;&lt;secondary-title&gt;Dissident Irish Republicanism&lt;/secondary-title&gt;&lt;/titles&gt;&lt;dates&gt;&lt;year&gt;2011&lt;/year&gt;&lt;/dates&gt;&lt;pub-location&gt;London&lt;/pub-location&gt;&lt;publisher&gt;The Continuum International Publishing Group&lt;/publisher&gt;&lt;urls&gt;&lt;/urls&gt;&lt;/record&gt;&lt;/Cite&gt;&lt;/EndNote&gt;</w:instrText>
      </w:r>
      <w:r>
        <w:fldChar w:fldCharType="separate"/>
      </w:r>
      <w:r>
        <w:rPr>
          <w:noProof/>
        </w:rPr>
        <w:t>Morrison, "Why Do People Become Dissident Republicans?."</w:t>
      </w:r>
      <w:r>
        <w:fldChar w:fldCharType="end"/>
      </w:r>
    </w:p>
  </w:footnote>
  <w:footnote w:id="592">
    <w:p w14:paraId="19FF6884" w14:textId="77777777" w:rsidR="007A04F6" w:rsidRDefault="007A04F6">
      <w:pPr>
        <w:pStyle w:val="FootnoteText"/>
      </w:pPr>
      <w:r>
        <w:rPr>
          <w:rStyle w:val="FootnoteReference"/>
        </w:rPr>
        <w:footnoteRef/>
      </w:r>
      <w:r>
        <w:t xml:space="preserve"> Sinn Fein Youth Focus Group, Male 2, Belfast, 11</w:t>
      </w:r>
      <w:r w:rsidRPr="002C0079">
        <w:rPr>
          <w:vertAlign w:val="superscript"/>
        </w:rPr>
        <w:t>th</w:t>
      </w:r>
      <w:r>
        <w:t xml:space="preserve"> September 2013</w:t>
      </w:r>
    </w:p>
  </w:footnote>
  <w:footnote w:id="593">
    <w:p w14:paraId="765942D4" w14:textId="758E895A" w:rsidR="007A04F6" w:rsidRDefault="007A04F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&lt;EndNote&gt;&lt;Cite&gt;&lt;Author&gt;Harland&lt;/Author&gt;&lt;Year&gt;2011&lt;/Year&gt;&lt;RecNum&gt;230&lt;/RecNum&gt;&lt;DisplayText&gt;Harland, &amp;quot;Violent Youth Culture in Northern Ireland: Young Men, Violence, and the Challenges of Peacebuilding.&amp;quot;&lt;/DisplayText&gt;&lt;record&gt;&lt;rec-number&gt;230&lt;/rec-number&gt;&lt;foreign-keys&gt;&lt;key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Harland, "Violent Youth Culture in Northern Ireland: Young Men, Violence, and the Challenges of Peacebuilding."</w:t>
      </w:r>
      <w:r>
        <w:fldChar w:fldCharType="end"/>
      </w:r>
      <w:r>
        <w:t xml:space="preserve">; </w:t>
      </w:r>
      <w:r>
        <w:fldChar w:fldCharType="begin"/>
      </w:r>
      <w:r>
        <w:instrText xml:space="preserve"> ADDIN EN.CITE &lt;EndNote&gt;&lt;Cite&gt;&lt;Author&gt;Magill&lt;/Author&gt;&lt;Year&gt;2011&lt;/Year&gt;&lt;RecNum&gt;231&lt;/RecNum&gt;&lt;DisplayText&gt;Clare Magill and Brandon Hamber, &amp;quot;&amp;quot;If They Don&amp;apos;t Start Listening to Us, the Future Is Going to Look the Same as the Past&amp;quot;: Young People and Reconciliation in Northern Ireland and Bosnia and Herzegovina,&amp;quot; ibid.&lt;/DisplayText&gt;&lt;record&gt;&lt;rec-number&gt;231&lt;/rec-number&gt;&lt;foreign-keys&gt;&lt;key app="EN" db-id="s0ftft29jf2psaezx93xwz5s00fwpa9avrwv"&gt;231&lt;/key&gt;&lt;/foreign-keys&gt;&lt;ref-type name="Journal Article"&gt;17&lt;/ref-type&gt;&lt;contributors&gt;&lt;authors&gt;&lt;author&gt;Magill, Clare&lt;/author&gt;&lt;author&gt;Hamber, Brandon&lt;/author&gt;&lt;/authors&gt;&lt;/contributors&gt;&lt;titles&gt;&lt;title&gt;&amp;quot;If They Don&amp;apos;t Start Listening to Us, the Future is Going to Look the Same as the Past&amp;quot;: Young People and Reconciliation in Northern Ireland and Bosnia and Herzegovina&lt;/title&gt;&lt;secondary-title&gt;Youth and Society&lt;/secondary-title&gt;&lt;/titles&gt;&lt;pages&gt;pp. 509-527&lt;/pages&gt;&lt;volume&gt;43 (2)&lt;/volume&gt;&lt;dates&gt;&lt;year&gt;2011&lt;/year&gt;&lt;/dates&gt;&lt;urls&gt;&lt;/urls&gt;&lt;/record&gt;&lt;/Cite&gt;&lt;/EndNote&gt;</w:instrText>
      </w:r>
      <w:r>
        <w:fldChar w:fldCharType="separate"/>
      </w:r>
      <w:r>
        <w:rPr>
          <w:noProof/>
        </w:rPr>
        <w:t>Clare Magill and Brandon Hamber, ""If They Don't Start Listening to Us, the Future Is Going to Look the Same as the Past": Young People and Reconciliation in Northern Ireland and Bosnia and Herzegovina," ibid.</w:t>
      </w:r>
      <w:r>
        <w:fldChar w:fldCharType="end"/>
      </w:r>
    </w:p>
  </w:footnote>
  <w:footnote w:id="594">
    <w:p w14:paraId="5965A5AB" w14:textId="5F03C537" w:rsidR="007A04F6" w:rsidRDefault="007A04F6">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&lt;EndNote&gt;&lt;Cite&gt;&lt;Author&gt;Harland&lt;/Author&gt;&lt;Year&gt;2011&lt;/Year&gt;&lt;RecNum&gt;230&lt;/RecNum&gt;&lt;DisplayText&gt;Ken Harland, &amp;quot;Violent Youth Culture in Northern Ireland: Young Men, Violence, and the Challenges of Peacebuilding,&amp;quot; ibid.&lt;/DisplayText&gt;&lt;record&gt;&lt;rec-number&gt;230&lt;/rec-number&gt;&lt;foreign-keys&gt;&lt;key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Ken Harland, "Violent Youth Culture in Northern Ireland: Young Men, Violence, and the Challenges of Peacebuilding," ibid.</w:t>
      </w:r>
      <w:r>
        <w:fldChar w:fldCharType="end"/>
      </w:r>
    </w:p>
  </w:footnote>
  <w:footnote w:id="595">
    <w:p w14:paraId="2B916544" w14:textId="6DD9897A"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&lt;EndNote&gt;&lt;Cite&gt;&lt;Author&gt;Emerson&lt;/Author&gt;&lt;Year&gt;2014&lt;/Year&gt;&lt;RecNum&gt;293&lt;/RecNum&gt;&lt;DisplayText&gt;Lesley Emerson and Allan McCully, &amp;quot;Teaching Controversial Issues in Conflict and in Transition to Peace: An Analysis of Policy and Practice in Northern Ireland,&amp;quot; in &lt;style face="italic"&gt;Cross-Cultural Case Studies of Teaching Controversial Issues: Pathways and Challenges to Democratic Citizenship Education&lt;/style&gt;, ed. T Misco (Nijmegen: Wolf Legal, 2014).&lt;/DisplayText&gt;&lt;record&gt;&lt;rec-number&gt;293&lt;/rec-number&gt;&lt;foreign-keys&gt;&lt;key app="EN" db-id="s0ftft29jf2psaezx93xwz5s00fwpa9avrwv"&gt;293&lt;/key&gt;&lt;/foreign-keys&gt;&lt;ref-type name="Book Section"&gt;5&lt;/ref-type&gt;&lt;contributors&gt;&lt;authors&gt;&lt;author&gt;Emerson, Lesley&lt;/author&gt;&lt;author&gt;McCully, Allan&lt;/author&gt;&lt;/authors&gt;&lt;secondary-authors&gt;&lt;author&gt;Misco, T&lt;/author&gt;&lt;/secondary-authors&gt;&lt;/contributors&gt;&lt;titles&gt;&lt;title&gt;Teaching controversial issues in conflict and in transition to peace: an analysis of policy and practice in Northern Ireland&lt;/title&gt;&lt;secondary-title&gt;Cross-Cultural Case Studies of Teaching Controversial Issues: Pathways and Challenges to Democratic Citizenship Education&lt;/secondary-title&gt;&lt;/titles&gt;&lt;dates&gt;&lt;year&gt;2014&lt;/year&gt;&lt;/dates&gt;&lt;pub-location&gt;Nijmegen&lt;/pub-location&gt;&lt;publisher&gt;Wolf Legal&lt;/publisher&gt;&lt;urls&gt;&lt;/urls&gt;&lt;/record&gt;&lt;/Cite&gt;&lt;/EndNote&gt;</w:instrText>
      </w:r>
      <w:r>
        <w:fldChar w:fldCharType="separate"/>
      </w:r>
      <w:r>
        <w:rPr>
          <w:noProof/>
        </w:rPr>
        <w:t xml:space="preserve">Lesley Emerson and Allan McCully, "Teaching Controversial Issues in Conflict and in Transition to Peace: An Analysis of Policy and Practice in Northern Ireland," in </w:t>
      </w:r>
      <w:r w:rsidRPr="003D17E7">
        <w:rPr>
          <w:i/>
          <w:noProof/>
        </w:rPr>
        <w:t>Cross-Cultural Case Studies of Teaching Controversial Issues: Pathways and Challenges to Democratic Citizenship Education</w:t>
      </w:r>
      <w:r>
        <w:rPr>
          <w:noProof/>
        </w:rPr>
        <w:t>, ed. T Misco (Nijmegen: Wolf Legal, 2014).</w:t>
      </w:r>
      <w:r>
        <w:fldChar w:fldCharType="end"/>
      </w:r>
      <w:r>
        <w:t xml:space="preserve"> </w:t>
      </w:r>
      <w:r>
        <w:fldChar w:fldCharType="begin"/>
      </w:r>
      <w:r>
        <w:instrText xml:space="preserve"> ADDIN EN.CITE &lt;EndNote&gt;&lt;Cite&gt;&lt;Author&gt;Emerson&lt;/Author&gt;&lt;Year&gt;2012&lt;/Year&gt;&lt;RecNum&gt;294&lt;/RecNum&gt;&lt;DisplayText&gt;Lesley Emerson, &amp;quot;Conflict, Transition and Education for &amp;apos;Political Generosity&amp;apos;: Learning from the Experience of Ex-Combatants in Northern Ireland,&amp;quot; &lt;style face="italic"&gt;Journal of Peace Education&lt;/style&gt; 9 (3) (2012).&lt;/DisplayText&gt;&lt;record&gt;&lt;rec-number&gt;294&lt;/rec-number&gt;&lt;foreign-keys&gt;&lt;key app="EN" db-id="s0ftft29jf2psaezx93xwz5s00fwpa9avrwv"&gt;294&lt;/key&gt;&lt;/foreign-keys&gt;&lt;ref-type name="Journal Article"&gt;17&lt;/ref-type&gt;&lt;contributors&gt;&lt;authors&gt;&lt;author&gt;Emerson, Lesley&lt;/author&gt;&lt;/authors&gt;&lt;/contributors&gt;&lt;titles&gt;&lt;title&gt;Conflict, Transition and Education for &amp;apos;Political Generosity&amp;apos;: learning from the experience of ex-combatants in Northern Ireland&lt;/title&gt;&lt;secondary-title&gt;Journal of Peace Education&lt;/secondary-title&gt;&lt;/titles&gt;&lt;pages&gt;pp. 277-295&lt;/pages&gt;&lt;volume&gt;9 (3) &lt;/volume&gt;&lt;dates&gt;&lt;year&gt;2012&lt;/year&gt;&lt;/dates&gt;&lt;urls&gt;&lt;/urls&gt;&lt;/record&gt;&lt;/Cite&gt;&lt;/EndNote&gt;</w:instrText>
      </w:r>
      <w:r>
        <w:fldChar w:fldCharType="separate"/>
      </w:r>
      <w:r>
        <w:rPr>
          <w:noProof/>
        </w:rPr>
        <w:t xml:space="preserve">Lesley Emerson, "Conflict, Transition and Education for 'Political Generosity': Learning from the Experience of Ex-Combatants in Northern Ireland," </w:t>
      </w:r>
      <w:r w:rsidRPr="003D17E7">
        <w:rPr>
          <w:i/>
          <w:noProof/>
        </w:rPr>
        <w:t>Journal of Peace Education</w:t>
      </w:r>
      <w:r>
        <w:rPr>
          <w:noProof/>
        </w:rPr>
        <w:t xml:space="preserve"> 9 (3) (2012).</w:t>
      </w:r>
      <w:r>
        <w:fldChar w:fldCharType="end"/>
      </w:r>
    </w:p>
  </w:footnote>
  <w:footnote w:id="596">
    <w:p w14:paraId="03E6BADF" w14:textId="0ACF28A6"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&lt;EndNote&gt;&lt;Cite&gt;&lt;Author&gt;Evans&lt;/Author&gt;&lt;Year&gt;2006&lt;/Year&gt;&lt;RecNum&gt;298&lt;/RecNum&gt;&lt;DisplayText&gt;Alexander Evans, &amp;quot;Understanding Madrasahs: How Threatening Are They?,&amp;quot; &lt;style face="italic"&gt;Foreign Affairs&lt;/style&gt; 9(2006).&lt;/DisplayText&gt;&lt;record&gt;&lt;rec-number&gt;298&lt;/rec-number&gt;&lt;foreign-keys&gt;&lt;key app="EN" db-id="s0ftft29jf2psaezx93xwz5s00fwpa9avrwv"&gt;298&lt;/key&gt;&lt;/foreign-keys&gt;&lt;ref-type name="Journal Article"&gt;17&lt;/ref-type&gt;&lt;contributors&gt;&lt;authors&gt;&lt;author&gt;Evans, Alexander&lt;/author&gt;&lt;/authors&gt;&lt;/contributors&gt;&lt;titles&gt;&lt;title&gt;Understanding Madrasahs: How Threatening Are They?&lt;/title&gt;&lt;secondary-title&gt;Foreign Affairs&lt;/secondary-title&gt;&lt;/titles&gt;&lt;volume&gt;9&lt;/volume&gt;&lt;dates&gt;&lt;year&gt;2006&lt;/year&gt;&lt;/dates&gt;&lt;urls&gt;&lt;/urls&gt;&lt;/record&gt;&lt;/Cite&gt;&lt;/EndNote&gt;</w:instrText>
      </w:r>
      <w:r>
        <w:fldChar w:fldCharType="separate"/>
      </w:r>
      <w:r>
        <w:rPr>
          <w:noProof/>
        </w:rPr>
        <w:t xml:space="preserve">Alexander Evans, "Understanding Madrasahs: How Threatening Are They?," </w:t>
      </w:r>
      <w:r w:rsidRPr="003D17E7">
        <w:rPr>
          <w:i/>
          <w:noProof/>
        </w:rPr>
        <w:t>Foreign Affairs</w:t>
      </w:r>
      <w:r>
        <w:rPr>
          <w:noProof/>
        </w:rPr>
        <w:t xml:space="preserve"> 9(2006).</w:t>
      </w:r>
      <w:r>
        <w:fldChar w:fldCharType="end"/>
      </w:r>
    </w:p>
  </w:footnote>
  <w:footnote w:id="597">
    <w:p w14:paraId="459BB655" w14:textId="0750FCDA" w:rsidR="007A04F6" w:rsidRDefault="007A04F6">
      <w:pPr>
        <w:pStyle w:val="FootnoteText"/>
      </w:pPr>
      <w:r>
        <w:rPr>
          <w:rStyle w:val="FootnoteReference"/>
        </w:rPr>
        <w:footnoteRef/>
      </w:r>
      <w:r>
        <w:t xml:space="preserve"> </w:t>
      </w:r>
      <w:r>
        <w:fldChar w:fldCharType="begin"/>
      </w:r>
      <w:r>
        <w:instrText xml:space="preserve"> ADDIN EN.CITE &lt;EndNote&gt;&lt;Cite&gt;&lt;Author&gt;Nelles&lt;/Author&gt;&lt;Year&gt;2012&lt;/Year&gt;&lt;RecNum&gt;296&lt;/RecNum&gt;&lt;DisplayText&gt;Wayne Nelles, ed. &lt;style face="italic"&gt;Comparative Education, Terrorism and Human Security&lt;/style&gt; (Hampshire: Palgrave Macmillan, 2012).&lt;/DisplayText&gt;&lt;record&gt;&lt;rec-number&gt;296&lt;/rec-number&gt;&lt;foreign-keys&gt;&lt;key app="EN" db-id="s0ftft29jf2psaezx93xwz5s00fwpa9avrwv"&gt;296&lt;/key&gt;&lt;/foreign-keys&gt;&lt;ref-type name="Edited Book"&gt;28&lt;/ref-type&gt;&lt;contributors&gt;&lt;authors&gt;&lt;author&gt;Wayne Nelles&lt;/author&gt;&lt;/authors&gt;&lt;/contributors&gt;&lt;titles&gt;&lt;title&gt;Comparative Education, Terrorism and Human Security&lt;/title&gt;&lt;/titles&gt;&lt;dates&gt;&lt;year&gt;2012&lt;/year&gt;&lt;/dates&gt;&lt;pub-location&gt;Hampshire&lt;/pub-location&gt;&lt;publisher&gt;Palgrave Macmillan&lt;/publisher&gt;&lt;urls&gt;&lt;/urls&gt;&lt;/record&gt;&lt;/Cite&gt;&lt;/EndNote&gt;</w:instrText>
      </w:r>
      <w:r>
        <w:fldChar w:fldCharType="separate"/>
      </w:r>
      <w:r>
        <w:rPr>
          <w:noProof/>
        </w:rPr>
        <w:t xml:space="preserve">Wayne Nelles, ed. </w:t>
      </w:r>
      <w:r w:rsidRPr="00A61AA9">
        <w:rPr>
          <w:i/>
          <w:noProof/>
        </w:rPr>
        <w:t>Comparative Education, Terrorism and Human Security</w:t>
      </w:r>
      <w:r>
        <w:rPr>
          <w:noProof/>
        </w:rPr>
        <w:t xml:space="preserve"> (Hampshire: Palgrave Macmillan, 2012).</w:t>
      </w:r>
      <w:r>
        <w:fldChar w:fldCharType="end"/>
      </w:r>
    </w:p>
  </w:footnote>
  <w:footnote w:id="598">
    <w:p w14:paraId="01AEB300" w14:textId="32695049" w:rsidR="007A04F6" w:rsidRDefault="007A04F6">
      <w:pPr>
        <w:pStyle w:val="FootnoteText"/>
      </w:pPr>
      <w:r>
        <w:rPr>
          <w:rStyle w:val="FootnoteReference"/>
        </w:rPr>
        <w:footnoteRef/>
      </w:r>
      <w:r>
        <w:t xml:space="preserve"> </w:t>
      </w:r>
      <w:r>
        <w:fldChar w:fldCharType="begin"/>
      </w:r>
      <w:r>
        <w:instrText xml:space="preserve"> ADDIN EN.CITE &lt;EndNote&gt;&lt;Cite&gt;&lt;Author&gt;Berger&lt;/Author&gt;&lt;Year&gt;2007&lt;/Year&gt;&lt;RecNum&gt;297&lt;/RecNum&gt;&lt;DisplayText&gt;Rony Berger and Ruth Pat-Horenczyk, &amp;quot;School-Based Intervention for Prevention and Treatment of Elementary-Students&amp;apos; Terror-Related Distress in Israel: A Quasi-Randomized Controlled Trial,&amp;quot; &lt;style face="italic"&gt;Journal of Traumatic Stress&lt;/style&gt; 20 (4)(2007).&lt;/DisplayText&gt;&lt;record&gt;&lt;rec-number&gt;297&lt;/rec-number&gt;&lt;foreign-keys&gt;&lt;key app="EN" db-id="s0ftft29jf2psaezx93xwz5s00fwpa9avrwv"&gt;297&lt;/key&gt;&lt;/foreign-keys&gt;&lt;ref-type name="Journal Article"&gt;17&lt;/ref-type&gt;&lt;contributors&gt;&lt;authors&gt;&lt;author&gt;Berger, Rony&lt;/author&gt;&lt;author&gt;Pat-Horenczyk, Ruth&lt;/author&gt;&lt;/authors&gt;&lt;/contributors&gt;&lt;titles&gt;&lt;title&gt;School-based intervention for prevention and treatment of elementary-students&amp;apos; terror-related distress in Israel: A quasi-randomized controlled trial&lt;/title&gt;&lt;secondary-title&gt;Journal of Traumatic Stress&lt;/secondary-title&gt;&lt;/titles&gt;&lt;pages&gt;pp. 541-551&lt;/pages&gt;&lt;volume&gt;20 (4)&lt;/volume&gt;&lt;dates&gt;&lt;year&gt;2007&lt;/year&gt;&lt;/dates&gt;&lt;urls&gt;&lt;/urls&gt;&lt;/record&gt;&lt;/Cite&gt;&lt;/EndNote&gt;</w:instrText>
      </w:r>
      <w:r>
        <w:fldChar w:fldCharType="separate"/>
      </w:r>
      <w:r>
        <w:rPr>
          <w:noProof/>
        </w:rPr>
        <w:t xml:space="preserve">Rony Berger and Ruth Pat-Horenczyk, "School-Based Intervention for Prevention and Treatment of Elementary-Students' Terror-Related Distress in Israel: A Quasi-Randomized Controlled Trial," </w:t>
      </w:r>
      <w:r w:rsidRPr="003D17E7">
        <w:rPr>
          <w:i/>
          <w:noProof/>
        </w:rPr>
        <w:t>Journal of Traumatic Stress</w:t>
      </w:r>
      <w:r>
        <w:rPr>
          <w:noProof/>
        </w:rPr>
        <w:t xml:space="preserve"> 20 (4)(2007).</w:t>
      </w:r>
      <w:r>
        <w:fldChar w:fldCharType="end"/>
      </w:r>
    </w:p>
  </w:footnote>
  <w:footnote w:id="599">
    <w:p w14:paraId="2615AB7E" w14:textId="01BE6542" w:rsidR="007A04F6" w:rsidRDefault="007A04F6" w:rsidP="00655AD6">
      <w:pPr>
        <w:pStyle w:val="FootnoteText"/>
      </w:pPr>
      <w:r>
        <w:rPr>
          <w:rStyle w:val="FootnoteReference"/>
        </w:rPr>
        <w:footnoteRef/>
      </w:r>
      <w:r>
        <w:t xml:space="preserve"> </w:t>
      </w:r>
      <w:r>
        <w:fldChar w:fldCharType="begin"/>
      </w:r>
      <w:r>
        <w:instrText xml:space="preserve"> ADDIN EN.CITE &lt;EndNote&gt;&lt;Cite&gt;&lt;Author&gt;Krueger&lt;/Author&gt;&lt;Year&gt;2003&lt;/Year&gt;&lt;RecNum&gt;295&lt;/RecNum&gt;&lt;DisplayText&gt;Alan Krueger and Jitka Maleckova, &amp;quot;Education, Poverty and Terrorism: Is There a Causal Connection?,&amp;quot; &lt;style face="italic"&gt;The Journal of Economic Perspectives&lt;/style&gt; 17 (4)(2003).&lt;/DisplayText&gt;&lt;record&gt;&lt;rec-number&gt;295&lt;/rec-number&gt;&lt;foreign-keys&gt;&lt;key app="EN" db-id="s0ftft29jf2psaezx93xwz5s00fwpa9avrwv"&gt;295&lt;/key&gt;&lt;/foreign-keys&gt;&lt;ref-type name="Journal Article"&gt;17&lt;/ref-type&gt;&lt;contributors&gt;&lt;authors&gt;&lt;author&gt;Krueger, Alan&lt;/author&gt;&lt;author&gt;Maleckova, Jitka&lt;/author&gt;&lt;/authors&gt;&lt;/contributors&gt;&lt;titles&gt;&lt;title&gt;Education, Poverty and Terrorism: Is There a Causal Connection?&lt;/title&gt;&lt;secondary-title&gt;The Journal of Economic Perspectives&lt;/secondary-title&gt;&lt;/titles&gt;&lt;pages&gt;pp. 119-144&lt;/pages&gt;&lt;volume&gt;17 (4)&lt;/volume&gt;&lt;dates&gt;&lt;year&gt;2003&lt;/year&gt;&lt;/dates&gt;&lt;urls&gt;&lt;/urls&gt;&lt;/record&gt;&lt;/Cite&gt;&lt;/EndNote&gt;</w:instrText>
      </w:r>
      <w:r>
        <w:fldChar w:fldCharType="separate"/>
      </w:r>
      <w:r>
        <w:rPr>
          <w:noProof/>
        </w:rPr>
        <w:t xml:space="preserve">Alan Krueger and Jitka Maleckova, "Education, Poverty and Terrorism: Is There a Causal Connection?," </w:t>
      </w:r>
      <w:r w:rsidRPr="003D17E7">
        <w:rPr>
          <w:i/>
          <w:noProof/>
        </w:rPr>
        <w:t>The Journal of Economic Perspectives</w:t>
      </w:r>
      <w:r>
        <w:rPr>
          <w:noProof/>
        </w:rPr>
        <w:t xml:space="preserve"> 17 (4)(2003).</w:t>
      </w:r>
      <w:r>
        <w:fldChar w:fldCharType="end"/>
      </w:r>
    </w:p>
  </w:footnote>
  <w:footnote w:id="600">
    <w:p w14:paraId="2860C5DD" w14:textId="77777777" w:rsidR="007A04F6" w:rsidRDefault="007A04F6" w:rsidP="00655AD6">
      <w:pPr>
        <w:pStyle w:val="FootnoteText"/>
      </w:pPr>
      <w:r>
        <w:rPr>
          <w:rStyle w:val="FootnoteReference"/>
        </w:rPr>
        <w:footnoteRef/>
      </w:r>
      <w:r>
        <w:t xml:space="preserve"> Interview, Home Office Security Official, London, 9th August 2013</w:t>
      </w:r>
    </w:p>
  </w:footnote>
  <w:footnote w:id="601">
    <w:p w14:paraId="23936589" w14:textId="77777777" w:rsidR="007A04F6" w:rsidRDefault="007A04F6" w:rsidP="00655AD6">
      <w:pPr>
        <w:pStyle w:val="FootnoteText"/>
      </w:pPr>
      <w:r>
        <w:rPr>
          <w:rStyle w:val="FootnoteReference"/>
        </w:rPr>
        <w:footnoteRef/>
      </w:r>
      <w:r>
        <w:t xml:space="preserve"> Interview, Home Office Security Official, London, 9th August 2013</w:t>
      </w:r>
    </w:p>
  </w:footnote>
  <w:footnote w:id="602">
    <w:p w14:paraId="68AAFFB9" w14:textId="77777777" w:rsidR="007A04F6" w:rsidRDefault="007A04F6">
      <w:pPr>
        <w:pStyle w:val="FootnoteText"/>
      </w:pPr>
      <w:r>
        <w:rPr>
          <w:rStyle w:val="FootnoteReference"/>
        </w:rPr>
        <w:footnoteRef/>
      </w:r>
      <w:r>
        <w:t xml:space="preserve"> Interview, Home Office Security Official, London, 9th August 2013</w:t>
      </w:r>
    </w:p>
  </w:footnote>
  <w:footnote w:id="603">
    <w:p w14:paraId="03215CF0" w14:textId="77777777" w:rsidR="007A04F6" w:rsidRDefault="007A04F6" w:rsidP="00A07EFA">
      <w:pPr>
        <w:pStyle w:val="FootnoteText"/>
      </w:pPr>
      <w:r>
        <w:rPr>
          <w:rStyle w:val="FootnoteReference"/>
        </w:rPr>
        <w:footnoteRef/>
      </w:r>
      <w:r>
        <w:t xml:space="preserve"> Interview, Community Worker CA, Belfast, 5th September 2013; Interview, Home Office</w:t>
      </w:r>
    </w:p>
  </w:footnote>
  <w:footnote w:id="604">
    <w:p w14:paraId="0F0FCE4B" w14:textId="77777777" w:rsidR="007A04F6" w:rsidRDefault="007A04F6" w:rsidP="008D57DC">
      <w:pPr>
        <w:pStyle w:val="FootnoteText"/>
      </w:pPr>
      <w:r>
        <w:rPr>
          <w:rStyle w:val="FootnoteReference"/>
        </w:rPr>
        <w:footnoteRef/>
      </w:r>
      <w:r>
        <w:t xml:space="preserve"> </w:t>
      </w:r>
      <w:r>
        <w:fldChar w:fldCharType="begin"/>
      </w:r>
      <w:r>
        <w:instrText xml:space="preserve"> ADDIN EN.CITE &lt;EndNote&gt;&lt;Cite&gt;&lt;Author&gt;Emerson&lt;/Author&gt;&lt;Year&gt;2014&lt;/Year&gt;&lt;RecNum&gt;316&lt;/RecNum&gt;&lt;DisplayText&gt;Lesley Emerson, Paul Connolly, and Karen Orr, &amp;quot;Evaluation of the Effectiveness of the &amp;apos;Prison to Peace: Learning from the Experience of Political Ex-Prisoners&amp;apos; Educational Programme,&amp;quot; (Belfast: Centre for Effective Education: Queen&amp;apos;s University Belfast, 2014).&lt;/DisplayText&gt;&lt;record&gt;&lt;rec-number&gt;316&lt;/rec-number&gt;&lt;foreign-keys&gt;&lt;key app="EN" db-id="s0ftft29jf2psaezx93xwz5s00fwpa9avrwv"&gt;316&lt;/key&gt;&lt;/foreign-keys&gt;&lt;ref-type name="Report"&gt;27&lt;/ref-type&gt;&lt;contributors&gt;&lt;authors&gt;&lt;author&gt;Emerson, Lesley&lt;/author&gt;&lt;author&gt;Connolly, Paul&lt;/author&gt;&lt;author&gt;Orr, Karen&lt;/author&gt;&lt;/authors&gt;&lt;/contributors&gt;&lt;titles&gt;&lt;title&gt;Evaluation of the Effectiveness of the &amp;apos;Prison to Peace: learning from the experience of political ex-prisoners&amp;apos; educational programme&lt;/title&gt;&lt;/titles&gt;&lt;dates&gt;&lt;year&gt;2014&lt;/year&gt;&lt;/dates&gt;&lt;pub-location&gt;Belfast: Centre for Effective Education&lt;/pub-location&gt;&lt;publisher&gt;Queen&amp;apos;s University Belfast&lt;/publisher&gt;&lt;urls&gt;&lt;/urls&gt;&lt;/record&gt;&lt;/Cite&gt;&lt;/EndNote&gt;</w:instrText>
      </w:r>
      <w:r>
        <w:fldChar w:fldCharType="separate"/>
      </w:r>
      <w:r>
        <w:rPr>
          <w:noProof/>
        </w:rPr>
        <w:t>Lesley Emerson, Paul Connolly, and Karen Orr, "Evaluation of the Effectiveness of the 'Prison to Peace: Learning from the Experience of Political Ex-Prisoners' Educational Programme," (Belfast: Centre for Effective Education: Queen's University Belfast, 2014).</w:t>
      </w:r>
      <w:r>
        <w:fldChar w:fldCharType="end"/>
      </w:r>
    </w:p>
  </w:footnote>
  <w:footnote w:id="605">
    <w:p w14:paraId="6C69DD46" w14:textId="77777777" w:rsidR="007A04F6" w:rsidRDefault="007A04F6" w:rsidP="008D57DC">
      <w:pPr>
        <w:pStyle w:val="FootnoteText"/>
      </w:pPr>
      <w:r>
        <w:rPr>
          <w:rStyle w:val="FootnoteReference"/>
        </w:rPr>
        <w:footnoteRef/>
      </w:r>
      <w:r>
        <w:t xml:space="preserve"> Interview, Former Provisional IRA Member 4, Belfast, 3rd September 2013</w:t>
      </w:r>
    </w:p>
  </w:footnote>
  <w:footnote w:id="606">
    <w:p w14:paraId="6F83858D" w14:textId="77777777" w:rsidR="007A04F6" w:rsidRDefault="007A04F6" w:rsidP="006470CD">
      <w:pPr>
        <w:pStyle w:val="FootnoteText"/>
      </w:pPr>
      <w:r>
        <w:rPr>
          <w:rStyle w:val="FootnoteReference"/>
        </w:rPr>
        <w:footnoteRef/>
      </w:r>
      <w:r>
        <w:t xml:space="preserve"> The Loyalist motivation for disengagement has been largely built around the Provisional IRA’s disengagement, therefore the decline in Republican violence removes the perceived need for violence. Thus, inter-community dialogue has been far more essential for Loyalist disengagement as it has created the trust that has prevented Republican recidivism legitimising Loyalist recidivism. However, it remains to be seen if the recent drift to violence by the UVF in East Belfast and attempts to mimic the 1960s civil rights movement represent a change in the direction of Loyalism.</w:t>
      </w:r>
    </w:p>
  </w:footnote>
  <w:footnote w:id="607">
    <w:p w14:paraId="23A75A13" w14:textId="77777777" w:rsidR="007A04F6" w:rsidRDefault="007A04F6" w:rsidP="00E927E9">
      <w:pPr>
        <w:pStyle w:val="FootnoteText"/>
      </w:pPr>
      <w:r>
        <w:rPr>
          <w:rStyle w:val="FootnoteReference"/>
        </w:rPr>
        <w:footnoteRef/>
      </w:r>
      <w:r>
        <w:t xml:space="preserve"> Interview, Academic/Project Manager, Belfast, 2nd September 2013</w:t>
      </w:r>
    </w:p>
  </w:footnote>
  <w:footnote w:id="608">
    <w:p w14:paraId="66375B73" w14:textId="77777777" w:rsidR="007A04F6" w:rsidRDefault="007A04F6" w:rsidP="00E927E9">
      <w:pPr>
        <w:pStyle w:val="FootnoteText"/>
      </w:pPr>
      <w:r>
        <w:rPr>
          <w:rStyle w:val="FootnoteReference"/>
        </w:rPr>
        <w:footnoteRef/>
      </w:r>
      <w:r>
        <w:t xml:space="preserve"> Interview, Community Worker SA, Belfast, 2nd September 2013</w:t>
      </w:r>
    </w:p>
  </w:footnote>
  <w:footnote w:id="609">
    <w:p w14:paraId="63C445F5" w14:textId="56E5EEE2" w:rsidR="007A04F6" w:rsidRDefault="007A04F6">
      <w:pPr>
        <w:pStyle w:val="FootnoteText"/>
      </w:pPr>
      <w:r>
        <w:rPr>
          <w:rStyle w:val="FootnoteReference"/>
        </w:rPr>
        <w:footnoteRef/>
      </w:r>
      <w:r>
        <w:t xml:space="preserve"> Once again, the project was funded  under the EU Peace III programme, although details on the amount of funding was not available.</w:t>
      </w:r>
    </w:p>
  </w:footnote>
  <w:footnote w:id="610">
    <w:p w14:paraId="74BC2EBB" w14:textId="77777777" w:rsidR="007A04F6" w:rsidRDefault="007A04F6" w:rsidP="00E927E9">
      <w:pPr>
        <w:pStyle w:val="FootnoteText"/>
      </w:pPr>
      <w:r>
        <w:rPr>
          <w:rStyle w:val="FootnoteReference"/>
        </w:rPr>
        <w:footnoteRef/>
      </w:r>
      <w:r>
        <w:t xml:space="preserve"> Interview, Former INLA Member, Belfast, 26th August 2013</w:t>
      </w:r>
    </w:p>
  </w:footnote>
  <w:footnote w:id="611">
    <w:p w14:paraId="7259A19C" w14:textId="5C5D27A4" w:rsidR="007A04F6" w:rsidRDefault="007A04F6" w:rsidP="00E927E9">
      <w:pPr>
        <w:pStyle w:val="FootnoteText"/>
      </w:pPr>
      <w:r>
        <w:rPr>
          <w:rStyle w:val="FootnoteReference"/>
        </w:rPr>
        <w:footnoteRef/>
      </w:r>
      <w:r>
        <w:t xml:space="preserve"> </w:t>
      </w:r>
      <w:r>
        <w:fldChar w:fldCharType="begin"/>
      </w:r>
      <w:r>
        <w:instrText xml:space="preserve"> ADDIN EN.CITE &lt;EndNote&gt;&lt;Cite&gt;&lt;Author&gt;CFNI&lt;/Author&gt;&lt;Year&gt;2012&lt;/Year&gt;&lt;RecNum&gt;278&lt;/RecNum&gt;&lt;DisplayText&gt;CFNI, &amp;quot;From Prison to Peace: Learning from the Experience of Political Ex-Prisoners.&amp;quot;&lt;/DisplayText&gt;&lt;record&gt;&lt;rec-number&gt;278&lt;/rec-number&gt;&lt;foreign-keys&gt;&lt;key app="EN" db-id="s0ftft29jf2psaezx93xwz5s00fwpa9avrwv"&gt;278&lt;/key&gt;&lt;/foreign-keys&gt;&lt;ref-type name="Report"&gt;27&lt;/ref-type&gt;&lt;contributors&gt;&lt;authors&gt;&lt;author&gt;CFNI&lt;/author&gt;&lt;/authors&gt;&lt;/contributors&gt;&lt;titles&gt;&lt;title&gt;From Prison to Peace: Learning from the experience of political ex-prisoners&lt;/title&gt;&lt;/titles&gt;&lt;dates&gt;&lt;year&gt;2012&lt;/year&gt;&lt;/dates&gt;&lt;pub-location&gt;Belfast&lt;/pub-location&gt;&lt;publisher&gt;Community Foundation for Northern Ireland&lt;/publisher&gt;&lt;urls&gt;&lt;/urls&gt;&lt;/record&gt;&lt;/Cite&gt;&lt;/EndNote&gt;</w:instrText>
      </w:r>
      <w:r>
        <w:fldChar w:fldCharType="separate"/>
      </w:r>
      <w:r>
        <w:rPr>
          <w:noProof/>
        </w:rPr>
        <w:t>CFNI, "From Prison to Peace: Learning from the Experience of Political Ex-Prisoners."</w:t>
      </w:r>
      <w:r>
        <w:fldChar w:fldCharType="end"/>
      </w:r>
    </w:p>
  </w:footnote>
  <w:footnote w:id="612">
    <w:p w14:paraId="7399CA3D" w14:textId="77777777" w:rsidR="007A04F6" w:rsidRDefault="007A04F6" w:rsidP="00E927E9">
      <w:pPr>
        <w:pStyle w:val="FootnoteText"/>
      </w:pPr>
      <w:r>
        <w:rPr>
          <w:rStyle w:val="FootnoteReference"/>
        </w:rPr>
        <w:footnoteRef/>
      </w:r>
      <w:r>
        <w:t xml:space="preserve"> Interview, Former Provisional IRA Member 4, Belfast, 3rd September 2013</w:t>
      </w:r>
    </w:p>
  </w:footnote>
  <w:footnote w:id="613">
    <w:p w14:paraId="6DF08E01" w14:textId="77777777" w:rsidR="007A04F6" w:rsidRDefault="007A04F6" w:rsidP="00E927E9">
      <w:pPr>
        <w:pStyle w:val="FootnoteText"/>
      </w:pPr>
      <w:r>
        <w:rPr>
          <w:rStyle w:val="FootnoteReference"/>
        </w:rPr>
        <w:footnoteRef/>
      </w:r>
      <w:r>
        <w:t xml:space="preserve"> Interview, Academic/Project Manager, Belfast, 2nd September 2013</w:t>
      </w:r>
    </w:p>
  </w:footnote>
  <w:footnote w:id="614">
    <w:p w14:paraId="4084A257" w14:textId="77777777" w:rsidR="007A04F6" w:rsidRDefault="007A04F6" w:rsidP="004F6FCD">
      <w:pPr>
        <w:pStyle w:val="FootnoteText"/>
      </w:pPr>
      <w:r>
        <w:rPr>
          <w:rStyle w:val="FootnoteReference"/>
        </w:rPr>
        <w:footnoteRef/>
      </w:r>
      <w:r>
        <w:t xml:space="preserve"> Interview, Academic/Project Manager, Belfast, 2nd September 2013</w:t>
      </w:r>
    </w:p>
  </w:footnote>
  <w:footnote w:id="615">
    <w:p w14:paraId="3B54C5B0" w14:textId="77777777" w:rsidR="007A04F6" w:rsidRDefault="007A04F6">
      <w:pPr>
        <w:pStyle w:val="FootnoteText"/>
      </w:pPr>
      <w:r>
        <w:rPr>
          <w:rStyle w:val="FootnoteReference"/>
        </w:rPr>
        <w:footnoteRef/>
      </w:r>
      <w:r>
        <w:t xml:space="preserve"> Interview, Academic/Project Manager, Belfast, 2nd September 2013</w:t>
      </w:r>
    </w:p>
  </w:footnote>
  <w:footnote w:id="616">
    <w:p w14:paraId="3E30C1DC" w14:textId="77777777" w:rsidR="007A04F6" w:rsidRDefault="007A04F6" w:rsidP="006A6306">
      <w:pPr>
        <w:pStyle w:val="FootnoteText"/>
      </w:pPr>
      <w:r>
        <w:rPr>
          <w:rStyle w:val="FootnoteReference"/>
        </w:rPr>
        <w:footnoteRef/>
      </w:r>
      <w:r>
        <w:t xml:space="preserve"> Interview, Academic/Project Manager, Belfast, 2nd September 2013</w:t>
      </w:r>
    </w:p>
  </w:footnote>
  <w:footnote w:id="617">
    <w:p w14:paraId="6F89F55A" w14:textId="35FAE9E1" w:rsidR="007A04F6" w:rsidRDefault="007A04F6" w:rsidP="00406829">
      <w:pPr>
        <w:pStyle w:val="FootnoteText"/>
      </w:pPr>
      <w:r>
        <w:rPr>
          <w:rStyle w:val="FootnoteReference"/>
        </w:rPr>
        <w:footnoteRef/>
      </w:r>
      <w:r>
        <w:t xml:space="preserve"> </w:t>
      </w:r>
      <w:r>
        <w:fldChar w:fldCharType="begin"/>
      </w:r>
      <w:r>
        <w:instrText xml:space="preserve"> ADDIN EN.CITE &lt;EndNote&gt;&lt;Cite&gt;&lt;Author&gt;Harland&lt;/Author&gt;&lt;Year&gt;2011&lt;/Year&gt;&lt;RecNum&gt;230&lt;/RecNum&gt;&lt;DisplayText&gt;Harland, &amp;quot;Violent Youth Culture in Northern Ireland: Young Men, Violence, and the Challenges of Peacebuilding.&amp;quot;&lt;/DisplayText&gt;&lt;record&gt;&lt;rec-number&gt;230&lt;/rec-number&gt;&lt;foreign-keys&gt;&lt;key app="EN" db-id="s0ftft29jf2psaezx93xwz5s00fwpa9avrwv"&gt;230&lt;/key&gt;&lt;/foreign-keys&gt;&lt;ref-type name="Journal Article"&gt;17&lt;/ref-type&gt;&lt;contributors&gt;&lt;authors&gt;&lt;author&gt;Harland, Ken&lt;/author&gt;&lt;/authors&gt;&lt;/contributors&gt;&lt;titles&gt;&lt;title&gt;Violent Youth Culture in Northern Ireland: Young Men, Violence, and the Challenges of Peacebuilding&lt;/title&gt;&lt;secondary-title&gt;Youth and Society&lt;/secondary-title&gt;&lt;/titles&gt;&lt;pages&gt;pp. 414-432&lt;/pages&gt;&lt;volume&gt;43 (2)&lt;/volume&gt;&lt;dates&gt;&lt;year&gt;2011&lt;/year&gt;&lt;/dates&gt;&lt;urls&gt;&lt;/urls&gt;&lt;/record&gt;&lt;/Cite&gt;&lt;/EndNote&gt;</w:instrText>
      </w:r>
      <w:r>
        <w:fldChar w:fldCharType="separate"/>
      </w:r>
      <w:r>
        <w:rPr>
          <w:noProof/>
        </w:rPr>
        <w:t>Harland, "Violent Youth Culture in Northern Ireland: Young Men, Violence, and the Challenges of Peacebuilding."</w:t>
      </w:r>
      <w:r>
        <w:fldChar w:fldCharType="end"/>
      </w:r>
    </w:p>
  </w:footnote>
  <w:footnote w:id="618">
    <w:p w14:paraId="1A967522" w14:textId="5A277D54" w:rsidR="007A04F6" w:rsidRDefault="007A04F6" w:rsidP="00406829">
      <w:pPr>
        <w:pStyle w:val="FootnoteText"/>
      </w:pPr>
      <w:r>
        <w:rPr>
          <w:rStyle w:val="FootnoteReference"/>
        </w:rPr>
        <w:footnoteRef/>
      </w:r>
      <w:r>
        <w:t xml:space="preserve"> </w:t>
      </w:r>
      <w:r>
        <w:fldChar w:fldCharType="begin"/>
      </w:r>
      <w:r>
        <w:instrText xml:space="preserve"> ADDIN EN.CITE &lt;EndNote&gt;&lt;Cite&gt;&lt;Author&gt;Benford&lt;/Author&gt;&lt;Year&gt;2000&lt;/Year&gt;&lt;RecNum&gt;186&lt;/RecNum&gt;&lt;DisplayText&gt;Benford and Snow, &amp;quot;Framing Processes and Social Movements: An Overview and Assessment.&amp;quot;&lt;/DisplayText&gt;&lt;record&gt;&lt;rec-number&gt;186&lt;/rec-number&gt;&lt;foreign-keys&gt;&lt;key app="EN" db-id="s0ftft29jf2psaezx93xwz5s00fwpa9avrwv"&gt;186&lt;/key&gt;&lt;/foreign-keys&gt;&lt;ref-type name="Journal Article"&gt;17&lt;/ref-type&gt;&lt;contributors&gt;&lt;authors&gt;&lt;author&gt;Benford, Robert&lt;/author&gt;&lt;author&gt;Snow, David&lt;/author&gt;&lt;/authors&gt;&lt;/contributors&gt;&lt;titles&gt;&lt;title&gt;Framing Processes and Social Movements: An Overview and Assessment&lt;/title&gt;&lt;secondary-title&gt;Annual Review of Sociology&lt;/secondary-title&gt;&lt;/titles&gt;&lt;pages&gt;pp. 611-639&lt;/pages&gt;&lt;volume&gt;26 (1)&lt;/volume&gt;&lt;dates&gt;&lt;year&gt;2000&lt;/year&gt;&lt;/dates&gt;&lt;urls&gt;&lt;/urls&gt;&lt;/record&gt;&lt;/Cite&gt;&lt;/EndNote&gt;</w:instrText>
      </w:r>
      <w:r>
        <w:fldChar w:fldCharType="separate"/>
      </w:r>
      <w:r>
        <w:rPr>
          <w:noProof/>
        </w:rPr>
        <w:t>Benford and Snow, "Framing Processes and Social Movements: An Overview and Assessment."</w:t>
      </w:r>
      <w:r>
        <w:fldChar w:fldCharType="end"/>
      </w:r>
    </w:p>
  </w:footnote>
  <w:footnote w:id="619">
    <w:p w14:paraId="19186183" w14:textId="5C17F2E7" w:rsidR="007A04F6" w:rsidRDefault="007A04F6" w:rsidP="00406829">
      <w:pPr>
        <w:pStyle w:val="FootnoteText"/>
      </w:pPr>
      <w:r>
        <w:rPr>
          <w:rStyle w:val="FootnoteReference"/>
        </w:rPr>
        <w:footnoteRef/>
      </w:r>
      <w:r>
        <w:t xml:space="preserve"> </w:t>
      </w:r>
      <w:r>
        <w:fldChar w:fldCharType="begin"/>
      </w:r>
      <w:r>
        <w:instrText xml:space="preserve"> ADDIN EN.CITE &lt;EndNote&gt;&lt;Cite&gt;&lt;Author&gt;Byrne&lt;/Author&gt;&lt;Year&gt;2005&lt;/Year&gt;&lt;RecNum&gt;290&lt;/RecNum&gt;&lt;DisplayText&gt;Jonny Byrne, Mary Conway, and Malcolm Ostermeyer, &amp;quot;Young People&amp;apos;s Attitudes and Experiences of Policing, Violence and Community Safety in North Belfast,&amp;quot; (Institute for Conflict Research, 2005).&lt;/DisplayText&gt;&lt;record&gt;&lt;rec-number&gt;290&lt;/rec-number&gt;&lt;foreign-keys&gt;&lt;key app="EN" db-id="s0ftft29jf2psaezx93xwz5s00fwpa9avrwv"&gt;290&lt;/key&gt;&lt;/foreign-keys&gt;&lt;ref-type name="Report"&gt;27&lt;/ref-type&gt;&lt;contributors&gt;&lt;authors&gt;&lt;author&gt;Byrne, Jonny&lt;/author&gt;&lt;author&gt;Conway, Mary&lt;/author&gt;&lt;author&gt;Ostermeyer, Malcolm&lt;/author&gt;&lt;/authors&gt;&lt;/contributors&gt;&lt;titles&gt;&lt;title&gt;Young People&amp;apos;s Attitudes and Experiences of Policing, Violence and Community Safety in North Belfast&lt;/title&gt;&lt;/titles&gt;&lt;dates&gt;&lt;year&gt;2005&lt;/year&gt;&lt;/dates&gt;&lt;publisher&gt;Institute for Conflict Research&lt;/publisher&gt;&lt;urls&gt;&lt;/urls&gt;&lt;/record&gt;&lt;/Cite&gt;&lt;/EndNote&gt;</w:instrText>
      </w:r>
      <w:r>
        <w:fldChar w:fldCharType="separate"/>
      </w:r>
      <w:r>
        <w:rPr>
          <w:noProof/>
        </w:rPr>
        <w:t>Jonny Byrne, Mary Conway, and Malcolm Ostermeyer, "Young People's Attitudes and Experiences of Policing, Violence and Community Safety in North Belfast," (Institute for Conflict Research, 2005).</w:t>
      </w:r>
      <w:r>
        <w:fldChar w:fldCharType="end"/>
      </w:r>
    </w:p>
  </w:footnote>
  <w:footnote w:id="620">
    <w:p w14:paraId="57618EFE" w14:textId="13B3E0FD" w:rsidR="007A04F6" w:rsidRDefault="007A04F6" w:rsidP="00406829">
      <w:pPr>
        <w:pStyle w:val="FootnoteText"/>
      </w:pPr>
      <w:r>
        <w:rPr>
          <w:rStyle w:val="FootnoteReference"/>
        </w:rPr>
        <w:footnoteRef/>
      </w:r>
      <w:r>
        <w:t xml:space="preserve"> </w:t>
      </w:r>
      <w:r>
        <w:fldChar w:fldCharType="begin"/>
      </w:r>
      <w:r>
        <w:instrText xml:space="preserve"> ADDIN EN.CITE &lt;EndNote&gt;&lt;Cite&gt;&lt;Author&gt;Shirlow&lt;/Author&gt;&lt;Year&gt;2010&lt;/Year&gt;&lt;RecNum&gt;205&lt;/RecNum&gt;&lt;DisplayText&gt;Shirlow et al., &lt;style face="italic"&gt;Abandoning Historical Conflict?: Former Political Prisoners and Reconciliation in Northern Ireland&lt;/style&gt;.&lt;/DisplayText&gt;&lt;record&gt;&lt;rec-number&gt;205&lt;/rec-number&gt;&lt;foreign-keys&gt;&lt;key app="EN" db-id="s0ftft29jf2psaezx93xwz5s00fwpa9avrwv"&gt;205&lt;/key&gt;&lt;/foreign-keys&gt;&lt;ref-type name="Book"&gt;6&lt;/ref-type&gt;&lt;contributors&gt;&lt;authors&gt;&lt;author&gt;Shirlow, Peter&lt;/author&gt;&lt;author&gt;Tonge, Jonathan&lt;/author&gt;&lt;author&gt;McAuley, James&lt;/author&gt;&lt;author&gt;McGlynn, Catherine&lt;/author&gt;&lt;/authors&gt;&lt;/contributors&gt;&lt;titles&gt;&lt;title&gt;Abandoning Historical Conflict?: Former political prisoners and reconciliation in Northern Ireland&lt;/title&gt;&lt;/titles&gt;&lt;dates&gt;&lt;year&gt;2010&lt;/year&gt;&lt;/dates&gt;&lt;pub-location&gt;Manchester&lt;/pub-location&gt;&lt;publisher&gt;Manchester University Press&lt;/publisher&gt;&lt;urls&gt;&lt;/urls&gt;&lt;/record&gt;&lt;/Cite&gt;&lt;/EndNote&gt;</w:instrText>
      </w:r>
      <w:r>
        <w:fldChar w:fldCharType="separate"/>
      </w:r>
      <w:r>
        <w:rPr>
          <w:noProof/>
        </w:rPr>
        <w:t xml:space="preserve">Shirlow et al., </w:t>
      </w:r>
      <w:r w:rsidRPr="003D17E7">
        <w:rPr>
          <w:i/>
          <w:noProof/>
        </w:rPr>
        <w:t>Abandoning Historical Conflict?: Former Political Prisoners and Reconciliation in Northern Ireland</w:t>
      </w:r>
      <w:r>
        <w:rPr>
          <w:noProof/>
        </w:rPr>
        <w:t>.</w:t>
      </w:r>
      <w:r>
        <w:fldChar w:fldCharType="end"/>
      </w:r>
    </w:p>
  </w:footnote>
  <w:footnote w:id="621">
    <w:p w14:paraId="54B78D26" w14:textId="77777777" w:rsidR="007A04F6" w:rsidRDefault="007A04F6">
      <w:pPr>
        <w:pStyle w:val="FootnoteText"/>
      </w:pPr>
      <w:r>
        <w:rPr>
          <w:rStyle w:val="FootnoteReference"/>
        </w:rPr>
        <w:footnoteRef/>
      </w:r>
      <w:r>
        <w:t xml:space="preserve"> Interview, Former Provisional IRA Member 5, Belfast, 3rd September 2013</w:t>
      </w:r>
    </w:p>
  </w:footnote>
  <w:footnote w:id="622">
    <w:p w14:paraId="20AED3B5" w14:textId="77777777" w:rsidR="007A04F6" w:rsidRDefault="007A04F6">
      <w:pPr>
        <w:pStyle w:val="FootnoteText"/>
      </w:pPr>
      <w:r>
        <w:rPr>
          <w:rStyle w:val="FootnoteReference"/>
        </w:rPr>
        <w:footnoteRef/>
      </w:r>
      <w:r>
        <w:t xml:space="preserve"> Interview, Former Provisional IRA Member 4, Belfast, 3rd September 2013</w:t>
      </w:r>
    </w:p>
  </w:footnote>
  <w:footnote w:id="623">
    <w:p w14:paraId="6DFC859E" w14:textId="77777777" w:rsidR="007A04F6" w:rsidRDefault="007A04F6" w:rsidP="00544CBF">
      <w:pPr>
        <w:pStyle w:val="FootnoteText"/>
      </w:pPr>
      <w:r>
        <w:rPr>
          <w:rStyle w:val="FootnoteReference"/>
        </w:rPr>
        <w:footnoteRef/>
      </w:r>
      <w:r>
        <w:t xml:space="preserve"> Interview, Community Worker CH, Belfast, 30th August 2013</w:t>
      </w:r>
    </w:p>
  </w:footnote>
  <w:footnote w:id="624">
    <w:p w14:paraId="0B9EE774" w14:textId="77777777" w:rsidR="007A04F6" w:rsidRDefault="007A04F6" w:rsidP="00544CBF">
      <w:pPr>
        <w:pStyle w:val="FootnoteText"/>
      </w:pPr>
      <w:r>
        <w:rPr>
          <w:rStyle w:val="FootnoteReference"/>
        </w:rPr>
        <w:footnoteRef/>
      </w:r>
      <w:r>
        <w:t xml:space="preserve"> Interview, Former Provisional IRA Member 5, Belfast, 3rd September 2013</w:t>
      </w:r>
    </w:p>
  </w:footnote>
  <w:footnote w:id="625">
    <w:p w14:paraId="55DC374F" w14:textId="29743AFA" w:rsidR="007A04F6" w:rsidRDefault="007A04F6">
      <w:pPr>
        <w:pStyle w:val="FootnoteText"/>
      </w:pPr>
      <w:r>
        <w:rPr>
          <w:rStyle w:val="FootnoteReference"/>
        </w:rPr>
        <w:footnoteRef/>
      </w:r>
      <w:r>
        <w:t xml:space="preserve"> </w:t>
      </w:r>
      <w:r>
        <w:fldChar w:fldCharType="begin"/>
      </w:r>
      <w:r>
        <w:instrText xml:space="preserve"> ADDIN EN.CITE &lt;EndNote&gt;&lt;Cite&gt;&lt;Author&gt;Snow&lt;/Author&gt;&lt;Year&gt;1986&lt;/Year&gt;&lt;RecNum&gt;187&lt;/RecNum&gt;&lt;DisplayText&gt;Snow et al., &amp;quot;Frame Alignment Processes, Micromobilization, and Movement Participation.&amp;quot;&lt;/DisplayText&gt;&lt;record&gt;&lt;rec-number&gt;187&lt;/rec-number&gt;&lt;foreign-keys&gt;&lt;key app="EN" db-id="s0ftft29jf2psaezx93xwz5s00fwpa9avrwv"&gt;187&lt;/key&gt;&lt;/foreign-keys&gt;&lt;ref-type name="Journal Article"&gt;17&lt;/ref-type&gt;&lt;contributors&gt;&lt;authors&gt;&lt;author&gt;Snow, David&lt;/author&gt;&lt;author&gt;Rochford, E. Burke&lt;/author&gt;&lt;author&gt;Worden, Steven&lt;/author&gt;&lt;author&gt;Benford, Robert&lt;/author&gt;&lt;/authors&gt;&lt;/contributors&gt;&lt;titles&gt;&lt;title&gt;Frame Alignment Processes, Micromobilization, and Movement Participation&lt;/title&gt;&lt;secondary-title&gt;American Sociological Review&lt;/secondary-title&gt;&lt;/titles&gt;&lt;pages&gt;pp. 464-481&lt;/pages&gt;&lt;volume&gt;54 (4)&lt;/volume&gt;&lt;dates&gt;&lt;year&gt;1986&lt;/year&gt;&lt;/dates&gt;&lt;urls&gt;&lt;/urls&gt;&lt;/record&gt;&lt;/Cite&gt;&lt;/EndNote&gt;</w:instrText>
      </w:r>
      <w:r>
        <w:fldChar w:fldCharType="separate"/>
      </w:r>
      <w:r>
        <w:rPr>
          <w:noProof/>
        </w:rPr>
        <w:t>Snow et al., "Frame Alignment Processes, Micromobilization, and Movement Participation."</w:t>
      </w:r>
      <w:r>
        <w:fldChar w:fldCharType="end"/>
      </w:r>
    </w:p>
  </w:footnote>
  <w:footnote w:id="626">
    <w:p w14:paraId="4A40F9A5" w14:textId="1FB9C21D" w:rsidR="007A04F6" w:rsidRDefault="007A04F6">
      <w:pPr>
        <w:pStyle w:val="FootnoteText"/>
      </w:pPr>
      <w:r>
        <w:rPr>
          <w:rStyle w:val="FootnoteReference"/>
        </w:rPr>
        <w:footnoteRef/>
      </w:r>
      <w:r>
        <w:t xml:space="preserve"> Interview, Academic/Project Manager, Belfast, 2nd September 2013</w:t>
      </w:r>
    </w:p>
  </w:footnote>
  <w:footnote w:id="627">
    <w:p w14:paraId="4933B41C" w14:textId="4A0027F2" w:rsidR="007A04F6" w:rsidRDefault="007A04F6">
      <w:pPr>
        <w:pStyle w:val="FootnoteText"/>
      </w:pPr>
      <w:r>
        <w:rPr>
          <w:rStyle w:val="FootnoteReference"/>
        </w:rPr>
        <w:footnoteRef/>
      </w:r>
      <w:r>
        <w:t xml:space="preserve"> See </w:t>
      </w:r>
      <w:r>
        <w:fldChar w:fldCharType="begin"/>
      </w:r>
      <w:r>
        <w:instrText xml:space="preserve"> ADDIN EN.CITE &lt;EndNote&gt;&lt;Cite&gt;&lt;Author&gt;Horgan&lt;/Author&gt;&lt;Year&gt;2010&lt;/Year&gt;&lt;RecNum&gt;225&lt;/RecNum&gt;&lt;DisplayText&gt;Horgan and Altier, &amp;quot;The Future of Terrorist De-Radicalization Programs.&amp;quot;&lt;/DisplayText&gt;&lt;record&gt;&lt;rec-number&gt;225&lt;/rec-number&gt;&lt;foreign-keys&gt;&lt;key app="EN" db-id="s0ftft29jf2psaezx93xwz5s00fwpa9avrwv"&gt;225&lt;/key&gt;&lt;/foreign-keys&gt;&lt;ref-type name="Journal Article"&gt;17&lt;/ref-type&gt;&lt;contributors&gt;&lt;authors&gt;&lt;author&gt;Horgan, John &lt;/author&gt;&lt;author&gt;Altier, Mary Beth&lt;/author&gt;&lt;/authors&gt;&lt;/contributors&gt;&lt;titles&gt;&lt;title&gt;The Future of Terrorist De-Radicalization Programs&lt;/title&gt;&lt;secondary-title&gt;Georgetown Journal of International Affairs&lt;/secondary-title&gt;&lt;/titles&gt;&lt;pages&gt;pp. 83&lt;/pages&gt;&lt;volume&gt;13&lt;/volume&gt;&lt;dates&gt;&lt;year&gt;2010&lt;/year&gt;&lt;/dates&gt;&lt;urls&gt;&lt;/urls&gt;&lt;/record&gt;&lt;/Cite&gt;&lt;/EndNote&gt;</w:instrText>
      </w:r>
      <w:r>
        <w:fldChar w:fldCharType="separate"/>
      </w:r>
      <w:r>
        <w:rPr>
          <w:noProof/>
        </w:rPr>
        <w:t>Horgan and Altier, "The Future of Terrorist De-Radicalization Programs."</w:t>
      </w:r>
      <w:r>
        <w:fldChar w:fldCharType="end"/>
      </w:r>
      <w:r>
        <w:t xml:space="preserve"> </w:t>
      </w:r>
    </w:p>
  </w:footnote>
  <w:footnote w:id="628">
    <w:p w14:paraId="6A21F3BA" w14:textId="21D8A56A" w:rsidR="007A04F6" w:rsidRDefault="007A04F6" w:rsidP="00544CBF">
      <w:pPr>
        <w:pStyle w:val="FootnoteText"/>
      </w:pPr>
      <w:r>
        <w:rPr>
          <w:rStyle w:val="FootnoteReference"/>
        </w:rPr>
        <w:footnoteRef/>
      </w:r>
      <w:r>
        <w:t xml:space="preserve"> </w:t>
      </w:r>
      <w:r>
        <w:fldChar w:fldCharType="begin"/>
      </w:r>
      <w:r>
        <w:instrText xml:space="preserve"> ADDIN EN.CITE &lt;EndNote&gt;&lt;Cite&gt;&lt;Author&gt;CFNI&lt;/Author&gt;&lt;Year&gt;2012&lt;/Year&gt;&lt;RecNum&gt;278&lt;/RecNum&gt;&lt;DisplayText&gt;CFNI, &amp;quot;From Prison to Peace: Learning from the Experience of Political Ex-Prisoners.&amp;quot;&lt;/DisplayText&gt;&lt;record&gt;&lt;rec-number&gt;278&lt;/rec-number&gt;&lt;foreign-keys&gt;&lt;key app="EN" db-id="s0ftft29jf2psaezx93xwz5s00fwpa9avrwv"&gt;278&lt;/key&gt;&lt;/foreign-keys&gt;&lt;ref-type name="Report"&gt;27&lt;/ref-type&gt;&lt;contributors&gt;&lt;authors&gt;&lt;author&gt;CFNI&lt;/author&gt;&lt;/authors&gt;&lt;/contributors&gt;&lt;titles&gt;&lt;title&gt;From Prison to Peace: Learning from the experience of political ex-prisoners&lt;/title&gt;&lt;/titles&gt;&lt;dates&gt;&lt;year&gt;2012&lt;/year&gt;&lt;/dates&gt;&lt;pub-location&gt;Belfast&lt;/pub-location&gt;&lt;publisher&gt;Community Foundation for Northern Ireland&lt;/publisher&gt;&lt;urls&gt;&lt;/urls&gt;&lt;/record&gt;&lt;/Cite&gt;&lt;/EndNote&gt;</w:instrText>
      </w:r>
      <w:r>
        <w:fldChar w:fldCharType="separate"/>
      </w:r>
      <w:r>
        <w:rPr>
          <w:noProof/>
        </w:rPr>
        <w:t>CFNI, "From Prison to Peace: Learning from the Experience of Political Ex-Prisoners."</w:t>
      </w:r>
      <w:r>
        <w:fldChar w:fldCharType="end"/>
      </w:r>
    </w:p>
  </w:footnote>
  <w:footnote w:id="629">
    <w:p w14:paraId="4B876875" w14:textId="4E2D8E36" w:rsidR="007A04F6" w:rsidRDefault="007A04F6">
      <w:pPr>
        <w:pStyle w:val="FootnoteText"/>
      </w:pPr>
      <w:r>
        <w:rPr>
          <w:rStyle w:val="FootnoteReference"/>
        </w:rPr>
        <w:footnoteRef/>
      </w:r>
      <w:r>
        <w:t xml:space="preserve"> </w:t>
      </w:r>
      <w:r>
        <w:rPr>
          <w:rFonts w:eastAsia="Times New Roman" w:cs="Times New Roman"/>
          <w:color w:val="000000"/>
        </w:rPr>
        <w:t>Although they disagree on what should be de-legitimised and whether this should be unconditional.</w:t>
      </w:r>
    </w:p>
  </w:footnote>
  <w:footnote w:id="630">
    <w:p w14:paraId="4EC35018" w14:textId="3D92545B" w:rsidR="007A04F6" w:rsidRDefault="007A04F6">
      <w:pPr>
        <w:pStyle w:val="FootnoteText"/>
      </w:pPr>
      <w:r>
        <w:rPr>
          <w:rStyle w:val="FootnoteReference"/>
        </w:rPr>
        <w:footnoteRef/>
      </w:r>
      <w:r>
        <w:t xml:space="preserve"> </w:t>
      </w:r>
      <w:r>
        <w:fldChar w:fldCharType="begin"/>
      </w:r>
      <w:r>
        <w:instrText xml:space="preserve"> ADDIN EN.CITE &lt;EndNote&gt;&lt;Cite&gt;&lt;Author&gt;Fishbein&lt;/Author&gt;&lt;Year&gt;2011&lt;/Year&gt;&lt;RecNum&gt;223&lt;/RecNum&gt;&lt;DisplayText&gt;Fishbein and Ajzen, &lt;style face="italic"&gt;Predicting and Changing Behavior: The Reasoned Action Approach&lt;/style&gt;.&lt;/DisplayText&gt;&lt;record&gt;&lt;rec-number&gt;223&lt;/rec-number&gt;&lt;foreign-keys&gt;&lt;key app="EN" db-id="s0ftft29jf2psaezx93xwz5s00fwpa9avrwv"&gt;223&lt;/key&gt;&lt;/foreign-keys&gt;&lt;ref-type name="Book"&gt;6&lt;/ref-type&gt;&lt;contributors&gt;&lt;authors&gt;&lt;author&gt;Fishbein, Martin&lt;/author&gt;&lt;author&gt;Ajzen, Icek&lt;/author&gt;&lt;/authors&gt;&lt;/contributors&gt;&lt;titles&gt;&lt;title&gt;Predicting and Changing Behavior: The Reasoned Action Approach&lt;/title&gt;&lt;/titles&gt;&lt;dates&gt;&lt;year&gt;2011&lt;/year&gt;&lt;/dates&gt;&lt;pub-location&gt;New York&lt;/pub-location&gt;&lt;publisher&gt;Psychology Press - Taylor Francis Group&lt;/publisher&gt;&lt;urls&gt;&lt;/urls&gt;&lt;/record&gt;&lt;/Cite&gt;&lt;/EndNote&gt;</w:instrText>
      </w:r>
      <w:r>
        <w:fldChar w:fldCharType="separate"/>
      </w:r>
      <w:r>
        <w:rPr>
          <w:noProof/>
        </w:rPr>
        <w:t xml:space="preserve">Fishbein and Ajzen, </w:t>
      </w:r>
      <w:r w:rsidRPr="003D17E7">
        <w:rPr>
          <w:i/>
          <w:noProof/>
        </w:rPr>
        <w:t>Predicting and Changing Behavior: The Reasoned Action Approach</w:t>
      </w:r>
      <w:r>
        <w:rPr>
          <w:noProof/>
        </w:rPr>
        <w:t>.</w:t>
      </w:r>
      <w:r>
        <w:fldChar w:fldCharType="end"/>
      </w:r>
    </w:p>
  </w:footnote>
  <w:footnote w:id="631">
    <w:p w14:paraId="1B547523" w14:textId="28874A08" w:rsidR="007A04F6" w:rsidRDefault="007A04F6">
      <w:pPr>
        <w:pStyle w:val="FootnoteText"/>
      </w:pPr>
      <w:r>
        <w:rPr>
          <w:rStyle w:val="FootnoteReference"/>
        </w:rPr>
        <w:footnoteRef/>
      </w:r>
      <w:r>
        <w:t xml:space="preserve"> Interview, Academic/Project Manager, Belfast, 2nd September 2013</w:t>
      </w:r>
    </w:p>
  </w:footnote>
  <w:footnote w:id="632">
    <w:p w14:paraId="33901551" w14:textId="74B13E77" w:rsidR="007A04F6" w:rsidRDefault="007A04F6">
      <w:pPr>
        <w:pStyle w:val="FootnoteText"/>
      </w:pPr>
      <w:r>
        <w:rPr>
          <w:rStyle w:val="FootnoteReference"/>
        </w:rPr>
        <w:footnoteRef/>
      </w:r>
      <w:r>
        <w:t xml:space="preserve"> </w:t>
      </w:r>
      <w:r>
        <w:fldChar w:fldCharType="begin"/>
      </w:r>
      <w:r>
        <w:instrText xml:space="preserve"> ADDIN EN.CITE &lt;EndNote&gt;&lt;Cite&gt;&lt;Author&gt;McEvoy&lt;/Author&gt;&lt;Year&gt;2000&lt;/Year&gt;&lt;RecNum&gt;233&lt;/RecNum&gt;&lt;DisplayText&gt;McEvoy, &amp;quot;Communities and Peace: Catholic Youth in Northern Ireland.&amp;quot;&lt;/DisplayText&gt;&lt;record&gt;&lt;rec-number&gt;233&lt;/rec-number&gt;&lt;foreign-keys&gt;&lt;key app="EN" db-id="s0ftft29jf2psaezx93xwz5s00fwpa9avrwv"&gt;233&lt;/key&gt;&lt;/foreign-keys&gt;&lt;ref-type name="Journal Article"&gt;17&lt;/ref-type&gt;&lt;contributors&gt;&lt;authors&gt;&lt;author&gt;McEvoy, Siobhan&lt;/author&gt;&lt;/authors&gt;&lt;/contributors&gt;&lt;titles&gt;&lt;title&gt;Communities and Peace: Catholic Youth in Northern Ireland&lt;/title&gt;&lt;secondary-title&gt;Journal of Peace Research&lt;/secondary-title&gt;&lt;/titles&gt;&lt;pages&gt;pp. 85-103&lt;/pages&gt;&lt;volume&gt;37 (1)&lt;/volume&gt;&lt;dates&gt;&lt;year&gt;2000&lt;/year&gt;&lt;/dates&gt;&lt;urls&gt;&lt;/urls&gt;&lt;/record&gt;&lt;/Cite&gt;&lt;/EndNote&gt;</w:instrText>
      </w:r>
      <w:r>
        <w:fldChar w:fldCharType="separate"/>
      </w:r>
      <w:r>
        <w:rPr>
          <w:noProof/>
        </w:rPr>
        <w:t>McEvoy, "Communities and Peace: Catholic Youth in Northern Ireland."</w:t>
      </w:r>
      <w:r>
        <w:fldChar w:fldCharType="end"/>
      </w:r>
    </w:p>
  </w:footnote>
  <w:footnote w:id="633">
    <w:p w14:paraId="398E89BC" w14:textId="6848F4AD" w:rsidR="007A04F6" w:rsidRDefault="007A04F6">
      <w:pPr>
        <w:pStyle w:val="FootnoteText"/>
      </w:pPr>
      <w:r>
        <w:rPr>
          <w:rStyle w:val="FootnoteReference"/>
        </w:rPr>
        <w:footnoteRef/>
      </w:r>
      <w:r>
        <w:t xml:space="preserve"> </w:t>
      </w:r>
      <w:r>
        <w:fldChar w:fldCharType="begin"/>
      </w:r>
      <w:r>
        <w:instrText xml:space="preserve"> ADDIN EN.CITE &lt;EndNote&gt;&lt;Cite&gt;&lt;Author&gt;McEvoy&lt;/Author&gt;&lt;Year&gt;2000&lt;/Year&gt;&lt;RecNum&gt;233&lt;/RecNum&gt;&lt;DisplayText&gt;Ibid.&lt;/DisplayText&gt;&lt;record&gt;&lt;rec-number&gt;233&lt;/rec-number&gt;&lt;foreign-keys&gt;&lt;key app="EN" db-id="s0ftft29jf2psaezx93xwz5s00fwpa9avrwv"&gt;233&lt;/key&gt;&lt;/foreign-keys&gt;&lt;ref-type name="Journal Article"&gt;17&lt;/ref-type&gt;&lt;contributors&gt;&lt;authors&gt;&lt;author&gt;McEvoy, Siobhan&lt;/author&gt;&lt;/authors&gt;&lt;/contributors&gt;&lt;titles&gt;&lt;title&gt;Communities and Peace: Catholic Youth in Northern Ireland&lt;/title&gt;&lt;secondary-title&gt;Journal of Peace Research&lt;/secondary-title&gt;&lt;/titles&gt;&lt;pages&gt;pp. 85-103&lt;/pages&gt;&lt;volume&gt;37 (1)&lt;/volume&gt;&lt;dates&gt;&lt;year&gt;2000&lt;/year&gt;&lt;/dates&gt;&lt;urls&gt;&lt;/urls&gt;&lt;/record&gt;&lt;/Cite&gt;&lt;/EndNote&gt;</w:instrText>
      </w:r>
      <w:r>
        <w:fldChar w:fldCharType="separate"/>
      </w:r>
      <w:r>
        <w:rPr>
          <w:noProof/>
        </w:rPr>
        <w:t>Ibid.</w:t>
      </w:r>
      <w:r>
        <w:fldChar w:fldCharType="end"/>
      </w:r>
    </w:p>
  </w:footnote>
  <w:footnote w:id="634">
    <w:p w14:paraId="2C46CBD0" w14:textId="77777777" w:rsidR="007A04F6" w:rsidRDefault="007A04F6" w:rsidP="003F1356">
      <w:pPr>
        <w:pStyle w:val="FootnoteText"/>
      </w:pPr>
      <w:r>
        <w:rPr>
          <w:rStyle w:val="FootnoteReference"/>
        </w:rPr>
        <w:footnoteRef/>
      </w:r>
      <w:r>
        <w:t xml:space="preserve"> Interview, Academic/Project Manager, Belfast, 2nd September 2013</w:t>
      </w:r>
    </w:p>
  </w:footnote>
  <w:footnote w:id="635">
    <w:p w14:paraId="777EAC62" w14:textId="6216E2AB" w:rsidR="007A04F6" w:rsidRDefault="007A04F6">
      <w:pPr>
        <w:pStyle w:val="FootnoteText"/>
      </w:pPr>
      <w:r>
        <w:rPr>
          <w:rStyle w:val="FootnoteReference"/>
        </w:rPr>
        <w:footnoteRef/>
      </w:r>
      <w:r>
        <w:t xml:space="preserve"> </w:t>
      </w:r>
      <w:r>
        <w:fldChar w:fldCharType="begin"/>
      </w:r>
      <w:r>
        <w:instrText xml:space="preserve"> ADDIN EN.CITE &lt;EndNote&gt;&lt;Cite&gt;&lt;Author&gt;Emerson&lt;/Author&gt;&lt;Year&gt;2014&lt;/Year&gt;&lt;RecNum&gt;316&lt;/RecNum&gt;&lt;DisplayText&gt;Emerson, Connolly, and Orr, &amp;quot;Evaluation of the Effectiveness of the &amp;apos;Prison to Peace: Learning from the Experience of Political Ex-Prisoners&amp;apos; Educational Programme.&amp;quot;&lt;/DisplayText&gt;&lt;record&gt;&lt;rec-number&gt;316&lt;/rec-number&gt;&lt;foreign-keys&gt;&lt;key app="EN" db-id="s0ftft29jf2psaezx93xwz5s00fwpa9avrwv"&gt;316&lt;/key&gt;&lt;/foreign-keys&gt;&lt;ref-type name="Report"&gt;27&lt;/ref-type&gt;&lt;contributors&gt;&lt;authors&gt;&lt;author&gt;Emerson, Lesley&lt;/author&gt;&lt;author&gt;Connolly, Paul&lt;/author&gt;&lt;author&gt;Orr, Karen&lt;/author&gt;&lt;/authors&gt;&lt;/contributors&gt;&lt;titles&gt;&lt;title&gt;Evaluation of the Effectiveness of the &amp;apos;Prison to Peace: learning from the experience of political ex-prisoners&amp;apos; educational programme&lt;/title&gt;&lt;/titles&gt;&lt;dates&gt;&lt;year&gt;2014&lt;/year&gt;&lt;/dates&gt;&lt;pub-location&gt;Belfast: Centre for Effective Education&lt;/pub-location&gt;&lt;publisher&gt;Queen&amp;apos;s University Belfast&lt;/publisher&gt;&lt;urls&gt;&lt;/urls&gt;&lt;/record&gt;&lt;/Cite&gt;&lt;/EndNote&gt;</w:instrText>
      </w:r>
      <w:r>
        <w:fldChar w:fldCharType="separate"/>
      </w:r>
      <w:r>
        <w:rPr>
          <w:noProof/>
        </w:rPr>
        <w:t>Emerson, Connolly, and Orr, "Evaluation of the Effectiveness of the 'Prison to Peace: Learning from the Experience of Political Ex-Prisoners' Educational Programme."</w:t>
      </w:r>
      <w:r>
        <w:fldChar w:fldCharType="end"/>
      </w:r>
    </w:p>
  </w:footnote>
  <w:footnote w:id="636">
    <w:p w14:paraId="3305AE39" w14:textId="77777777" w:rsidR="007A04F6" w:rsidRDefault="007A04F6" w:rsidP="00B21054">
      <w:pPr>
        <w:pStyle w:val="FootnoteText"/>
      </w:pPr>
      <w:r>
        <w:rPr>
          <w:rStyle w:val="FootnoteReference"/>
        </w:rPr>
        <w:footnoteRef/>
      </w:r>
      <w:r>
        <w:t xml:space="preserve"> Interview, Academic/Project Manager, Belfast, 2nd September 2013</w:t>
      </w:r>
    </w:p>
  </w:footnote>
  <w:footnote w:id="637">
    <w:p w14:paraId="7BF99B5E" w14:textId="77777777" w:rsidR="007A04F6" w:rsidRDefault="007A04F6" w:rsidP="00B21054">
      <w:pPr>
        <w:pStyle w:val="FootnoteText"/>
      </w:pPr>
      <w:r>
        <w:rPr>
          <w:rStyle w:val="FootnoteReference"/>
        </w:rPr>
        <w:footnoteRef/>
      </w:r>
      <w:r>
        <w:t xml:space="preserve"> Interview, Academic/Project Manager, Belfast, 2nd September 2013</w:t>
      </w:r>
    </w:p>
  </w:footnote>
  <w:footnote w:id="638">
    <w:p w14:paraId="31CA5D1C" w14:textId="77777777" w:rsidR="007A04F6" w:rsidRDefault="007A04F6" w:rsidP="00B21054">
      <w:pPr>
        <w:pStyle w:val="FootnoteText"/>
      </w:pPr>
      <w:r>
        <w:rPr>
          <w:rStyle w:val="FootnoteReference"/>
        </w:rPr>
        <w:footnoteRef/>
      </w:r>
      <w:r>
        <w:t xml:space="preserve"> Interview, Academic/Project Manager, Belfast, 2nd September 2013</w:t>
      </w:r>
    </w:p>
  </w:footnote>
  <w:footnote w:id="639">
    <w:p w14:paraId="3B62CDAB" w14:textId="77777777" w:rsidR="007A04F6" w:rsidRDefault="007A04F6" w:rsidP="00F96A7E">
      <w:pPr>
        <w:pStyle w:val="FootnoteText"/>
      </w:pPr>
      <w:r>
        <w:rPr>
          <w:rStyle w:val="FootnoteReference"/>
        </w:rPr>
        <w:footnoteRef/>
      </w:r>
      <w:r>
        <w:t xml:space="preserve"> Interview, Academic/Project Manager, Belfast, 2nd September 2013</w:t>
      </w:r>
    </w:p>
  </w:footnote>
  <w:footnote w:id="640">
    <w:p w14:paraId="5878F26F" w14:textId="77777777" w:rsidR="007A04F6" w:rsidRPr="00A360A7" w:rsidRDefault="007A04F6" w:rsidP="00A360A7">
      <w:pPr>
        <w:pStyle w:val="NoSpacing"/>
        <w:rPr>
          <w:rFonts w:ascii="Times New Roman" w:hAnsi="Times New Roman" w:cs="Times New Roman"/>
          <w:sz w:val="21"/>
          <w:szCs w:val="21"/>
        </w:rPr>
      </w:pPr>
      <w:r w:rsidRPr="00A360A7">
        <w:rPr>
          <w:rStyle w:val="FootnoteReference"/>
          <w:rFonts w:ascii="Times New Roman" w:hAnsi="Times New Roman" w:cs="Times New Roman"/>
          <w:sz w:val="21"/>
          <w:szCs w:val="21"/>
        </w:rPr>
        <w:footnoteRef/>
      </w:r>
      <w:r w:rsidRPr="00A360A7">
        <w:rPr>
          <w:rFonts w:ascii="Times New Roman" w:hAnsi="Times New Roman" w:cs="Times New Roman"/>
          <w:sz w:val="21"/>
          <w:szCs w:val="21"/>
        </w:rPr>
        <w:t xml:space="preserve"> </w:t>
      </w:r>
      <w:r>
        <w:rPr>
          <w:rFonts w:ascii="Times New Roman" w:hAnsi="Times New Roman" w:cs="Times New Roman"/>
          <w:sz w:val="21"/>
          <w:szCs w:val="21"/>
        </w:rPr>
        <w:t>Interview, F</w:t>
      </w:r>
      <w:r w:rsidRPr="00A360A7">
        <w:rPr>
          <w:rFonts w:ascii="Times New Roman" w:hAnsi="Times New Roman" w:cs="Times New Roman"/>
          <w:sz w:val="21"/>
          <w:szCs w:val="21"/>
        </w:rPr>
        <w:t xml:space="preserve">ormer Provisional IRA </w:t>
      </w:r>
      <w:r>
        <w:rPr>
          <w:rFonts w:ascii="Times New Roman" w:hAnsi="Times New Roman" w:cs="Times New Roman"/>
          <w:sz w:val="21"/>
          <w:szCs w:val="21"/>
        </w:rPr>
        <w:t>M</w:t>
      </w:r>
      <w:r w:rsidRPr="00A360A7">
        <w:rPr>
          <w:rFonts w:ascii="Times New Roman" w:hAnsi="Times New Roman" w:cs="Times New Roman"/>
          <w:sz w:val="21"/>
          <w:szCs w:val="21"/>
        </w:rPr>
        <w:t>ember 1,</w:t>
      </w:r>
      <w:r>
        <w:rPr>
          <w:rFonts w:ascii="Times New Roman" w:hAnsi="Times New Roman" w:cs="Times New Roman"/>
          <w:sz w:val="21"/>
          <w:szCs w:val="21"/>
        </w:rPr>
        <w:t xml:space="preserve"> Belfast,</w:t>
      </w:r>
      <w:r w:rsidRPr="00A360A7">
        <w:rPr>
          <w:rFonts w:ascii="Times New Roman" w:hAnsi="Times New Roman" w:cs="Times New Roman"/>
          <w:sz w:val="21"/>
          <w:szCs w:val="21"/>
        </w:rPr>
        <w:t xml:space="preserve"> 22</w:t>
      </w:r>
      <w:r w:rsidRPr="00A360A7">
        <w:rPr>
          <w:rFonts w:ascii="Times New Roman" w:hAnsi="Times New Roman" w:cs="Times New Roman"/>
          <w:sz w:val="21"/>
          <w:szCs w:val="21"/>
          <w:vertAlign w:val="superscript"/>
        </w:rPr>
        <w:t>nd</w:t>
      </w:r>
      <w:r w:rsidRPr="00A360A7">
        <w:rPr>
          <w:rFonts w:ascii="Times New Roman" w:hAnsi="Times New Roman" w:cs="Times New Roman"/>
          <w:sz w:val="21"/>
          <w:szCs w:val="21"/>
        </w:rPr>
        <w:t xml:space="preserve"> August 2013</w:t>
      </w:r>
      <w:r>
        <w:rPr>
          <w:rFonts w:ascii="Times New Roman" w:hAnsi="Times New Roman" w:cs="Times New Roman"/>
          <w:sz w:val="21"/>
          <w:szCs w:val="21"/>
        </w:rPr>
        <w:t>;</w:t>
      </w:r>
      <w:r w:rsidRPr="00A360A7">
        <w:rPr>
          <w:rFonts w:ascii="Times New Roman" w:hAnsi="Times New Roman" w:cs="Times New Roman"/>
          <w:sz w:val="21"/>
          <w:szCs w:val="21"/>
        </w:rPr>
        <w:t xml:space="preserve"> Sinn Fein Youth Focus Group, Female 2, Belfast, 11</w:t>
      </w:r>
      <w:r w:rsidRPr="00A360A7">
        <w:rPr>
          <w:rFonts w:ascii="Times New Roman" w:hAnsi="Times New Roman" w:cs="Times New Roman"/>
          <w:sz w:val="21"/>
          <w:szCs w:val="21"/>
          <w:vertAlign w:val="superscript"/>
        </w:rPr>
        <w:t>th</w:t>
      </w:r>
      <w:r w:rsidRPr="00A360A7">
        <w:rPr>
          <w:rFonts w:ascii="Times New Roman" w:hAnsi="Times New Roman" w:cs="Times New Roman"/>
          <w:sz w:val="21"/>
          <w:szCs w:val="21"/>
        </w:rPr>
        <w:t xml:space="preserve"> September 2013</w:t>
      </w:r>
    </w:p>
  </w:footnote>
  <w:footnote w:id="641">
    <w:p w14:paraId="32F979F2" w14:textId="77777777" w:rsidR="007A04F6" w:rsidRDefault="007A04F6" w:rsidP="00F96A7E">
      <w:pPr>
        <w:pStyle w:val="FootnoteText"/>
      </w:pPr>
      <w:r>
        <w:rPr>
          <w:rStyle w:val="FootnoteReference"/>
        </w:rPr>
        <w:footnoteRef/>
      </w:r>
      <w:r>
        <w:t xml:space="preserve"> Interview, Academic/Project Manager, Belfast, 2nd September 2013</w:t>
      </w:r>
    </w:p>
  </w:footnote>
  <w:footnote w:id="642">
    <w:p w14:paraId="27C808CA" w14:textId="550877C2" w:rsidR="007A04F6" w:rsidRDefault="007A04F6">
      <w:pPr>
        <w:pStyle w:val="FootnoteText"/>
      </w:pPr>
      <w:r>
        <w:rPr>
          <w:rStyle w:val="FootnoteReference"/>
        </w:rPr>
        <w:footnoteRef/>
      </w:r>
      <w:r>
        <w:t xml:space="preserve"> </w:t>
      </w:r>
      <w:r>
        <w:fldChar w:fldCharType="begin"/>
      </w:r>
      <w:r>
        <w:instrText xml:space="preserve"> ADDIN EN.CITE &lt;EndNote&gt;&lt;Cite&gt;&lt;Author&gt;Ashour&lt;/Author&gt;&lt;Year&gt;2009&lt;/Year&gt;&lt;RecNum&gt;27&lt;/RecNum&gt;&lt;DisplayText&gt;Ashour, &lt;style face="italic"&gt;The De-Radicalization of Jihadists: Transforming Armed Islamist Movements&lt;/style&gt;.&lt;/DisplayText&gt;&lt;record&gt;&lt;rec-number&gt;27&lt;/rec-number&gt;&lt;foreign-keys&gt;&lt;key app="EN" db-id="s0ftft29jf2psaezx93xwz5s00fwpa9avrwv"&gt;27&lt;/key&gt;&lt;/foreign-keys&gt;&lt;ref-type name="Book"&gt;6&lt;/ref-type&gt;&lt;contributors&gt;&lt;authors&gt;&lt;author&gt;Ashour, Omar&lt;/author&gt;&lt;/authors&gt;&lt;/contributors&gt;&lt;titles&gt;&lt;title&gt;The de-radicalization of Jihadists: transforming armed Islamist movements&lt;/title&gt;&lt;/titles&gt;&lt;keywords&gt;&lt;keyword&gt;Terrorism Prevention.&lt;/keyword&gt;&lt;keyword&gt;Jihad.&lt;/keyword&gt;&lt;/keywords&gt;&lt;dates&gt;&lt;year&gt;2009&lt;/year&gt;&lt;/dates&gt;&lt;pub-location&gt;London&lt;/pub-location&gt;&lt;publisher&gt;Routledge&lt;/publisher&gt;&lt;isbn&gt;9780415485456 (hbk.)&amp;#xD;0415485452 (hbk.)&amp;#xD;9780203877098 (ebk.)&amp;#xD;0203877098 (ebk.)&lt;/isbn&gt;&lt;call-num&gt;1.&amp;#xD;Brotherton West floor&amp;amp;nbsp;2 Politics D-0 ASH DUE 11-06-11&lt;/call-num&gt;&lt;urls&gt;&lt;/urls&gt;&lt;/record&gt;&lt;/Cite&gt;&lt;/EndNote&gt;</w:instrText>
      </w:r>
      <w:r>
        <w:fldChar w:fldCharType="separate"/>
      </w:r>
      <w:r>
        <w:rPr>
          <w:noProof/>
        </w:rPr>
        <w:t xml:space="preserve">Ashour, </w:t>
      </w:r>
      <w:r w:rsidRPr="003D17E7">
        <w:rPr>
          <w:i/>
          <w:noProof/>
        </w:rPr>
        <w:t>The De-Radicalization of Jihadists: Transforming Armed Islamist Movements</w:t>
      </w:r>
      <w:r>
        <w:rPr>
          <w:noProof/>
        </w:rPr>
        <w:t>.</w:t>
      </w:r>
      <w:r>
        <w:fldChar w:fldCharType="end"/>
      </w:r>
    </w:p>
  </w:footnote>
  <w:footnote w:id="643">
    <w:p w14:paraId="4005F8FC" w14:textId="68482586" w:rsidR="007A04F6" w:rsidRDefault="007A04F6" w:rsidP="006A5615">
      <w:pPr>
        <w:pStyle w:val="FootnoteText"/>
      </w:pPr>
      <w:r>
        <w:rPr>
          <w:rStyle w:val="FootnoteReference"/>
        </w:rPr>
        <w:footnoteRef/>
      </w:r>
      <w:r>
        <w:t xml:space="preserve"> </w:t>
      </w:r>
      <w:r>
        <w:fldChar w:fldCharType="begin"/>
      </w:r>
      <w:r>
        <w:instrText xml:space="preserve"> ADDIN EN.CITE &lt;EndNote&gt;&lt;Cite&gt;&lt;Author&gt;Silke&lt;/Author&gt;&lt;Year&gt;2011&lt;/Year&gt;&lt;RecNum&gt;155&lt;/RecNum&gt;&lt;DisplayText&gt;Silke, &amp;quot;Disengagement or Deradicalization: A Look at Prison Programs for Jailed Terrorists.&amp;quot;&lt;/DisplayText&gt;&lt;record&gt;&lt;rec-number&gt;155&lt;/rec-number&gt;&lt;foreign-keys&gt;&lt;key app="EN" db-id="s0ftft29jf2psaezx93xwz5s00fwpa9avrwv"&gt;155&lt;/key&gt;&lt;/foreign-keys&gt;&lt;ref-type name="Journal Article"&gt;17&lt;/ref-type&gt;&lt;contributors&gt;&lt;authors&gt;&lt;author&gt;Silke, Andrew&lt;/author&gt;&lt;/authors&gt;&lt;/contributors&gt;&lt;titles&gt;&lt;title&gt;Disengagement or Deradicalization: A Look at Prison Programs for Jailed Terrorists&lt;/title&gt;&lt;secondary-title&gt;CTC Sentinel&lt;/secondary-title&gt;&lt;/titles&gt;&lt;pages&gt;pp. 18-21&lt;/pages&gt;&lt;volume&gt;4 (1)&lt;/volume&gt;&lt;dates&gt;&lt;year&gt;2011&lt;/year&gt;&lt;/dates&gt;&lt;urls&gt;&lt;/urls&gt;&lt;/record&gt;&lt;/Cite&gt;&lt;/EndNote&gt;</w:instrText>
      </w:r>
      <w:r>
        <w:fldChar w:fldCharType="separate"/>
      </w:r>
      <w:r>
        <w:rPr>
          <w:noProof/>
        </w:rPr>
        <w:t>Silke, "Disengagement or Deradicalization: A Look at Prison Programs for Jailed Terrorists."</w:t>
      </w:r>
      <w:r>
        <w:fldChar w:fldCharType="end"/>
      </w:r>
    </w:p>
  </w:footnote>
  <w:footnote w:id="644">
    <w:p w14:paraId="402DBFF3" w14:textId="02FF4BA6" w:rsidR="007A04F6" w:rsidRDefault="007A04F6" w:rsidP="00D37FE1">
      <w:pPr>
        <w:pStyle w:val="FootnoteText"/>
      </w:pPr>
      <w:r>
        <w:rPr>
          <w:rStyle w:val="FootnoteReference"/>
        </w:rPr>
        <w:footnoteRef/>
      </w:r>
      <w:r>
        <w:t xml:space="preserve"> </w:t>
      </w:r>
      <w:r>
        <w:fldChar w:fldCharType="begin"/>
      </w:r>
      <w:r>
        <w:instrText xml:space="preserve"> ADDIN EN.CITE &lt;EndNote&gt;&lt;Cite&gt;&lt;Author&gt;McEvoy&lt;/Author&gt;&lt;Year&gt;2000&lt;/Year&gt;&lt;RecNum&gt;233&lt;/RecNum&gt;&lt;DisplayText&gt;McEvoy, &amp;quot;Communities and Peace: Catholic Youth in Northern Ireland.&amp;quot;&lt;/DisplayText&gt;&lt;record&gt;&lt;rec-number&gt;233&lt;/rec-number&gt;&lt;foreign-keys&gt;&lt;key app="EN" db-id="s0ftft29jf2psaezx93xwz5s00fwpa9avrwv"&gt;233&lt;/key&gt;&lt;/foreign-keys&gt;&lt;ref-type name="Journal Article"&gt;17&lt;/ref-type&gt;&lt;contributors&gt;&lt;authors&gt;&lt;author&gt;McEvoy, Siobhan&lt;/author&gt;&lt;/authors&gt;&lt;/contributors&gt;&lt;titles&gt;&lt;title&gt;Communities and Peace: Catholic Youth in Northern Ireland&lt;/title&gt;&lt;secondary-title&gt;Journal of Peace Research&lt;/secondary-title&gt;&lt;/titles&gt;&lt;pages&gt;pp. 85-103&lt;/pages&gt;&lt;volume&gt;37 (1)&lt;/volume&gt;&lt;dates&gt;&lt;year&gt;2000&lt;/year&gt;&lt;/dates&gt;&lt;urls&gt;&lt;/urls&gt;&lt;/record&gt;&lt;/Cite&gt;&lt;/EndNote&gt;</w:instrText>
      </w:r>
      <w:r>
        <w:fldChar w:fldCharType="separate"/>
      </w:r>
      <w:r>
        <w:rPr>
          <w:noProof/>
        </w:rPr>
        <w:t>McEvoy, "Communities and Peace: Catholic Youth in Northern Ireland."</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C73F1D"/>
    <w:multiLevelType w:val="hybridMultilevel"/>
    <w:tmpl w:val="EE723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2B57C4"/>
    <w:multiLevelType w:val="hybridMultilevel"/>
    <w:tmpl w:val="93F22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5B7D74"/>
    <w:multiLevelType w:val="hybridMultilevel"/>
    <w:tmpl w:val="3D04444E"/>
    <w:lvl w:ilvl="0" w:tplc="8FD2DF4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19841407"/>
    <w:multiLevelType w:val="hybridMultilevel"/>
    <w:tmpl w:val="14D8F5F0"/>
    <w:lvl w:ilvl="0" w:tplc="E3E8D670">
      <w:start w:val="1"/>
      <w:numFmt w:val="decimal"/>
      <w:lvlText w:val="%1)"/>
      <w:lvlJc w:val="left"/>
      <w:pPr>
        <w:ind w:left="720" w:hanging="360"/>
      </w:pPr>
      <w:rPr>
        <w:rFonts w:ascii="Arial" w:hAnsi="Arial" w:cs="Arial" w:hint="default"/>
        <w:color w:val="00000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450693"/>
    <w:multiLevelType w:val="hybridMultilevel"/>
    <w:tmpl w:val="76FC09B8"/>
    <w:lvl w:ilvl="0" w:tplc="5A40B6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453D6E"/>
    <w:multiLevelType w:val="hybridMultilevel"/>
    <w:tmpl w:val="5DA84D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40371B"/>
    <w:multiLevelType w:val="hybridMultilevel"/>
    <w:tmpl w:val="3D04444E"/>
    <w:lvl w:ilvl="0" w:tplc="8FD2DF4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4BC20CD0"/>
    <w:multiLevelType w:val="hybridMultilevel"/>
    <w:tmpl w:val="8904C714"/>
    <w:lvl w:ilvl="0" w:tplc="DAE875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A82D1A"/>
    <w:multiLevelType w:val="hybridMultilevel"/>
    <w:tmpl w:val="3E1AF84E"/>
    <w:lvl w:ilvl="0" w:tplc="46CA1C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CC502F6"/>
    <w:multiLevelType w:val="hybridMultilevel"/>
    <w:tmpl w:val="A28EA2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6D604AEB"/>
    <w:multiLevelType w:val="hybridMultilevel"/>
    <w:tmpl w:val="59521B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364298"/>
    <w:multiLevelType w:val="hybridMultilevel"/>
    <w:tmpl w:val="14845D2E"/>
    <w:lvl w:ilvl="0" w:tplc="A2BA3F4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0"/>
  </w:num>
  <w:num w:numId="13">
    <w:abstractNumId w:val="12"/>
  </w:num>
  <w:num w:numId="14">
    <w:abstractNumId w:val="21"/>
  </w:num>
  <w:num w:numId="15">
    <w:abstractNumId w:val="13"/>
  </w:num>
  <w:num w:numId="16">
    <w:abstractNumId w:val="16"/>
  </w:num>
  <w:num w:numId="17">
    <w:abstractNumId w:val="14"/>
  </w:num>
  <w:num w:numId="18">
    <w:abstractNumId w:val="17"/>
  </w:num>
  <w:num w:numId="19">
    <w:abstractNumId w:val="15"/>
  </w:num>
  <w:num w:numId="20">
    <w:abstractNumId w:val="2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0ftft29jf2psaezx93xwz5s00fwpa9avrwv&quot;&gt;hizb.&lt;record-ids&gt;&lt;item&gt;11&lt;/item&gt;&lt;item&gt;19&lt;/item&gt;&lt;item&gt;22&lt;/item&gt;&lt;item&gt;23&lt;/item&gt;&lt;item&gt;24&lt;/item&gt;&lt;item&gt;25&lt;/item&gt;&lt;item&gt;26&lt;/item&gt;&lt;item&gt;27&lt;/item&gt;&lt;item&gt;35&lt;/item&gt;&lt;item&gt;46&lt;/item&gt;&lt;item&gt;48&lt;/item&gt;&lt;item&gt;50&lt;/item&gt;&lt;item&gt;51&lt;/item&gt;&lt;item&gt;52&lt;/item&gt;&lt;item&gt;53&lt;/item&gt;&lt;item&gt;57&lt;/item&gt;&lt;item&gt;59&lt;/item&gt;&lt;item&gt;63&lt;/item&gt;&lt;item&gt;65&lt;/item&gt;&lt;item&gt;73&lt;/item&gt;&lt;item&gt;74&lt;/item&gt;&lt;item&gt;75&lt;/item&gt;&lt;item&gt;78&lt;/item&gt;&lt;item&gt;83&lt;/item&gt;&lt;item&gt;86&lt;/item&gt;&lt;item&gt;87&lt;/item&gt;&lt;item&gt;90&lt;/item&gt;&lt;item&gt;92&lt;/item&gt;&lt;item&gt;102&lt;/item&gt;&lt;item&gt;113&lt;/item&gt;&lt;item&gt;118&lt;/item&gt;&lt;item&gt;119&lt;/item&gt;&lt;item&gt;120&lt;/item&gt;&lt;item&gt;123&lt;/item&gt;&lt;item&gt;124&lt;/item&gt;&lt;item&gt;126&lt;/item&gt;&lt;item&gt;129&lt;/item&gt;&lt;item&gt;130&lt;/item&gt;&lt;item&gt;133&lt;/item&gt;&lt;item&gt;134&lt;/item&gt;&lt;item&gt;135&lt;/item&gt;&lt;item&gt;138&lt;/item&gt;&lt;item&gt;141&lt;/item&gt;&lt;item&gt;142&lt;/item&gt;&lt;item&gt;143&lt;/item&gt;&lt;item&gt;144&lt;/item&gt;&lt;item&gt;146&lt;/item&gt;&lt;item&gt;151&lt;/item&gt;&lt;item&gt;152&lt;/item&gt;&lt;item&gt;154&lt;/item&gt;&lt;item&gt;155&lt;/item&gt;&lt;item&gt;163&lt;/item&gt;&lt;item&gt;164&lt;/item&gt;&lt;item&gt;165&lt;/item&gt;&lt;item&gt;167&lt;/item&gt;&lt;item&gt;168&lt;/item&gt;&lt;item&gt;169&lt;/item&gt;&lt;item&gt;170&lt;/item&gt;&lt;item&gt;171&lt;/item&gt;&lt;item&gt;172&lt;/item&gt;&lt;item&gt;173&lt;/item&gt;&lt;item&gt;186&lt;/item&gt;&lt;item&gt;187&lt;/item&gt;&lt;item&gt;192&lt;/item&gt;&lt;item&gt;193&lt;/item&gt;&lt;item&gt;194&lt;/item&gt;&lt;item&gt;196&lt;/item&gt;&lt;item&gt;197&lt;/item&gt;&lt;item&gt;198&lt;/item&gt;&lt;item&gt;199&lt;/item&gt;&lt;item&gt;200&lt;/item&gt;&lt;item&gt;201&lt;/item&gt;&lt;item&gt;202&lt;/item&gt;&lt;item&gt;204&lt;/item&gt;&lt;item&gt;205&lt;/item&gt;&lt;item&gt;207&lt;/item&gt;&lt;item&gt;209&lt;/item&gt;&lt;item&gt;210&lt;/item&gt;&lt;item&gt;211&lt;/item&gt;&lt;item&gt;212&lt;/item&gt;&lt;item&gt;214&lt;/item&gt;&lt;item&gt;215&lt;/item&gt;&lt;item&gt;217&lt;/item&gt;&lt;item&gt;218&lt;/item&gt;&lt;item&gt;219&lt;/item&gt;&lt;item&gt;220&lt;/item&gt;&lt;item&gt;221&lt;/item&gt;&lt;item&gt;222&lt;/item&gt;&lt;item&gt;223&lt;/item&gt;&lt;item&gt;224&lt;/item&gt;&lt;item&gt;225&lt;/item&gt;&lt;item&gt;228&lt;/item&gt;&lt;item&gt;230&lt;/item&gt;&lt;item&gt;231&lt;/item&gt;&lt;item&gt;232&lt;/item&gt;&lt;item&gt;233&lt;/item&gt;&lt;item&gt;241&lt;/item&gt;&lt;item&gt;242&lt;/item&gt;&lt;item&gt;243&lt;/item&gt;&lt;item&gt;248&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9&lt;/item&gt;&lt;item&gt;290&lt;/item&gt;&lt;item&gt;291&lt;/item&gt;&lt;item&gt;292&lt;/item&gt;&lt;item&gt;293&lt;/item&gt;&lt;item&gt;294&lt;/item&gt;&lt;item&gt;295&lt;/item&gt;&lt;item&gt;296&lt;/item&gt;&lt;item&gt;297&lt;/item&gt;&lt;item&gt;298&lt;/item&gt;&lt;item&gt;299&lt;/item&gt;&lt;item&gt;300&lt;/item&gt;&lt;item&gt;301&lt;/item&gt;&lt;item&gt;302&lt;/item&gt;&lt;item&gt;303&lt;/item&gt;&lt;item&gt;304&lt;/item&gt;&lt;item&gt;309&lt;/item&gt;&lt;item&gt;310&lt;/item&gt;&lt;item&gt;311&lt;/item&gt;&lt;item&gt;312&lt;/item&gt;&lt;item&gt;313&lt;/item&gt;&lt;item&gt;314&lt;/item&gt;&lt;item&gt;315&lt;/item&gt;&lt;item&gt;316&lt;/item&gt;&lt;item&gt;317&lt;/item&gt;&lt;item&gt;335&lt;/item&gt;&lt;/record-ids&gt;&lt;/item&gt;&lt;/Libraries&gt;"/>
  </w:docVars>
  <w:rsids>
    <w:rsidRoot w:val="00977B7A"/>
    <w:rsid w:val="000010AD"/>
    <w:rsid w:val="0000591C"/>
    <w:rsid w:val="00007D71"/>
    <w:rsid w:val="000103E0"/>
    <w:rsid w:val="000126AE"/>
    <w:rsid w:val="00014D0F"/>
    <w:rsid w:val="00015554"/>
    <w:rsid w:val="00016892"/>
    <w:rsid w:val="00016948"/>
    <w:rsid w:val="00017A09"/>
    <w:rsid w:val="00021B0B"/>
    <w:rsid w:val="00022518"/>
    <w:rsid w:val="00022BEE"/>
    <w:rsid w:val="0002338F"/>
    <w:rsid w:val="00025562"/>
    <w:rsid w:val="00032FDC"/>
    <w:rsid w:val="00040986"/>
    <w:rsid w:val="00040FC8"/>
    <w:rsid w:val="00043512"/>
    <w:rsid w:val="000449D3"/>
    <w:rsid w:val="00052E03"/>
    <w:rsid w:val="0005396D"/>
    <w:rsid w:val="000577BC"/>
    <w:rsid w:val="0007249A"/>
    <w:rsid w:val="00072D67"/>
    <w:rsid w:val="00074D4C"/>
    <w:rsid w:val="00075467"/>
    <w:rsid w:val="00077ECA"/>
    <w:rsid w:val="0008136F"/>
    <w:rsid w:val="00082C0F"/>
    <w:rsid w:val="0008727F"/>
    <w:rsid w:val="000929A6"/>
    <w:rsid w:val="0009313A"/>
    <w:rsid w:val="00093A0B"/>
    <w:rsid w:val="00095502"/>
    <w:rsid w:val="00096C5F"/>
    <w:rsid w:val="000A022B"/>
    <w:rsid w:val="000A1103"/>
    <w:rsid w:val="000A33FE"/>
    <w:rsid w:val="000A395C"/>
    <w:rsid w:val="000A4252"/>
    <w:rsid w:val="000B0CCA"/>
    <w:rsid w:val="000B31EA"/>
    <w:rsid w:val="000B44DB"/>
    <w:rsid w:val="000B50EB"/>
    <w:rsid w:val="000C22C0"/>
    <w:rsid w:val="000C7DB9"/>
    <w:rsid w:val="000D0E0D"/>
    <w:rsid w:val="000D2865"/>
    <w:rsid w:val="000D2883"/>
    <w:rsid w:val="000D31AA"/>
    <w:rsid w:val="000D6E98"/>
    <w:rsid w:val="000D7952"/>
    <w:rsid w:val="000E03FC"/>
    <w:rsid w:val="000E2216"/>
    <w:rsid w:val="000E3B23"/>
    <w:rsid w:val="000E6D15"/>
    <w:rsid w:val="000F08FB"/>
    <w:rsid w:val="000F395D"/>
    <w:rsid w:val="000F3E9B"/>
    <w:rsid w:val="000F4349"/>
    <w:rsid w:val="000F6B58"/>
    <w:rsid w:val="000F6D8F"/>
    <w:rsid w:val="001012D1"/>
    <w:rsid w:val="0010280C"/>
    <w:rsid w:val="0010282F"/>
    <w:rsid w:val="001056DA"/>
    <w:rsid w:val="00107046"/>
    <w:rsid w:val="001111D5"/>
    <w:rsid w:val="00111640"/>
    <w:rsid w:val="0011394B"/>
    <w:rsid w:val="00113FEB"/>
    <w:rsid w:val="00114B72"/>
    <w:rsid w:val="001154C1"/>
    <w:rsid w:val="001174CE"/>
    <w:rsid w:val="00122F8E"/>
    <w:rsid w:val="001256FA"/>
    <w:rsid w:val="00126C2B"/>
    <w:rsid w:val="001308D4"/>
    <w:rsid w:val="00131ED3"/>
    <w:rsid w:val="001325FD"/>
    <w:rsid w:val="001333FB"/>
    <w:rsid w:val="00137F85"/>
    <w:rsid w:val="00140B2C"/>
    <w:rsid w:val="001422CB"/>
    <w:rsid w:val="001453A7"/>
    <w:rsid w:val="00147D67"/>
    <w:rsid w:val="0015068F"/>
    <w:rsid w:val="001508EC"/>
    <w:rsid w:val="00150AC2"/>
    <w:rsid w:val="00152BE0"/>
    <w:rsid w:val="00154573"/>
    <w:rsid w:val="001555D6"/>
    <w:rsid w:val="00157159"/>
    <w:rsid w:val="00160215"/>
    <w:rsid w:val="0016079B"/>
    <w:rsid w:val="00161D3A"/>
    <w:rsid w:val="0016282B"/>
    <w:rsid w:val="001641F4"/>
    <w:rsid w:val="001652EB"/>
    <w:rsid w:val="00165A13"/>
    <w:rsid w:val="001701D1"/>
    <w:rsid w:val="00170647"/>
    <w:rsid w:val="00172145"/>
    <w:rsid w:val="00174963"/>
    <w:rsid w:val="00175AF6"/>
    <w:rsid w:val="0018310A"/>
    <w:rsid w:val="0018523A"/>
    <w:rsid w:val="00185453"/>
    <w:rsid w:val="0019003E"/>
    <w:rsid w:val="00191A33"/>
    <w:rsid w:val="001932B0"/>
    <w:rsid w:val="00194EF7"/>
    <w:rsid w:val="00197369"/>
    <w:rsid w:val="001A42F2"/>
    <w:rsid w:val="001A59F0"/>
    <w:rsid w:val="001B156E"/>
    <w:rsid w:val="001B17B9"/>
    <w:rsid w:val="001B3A47"/>
    <w:rsid w:val="001B3C6F"/>
    <w:rsid w:val="001C2368"/>
    <w:rsid w:val="001C2F2F"/>
    <w:rsid w:val="001C2F45"/>
    <w:rsid w:val="001C3D76"/>
    <w:rsid w:val="001C4104"/>
    <w:rsid w:val="001C4367"/>
    <w:rsid w:val="001C4B5E"/>
    <w:rsid w:val="001D0405"/>
    <w:rsid w:val="001D3391"/>
    <w:rsid w:val="001D6C87"/>
    <w:rsid w:val="001D734C"/>
    <w:rsid w:val="001E0EF1"/>
    <w:rsid w:val="001E4B3C"/>
    <w:rsid w:val="001E614D"/>
    <w:rsid w:val="001E6712"/>
    <w:rsid w:val="001E7936"/>
    <w:rsid w:val="001F0A0E"/>
    <w:rsid w:val="001F1BAF"/>
    <w:rsid w:val="001F38BD"/>
    <w:rsid w:val="0020128C"/>
    <w:rsid w:val="00203C04"/>
    <w:rsid w:val="0020458C"/>
    <w:rsid w:val="00205CF1"/>
    <w:rsid w:val="00212986"/>
    <w:rsid w:val="0021378F"/>
    <w:rsid w:val="0021470D"/>
    <w:rsid w:val="0021532A"/>
    <w:rsid w:val="0021710E"/>
    <w:rsid w:val="00217E46"/>
    <w:rsid w:val="00220517"/>
    <w:rsid w:val="0022167F"/>
    <w:rsid w:val="00221A5D"/>
    <w:rsid w:val="002301A1"/>
    <w:rsid w:val="002316C4"/>
    <w:rsid w:val="00233335"/>
    <w:rsid w:val="00233DC3"/>
    <w:rsid w:val="00240E9B"/>
    <w:rsid w:val="0024172D"/>
    <w:rsid w:val="00241CA3"/>
    <w:rsid w:val="00241EF0"/>
    <w:rsid w:val="00246A7C"/>
    <w:rsid w:val="00247389"/>
    <w:rsid w:val="00253531"/>
    <w:rsid w:val="002541BA"/>
    <w:rsid w:val="0025514D"/>
    <w:rsid w:val="00257927"/>
    <w:rsid w:val="00260A15"/>
    <w:rsid w:val="002619BE"/>
    <w:rsid w:val="00263D99"/>
    <w:rsid w:val="0026441A"/>
    <w:rsid w:val="00264DA3"/>
    <w:rsid w:val="00264FBF"/>
    <w:rsid w:val="00265D16"/>
    <w:rsid w:val="00266635"/>
    <w:rsid w:val="002675CC"/>
    <w:rsid w:val="00271158"/>
    <w:rsid w:val="00271F90"/>
    <w:rsid w:val="00273123"/>
    <w:rsid w:val="00280021"/>
    <w:rsid w:val="00280028"/>
    <w:rsid w:val="00280DA9"/>
    <w:rsid w:val="002818BB"/>
    <w:rsid w:val="00281E1D"/>
    <w:rsid w:val="00282A34"/>
    <w:rsid w:val="002911C3"/>
    <w:rsid w:val="00293A51"/>
    <w:rsid w:val="00297301"/>
    <w:rsid w:val="002A06C7"/>
    <w:rsid w:val="002A1763"/>
    <w:rsid w:val="002A1C46"/>
    <w:rsid w:val="002A237B"/>
    <w:rsid w:val="002A6F3A"/>
    <w:rsid w:val="002B3893"/>
    <w:rsid w:val="002B3CA9"/>
    <w:rsid w:val="002B3EE2"/>
    <w:rsid w:val="002C0B53"/>
    <w:rsid w:val="002C1113"/>
    <w:rsid w:val="002C320F"/>
    <w:rsid w:val="002C43AE"/>
    <w:rsid w:val="002C4940"/>
    <w:rsid w:val="002C672B"/>
    <w:rsid w:val="002C783A"/>
    <w:rsid w:val="002D2205"/>
    <w:rsid w:val="002D3B84"/>
    <w:rsid w:val="002E1553"/>
    <w:rsid w:val="002E2B89"/>
    <w:rsid w:val="002E3338"/>
    <w:rsid w:val="002E4C08"/>
    <w:rsid w:val="002E5265"/>
    <w:rsid w:val="002E549F"/>
    <w:rsid w:val="002E7CEB"/>
    <w:rsid w:val="002F146D"/>
    <w:rsid w:val="002F4F63"/>
    <w:rsid w:val="002F6572"/>
    <w:rsid w:val="002F731F"/>
    <w:rsid w:val="00300096"/>
    <w:rsid w:val="0030103E"/>
    <w:rsid w:val="0030654D"/>
    <w:rsid w:val="003105CA"/>
    <w:rsid w:val="00312460"/>
    <w:rsid w:val="0031345E"/>
    <w:rsid w:val="0031616C"/>
    <w:rsid w:val="0031646C"/>
    <w:rsid w:val="00316750"/>
    <w:rsid w:val="003178D7"/>
    <w:rsid w:val="003205EE"/>
    <w:rsid w:val="00320BC9"/>
    <w:rsid w:val="00320C5A"/>
    <w:rsid w:val="00320DFD"/>
    <w:rsid w:val="00320E38"/>
    <w:rsid w:val="00323FFB"/>
    <w:rsid w:val="003264B0"/>
    <w:rsid w:val="00330467"/>
    <w:rsid w:val="00333F82"/>
    <w:rsid w:val="003400F1"/>
    <w:rsid w:val="00340399"/>
    <w:rsid w:val="00340617"/>
    <w:rsid w:val="00341B12"/>
    <w:rsid w:val="00341C5F"/>
    <w:rsid w:val="003434D2"/>
    <w:rsid w:val="0034381C"/>
    <w:rsid w:val="003472BE"/>
    <w:rsid w:val="003502D6"/>
    <w:rsid w:val="00352AA6"/>
    <w:rsid w:val="003554C9"/>
    <w:rsid w:val="003560D9"/>
    <w:rsid w:val="00360206"/>
    <w:rsid w:val="00370EB0"/>
    <w:rsid w:val="00372FF8"/>
    <w:rsid w:val="00373E28"/>
    <w:rsid w:val="00374254"/>
    <w:rsid w:val="0037643E"/>
    <w:rsid w:val="003825F8"/>
    <w:rsid w:val="00383A88"/>
    <w:rsid w:val="00383B36"/>
    <w:rsid w:val="00387D2C"/>
    <w:rsid w:val="003A783E"/>
    <w:rsid w:val="003B0FCA"/>
    <w:rsid w:val="003B1E9E"/>
    <w:rsid w:val="003B3542"/>
    <w:rsid w:val="003B3648"/>
    <w:rsid w:val="003B36F3"/>
    <w:rsid w:val="003B401A"/>
    <w:rsid w:val="003B636B"/>
    <w:rsid w:val="003B71B3"/>
    <w:rsid w:val="003C1E37"/>
    <w:rsid w:val="003C2B6A"/>
    <w:rsid w:val="003C4006"/>
    <w:rsid w:val="003C4207"/>
    <w:rsid w:val="003C555B"/>
    <w:rsid w:val="003C5F06"/>
    <w:rsid w:val="003C6007"/>
    <w:rsid w:val="003C745F"/>
    <w:rsid w:val="003C754A"/>
    <w:rsid w:val="003D174E"/>
    <w:rsid w:val="003D17E7"/>
    <w:rsid w:val="003D1945"/>
    <w:rsid w:val="003D6BE9"/>
    <w:rsid w:val="003D71D9"/>
    <w:rsid w:val="003E7F9C"/>
    <w:rsid w:val="003F0BD4"/>
    <w:rsid w:val="003F1356"/>
    <w:rsid w:val="003F1FE6"/>
    <w:rsid w:val="003F2D7A"/>
    <w:rsid w:val="003F55DC"/>
    <w:rsid w:val="003F6758"/>
    <w:rsid w:val="00400CF1"/>
    <w:rsid w:val="00404527"/>
    <w:rsid w:val="004053FA"/>
    <w:rsid w:val="0040645E"/>
    <w:rsid w:val="00406829"/>
    <w:rsid w:val="00406D83"/>
    <w:rsid w:val="0041039C"/>
    <w:rsid w:val="00410A00"/>
    <w:rsid w:val="00415612"/>
    <w:rsid w:val="00416AA0"/>
    <w:rsid w:val="0042045B"/>
    <w:rsid w:val="0042110B"/>
    <w:rsid w:val="00425434"/>
    <w:rsid w:val="00426BB9"/>
    <w:rsid w:val="00430559"/>
    <w:rsid w:val="0043691A"/>
    <w:rsid w:val="00436992"/>
    <w:rsid w:val="00442C91"/>
    <w:rsid w:val="00442D69"/>
    <w:rsid w:val="00443B84"/>
    <w:rsid w:val="00456778"/>
    <w:rsid w:val="00460425"/>
    <w:rsid w:val="004612F0"/>
    <w:rsid w:val="004622A7"/>
    <w:rsid w:val="00462B67"/>
    <w:rsid w:val="0046394F"/>
    <w:rsid w:val="004670A8"/>
    <w:rsid w:val="004746A3"/>
    <w:rsid w:val="00475044"/>
    <w:rsid w:val="0047614A"/>
    <w:rsid w:val="00482198"/>
    <w:rsid w:val="0048434F"/>
    <w:rsid w:val="004870EF"/>
    <w:rsid w:val="00487393"/>
    <w:rsid w:val="0049100D"/>
    <w:rsid w:val="00491613"/>
    <w:rsid w:val="00492764"/>
    <w:rsid w:val="00494694"/>
    <w:rsid w:val="004950A8"/>
    <w:rsid w:val="004A003D"/>
    <w:rsid w:val="004A0238"/>
    <w:rsid w:val="004A0272"/>
    <w:rsid w:val="004A2C2F"/>
    <w:rsid w:val="004A55DA"/>
    <w:rsid w:val="004A7A80"/>
    <w:rsid w:val="004B0186"/>
    <w:rsid w:val="004B4444"/>
    <w:rsid w:val="004B5406"/>
    <w:rsid w:val="004B7B64"/>
    <w:rsid w:val="004B7D34"/>
    <w:rsid w:val="004C27E9"/>
    <w:rsid w:val="004C464B"/>
    <w:rsid w:val="004C530E"/>
    <w:rsid w:val="004D1A0F"/>
    <w:rsid w:val="004E311A"/>
    <w:rsid w:val="004E3123"/>
    <w:rsid w:val="004E378E"/>
    <w:rsid w:val="004E5547"/>
    <w:rsid w:val="004F0056"/>
    <w:rsid w:val="004F226D"/>
    <w:rsid w:val="004F2CA3"/>
    <w:rsid w:val="004F44BC"/>
    <w:rsid w:val="004F5372"/>
    <w:rsid w:val="004F5748"/>
    <w:rsid w:val="004F6C3A"/>
    <w:rsid w:val="004F6FCD"/>
    <w:rsid w:val="00500D75"/>
    <w:rsid w:val="0050554F"/>
    <w:rsid w:val="005060DA"/>
    <w:rsid w:val="005075BE"/>
    <w:rsid w:val="00512F21"/>
    <w:rsid w:val="005134FF"/>
    <w:rsid w:val="00513BD5"/>
    <w:rsid w:val="005149AA"/>
    <w:rsid w:val="00514C59"/>
    <w:rsid w:val="0051795D"/>
    <w:rsid w:val="005210A6"/>
    <w:rsid w:val="005214A6"/>
    <w:rsid w:val="00521615"/>
    <w:rsid w:val="00522748"/>
    <w:rsid w:val="005241D5"/>
    <w:rsid w:val="0052645E"/>
    <w:rsid w:val="00531916"/>
    <w:rsid w:val="005324C8"/>
    <w:rsid w:val="0053586C"/>
    <w:rsid w:val="00537ED6"/>
    <w:rsid w:val="005401B2"/>
    <w:rsid w:val="00543A07"/>
    <w:rsid w:val="00544CBF"/>
    <w:rsid w:val="00545B77"/>
    <w:rsid w:val="00546D3F"/>
    <w:rsid w:val="005501A6"/>
    <w:rsid w:val="00550FFF"/>
    <w:rsid w:val="00553400"/>
    <w:rsid w:val="00554FB1"/>
    <w:rsid w:val="0055589A"/>
    <w:rsid w:val="0055619A"/>
    <w:rsid w:val="005579B6"/>
    <w:rsid w:val="005603DA"/>
    <w:rsid w:val="0056053F"/>
    <w:rsid w:val="00560C6F"/>
    <w:rsid w:val="00561930"/>
    <w:rsid w:val="0056264E"/>
    <w:rsid w:val="0056374A"/>
    <w:rsid w:val="00563BDF"/>
    <w:rsid w:val="0056489D"/>
    <w:rsid w:val="005674B7"/>
    <w:rsid w:val="00567E2E"/>
    <w:rsid w:val="00571B2B"/>
    <w:rsid w:val="00571BDB"/>
    <w:rsid w:val="00572A25"/>
    <w:rsid w:val="00574ED5"/>
    <w:rsid w:val="00576C8E"/>
    <w:rsid w:val="00577B14"/>
    <w:rsid w:val="00581EAF"/>
    <w:rsid w:val="00583117"/>
    <w:rsid w:val="0058325B"/>
    <w:rsid w:val="005843F9"/>
    <w:rsid w:val="00584947"/>
    <w:rsid w:val="00584FE6"/>
    <w:rsid w:val="0059127D"/>
    <w:rsid w:val="00594AE8"/>
    <w:rsid w:val="00595B8E"/>
    <w:rsid w:val="00597062"/>
    <w:rsid w:val="00597AE6"/>
    <w:rsid w:val="005A05AA"/>
    <w:rsid w:val="005A08F4"/>
    <w:rsid w:val="005A11E4"/>
    <w:rsid w:val="005A37A6"/>
    <w:rsid w:val="005A6092"/>
    <w:rsid w:val="005B0D14"/>
    <w:rsid w:val="005B15F2"/>
    <w:rsid w:val="005B1E2E"/>
    <w:rsid w:val="005C161B"/>
    <w:rsid w:val="005C22AF"/>
    <w:rsid w:val="005C591B"/>
    <w:rsid w:val="005C71B0"/>
    <w:rsid w:val="005D04B5"/>
    <w:rsid w:val="005D3064"/>
    <w:rsid w:val="005D4BAC"/>
    <w:rsid w:val="005E05B2"/>
    <w:rsid w:val="005E09C5"/>
    <w:rsid w:val="005E11EC"/>
    <w:rsid w:val="005E5746"/>
    <w:rsid w:val="005E6892"/>
    <w:rsid w:val="005F39B9"/>
    <w:rsid w:val="005F6753"/>
    <w:rsid w:val="006046DF"/>
    <w:rsid w:val="00604ABB"/>
    <w:rsid w:val="00605F70"/>
    <w:rsid w:val="006065D9"/>
    <w:rsid w:val="00611B51"/>
    <w:rsid w:val="00617C65"/>
    <w:rsid w:val="006218C7"/>
    <w:rsid w:val="00621DBA"/>
    <w:rsid w:val="006248DE"/>
    <w:rsid w:val="006257FF"/>
    <w:rsid w:val="006262F1"/>
    <w:rsid w:val="00634C0C"/>
    <w:rsid w:val="006400E2"/>
    <w:rsid w:val="00640D1A"/>
    <w:rsid w:val="006422C8"/>
    <w:rsid w:val="00646E41"/>
    <w:rsid w:val="006470CD"/>
    <w:rsid w:val="006478CA"/>
    <w:rsid w:val="0065027E"/>
    <w:rsid w:val="006508B8"/>
    <w:rsid w:val="00655AD6"/>
    <w:rsid w:val="00657A26"/>
    <w:rsid w:val="006617ED"/>
    <w:rsid w:val="00661FE2"/>
    <w:rsid w:val="006637D5"/>
    <w:rsid w:val="00665384"/>
    <w:rsid w:val="006655BC"/>
    <w:rsid w:val="00671FA8"/>
    <w:rsid w:val="0067782F"/>
    <w:rsid w:val="00677E35"/>
    <w:rsid w:val="00680AAF"/>
    <w:rsid w:val="00683B58"/>
    <w:rsid w:val="006845E2"/>
    <w:rsid w:val="0068486C"/>
    <w:rsid w:val="006855DE"/>
    <w:rsid w:val="006859A8"/>
    <w:rsid w:val="00690F2F"/>
    <w:rsid w:val="00691187"/>
    <w:rsid w:val="006911CD"/>
    <w:rsid w:val="00693705"/>
    <w:rsid w:val="00695607"/>
    <w:rsid w:val="006A14B7"/>
    <w:rsid w:val="006A1F3D"/>
    <w:rsid w:val="006A381A"/>
    <w:rsid w:val="006A3B99"/>
    <w:rsid w:val="006A42C1"/>
    <w:rsid w:val="006A5615"/>
    <w:rsid w:val="006A56BA"/>
    <w:rsid w:val="006A6306"/>
    <w:rsid w:val="006B08AB"/>
    <w:rsid w:val="006B0984"/>
    <w:rsid w:val="006B16DA"/>
    <w:rsid w:val="006B25AF"/>
    <w:rsid w:val="006B3670"/>
    <w:rsid w:val="006B3B02"/>
    <w:rsid w:val="006B623D"/>
    <w:rsid w:val="006B6319"/>
    <w:rsid w:val="006B79EF"/>
    <w:rsid w:val="006C0273"/>
    <w:rsid w:val="006C1F69"/>
    <w:rsid w:val="006C2B15"/>
    <w:rsid w:val="006C3F27"/>
    <w:rsid w:val="006C420A"/>
    <w:rsid w:val="006C5AD3"/>
    <w:rsid w:val="006C63A9"/>
    <w:rsid w:val="006D3099"/>
    <w:rsid w:val="006D3780"/>
    <w:rsid w:val="006D4BCB"/>
    <w:rsid w:val="006D77F7"/>
    <w:rsid w:val="006D7CAE"/>
    <w:rsid w:val="006E1C06"/>
    <w:rsid w:val="006E4265"/>
    <w:rsid w:val="006F0E51"/>
    <w:rsid w:val="006F163E"/>
    <w:rsid w:val="006F3CA3"/>
    <w:rsid w:val="007016DA"/>
    <w:rsid w:val="007057DB"/>
    <w:rsid w:val="00711E77"/>
    <w:rsid w:val="007139ED"/>
    <w:rsid w:val="007140F0"/>
    <w:rsid w:val="0071475B"/>
    <w:rsid w:val="00722FEE"/>
    <w:rsid w:val="0073186F"/>
    <w:rsid w:val="00734001"/>
    <w:rsid w:val="00734A07"/>
    <w:rsid w:val="00737DED"/>
    <w:rsid w:val="007417C2"/>
    <w:rsid w:val="00744862"/>
    <w:rsid w:val="00746D63"/>
    <w:rsid w:val="0074784D"/>
    <w:rsid w:val="00747C17"/>
    <w:rsid w:val="00750F29"/>
    <w:rsid w:val="00754FA6"/>
    <w:rsid w:val="00755468"/>
    <w:rsid w:val="007630E3"/>
    <w:rsid w:val="00766E1B"/>
    <w:rsid w:val="00767ADD"/>
    <w:rsid w:val="0077162E"/>
    <w:rsid w:val="00773014"/>
    <w:rsid w:val="0077567D"/>
    <w:rsid w:val="00777ADE"/>
    <w:rsid w:val="00784527"/>
    <w:rsid w:val="00786663"/>
    <w:rsid w:val="00787C07"/>
    <w:rsid w:val="00792437"/>
    <w:rsid w:val="007944BE"/>
    <w:rsid w:val="00794EAE"/>
    <w:rsid w:val="007A04F6"/>
    <w:rsid w:val="007A1934"/>
    <w:rsid w:val="007A3D00"/>
    <w:rsid w:val="007A5B6C"/>
    <w:rsid w:val="007A762C"/>
    <w:rsid w:val="007B024C"/>
    <w:rsid w:val="007B140D"/>
    <w:rsid w:val="007B3A44"/>
    <w:rsid w:val="007B3CF1"/>
    <w:rsid w:val="007B7058"/>
    <w:rsid w:val="007C04BB"/>
    <w:rsid w:val="007C095A"/>
    <w:rsid w:val="007C0D6A"/>
    <w:rsid w:val="007C338B"/>
    <w:rsid w:val="007C34E2"/>
    <w:rsid w:val="007C5939"/>
    <w:rsid w:val="007D03A6"/>
    <w:rsid w:val="007D0B1E"/>
    <w:rsid w:val="007D1E66"/>
    <w:rsid w:val="007D255F"/>
    <w:rsid w:val="007D371C"/>
    <w:rsid w:val="007D5FDB"/>
    <w:rsid w:val="007D7523"/>
    <w:rsid w:val="007E085F"/>
    <w:rsid w:val="007E3F34"/>
    <w:rsid w:val="007E470D"/>
    <w:rsid w:val="007F14F3"/>
    <w:rsid w:val="007F191E"/>
    <w:rsid w:val="007F2662"/>
    <w:rsid w:val="007F3C22"/>
    <w:rsid w:val="007F3D5A"/>
    <w:rsid w:val="007F63F1"/>
    <w:rsid w:val="007F6BDE"/>
    <w:rsid w:val="00801059"/>
    <w:rsid w:val="008014A2"/>
    <w:rsid w:val="00802C52"/>
    <w:rsid w:val="0080620D"/>
    <w:rsid w:val="00810DA5"/>
    <w:rsid w:val="00812944"/>
    <w:rsid w:val="008140D5"/>
    <w:rsid w:val="00814126"/>
    <w:rsid w:val="008164E6"/>
    <w:rsid w:val="0082174D"/>
    <w:rsid w:val="00821CB8"/>
    <w:rsid w:val="0082339A"/>
    <w:rsid w:val="008253DA"/>
    <w:rsid w:val="008253EA"/>
    <w:rsid w:val="008274FB"/>
    <w:rsid w:val="00827816"/>
    <w:rsid w:val="0083011F"/>
    <w:rsid w:val="008301E2"/>
    <w:rsid w:val="00832529"/>
    <w:rsid w:val="00835CAA"/>
    <w:rsid w:val="00837563"/>
    <w:rsid w:val="00837EA3"/>
    <w:rsid w:val="00841FB2"/>
    <w:rsid w:val="0084209C"/>
    <w:rsid w:val="00842CB4"/>
    <w:rsid w:val="00843C58"/>
    <w:rsid w:val="00846343"/>
    <w:rsid w:val="00847360"/>
    <w:rsid w:val="008501C2"/>
    <w:rsid w:val="00851270"/>
    <w:rsid w:val="00852AC4"/>
    <w:rsid w:val="00856195"/>
    <w:rsid w:val="008564D2"/>
    <w:rsid w:val="00857F2B"/>
    <w:rsid w:val="0086387B"/>
    <w:rsid w:val="00863CAE"/>
    <w:rsid w:val="00873D7B"/>
    <w:rsid w:val="00876E47"/>
    <w:rsid w:val="00880119"/>
    <w:rsid w:val="00881801"/>
    <w:rsid w:val="00882332"/>
    <w:rsid w:val="00883569"/>
    <w:rsid w:val="008840E7"/>
    <w:rsid w:val="0088514D"/>
    <w:rsid w:val="00890E90"/>
    <w:rsid w:val="00891400"/>
    <w:rsid w:val="00891745"/>
    <w:rsid w:val="00891CC0"/>
    <w:rsid w:val="0089595F"/>
    <w:rsid w:val="00896D27"/>
    <w:rsid w:val="0089722E"/>
    <w:rsid w:val="00897C80"/>
    <w:rsid w:val="008A3E98"/>
    <w:rsid w:val="008A44F8"/>
    <w:rsid w:val="008B08C6"/>
    <w:rsid w:val="008B5A75"/>
    <w:rsid w:val="008C18A1"/>
    <w:rsid w:val="008C1C59"/>
    <w:rsid w:val="008C6F53"/>
    <w:rsid w:val="008D102D"/>
    <w:rsid w:val="008D3555"/>
    <w:rsid w:val="008D3F2B"/>
    <w:rsid w:val="008D4900"/>
    <w:rsid w:val="008D57DC"/>
    <w:rsid w:val="008D714C"/>
    <w:rsid w:val="008E0806"/>
    <w:rsid w:val="008E0D86"/>
    <w:rsid w:val="008F1DC5"/>
    <w:rsid w:val="008F2386"/>
    <w:rsid w:val="008F2E7D"/>
    <w:rsid w:val="00900B92"/>
    <w:rsid w:val="00904F7F"/>
    <w:rsid w:val="0091059B"/>
    <w:rsid w:val="00912699"/>
    <w:rsid w:val="009131EA"/>
    <w:rsid w:val="0091749D"/>
    <w:rsid w:val="00921841"/>
    <w:rsid w:val="00925B7D"/>
    <w:rsid w:val="00930117"/>
    <w:rsid w:val="009368D8"/>
    <w:rsid w:val="009400D3"/>
    <w:rsid w:val="00942151"/>
    <w:rsid w:val="00943EA5"/>
    <w:rsid w:val="00944D42"/>
    <w:rsid w:val="009464BD"/>
    <w:rsid w:val="00946BFE"/>
    <w:rsid w:val="00954B0B"/>
    <w:rsid w:val="0096138B"/>
    <w:rsid w:val="0096340D"/>
    <w:rsid w:val="00970F36"/>
    <w:rsid w:val="00971F27"/>
    <w:rsid w:val="009720F4"/>
    <w:rsid w:val="00973E0C"/>
    <w:rsid w:val="0097485E"/>
    <w:rsid w:val="009755FE"/>
    <w:rsid w:val="00977B7A"/>
    <w:rsid w:val="009803EB"/>
    <w:rsid w:val="00983590"/>
    <w:rsid w:val="00984005"/>
    <w:rsid w:val="0098572B"/>
    <w:rsid w:val="00985943"/>
    <w:rsid w:val="00986DA7"/>
    <w:rsid w:val="00987375"/>
    <w:rsid w:val="0098796C"/>
    <w:rsid w:val="00991000"/>
    <w:rsid w:val="00991D7B"/>
    <w:rsid w:val="00991E9C"/>
    <w:rsid w:val="00993459"/>
    <w:rsid w:val="0099765A"/>
    <w:rsid w:val="009A58CE"/>
    <w:rsid w:val="009B37AD"/>
    <w:rsid w:val="009B59C5"/>
    <w:rsid w:val="009B5FC3"/>
    <w:rsid w:val="009B7A3D"/>
    <w:rsid w:val="009B7C2E"/>
    <w:rsid w:val="009C3BF4"/>
    <w:rsid w:val="009D0D4A"/>
    <w:rsid w:val="009D184A"/>
    <w:rsid w:val="009D200E"/>
    <w:rsid w:val="009D4620"/>
    <w:rsid w:val="009D4C5A"/>
    <w:rsid w:val="009D74F6"/>
    <w:rsid w:val="009E0D76"/>
    <w:rsid w:val="009E28A4"/>
    <w:rsid w:val="009E3029"/>
    <w:rsid w:val="009E35F6"/>
    <w:rsid w:val="009E3DF5"/>
    <w:rsid w:val="009E4AB1"/>
    <w:rsid w:val="009E4DA1"/>
    <w:rsid w:val="009E5EEF"/>
    <w:rsid w:val="009E7BDD"/>
    <w:rsid w:val="009F343A"/>
    <w:rsid w:val="009F3FE2"/>
    <w:rsid w:val="009F4279"/>
    <w:rsid w:val="009F6EB9"/>
    <w:rsid w:val="00A0395E"/>
    <w:rsid w:val="00A04C6D"/>
    <w:rsid w:val="00A04F0A"/>
    <w:rsid w:val="00A07EFA"/>
    <w:rsid w:val="00A1037B"/>
    <w:rsid w:val="00A15940"/>
    <w:rsid w:val="00A16D8A"/>
    <w:rsid w:val="00A20822"/>
    <w:rsid w:val="00A24864"/>
    <w:rsid w:val="00A25BB4"/>
    <w:rsid w:val="00A26812"/>
    <w:rsid w:val="00A271AA"/>
    <w:rsid w:val="00A30501"/>
    <w:rsid w:val="00A35017"/>
    <w:rsid w:val="00A360A7"/>
    <w:rsid w:val="00A36CF5"/>
    <w:rsid w:val="00A3794D"/>
    <w:rsid w:val="00A44311"/>
    <w:rsid w:val="00A46F95"/>
    <w:rsid w:val="00A51C46"/>
    <w:rsid w:val="00A52FFB"/>
    <w:rsid w:val="00A53BA7"/>
    <w:rsid w:val="00A5441B"/>
    <w:rsid w:val="00A5648D"/>
    <w:rsid w:val="00A60640"/>
    <w:rsid w:val="00A61AA9"/>
    <w:rsid w:val="00A632E5"/>
    <w:rsid w:val="00A63424"/>
    <w:rsid w:val="00A66409"/>
    <w:rsid w:val="00A66A78"/>
    <w:rsid w:val="00A6736F"/>
    <w:rsid w:val="00A71129"/>
    <w:rsid w:val="00A711EC"/>
    <w:rsid w:val="00A7223B"/>
    <w:rsid w:val="00A72A6B"/>
    <w:rsid w:val="00A763B4"/>
    <w:rsid w:val="00A77515"/>
    <w:rsid w:val="00A8143F"/>
    <w:rsid w:val="00A819AB"/>
    <w:rsid w:val="00A82F97"/>
    <w:rsid w:val="00A83791"/>
    <w:rsid w:val="00A866D1"/>
    <w:rsid w:val="00A86C53"/>
    <w:rsid w:val="00A92B03"/>
    <w:rsid w:val="00A9576A"/>
    <w:rsid w:val="00A95D08"/>
    <w:rsid w:val="00A976B1"/>
    <w:rsid w:val="00AA1903"/>
    <w:rsid w:val="00AA3377"/>
    <w:rsid w:val="00AA3CC9"/>
    <w:rsid w:val="00AB2F9D"/>
    <w:rsid w:val="00AB387C"/>
    <w:rsid w:val="00AC22AC"/>
    <w:rsid w:val="00AC5F9A"/>
    <w:rsid w:val="00AC7FA6"/>
    <w:rsid w:val="00AD1B4C"/>
    <w:rsid w:val="00AD3173"/>
    <w:rsid w:val="00AD31F5"/>
    <w:rsid w:val="00AE1CB9"/>
    <w:rsid w:val="00AE3FA6"/>
    <w:rsid w:val="00AE5B6A"/>
    <w:rsid w:val="00AE7732"/>
    <w:rsid w:val="00AF0300"/>
    <w:rsid w:val="00AF57F1"/>
    <w:rsid w:val="00AF64C9"/>
    <w:rsid w:val="00B011A7"/>
    <w:rsid w:val="00B0178D"/>
    <w:rsid w:val="00B0333A"/>
    <w:rsid w:val="00B12569"/>
    <w:rsid w:val="00B133FC"/>
    <w:rsid w:val="00B1546E"/>
    <w:rsid w:val="00B156D0"/>
    <w:rsid w:val="00B200C7"/>
    <w:rsid w:val="00B2032E"/>
    <w:rsid w:val="00B20C96"/>
    <w:rsid w:val="00B21054"/>
    <w:rsid w:val="00B23E4E"/>
    <w:rsid w:val="00B23FE1"/>
    <w:rsid w:val="00B2475F"/>
    <w:rsid w:val="00B2491D"/>
    <w:rsid w:val="00B26BE9"/>
    <w:rsid w:val="00B301F3"/>
    <w:rsid w:val="00B30496"/>
    <w:rsid w:val="00B34017"/>
    <w:rsid w:val="00B34AA3"/>
    <w:rsid w:val="00B35EAB"/>
    <w:rsid w:val="00B375A3"/>
    <w:rsid w:val="00B3772F"/>
    <w:rsid w:val="00B40211"/>
    <w:rsid w:val="00B475EA"/>
    <w:rsid w:val="00B54C6A"/>
    <w:rsid w:val="00B56FDB"/>
    <w:rsid w:val="00B57216"/>
    <w:rsid w:val="00B573C2"/>
    <w:rsid w:val="00B57C7F"/>
    <w:rsid w:val="00B62140"/>
    <w:rsid w:val="00B64B86"/>
    <w:rsid w:val="00B65BA0"/>
    <w:rsid w:val="00B70395"/>
    <w:rsid w:val="00B71F4B"/>
    <w:rsid w:val="00B72172"/>
    <w:rsid w:val="00B72F03"/>
    <w:rsid w:val="00B732DD"/>
    <w:rsid w:val="00B73992"/>
    <w:rsid w:val="00B7564E"/>
    <w:rsid w:val="00B75C98"/>
    <w:rsid w:val="00B76118"/>
    <w:rsid w:val="00B778C9"/>
    <w:rsid w:val="00B91159"/>
    <w:rsid w:val="00B914B9"/>
    <w:rsid w:val="00BA2E8F"/>
    <w:rsid w:val="00BA387A"/>
    <w:rsid w:val="00BA38FE"/>
    <w:rsid w:val="00BA6363"/>
    <w:rsid w:val="00BA7547"/>
    <w:rsid w:val="00BA7561"/>
    <w:rsid w:val="00BB2B04"/>
    <w:rsid w:val="00BB31EE"/>
    <w:rsid w:val="00BB4DF3"/>
    <w:rsid w:val="00BC105E"/>
    <w:rsid w:val="00BC3415"/>
    <w:rsid w:val="00BC41D7"/>
    <w:rsid w:val="00BD1367"/>
    <w:rsid w:val="00BD546E"/>
    <w:rsid w:val="00BD580B"/>
    <w:rsid w:val="00BE0E06"/>
    <w:rsid w:val="00BE0FF2"/>
    <w:rsid w:val="00BE125E"/>
    <w:rsid w:val="00BE3349"/>
    <w:rsid w:val="00BE6031"/>
    <w:rsid w:val="00BE6880"/>
    <w:rsid w:val="00BF001B"/>
    <w:rsid w:val="00BF4EDA"/>
    <w:rsid w:val="00BF625A"/>
    <w:rsid w:val="00BF7C01"/>
    <w:rsid w:val="00C012D5"/>
    <w:rsid w:val="00C041A7"/>
    <w:rsid w:val="00C1638C"/>
    <w:rsid w:val="00C16A92"/>
    <w:rsid w:val="00C16E9D"/>
    <w:rsid w:val="00C21324"/>
    <w:rsid w:val="00C27995"/>
    <w:rsid w:val="00C31FBE"/>
    <w:rsid w:val="00C35E7C"/>
    <w:rsid w:val="00C4155F"/>
    <w:rsid w:val="00C41863"/>
    <w:rsid w:val="00C42A91"/>
    <w:rsid w:val="00C43089"/>
    <w:rsid w:val="00C43FDB"/>
    <w:rsid w:val="00C454F6"/>
    <w:rsid w:val="00C475E5"/>
    <w:rsid w:val="00C476EA"/>
    <w:rsid w:val="00C50866"/>
    <w:rsid w:val="00C523FA"/>
    <w:rsid w:val="00C537A2"/>
    <w:rsid w:val="00C55726"/>
    <w:rsid w:val="00C618E9"/>
    <w:rsid w:val="00C63CE0"/>
    <w:rsid w:val="00C6440C"/>
    <w:rsid w:val="00C678E1"/>
    <w:rsid w:val="00C70B3C"/>
    <w:rsid w:val="00C70C73"/>
    <w:rsid w:val="00C726E2"/>
    <w:rsid w:val="00C72BB4"/>
    <w:rsid w:val="00C730A1"/>
    <w:rsid w:val="00C7332A"/>
    <w:rsid w:val="00C80679"/>
    <w:rsid w:val="00C87793"/>
    <w:rsid w:val="00C90176"/>
    <w:rsid w:val="00C92A2F"/>
    <w:rsid w:val="00C932F0"/>
    <w:rsid w:val="00C94020"/>
    <w:rsid w:val="00C94C07"/>
    <w:rsid w:val="00C95E3E"/>
    <w:rsid w:val="00C96274"/>
    <w:rsid w:val="00CA09D5"/>
    <w:rsid w:val="00CA1296"/>
    <w:rsid w:val="00CA19CD"/>
    <w:rsid w:val="00CA48CA"/>
    <w:rsid w:val="00CA5A53"/>
    <w:rsid w:val="00CA7FF0"/>
    <w:rsid w:val="00CB0467"/>
    <w:rsid w:val="00CB318A"/>
    <w:rsid w:val="00CB321A"/>
    <w:rsid w:val="00CC02E5"/>
    <w:rsid w:val="00CC4EF2"/>
    <w:rsid w:val="00CD26BF"/>
    <w:rsid w:val="00CD306E"/>
    <w:rsid w:val="00CD606E"/>
    <w:rsid w:val="00CD678B"/>
    <w:rsid w:val="00CE04B9"/>
    <w:rsid w:val="00CE04D5"/>
    <w:rsid w:val="00CE0D59"/>
    <w:rsid w:val="00CE1BFF"/>
    <w:rsid w:val="00CE517D"/>
    <w:rsid w:val="00CE666B"/>
    <w:rsid w:val="00CE6A46"/>
    <w:rsid w:val="00CE74DB"/>
    <w:rsid w:val="00CF0E9F"/>
    <w:rsid w:val="00CF4C32"/>
    <w:rsid w:val="00CF758E"/>
    <w:rsid w:val="00D00238"/>
    <w:rsid w:val="00D00D33"/>
    <w:rsid w:val="00D02C9C"/>
    <w:rsid w:val="00D05700"/>
    <w:rsid w:val="00D10328"/>
    <w:rsid w:val="00D1120A"/>
    <w:rsid w:val="00D12D39"/>
    <w:rsid w:val="00D14EAD"/>
    <w:rsid w:val="00D1586D"/>
    <w:rsid w:val="00D16AFA"/>
    <w:rsid w:val="00D200BA"/>
    <w:rsid w:val="00D22354"/>
    <w:rsid w:val="00D24024"/>
    <w:rsid w:val="00D24916"/>
    <w:rsid w:val="00D310C9"/>
    <w:rsid w:val="00D32F06"/>
    <w:rsid w:val="00D33E2E"/>
    <w:rsid w:val="00D3546A"/>
    <w:rsid w:val="00D35872"/>
    <w:rsid w:val="00D35EBB"/>
    <w:rsid w:val="00D3750C"/>
    <w:rsid w:val="00D37FE1"/>
    <w:rsid w:val="00D408AC"/>
    <w:rsid w:val="00D41B62"/>
    <w:rsid w:val="00D437D2"/>
    <w:rsid w:val="00D43BCD"/>
    <w:rsid w:val="00D44A88"/>
    <w:rsid w:val="00D4520B"/>
    <w:rsid w:val="00D51325"/>
    <w:rsid w:val="00D53749"/>
    <w:rsid w:val="00D538CC"/>
    <w:rsid w:val="00D563F9"/>
    <w:rsid w:val="00D575FE"/>
    <w:rsid w:val="00D61476"/>
    <w:rsid w:val="00D6299A"/>
    <w:rsid w:val="00D63C7C"/>
    <w:rsid w:val="00D640B1"/>
    <w:rsid w:val="00D6603D"/>
    <w:rsid w:val="00D7366D"/>
    <w:rsid w:val="00D752F8"/>
    <w:rsid w:val="00D77A61"/>
    <w:rsid w:val="00D77BD1"/>
    <w:rsid w:val="00D807B4"/>
    <w:rsid w:val="00D85553"/>
    <w:rsid w:val="00D85B36"/>
    <w:rsid w:val="00D86AA2"/>
    <w:rsid w:val="00D9014B"/>
    <w:rsid w:val="00D90E99"/>
    <w:rsid w:val="00D91560"/>
    <w:rsid w:val="00D94623"/>
    <w:rsid w:val="00D946B9"/>
    <w:rsid w:val="00DA13A3"/>
    <w:rsid w:val="00DA22C8"/>
    <w:rsid w:val="00DA2953"/>
    <w:rsid w:val="00DA3E05"/>
    <w:rsid w:val="00DA50D2"/>
    <w:rsid w:val="00DA5E4D"/>
    <w:rsid w:val="00DA7B03"/>
    <w:rsid w:val="00DB2970"/>
    <w:rsid w:val="00DC1B2E"/>
    <w:rsid w:val="00DC2735"/>
    <w:rsid w:val="00DC2C3C"/>
    <w:rsid w:val="00DC3F24"/>
    <w:rsid w:val="00DC4AC4"/>
    <w:rsid w:val="00DD447E"/>
    <w:rsid w:val="00DD47C1"/>
    <w:rsid w:val="00DD544F"/>
    <w:rsid w:val="00DE2664"/>
    <w:rsid w:val="00DE33A4"/>
    <w:rsid w:val="00DE4D2F"/>
    <w:rsid w:val="00DE5832"/>
    <w:rsid w:val="00DE732D"/>
    <w:rsid w:val="00DF1E0F"/>
    <w:rsid w:val="00DF3464"/>
    <w:rsid w:val="00DF3B6D"/>
    <w:rsid w:val="00DF69EB"/>
    <w:rsid w:val="00E033AF"/>
    <w:rsid w:val="00E057DF"/>
    <w:rsid w:val="00E1003C"/>
    <w:rsid w:val="00E10499"/>
    <w:rsid w:val="00E13D26"/>
    <w:rsid w:val="00E1549B"/>
    <w:rsid w:val="00E1769F"/>
    <w:rsid w:val="00E209F2"/>
    <w:rsid w:val="00E22E2B"/>
    <w:rsid w:val="00E26108"/>
    <w:rsid w:val="00E27672"/>
    <w:rsid w:val="00E30DE8"/>
    <w:rsid w:val="00E31224"/>
    <w:rsid w:val="00E354CC"/>
    <w:rsid w:val="00E35D47"/>
    <w:rsid w:val="00E37560"/>
    <w:rsid w:val="00E37AC3"/>
    <w:rsid w:val="00E41100"/>
    <w:rsid w:val="00E4365C"/>
    <w:rsid w:val="00E44FC5"/>
    <w:rsid w:val="00E46B2E"/>
    <w:rsid w:val="00E51CEA"/>
    <w:rsid w:val="00E53387"/>
    <w:rsid w:val="00E5348A"/>
    <w:rsid w:val="00E54673"/>
    <w:rsid w:val="00E57D2A"/>
    <w:rsid w:val="00E604BD"/>
    <w:rsid w:val="00E612F9"/>
    <w:rsid w:val="00E6310E"/>
    <w:rsid w:val="00E64D92"/>
    <w:rsid w:val="00E71C98"/>
    <w:rsid w:val="00E73777"/>
    <w:rsid w:val="00E76902"/>
    <w:rsid w:val="00E7741F"/>
    <w:rsid w:val="00E77641"/>
    <w:rsid w:val="00E832A6"/>
    <w:rsid w:val="00E92399"/>
    <w:rsid w:val="00E927E9"/>
    <w:rsid w:val="00E93E27"/>
    <w:rsid w:val="00E944DD"/>
    <w:rsid w:val="00E94542"/>
    <w:rsid w:val="00E953D1"/>
    <w:rsid w:val="00EA28F4"/>
    <w:rsid w:val="00EA2F1C"/>
    <w:rsid w:val="00EA2F2C"/>
    <w:rsid w:val="00EA6329"/>
    <w:rsid w:val="00EA736D"/>
    <w:rsid w:val="00EB0C80"/>
    <w:rsid w:val="00EB1CAC"/>
    <w:rsid w:val="00EB32CC"/>
    <w:rsid w:val="00EB3406"/>
    <w:rsid w:val="00EB5B1F"/>
    <w:rsid w:val="00EB66B1"/>
    <w:rsid w:val="00EB794F"/>
    <w:rsid w:val="00EC026C"/>
    <w:rsid w:val="00EC121E"/>
    <w:rsid w:val="00EC2070"/>
    <w:rsid w:val="00EC2B67"/>
    <w:rsid w:val="00EC3735"/>
    <w:rsid w:val="00EC3B9B"/>
    <w:rsid w:val="00EC7EAC"/>
    <w:rsid w:val="00ED5309"/>
    <w:rsid w:val="00ED7D3E"/>
    <w:rsid w:val="00EE261A"/>
    <w:rsid w:val="00EE648E"/>
    <w:rsid w:val="00EE6CB5"/>
    <w:rsid w:val="00EE75BA"/>
    <w:rsid w:val="00EF0585"/>
    <w:rsid w:val="00EF1941"/>
    <w:rsid w:val="00EF4042"/>
    <w:rsid w:val="00EF6795"/>
    <w:rsid w:val="00EF6801"/>
    <w:rsid w:val="00EF757A"/>
    <w:rsid w:val="00F01CCA"/>
    <w:rsid w:val="00F01F9F"/>
    <w:rsid w:val="00F04DF7"/>
    <w:rsid w:val="00F13759"/>
    <w:rsid w:val="00F13BC5"/>
    <w:rsid w:val="00F159BD"/>
    <w:rsid w:val="00F21E6F"/>
    <w:rsid w:val="00F267B5"/>
    <w:rsid w:val="00F27B42"/>
    <w:rsid w:val="00F27EF7"/>
    <w:rsid w:val="00F33173"/>
    <w:rsid w:val="00F335AF"/>
    <w:rsid w:val="00F35939"/>
    <w:rsid w:val="00F35E89"/>
    <w:rsid w:val="00F367F1"/>
    <w:rsid w:val="00F40F10"/>
    <w:rsid w:val="00F419B2"/>
    <w:rsid w:val="00F42D65"/>
    <w:rsid w:val="00F4623B"/>
    <w:rsid w:val="00F504BF"/>
    <w:rsid w:val="00F63531"/>
    <w:rsid w:val="00F662A7"/>
    <w:rsid w:val="00F66499"/>
    <w:rsid w:val="00F676A9"/>
    <w:rsid w:val="00F71020"/>
    <w:rsid w:val="00F72EF9"/>
    <w:rsid w:val="00F762B0"/>
    <w:rsid w:val="00F8520A"/>
    <w:rsid w:val="00F86CD7"/>
    <w:rsid w:val="00F87206"/>
    <w:rsid w:val="00F90711"/>
    <w:rsid w:val="00F90BCF"/>
    <w:rsid w:val="00F92D92"/>
    <w:rsid w:val="00F932DD"/>
    <w:rsid w:val="00F96A7E"/>
    <w:rsid w:val="00F97F41"/>
    <w:rsid w:val="00FA0398"/>
    <w:rsid w:val="00FA3F3D"/>
    <w:rsid w:val="00FA565B"/>
    <w:rsid w:val="00FA5C9B"/>
    <w:rsid w:val="00FA5E09"/>
    <w:rsid w:val="00FA78DB"/>
    <w:rsid w:val="00FB57F6"/>
    <w:rsid w:val="00FB6555"/>
    <w:rsid w:val="00FB6903"/>
    <w:rsid w:val="00FB699F"/>
    <w:rsid w:val="00FC1252"/>
    <w:rsid w:val="00FC1575"/>
    <w:rsid w:val="00FC1D00"/>
    <w:rsid w:val="00FC23AE"/>
    <w:rsid w:val="00FC37E3"/>
    <w:rsid w:val="00FC3C26"/>
    <w:rsid w:val="00FC4B2B"/>
    <w:rsid w:val="00FD1127"/>
    <w:rsid w:val="00FD1653"/>
    <w:rsid w:val="00FD21D2"/>
    <w:rsid w:val="00FD33B0"/>
    <w:rsid w:val="00FE0159"/>
    <w:rsid w:val="00FE018F"/>
    <w:rsid w:val="00FE0E24"/>
    <w:rsid w:val="00FE244D"/>
    <w:rsid w:val="00FE485C"/>
    <w:rsid w:val="00FF28BC"/>
    <w:rsid w:val="00FF2DB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8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B30496"/>
    <w:pPr>
      <w:keepNext/>
      <w:keepLines/>
      <w:outlineLvl w:val="0"/>
    </w:pPr>
    <w:rPr>
      <w:rFonts w:eastAsiaTheme="majorEastAsia"/>
      <w:b/>
      <w:bCs/>
      <w:sz w:val="32"/>
      <w:szCs w:val="32"/>
    </w:rPr>
  </w:style>
  <w:style w:type="paragraph" w:styleId="Heading2">
    <w:name w:val="heading 2"/>
    <w:basedOn w:val="Normal"/>
    <w:next w:val="Normal"/>
    <w:link w:val="Heading2Char"/>
    <w:autoRedefine/>
    <w:uiPriority w:val="9"/>
    <w:unhideWhenUsed/>
    <w:qFormat/>
    <w:rsid w:val="00BC105E"/>
    <w:pPr>
      <w:keepNext/>
      <w:keepLines/>
      <w:spacing w:before="240" w:after="120"/>
      <w:outlineLvl w:val="1"/>
    </w:pPr>
    <w:rPr>
      <w:rFonts w:eastAsiaTheme="majorEastAsia"/>
      <w:caps/>
      <w:color w:val="404040" w:themeColor="text1" w:themeTint="BF"/>
      <w:sz w:val="28"/>
      <w:szCs w:val="26"/>
    </w:rPr>
  </w:style>
  <w:style w:type="paragraph" w:styleId="Heading3">
    <w:name w:val="heading 3"/>
    <w:basedOn w:val="Heading5"/>
    <w:next w:val="Normal"/>
    <w:link w:val="Heading3Char"/>
    <w:autoRedefine/>
    <w:uiPriority w:val="9"/>
    <w:unhideWhenUsed/>
    <w:qFormat/>
    <w:rsid w:val="001C3D76"/>
    <w:pPr>
      <w:outlineLvl w:val="2"/>
    </w:pPr>
    <w:rPr>
      <w:rFonts w:cs="Times New Roman"/>
      <w:bCs/>
      <w:iCs/>
      <w:sz w:val="28"/>
      <w:szCs w:val="28"/>
    </w:rPr>
  </w:style>
  <w:style w:type="paragraph" w:styleId="Heading4">
    <w:name w:val="heading 4"/>
    <w:basedOn w:val="Normal"/>
    <w:next w:val="Normal"/>
    <w:link w:val="Heading4Char"/>
    <w:autoRedefine/>
    <w:uiPriority w:val="9"/>
    <w:unhideWhenUsed/>
    <w:qFormat/>
    <w:rsid w:val="001F0A0E"/>
    <w:pPr>
      <w:keepNext/>
      <w:keepLines/>
      <w:spacing w:before="240" w:after="120"/>
      <w:outlineLvl w:val="3"/>
    </w:pPr>
    <w:rPr>
      <w:rFonts w:ascii="Times New Roman" w:eastAsiaTheme="majorEastAsia" w:hAnsi="Times New Roman" w:cs="Times New Roman"/>
      <w:i/>
    </w:rPr>
  </w:style>
  <w:style w:type="paragraph" w:styleId="Heading5">
    <w:name w:val="heading 5"/>
    <w:basedOn w:val="Normal"/>
    <w:next w:val="Normal"/>
    <w:link w:val="Heading5Char"/>
    <w:autoRedefine/>
    <w:uiPriority w:val="9"/>
    <w:unhideWhenUsed/>
    <w:qFormat/>
    <w:rsid w:val="0015068F"/>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B30496"/>
    <w:rPr>
      <w:rFonts w:eastAsiaTheme="majorEastAsia"/>
      <w:b/>
      <w:bCs/>
      <w:sz w:val="32"/>
      <w:szCs w:val="32"/>
    </w:rPr>
  </w:style>
  <w:style w:type="character" w:customStyle="1" w:styleId="Heading2Char">
    <w:name w:val="Heading 2 Char"/>
    <w:basedOn w:val="DefaultParagraphFont"/>
    <w:link w:val="Heading2"/>
    <w:uiPriority w:val="9"/>
    <w:rsid w:val="00BC105E"/>
    <w:rPr>
      <w:rFonts w:eastAsiaTheme="majorEastAsia"/>
      <w:caps/>
      <w:color w:val="404040" w:themeColor="text1" w:themeTint="BF"/>
      <w:sz w:val="28"/>
      <w:szCs w:val="26"/>
    </w:rPr>
  </w:style>
  <w:style w:type="character" w:customStyle="1" w:styleId="Heading3Char">
    <w:name w:val="Heading 3 Char"/>
    <w:basedOn w:val="DefaultParagraphFont"/>
    <w:link w:val="Heading3"/>
    <w:uiPriority w:val="9"/>
    <w:rsid w:val="001C3D76"/>
    <w:rPr>
      <w:rFonts w:eastAsiaTheme="majorEastAsia" w:cs="Times New Roman"/>
      <w:b/>
      <w:bCs/>
      <w:iCs/>
      <w:sz w:val="28"/>
      <w:szCs w:val="28"/>
    </w:rPr>
  </w:style>
  <w:style w:type="character" w:customStyle="1" w:styleId="Heading4Char">
    <w:name w:val="Heading 4 Char"/>
    <w:basedOn w:val="DefaultParagraphFont"/>
    <w:link w:val="Heading4"/>
    <w:uiPriority w:val="9"/>
    <w:rsid w:val="001F0A0E"/>
    <w:rPr>
      <w:rFonts w:ascii="Times New Roman" w:eastAsiaTheme="majorEastAsia" w:hAnsi="Times New Roman" w:cs="Times New Roman"/>
      <w:i/>
    </w:rPr>
  </w:style>
  <w:style w:type="character" w:customStyle="1" w:styleId="Heading5Char">
    <w:name w:val="Heading 5 Char"/>
    <w:basedOn w:val="DefaultParagraphFont"/>
    <w:link w:val="Heading5"/>
    <w:uiPriority w:val="9"/>
    <w:rsid w:val="0015068F"/>
    <w:rPr>
      <w:rFonts w:eastAsiaTheme="majorEastAsia"/>
      <w:b/>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FootnoteText">
    <w:name w:val="footnote text"/>
    <w:basedOn w:val="Normal"/>
    <w:link w:val="FootnoteTextChar"/>
    <w:uiPriority w:val="99"/>
    <w:unhideWhenUsed/>
    <w:rsid w:val="00007D71"/>
    <w:pPr>
      <w:spacing w:before="0" w:line="288" w:lineRule="auto"/>
      <w:jc w:val="both"/>
    </w:pPr>
    <w:rPr>
      <w:rFonts w:ascii="Times New Roman" w:hAnsi="Times New Roman"/>
      <w:sz w:val="21"/>
      <w:szCs w:val="20"/>
    </w:rPr>
  </w:style>
  <w:style w:type="character" w:customStyle="1" w:styleId="FootnoteTextChar">
    <w:name w:val="Footnote Text Char"/>
    <w:basedOn w:val="DefaultParagraphFont"/>
    <w:link w:val="FootnoteText"/>
    <w:uiPriority w:val="99"/>
    <w:rsid w:val="00007D71"/>
    <w:rPr>
      <w:rFonts w:ascii="Times New Roman" w:hAnsi="Times New Roman"/>
      <w:sz w:val="21"/>
      <w:szCs w:val="20"/>
    </w:rPr>
  </w:style>
  <w:style w:type="character" w:styleId="FootnoteReference">
    <w:name w:val="footnote reference"/>
    <w:basedOn w:val="DefaultParagraphFont"/>
    <w:uiPriority w:val="99"/>
    <w:semiHidden/>
    <w:unhideWhenUsed/>
    <w:rsid w:val="00B2491D"/>
    <w:rPr>
      <w:vertAlign w:val="superscript"/>
    </w:rPr>
  </w:style>
  <w:style w:type="character" w:styleId="Hyperlink">
    <w:name w:val="Hyperlink"/>
    <w:basedOn w:val="DefaultParagraphFont"/>
    <w:uiPriority w:val="99"/>
    <w:unhideWhenUsed/>
    <w:rsid w:val="00655AD6"/>
    <w:rPr>
      <w:color w:val="0000FF" w:themeColor="hyperlink"/>
      <w:u w:val="single"/>
    </w:rPr>
  </w:style>
  <w:style w:type="character" w:styleId="CommentReference">
    <w:name w:val="annotation reference"/>
    <w:basedOn w:val="DefaultParagraphFont"/>
    <w:uiPriority w:val="99"/>
    <w:semiHidden/>
    <w:unhideWhenUsed/>
    <w:rsid w:val="00991000"/>
    <w:rPr>
      <w:sz w:val="16"/>
      <w:szCs w:val="16"/>
    </w:rPr>
  </w:style>
  <w:style w:type="paragraph" w:styleId="CommentText">
    <w:name w:val="annotation text"/>
    <w:basedOn w:val="Normal"/>
    <w:link w:val="CommentTextChar"/>
    <w:uiPriority w:val="99"/>
    <w:semiHidden/>
    <w:unhideWhenUsed/>
    <w:rsid w:val="00991000"/>
    <w:pPr>
      <w:spacing w:line="240" w:lineRule="auto"/>
    </w:pPr>
    <w:rPr>
      <w:sz w:val="20"/>
      <w:szCs w:val="20"/>
    </w:rPr>
  </w:style>
  <w:style w:type="character" w:customStyle="1" w:styleId="CommentTextChar">
    <w:name w:val="Comment Text Char"/>
    <w:basedOn w:val="DefaultParagraphFont"/>
    <w:link w:val="CommentText"/>
    <w:uiPriority w:val="99"/>
    <w:semiHidden/>
    <w:rsid w:val="00991000"/>
    <w:rPr>
      <w:sz w:val="20"/>
      <w:szCs w:val="20"/>
    </w:rPr>
  </w:style>
  <w:style w:type="paragraph" w:styleId="BalloonText">
    <w:name w:val="Balloon Text"/>
    <w:basedOn w:val="Normal"/>
    <w:link w:val="BalloonTextChar"/>
    <w:uiPriority w:val="99"/>
    <w:semiHidden/>
    <w:unhideWhenUsed/>
    <w:rsid w:val="0099100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00"/>
    <w:rPr>
      <w:rFonts w:ascii="Tahoma" w:hAnsi="Tahoma" w:cs="Tahoma"/>
      <w:sz w:val="16"/>
      <w:szCs w:val="16"/>
    </w:rPr>
  </w:style>
  <w:style w:type="paragraph" w:styleId="ListParagraph">
    <w:name w:val="List Paragraph"/>
    <w:basedOn w:val="Normal"/>
    <w:uiPriority w:val="34"/>
    <w:qFormat/>
    <w:rsid w:val="009E3DF5"/>
    <w:pPr>
      <w:ind w:left="720"/>
      <w:contextualSpacing/>
    </w:pPr>
  </w:style>
  <w:style w:type="paragraph" w:styleId="Header">
    <w:name w:val="header"/>
    <w:basedOn w:val="Normal"/>
    <w:link w:val="HeaderChar"/>
    <w:uiPriority w:val="99"/>
    <w:unhideWhenUsed/>
    <w:rsid w:val="0074486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44862"/>
  </w:style>
  <w:style w:type="paragraph" w:styleId="Footer">
    <w:name w:val="footer"/>
    <w:basedOn w:val="Normal"/>
    <w:link w:val="FooterChar"/>
    <w:uiPriority w:val="99"/>
    <w:unhideWhenUsed/>
    <w:rsid w:val="0074486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44862"/>
  </w:style>
  <w:style w:type="paragraph" w:styleId="Revision">
    <w:name w:val="Revision"/>
    <w:hidden/>
    <w:uiPriority w:val="99"/>
    <w:semiHidden/>
    <w:rsid w:val="005C591B"/>
    <w:pPr>
      <w:spacing w:after="0" w:line="240" w:lineRule="auto"/>
    </w:pPr>
  </w:style>
  <w:style w:type="paragraph" w:styleId="TOC2">
    <w:name w:val="toc 2"/>
    <w:basedOn w:val="Normal"/>
    <w:next w:val="Normal"/>
    <w:autoRedefine/>
    <w:uiPriority w:val="39"/>
    <w:unhideWhenUsed/>
    <w:qFormat/>
    <w:rsid w:val="00843C58"/>
    <w:pPr>
      <w:spacing w:before="0" w:after="100"/>
      <w:ind w:left="220"/>
    </w:pPr>
    <w:rPr>
      <w:rFonts w:asciiTheme="minorHAnsi" w:hAnsiTheme="minorHAnsi" w:cstheme="minorBidi"/>
      <w:sz w:val="22"/>
      <w:szCs w:val="22"/>
      <w:lang w:val="en-US" w:eastAsia="ja-JP"/>
    </w:rPr>
  </w:style>
  <w:style w:type="paragraph" w:styleId="TOC1">
    <w:name w:val="toc 1"/>
    <w:basedOn w:val="Normal"/>
    <w:next w:val="Normal"/>
    <w:autoRedefine/>
    <w:uiPriority w:val="39"/>
    <w:unhideWhenUsed/>
    <w:qFormat/>
    <w:rsid w:val="00843C58"/>
    <w:pPr>
      <w:spacing w:before="0" w:after="100"/>
    </w:pPr>
    <w:rPr>
      <w:rFonts w:asciiTheme="minorHAnsi" w:hAnsiTheme="minorHAnsi" w:cstheme="minorBidi"/>
      <w:sz w:val="22"/>
      <w:szCs w:val="22"/>
      <w:lang w:val="en-US" w:eastAsia="ja-JP"/>
    </w:rPr>
  </w:style>
  <w:style w:type="paragraph" w:styleId="TOC3">
    <w:name w:val="toc 3"/>
    <w:basedOn w:val="Normal"/>
    <w:next w:val="Normal"/>
    <w:autoRedefine/>
    <w:uiPriority w:val="39"/>
    <w:unhideWhenUsed/>
    <w:qFormat/>
    <w:rsid w:val="00843C58"/>
    <w:pPr>
      <w:spacing w:before="0" w:after="100"/>
      <w:ind w:left="440"/>
    </w:pPr>
    <w:rPr>
      <w:rFonts w:asciiTheme="minorHAnsi" w:hAnsiTheme="minorHAnsi" w:cstheme="minorBidi"/>
      <w:sz w:val="22"/>
      <w:szCs w:val="22"/>
      <w:lang w:val="en-US" w:eastAsia="ja-JP"/>
    </w:rPr>
  </w:style>
  <w:style w:type="table" w:styleId="TableGrid">
    <w:name w:val="Table Grid"/>
    <w:basedOn w:val="TableNormal"/>
    <w:uiPriority w:val="59"/>
    <w:rsid w:val="00640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C105E"/>
    <w:pPr>
      <w:spacing w:after="100"/>
      <w:ind w:left="720"/>
    </w:pPr>
  </w:style>
  <w:style w:type="paragraph" w:styleId="CommentSubject">
    <w:name w:val="annotation subject"/>
    <w:basedOn w:val="CommentText"/>
    <w:next w:val="CommentText"/>
    <w:link w:val="CommentSubjectChar"/>
    <w:uiPriority w:val="99"/>
    <w:semiHidden/>
    <w:unhideWhenUsed/>
    <w:rsid w:val="00D90E99"/>
    <w:rPr>
      <w:b/>
      <w:bCs/>
    </w:rPr>
  </w:style>
  <w:style w:type="character" w:customStyle="1" w:styleId="CommentSubjectChar">
    <w:name w:val="Comment Subject Char"/>
    <w:basedOn w:val="CommentTextChar"/>
    <w:link w:val="CommentSubject"/>
    <w:uiPriority w:val="99"/>
    <w:semiHidden/>
    <w:rsid w:val="00D90E99"/>
    <w:rPr>
      <w:b/>
      <w:bCs/>
      <w:sz w:val="20"/>
      <w:szCs w:val="20"/>
    </w:rPr>
  </w:style>
  <w:style w:type="character" w:styleId="FollowedHyperlink">
    <w:name w:val="FollowedHyperlink"/>
    <w:basedOn w:val="DefaultParagraphFont"/>
    <w:uiPriority w:val="99"/>
    <w:semiHidden/>
    <w:unhideWhenUsed/>
    <w:rsid w:val="00491613"/>
    <w:rPr>
      <w:color w:val="800080" w:themeColor="followedHyperlink"/>
      <w:u w:val="single"/>
    </w:rPr>
  </w:style>
  <w:style w:type="character" w:customStyle="1" w:styleId="apple-converted-space">
    <w:name w:val="apple-converted-space"/>
    <w:basedOn w:val="DefaultParagraphFont"/>
    <w:rsid w:val="00C0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B30496"/>
    <w:pPr>
      <w:keepNext/>
      <w:keepLines/>
      <w:outlineLvl w:val="0"/>
    </w:pPr>
    <w:rPr>
      <w:rFonts w:eastAsiaTheme="majorEastAsia"/>
      <w:b/>
      <w:bCs/>
      <w:sz w:val="32"/>
      <w:szCs w:val="32"/>
    </w:rPr>
  </w:style>
  <w:style w:type="paragraph" w:styleId="Heading2">
    <w:name w:val="heading 2"/>
    <w:basedOn w:val="Normal"/>
    <w:next w:val="Normal"/>
    <w:link w:val="Heading2Char"/>
    <w:autoRedefine/>
    <w:uiPriority w:val="9"/>
    <w:unhideWhenUsed/>
    <w:qFormat/>
    <w:rsid w:val="00BC105E"/>
    <w:pPr>
      <w:keepNext/>
      <w:keepLines/>
      <w:spacing w:before="240" w:after="120"/>
      <w:outlineLvl w:val="1"/>
    </w:pPr>
    <w:rPr>
      <w:rFonts w:eastAsiaTheme="majorEastAsia"/>
      <w:caps/>
      <w:color w:val="404040" w:themeColor="text1" w:themeTint="BF"/>
      <w:sz w:val="28"/>
      <w:szCs w:val="26"/>
    </w:rPr>
  </w:style>
  <w:style w:type="paragraph" w:styleId="Heading3">
    <w:name w:val="heading 3"/>
    <w:basedOn w:val="Heading5"/>
    <w:next w:val="Normal"/>
    <w:link w:val="Heading3Char"/>
    <w:autoRedefine/>
    <w:uiPriority w:val="9"/>
    <w:unhideWhenUsed/>
    <w:qFormat/>
    <w:rsid w:val="001C3D76"/>
    <w:pPr>
      <w:outlineLvl w:val="2"/>
    </w:pPr>
    <w:rPr>
      <w:rFonts w:cs="Times New Roman"/>
      <w:bCs/>
      <w:iCs/>
      <w:sz w:val="28"/>
      <w:szCs w:val="28"/>
    </w:rPr>
  </w:style>
  <w:style w:type="paragraph" w:styleId="Heading4">
    <w:name w:val="heading 4"/>
    <w:basedOn w:val="Normal"/>
    <w:next w:val="Normal"/>
    <w:link w:val="Heading4Char"/>
    <w:autoRedefine/>
    <w:uiPriority w:val="9"/>
    <w:unhideWhenUsed/>
    <w:qFormat/>
    <w:rsid w:val="001F0A0E"/>
    <w:pPr>
      <w:keepNext/>
      <w:keepLines/>
      <w:spacing w:before="240" w:after="120"/>
      <w:outlineLvl w:val="3"/>
    </w:pPr>
    <w:rPr>
      <w:rFonts w:ascii="Times New Roman" w:eastAsiaTheme="majorEastAsia" w:hAnsi="Times New Roman" w:cs="Times New Roman"/>
      <w:i/>
    </w:rPr>
  </w:style>
  <w:style w:type="paragraph" w:styleId="Heading5">
    <w:name w:val="heading 5"/>
    <w:basedOn w:val="Normal"/>
    <w:next w:val="Normal"/>
    <w:link w:val="Heading5Char"/>
    <w:autoRedefine/>
    <w:uiPriority w:val="9"/>
    <w:unhideWhenUsed/>
    <w:qFormat/>
    <w:rsid w:val="0015068F"/>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B30496"/>
    <w:rPr>
      <w:rFonts w:eastAsiaTheme="majorEastAsia"/>
      <w:b/>
      <w:bCs/>
      <w:sz w:val="32"/>
      <w:szCs w:val="32"/>
    </w:rPr>
  </w:style>
  <w:style w:type="character" w:customStyle="1" w:styleId="Heading2Char">
    <w:name w:val="Heading 2 Char"/>
    <w:basedOn w:val="DefaultParagraphFont"/>
    <w:link w:val="Heading2"/>
    <w:uiPriority w:val="9"/>
    <w:rsid w:val="00BC105E"/>
    <w:rPr>
      <w:rFonts w:eastAsiaTheme="majorEastAsia"/>
      <w:caps/>
      <w:color w:val="404040" w:themeColor="text1" w:themeTint="BF"/>
      <w:sz w:val="28"/>
      <w:szCs w:val="26"/>
    </w:rPr>
  </w:style>
  <w:style w:type="character" w:customStyle="1" w:styleId="Heading3Char">
    <w:name w:val="Heading 3 Char"/>
    <w:basedOn w:val="DefaultParagraphFont"/>
    <w:link w:val="Heading3"/>
    <w:uiPriority w:val="9"/>
    <w:rsid w:val="001C3D76"/>
    <w:rPr>
      <w:rFonts w:eastAsiaTheme="majorEastAsia" w:cs="Times New Roman"/>
      <w:b/>
      <w:bCs/>
      <w:iCs/>
      <w:sz w:val="28"/>
      <w:szCs w:val="28"/>
    </w:rPr>
  </w:style>
  <w:style w:type="character" w:customStyle="1" w:styleId="Heading4Char">
    <w:name w:val="Heading 4 Char"/>
    <w:basedOn w:val="DefaultParagraphFont"/>
    <w:link w:val="Heading4"/>
    <w:uiPriority w:val="9"/>
    <w:rsid w:val="001F0A0E"/>
    <w:rPr>
      <w:rFonts w:ascii="Times New Roman" w:eastAsiaTheme="majorEastAsia" w:hAnsi="Times New Roman" w:cs="Times New Roman"/>
      <w:i/>
    </w:rPr>
  </w:style>
  <w:style w:type="character" w:customStyle="1" w:styleId="Heading5Char">
    <w:name w:val="Heading 5 Char"/>
    <w:basedOn w:val="DefaultParagraphFont"/>
    <w:link w:val="Heading5"/>
    <w:uiPriority w:val="9"/>
    <w:rsid w:val="0015068F"/>
    <w:rPr>
      <w:rFonts w:eastAsiaTheme="majorEastAsia"/>
      <w:b/>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FootnoteText">
    <w:name w:val="footnote text"/>
    <w:basedOn w:val="Normal"/>
    <w:link w:val="FootnoteTextChar"/>
    <w:uiPriority w:val="99"/>
    <w:unhideWhenUsed/>
    <w:rsid w:val="00007D71"/>
    <w:pPr>
      <w:spacing w:before="0" w:line="288" w:lineRule="auto"/>
      <w:jc w:val="both"/>
    </w:pPr>
    <w:rPr>
      <w:rFonts w:ascii="Times New Roman" w:hAnsi="Times New Roman"/>
      <w:sz w:val="21"/>
      <w:szCs w:val="20"/>
    </w:rPr>
  </w:style>
  <w:style w:type="character" w:customStyle="1" w:styleId="FootnoteTextChar">
    <w:name w:val="Footnote Text Char"/>
    <w:basedOn w:val="DefaultParagraphFont"/>
    <w:link w:val="FootnoteText"/>
    <w:uiPriority w:val="99"/>
    <w:rsid w:val="00007D71"/>
    <w:rPr>
      <w:rFonts w:ascii="Times New Roman" w:hAnsi="Times New Roman"/>
      <w:sz w:val="21"/>
      <w:szCs w:val="20"/>
    </w:rPr>
  </w:style>
  <w:style w:type="character" w:styleId="FootnoteReference">
    <w:name w:val="footnote reference"/>
    <w:basedOn w:val="DefaultParagraphFont"/>
    <w:uiPriority w:val="99"/>
    <w:semiHidden/>
    <w:unhideWhenUsed/>
    <w:rsid w:val="00B2491D"/>
    <w:rPr>
      <w:vertAlign w:val="superscript"/>
    </w:rPr>
  </w:style>
  <w:style w:type="character" w:styleId="Hyperlink">
    <w:name w:val="Hyperlink"/>
    <w:basedOn w:val="DefaultParagraphFont"/>
    <w:uiPriority w:val="99"/>
    <w:unhideWhenUsed/>
    <w:rsid w:val="00655AD6"/>
    <w:rPr>
      <w:color w:val="0000FF" w:themeColor="hyperlink"/>
      <w:u w:val="single"/>
    </w:rPr>
  </w:style>
  <w:style w:type="character" w:styleId="CommentReference">
    <w:name w:val="annotation reference"/>
    <w:basedOn w:val="DefaultParagraphFont"/>
    <w:uiPriority w:val="99"/>
    <w:semiHidden/>
    <w:unhideWhenUsed/>
    <w:rsid w:val="00991000"/>
    <w:rPr>
      <w:sz w:val="16"/>
      <w:szCs w:val="16"/>
    </w:rPr>
  </w:style>
  <w:style w:type="paragraph" w:styleId="CommentText">
    <w:name w:val="annotation text"/>
    <w:basedOn w:val="Normal"/>
    <w:link w:val="CommentTextChar"/>
    <w:uiPriority w:val="99"/>
    <w:semiHidden/>
    <w:unhideWhenUsed/>
    <w:rsid w:val="00991000"/>
    <w:pPr>
      <w:spacing w:line="240" w:lineRule="auto"/>
    </w:pPr>
    <w:rPr>
      <w:sz w:val="20"/>
      <w:szCs w:val="20"/>
    </w:rPr>
  </w:style>
  <w:style w:type="character" w:customStyle="1" w:styleId="CommentTextChar">
    <w:name w:val="Comment Text Char"/>
    <w:basedOn w:val="DefaultParagraphFont"/>
    <w:link w:val="CommentText"/>
    <w:uiPriority w:val="99"/>
    <w:semiHidden/>
    <w:rsid w:val="00991000"/>
    <w:rPr>
      <w:sz w:val="20"/>
      <w:szCs w:val="20"/>
    </w:rPr>
  </w:style>
  <w:style w:type="paragraph" w:styleId="BalloonText">
    <w:name w:val="Balloon Text"/>
    <w:basedOn w:val="Normal"/>
    <w:link w:val="BalloonTextChar"/>
    <w:uiPriority w:val="99"/>
    <w:semiHidden/>
    <w:unhideWhenUsed/>
    <w:rsid w:val="0099100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00"/>
    <w:rPr>
      <w:rFonts w:ascii="Tahoma" w:hAnsi="Tahoma" w:cs="Tahoma"/>
      <w:sz w:val="16"/>
      <w:szCs w:val="16"/>
    </w:rPr>
  </w:style>
  <w:style w:type="paragraph" w:styleId="ListParagraph">
    <w:name w:val="List Paragraph"/>
    <w:basedOn w:val="Normal"/>
    <w:uiPriority w:val="34"/>
    <w:qFormat/>
    <w:rsid w:val="009E3DF5"/>
    <w:pPr>
      <w:ind w:left="720"/>
      <w:contextualSpacing/>
    </w:pPr>
  </w:style>
  <w:style w:type="paragraph" w:styleId="Header">
    <w:name w:val="header"/>
    <w:basedOn w:val="Normal"/>
    <w:link w:val="HeaderChar"/>
    <w:uiPriority w:val="99"/>
    <w:unhideWhenUsed/>
    <w:rsid w:val="0074486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44862"/>
  </w:style>
  <w:style w:type="paragraph" w:styleId="Footer">
    <w:name w:val="footer"/>
    <w:basedOn w:val="Normal"/>
    <w:link w:val="FooterChar"/>
    <w:uiPriority w:val="99"/>
    <w:unhideWhenUsed/>
    <w:rsid w:val="0074486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44862"/>
  </w:style>
  <w:style w:type="paragraph" w:styleId="Revision">
    <w:name w:val="Revision"/>
    <w:hidden/>
    <w:uiPriority w:val="99"/>
    <w:semiHidden/>
    <w:rsid w:val="005C591B"/>
    <w:pPr>
      <w:spacing w:after="0" w:line="240" w:lineRule="auto"/>
    </w:pPr>
  </w:style>
  <w:style w:type="paragraph" w:styleId="TOC2">
    <w:name w:val="toc 2"/>
    <w:basedOn w:val="Normal"/>
    <w:next w:val="Normal"/>
    <w:autoRedefine/>
    <w:uiPriority w:val="39"/>
    <w:unhideWhenUsed/>
    <w:qFormat/>
    <w:rsid w:val="00843C58"/>
    <w:pPr>
      <w:spacing w:before="0" w:after="100"/>
      <w:ind w:left="220"/>
    </w:pPr>
    <w:rPr>
      <w:rFonts w:asciiTheme="minorHAnsi" w:hAnsiTheme="minorHAnsi" w:cstheme="minorBidi"/>
      <w:sz w:val="22"/>
      <w:szCs w:val="22"/>
      <w:lang w:val="en-US" w:eastAsia="ja-JP"/>
    </w:rPr>
  </w:style>
  <w:style w:type="paragraph" w:styleId="TOC1">
    <w:name w:val="toc 1"/>
    <w:basedOn w:val="Normal"/>
    <w:next w:val="Normal"/>
    <w:autoRedefine/>
    <w:uiPriority w:val="39"/>
    <w:unhideWhenUsed/>
    <w:qFormat/>
    <w:rsid w:val="00843C58"/>
    <w:pPr>
      <w:spacing w:before="0" w:after="100"/>
    </w:pPr>
    <w:rPr>
      <w:rFonts w:asciiTheme="minorHAnsi" w:hAnsiTheme="minorHAnsi" w:cstheme="minorBidi"/>
      <w:sz w:val="22"/>
      <w:szCs w:val="22"/>
      <w:lang w:val="en-US" w:eastAsia="ja-JP"/>
    </w:rPr>
  </w:style>
  <w:style w:type="paragraph" w:styleId="TOC3">
    <w:name w:val="toc 3"/>
    <w:basedOn w:val="Normal"/>
    <w:next w:val="Normal"/>
    <w:autoRedefine/>
    <w:uiPriority w:val="39"/>
    <w:unhideWhenUsed/>
    <w:qFormat/>
    <w:rsid w:val="00843C58"/>
    <w:pPr>
      <w:spacing w:before="0" w:after="100"/>
      <w:ind w:left="440"/>
    </w:pPr>
    <w:rPr>
      <w:rFonts w:asciiTheme="minorHAnsi" w:hAnsiTheme="minorHAnsi" w:cstheme="minorBidi"/>
      <w:sz w:val="22"/>
      <w:szCs w:val="22"/>
      <w:lang w:val="en-US" w:eastAsia="ja-JP"/>
    </w:rPr>
  </w:style>
  <w:style w:type="table" w:styleId="TableGrid">
    <w:name w:val="Table Grid"/>
    <w:basedOn w:val="TableNormal"/>
    <w:uiPriority w:val="59"/>
    <w:rsid w:val="00640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C105E"/>
    <w:pPr>
      <w:spacing w:after="100"/>
      <w:ind w:left="720"/>
    </w:pPr>
  </w:style>
  <w:style w:type="paragraph" w:styleId="CommentSubject">
    <w:name w:val="annotation subject"/>
    <w:basedOn w:val="CommentText"/>
    <w:next w:val="CommentText"/>
    <w:link w:val="CommentSubjectChar"/>
    <w:uiPriority w:val="99"/>
    <w:semiHidden/>
    <w:unhideWhenUsed/>
    <w:rsid w:val="00D90E99"/>
    <w:rPr>
      <w:b/>
      <w:bCs/>
    </w:rPr>
  </w:style>
  <w:style w:type="character" w:customStyle="1" w:styleId="CommentSubjectChar">
    <w:name w:val="Comment Subject Char"/>
    <w:basedOn w:val="CommentTextChar"/>
    <w:link w:val="CommentSubject"/>
    <w:uiPriority w:val="99"/>
    <w:semiHidden/>
    <w:rsid w:val="00D90E99"/>
    <w:rPr>
      <w:b/>
      <w:bCs/>
      <w:sz w:val="20"/>
      <w:szCs w:val="20"/>
    </w:rPr>
  </w:style>
  <w:style w:type="character" w:styleId="FollowedHyperlink">
    <w:name w:val="FollowedHyperlink"/>
    <w:basedOn w:val="DefaultParagraphFont"/>
    <w:uiPriority w:val="99"/>
    <w:semiHidden/>
    <w:unhideWhenUsed/>
    <w:rsid w:val="00491613"/>
    <w:rPr>
      <w:color w:val="800080" w:themeColor="followedHyperlink"/>
      <w:u w:val="single"/>
    </w:rPr>
  </w:style>
  <w:style w:type="character" w:customStyle="1" w:styleId="apple-converted-space">
    <w:name w:val="apple-converted-space"/>
    <w:basedOn w:val="DefaultParagraphFont"/>
    <w:rsid w:val="00C0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9912">
      <w:bodyDiv w:val="1"/>
      <w:marLeft w:val="0"/>
      <w:marRight w:val="0"/>
      <w:marTop w:val="0"/>
      <w:marBottom w:val="0"/>
      <w:divBdr>
        <w:top w:val="none" w:sz="0" w:space="0" w:color="auto"/>
        <w:left w:val="none" w:sz="0" w:space="0" w:color="auto"/>
        <w:bottom w:val="none" w:sz="0" w:space="0" w:color="auto"/>
        <w:right w:val="none" w:sz="0" w:space="0" w:color="auto"/>
      </w:divBdr>
    </w:div>
    <w:div w:id="522403757">
      <w:bodyDiv w:val="1"/>
      <w:marLeft w:val="0"/>
      <w:marRight w:val="0"/>
      <w:marTop w:val="0"/>
      <w:marBottom w:val="0"/>
      <w:divBdr>
        <w:top w:val="none" w:sz="0" w:space="0" w:color="auto"/>
        <w:left w:val="none" w:sz="0" w:space="0" w:color="auto"/>
        <w:bottom w:val="none" w:sz="0" w:space="0" w:color="auto"/>
        <w:right w:val="none" w:sz="0" w:space="0" w:color="auto"/>
      </w:divBdr>
    </w:div>
    <w:div w:id="1510409294">
      <w:bodyDiv w:val="1"/>
      <w:marLeft w:val="0"/>
      <w:marRight w:val="0"/>
      <w:marTop w:val="0"/>
      <w:marBottom w:val="0"/>
      <w:divBdr>
        <w:top w:val="none" w:sz="0" w:space="0" w:color="auto"/>
        <w:left w:val="none" w:sz="0" w:space="0" w:color="auto"/>
        <w:bottom w:val="none" w:sz="0" w:space="0" w:color="auto"/>
        <w:right w:val="none" w:sz="0" w:space="0" w:color="auto"/>
      </w:divBdr>
    </w:div>
    <w:div w:id="1562669398">
      <w:bodyDiv w:val="1"/>
      <w:marLeft w:val="0"/>
      <w:marRight w:val="0"/>
      <w:marTop w:val="0"/>
      <w:marBottom w:val="0"/>
      <w:divBdr>
        <w:top w:val="none" w:sz="0" w:space="0" w:color="auto"/>
        <w:left w:val="none" w:sz="0" w:space="0" w:color="auto"/>
        <w:bottom w:val="none" w:sz="0" w:space="0" w:color="auto"/>
        <w:right w:val="none" w:sz="0" w:space="0" w:color="auto"/>
      </w:divBdr>
    </w:div>
    <w:div w:id="1613053925">
      <w:bodyDiv w:val="1"/>
      <w:marLeft w:val="0"/>
      <w:marRight w:val="0"/>
      <w:marTop w:val="0"/>
      <w:marBottom w:val="0"/>
      <w:divBdr>
        <w:top w:val="none" w:sz="0" w:space="0" w:color="auto"/>
        <w:left w:val="none" w:sz="0" w:space="0" w:color="auto"/>
        <w:bottom w:val="none" w:sz="0" w:space="0" w:color="auto"/>
        <w:right w:val="none" w:sz="0" w:space="0" w:color="auto"/>
      </w:divBdr>
    </w:div>
    <w:div w:id="19906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uk/news/uk-northern-ireland-2544944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s.bbc.co.uk/1/hi/northern_ireland/4724599.stm"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s.bbc.co.uk/onthisday/hi/dates/stories/august/31/newsid_3605000/3605348.s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ewsletter.co.uk/news/regional/in-pictures-gerry-kelly-s-speech-in-full-1-5376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4998357-E5C2-4209-B24B-0E98B78A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287</Pages>
  <Words>91749</Words>
  <Characters>542099</Characters>
  <Application>Microsoft Office Word</Application>
  <DocSecurity>0</DocSecurity>
  <Lines>8470</Lines>
  <Paragraphs>1237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632611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ptgcl</dc:creator>
  <cp:lastModifiedBy>Gordon Clubb</cp:lastModifiedBy>
  <cp:revision>11</cp:revision>
  <cp:lastPrinted>2015-03-10T10:53:00Z</cp:lastPrinted>
  <dcterms:created xsi:type="dcterms:W3CDTF">2015-01-05T15:35:00Z</dcterms:created>
  <dcterms:modified xsi:type="dcterms:W3CDTF">2015-03-13T12:52:00Z</dcterms:modified>
</cp:coreProperties>
</file>